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tiff" ContentType="image/tif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172FC">
      <w:pPr>
        <w:rPr>
          <w:rFonts w:hint="default" w:ascii="Times New Roman" w:hAnsi="Times New Roman" w:eastAsia="宋体" w:cs="Times New Roman"/>
          <w:color w:val="000000" w:themeColor="text1"/>
          <w:kern w:val="21"/>
          <w:sz w:val="36"/>
          <w:szCs w:val="36"/>
          <w14:textFill>
            <w14:solidFill>
              <w14:schemeClr w14:val="tx1"/>
            </w14:solidFill>
          </w14:textFill>
        </w:rPr>
      </w:pPr>
    </w:p>
    <w:p w14:paraId="69E387CD">
      <w:pPr>
        <w:rPr>
          <w:rFonts w:hint="default" w:ascii="Times New Roman" w:hAnsi="Times New Roman" w:eastAsia="宋体" w:cs="Times New Roman"/>
          <w:color w:val="000000" w:themeColor="text1"/>
          <w14:textFill>
            <w14:solidFill>
              <w14:schemeClr w14:val="tx1"/>
            </w14:solidFill>
          </w14:textFill>
        </w:rPr>
      </w:pPr>
    </w:p>
    <w:p w14:paraId="3521242C">
      <w:pPr>
        <w:rPr>
          <w:rFonts w:hint="default" w:ascii="Times New Roman" w:hAnsi="Times New Roman" w:eastAsia="宋体" w:cs="Times New Roman"/>
          <w:color w:val="000000" w:themeColor="text1"/>
          <w14:textFill>
            <w14:solidFill>
              <w14:schemeClr w14:val="tx1"/>
            </w14:solidFill>
          </w14:textFill>
        </w:rPr>
      </w:pPr>
    </w:p>
    <w:p w14:paraId="51425F06">
      <w:pPr>
        <w:rPr>
          <w:rFonts w:hint="default" w:ascii="Times New Roman" w:hAnsi="Times New Roman" w:eastAsia="宋体" w:cs="Times New Roman"/>
          <w:color w:val="000000" w:themeColor="text1"/>
          <w14:textFill>
            <w14:solidFill>
              <w14:schemeClr w14:val="tx1"/>
            </w14:solidFill>
          </w14:textFill>
        </w:rPr>
      </w:pPr>
    </w:p>
    <w:p w14:paraId="4BAA2526">
      <w:pPr>
        <w:rPr>
          <w:rFonts w:hint="default" w:ascii="Times New Roman" w:hAnsi="Times New Roman" w:eastAsia="宋体" w:cs="Times New Roman"/>
          <w:color w:val="000000" w:themeColor="text1"/>
          <w14:textFill>
            <w14:solidFill>
              <w14:schemeClr w14:val="tx1"/>
            </w14:solidFill>
          </w14:textFill>
        </w:rPr>
      </w:pPr>
    </w:p>
    <w:p w14:paraId="5F14E6DE">
      <w:pPr>
        <w:adjustRightInd w:val="0"/>
        <w:snapToGrid w:val="0"/>
        <w:jc w:val="center"/>
        <w:outlineLvl w:val="0"/>
        <w:rPr>
          <w:rFonts w:hint="default" w:ascii="Times New Roman" w:hAnsi="Times New Roman" w:eastAsia="宋体" w:cs="Times New Roman"/>
          <w:bCs/>
          <w:color w:val="000000" w:themeColor="text1"/>
          <w:kern w:val="21"/>
          <w:sz w:val="60"/>
          <w:szCs w:val="60"/>
          <w14:textFill>
            <w14:solidFill>
              <w14:schemeClr w14:val="tx1"/>
            </w14:solidFill>
          </w14:textFill>
        </w:rPr>
      </w:pPr>
      <w:r>
        <w:rPr>
          <w:rFonts w:hint="default" w:ascii="Times New Roman" w:hAnsi="Times New Roman" w:eastAsia="宋体" w:cs="Times New Roman"/>
          <w:bCs/>
          <w:color w:val="000000" w:themeColor="text1"/>
          <w:kern w:val="21"/>
          <w:sz w:val="60"/>
          <w:szCs w:val="60"/>
          <w14:textFill>
            <w14:solidFill>
              <w14:schemeClr w14:val="tx1"/>
            </w14:solidFill>
          </w14:textFill>
        </w:rPr>
        <w:t>建设项目</w:t>
      </w:r>
      <w:r>
        <w:rPr>
          <w:rFonts w:hint="eastAsia" w:ascii="Times New Roman" w:hAnsi="Times New Roman" w:cs="Times New Roman"/>
          <w:bCs/>
          <w:color w:val="000000" w:themeColor="text1"/>
          <w:kern w:val="21"/>
          <w:sz w:val="60"/>
          <w:szCs w:val="60"/>
          <w:lang w:val="en-US" w:eastAsia="zh-CN"/>
          <w14:textFill>
            <w14:solidFill>
              <w14:schemeClr w14:val="tx1"/>
            </w14:solidFill>
          </w14:textFill>
        </w:rPr>
        <w:t>生态</w:t>
      </w:r>
      <w:r>
        <w:rPr>
          <w:rFonts w:hint="default" w:ascii="Times New Roman" w:hAnsi="Times New Roman" w:eastAsia="宋体" w:cs="Times New Roman"/>
          <w:bCs/>
          <w:color w:val="000000" w:themeColor="text1"/>
          <w:kern w:val="21"/>
          <w:sz w:val="60"/>
          <w:szCs w:val="60"/>
          <w14:textFill>
            <w14:solidFill>
              <w14:schemeClr w14:val="tx1"/>
            </w14:solidFill>
          </w14:textFill>
        </w:rPr>
        <w:t>环境影响报告表</w:t>
      </w:r>
    </w:p>
    <w:p w14:paraId="0248EC10">
      <w:pPr>
        <w:adjustRightInd w:val="0"/>
        <w:snapToGrid w:val="0"/>
        <w:spacing w:before="240" w:beforeLines="100" w:after="240" w:afterLines="100"/>
        <w:jc w:val="center"/>
        <w:rPr>
          <w:rFonts w:hint="default" w:ascii="Times New Roman" w:hAnsi="Times New Roman" w:eastAsia="宋体" w:cs="Times New Roman"/>
          <w:b/>
          <w:bCs/>
          <w:color w:val="000000" w:themeColor="text1"/>
          <w:kern w:val="21"/>
          <w:sz w:val="44"/>
          <w:szCs w:val="44"/>
          <w14:textFill>
            <w14:solidFill>
              <w14:schemeClr w14:val="tx1"/>
            </w14:solidFill>
          </w14:textFill>
        </w:rPr>
      </w:pPr>
      <w:r>
        <w:rPr>
          <w:rFonts w:hint="default" w:ascii="Times New Roman" w:hAnsi="Times New Roman" w:eastAsia="宋体" w:cs="Times New Roman"/>
          <w:b/>
          <w:bCs/>
          <w:color w:val="000000" w:themeColor="text1"/>
          <w:kern w:val="21"/>
          <w:sz w:val="44"/>
          <w:szCs w:val="44"/>
          <w14:textFill>
            <w14:solidFill>
              <w14:schemeClr w14:val="tx1"/>
            </w14:solidFill>
          </w14:textFill>
        </w:rPr>
        <w:t>（污染影响类）</w:t>
      </w:r>
    </w:p>
    <w:p w14:paraId="4294C089">
      <w:pPr>
        <w:adjustRightInd w:val="0"/>
        <w:snapToGrid w:val="0"/>
        <w:spacing w:before="240" w:beforeLines="100" w:after="240" w:afterLines="100"/>
        <w:jc w:val="center"/>
        <w:rPr>
          <w:rFonts w:hint="default" w:ascii="Times New Roman" w:hAnsi="Times New Roman" w:eastAsia="宋体" w:cs="Times New Roman"/>
          <w:b/>
          <w:bCs/>
          <w:color w:val="000000" w:themeColor="text1"/>
          <w:kern w:val="21"/>
          <w:sz w:val="44"/>
          <w:szCs w:val="44"/>
          <w14:textFill>
            <w14:solidFill>
              <w14:schemeClr w14:val="tx1"/>
            </w14:solidFill>
          </w14:textFill>
        </w:rPr>
      </w:pPr>
      <w:r>
        <w:rPr>
          <w:rFonts w:hint="default" w:ascii="Times New Roman" w:hAnsi="Times New Roman" w:eastAsia="宋体" w:cs="Times New Roman"/>
          <w:b/>
          <w:bCs/>
          <w:color w:val="000000" w:themeColor="text1"/>
          <w:kern w:val="21"/>
          <w:sz w:val="44"/>
          <w:szCs w:val="44"/>
          <w14:textFill>
            <w14:solidFill>
              <w14:schemeClr w14:val="tx1"/>
            </w14:solidFill>
          </w14:textFill>
        </w:rPr>
        <w:t>（</w:t>
      </w:r>
      <w:r>
        <w:rPr>
          <w:rFonts w:hint="eastAsia" w:ascii="Times New Roman" w:hAnsi="Times New Roman" w:cs="Times New Roman"/>
          <w:b/>
          <w:bCs/>
          <w:color w:val="000000" w:themeColor="text1"/>
          <w:kern w:val="21"/>
          <w:sz w:val="44"/>
          <w:szCs w:val="44"/>
          <w:lang w:val="en-US" w:eastAsia="zh-CN"/>
          <w14:textFill>
            <w14:solidFill>
              <w14:schemeClr w14:val="tx1"/>
            </w14:solidFill>
          </w14:textFill>
        </w:rPr>
        <w:t>公示本</w:t>
      </w:r>
      <w:r>
        <w:rPr>
          <w:rFonts w:hint="default" w:ascii="Times New Roman" w:hAnsi="Times New Roman" w:eastAsia="宋体" w:cs="Times New Roman"/>
          <w:b/>
          <w:bCs/>
          <w:color w:val="000000" w:themeColor="text1"/>
          <w:kern w:val="21"/>
          <w:sz w:val="44"/>
          <w:szCs w:val="44"/>
          <w14:textFill>
            <w14:solidFill>
              <w14:schemeClr w14:val="tx1"/>
            </w14:solidFill>
          </w14:textFill>
        </w:rPr>
        <w:t>）</w:t>
      </w:r>
    </w:p>
    <w:p w14:paraId="5FAB0D61">
      <w:pPr>
        <w:rPr>
          <w:rFonts w:hint="default" w:ascii="Times New Roman" w:hAnsi="Times New Roman" w:eastAsia="宋体" w:cs="Times New Roman"/>
          <w:color w:val="000000" w:themeColor="text1"/>
          <w14:textFill>
            <w14:solidFill>
              <w14:schemeClr w14:val="tx1"/>
            </w14:solidFill>
          </w14:textFill>
        </w:rPr>
      </w:pPr>
    </w:p>
    <w:p w14:paraId="1F94E62E">
      <w:pPr>
        <w:rPr>
          <w:rFonts w:hint="default" w:ascii="Times New Roman" w:hAnsi="Times New Roman" w:eastAsia="宋体" w:cs="Times New Roman"/>
          <w:color w:val="000000" w:themeColor="text1"/>
          <w:kern w:val="21"/>
          <w:sz w:val="44"/>
          <w:szCs w:val="44"/>
          <w14:textFill>
            <w14:solidFill>
              <w14:schemeClr w14:val="tx1"/>
            </w14:solidFill>
          </w14:textFill>
        </w:rPr>
      </w:pPr>
    </w:p>
    <w:p w14:paraId="14AAFFA3">
      <w:pPr>
        <w:pStyle w:val="54"/>
        <w:rPr>
          <w:rFonts w:hint="default" w:ascii="Times New Roman" w:hAnsi="Times New Roman" w:eastAsia="宋体" w:cs="Times New Roman"/>
          <w:color w:val="000000" w:themeColor="text1"/>
          <w14:textFill>
            <w14:solidFill>
              <w14:schemeClr w14:val="tx1"/>
            </w14:solidFill>
          </w14:textFill>
        </w:rPr>
      </w:pPr>
    </w:p>
    <w:p w14:paraId="2E4F2956">
      <w:pPr>
        <w:ind w:firstLine="1040"/>
        <w:rPr>
          <w:rFonts w:hint="default" w:ascii="Times New Roman" w:hAnsi="Times New Roman" w:eastAsia="宋体" w:cs="Times New Roman"/>
          <w:color w:val="000000" w:themeColor="text1"/>
          <w:kern w:val="21"/>
          <w:sz w:val="44"/>
          <w:szCs w:val="44"/>
          <w14:textFill>
            <w14:solidFill>
              <w14:schemeClr w14:val="tx1"/>
            </w14:solidFill>
          </w14:textFill>
        </w:rPr>
      </w:pPr>
    </w:p>
    <w:p w14:paraId="1E795AC9">
      <w:pPr>
        <w:ind w:firstLine="1040"/>
        <w:rPr>
          <w:rFonts w:hint="default" w:ascii="Times New Roman" w:hAnsi="Times New Roman" w:eastAsia="宋体" w:cs="Times New Roman"/>
          <w:color w:val="000000" w:themeColor="text1"/>
          <w:kern w:val="21"/>
          <w:sz w:val="44"/>
          <w:szCs w:val="44"/>
          <w14:textFill>
            <w14:solidFill>
              <w14:schemeClr w14:val="tx1"/>
            </w14:solidFill>
          </w14:textFill>
        </w:rPr>
      </w:pPr>
    </w:p>
    <w:p w14:paraId="4B7B8F62">
      <w:pPr>
        <w:adjustRightInd w:val="0"/>
        <w:snapToGrid w:val="0"/>
        <w:spacing w:before="240" w:beforeLines="100" w:after="240" w:afterLines="100"/>
        <w:jc w:val="center"/>
        <w:rPr>
          <w:rFonts w:hint="default" w:ascii="Times New Roman" w:hAnsi="Times New Roman" w:eastAsia="宋体" w:cs="Times New Roman"/>
          <w:color w:val="000000" w:themeColor="text1"/>
          <w14:textFill>
            <w14:solidFill>
              <w14:schemeClr w14:val="tx1"/>
            </w14:solidFill>
          </w14:textFill>
        </w:rPr>
      </w:pPr>
    </w:p>
    <w:p w14:paraId="7E030B45">
      <w:pPr>
        <w:keepNext w:val="0"/>
        <w:keepLines w:val="0"/>
        <w:pageBreakBefore w:val="0"/>
        <w:widowControl w:val="0"/>
        <w:kinsoku/>
        <w:wordWrap/>
        <w:overflowPunct/>
        <w:topLinePunct w:val="0"/>
        <w:autoSpaceDE/>
        <w:autoSpaceDN/>
        <w:bidi w:val="0"/>
        <w:adjustRightInd w:val="0"/>
        <w:snapToGrid w:val="0"/>
        <w:spacing w:line="480" w:lineRule="auto"/>
        <w:jc w:val="both"/>
        <w:textAlignment w:val="auto"/>
        <w:rPr>
          <w:rFonts w:hint="default" w:ascii="Times New Roman" w:hAnsi="Times New Roman" w:eastAsia="宋体" w:cs="Times New Roman"/>
          <w:bCs/>
          <w:color w:val="000000" w:themeColor="text1"/>
          <w:kern w:val="21"/>
          <w:sz w:val="32"/>
          <w:szCs w:val="32"/>
          <w:u w:val="single"/>
          <w:lang w:eastAsia="zh-CN"/>
          <w14:textFill>
            <w14:solidFill>
              <w14:schemeClr w14:val="tx1"/>
            </w14:solidFill>
          </w14:textFill>
        </w:rPr>
      </w:pPr>
      <w:r>
        <w:rPr>
          <w:rFonts w:hint="default" w:ascii="Times New Roman" w:hAnsi="Times New Roman" w:eastAsia="宋体" w:cs="Times New Roman"/>
          <w:b/>
          <w:color w:val="000000" w:themeColor="text1"/>
          <w:kern w:val="21"/>
          <w:sz w:val="32"/>
          <w:szCs w:val="32"/>
          <w14:textFill>
            <w14:solidFill>
              <w14:schemeClr w14:val="tx1"/>
            </w14:solidFill>
          </w14:textFill>
        </w:rPr>
        <w:t>项目名称：</w:t>
      </w:r>
      <w:r>
        <w:rPr>
          <w:rFonts w:hint="default" w:ascii="Times New Roman" w:hAnsi="Times New Roman" w:eastAsia="宋体" w:cs="Times New Roman"/>
          <w:bCs/>
          <w:color w:val="000000" w:themeColor="text1"/>
          <w:kern w:val="21"/>
          <w:sz w:val="32"/>
          <w:szCs w:val="32"/>
          <w:u w:val="single"/>
          <w:lang w:eastAsia="zh-CN"/>
          <w14:textFill>
            <w14:solidFill>
              <w14:schemeClr w14:val="tx1"/>
            </w14:solidFill>
          </w14:textFill>
        </w:rPr>
        <w:t>泸定县城区自来水厂备用水源取水工程新建项目</w:t>
      </w:r>
    </w:p>
    <w:p w14:paraId="268857F9">
      <w:pPr>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color w:val="000000" w:themeColor="text1"/>
          <w:kern w:val="21"/>
          <w:sz w:val="32"/>
          <w:szCs w:val="32"/>
          <w:lang w:eastAsia="zh-CN"/>
          <w14:textFill>
            <w14:solidFill>
              <w14:schemeClr w14:val="tx1"/>
            </w14:solidFill>
          </w14:textFill>
        </w:rPr>
      </w:pPr>
      <w:r>
        <w:rPr>
          <w:rFonts w:hint="default" w:ascii="Times New Roman" w:hAnsi="Times New Roman" w:eastAsia="宋体" w:cs="Times New Roman"/>
          <w:b/>
          <w:color w:val="000000" w:themeColor="text1"/>
          <w:kern w:val="21"/>
          <w:sz w:val="32"/>
          <w:szCs w:val="32"/>
          <w14:textFill>
            <w14:solidFill>
              <w14:schemeClr w14:val="tx1"/>
            </w14:solidFill>
          </w14:textFill>
        </w:rPr>
        <w:t>建设单位（盖章）：</w:t>
      </w:r>
      <w:r>
        <w:rPr>
          <w:rFonts w:hint="default" w:ascii="Times New Roman" w:hAnsi="Times New Roman" w:eastAsia="宋体" w:cs="Times New Roman"/>
          <w:bCs/>
          <w:color w:val="000000" w:themeColor="text1"/>
          <w:kern w:val="21"/>
          <w:sz w:val="32"/>
          <w:szCs w:val="32"/>
          <w:u w:val="single"/>
          <w:lang w:eastAsia="zh-CN"/>
          <w14:textFill>
            <w14:solidFill>
              <w14:schemeClr w14:val="tx1"/>
            </w14:solidFill>
          </w14:textFill>
        </w:rPr>
        <w:t>泸定县住房和城乡建设局</w:t>
      </w:r>
    </w:p>
    <w:p w14:paraId="57A3A30D">
      <w:pPr>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default" w:ascii="Times New Roman" w:hAnsi="Times New Roman" w:eastAsia="宋体" w:cs="Times New Roman"/>
          <w:b/>
          <w:color w:val="000000" w:themeColor="text1"/>
          <w:kern w:val="21"/>
          <w:sz w:val="32"/>
          <w:szCs w:val="32"/>
          <w:u w:val="single"/>
          <w:lang w:eastAsia="zh-CN"/>
          <w14:textFill>
            <w14:solidFill>
              <w14:schemeClr w14:val="tx1"/>
            </w14:solidFill>
          </w14:textFill>
        </w:rPr>
      </w:pPr>
      <w:r>
        <w:rPr>
          <w:rFonts w:hint="default" w:ascii="Times New Roman" w:hAnsi="Times New Roman" w:eastAsia="宋体" w:cs="Times New Roman"/>
          <w:b/>
          <w:color w:val="000000" w:themeColor="text1"/>
          <w:kern w:val="21"/>
          <w:sz w:val="32"/>
          <w:szCs w:val="32"/>
          <w14:textFill>
            <w14:solidFill>
              <w14:schemeClr w14:val="tx1"/>
            </w14:solidFill>
          </w14:textFill>
        </w:rPr>
        <w:t>编制日期：</w:t>
      </w:r>
      <w:r>
        <w:rPr>
          <w:rFonts w:hint="default" w:ascii="Times New Roman" w:hAnsi="Times New Roman" w:eastAsia="宋体" w:cs="Times New Roman"/>
          <w:bCs/>
          <w:color w:val="000000" w:themeColor="text1"/>
          <w:kern w:val="21"/>
          <w:sz w:val="32"/>
          <w:szCs w:val="32"/>
          <w:u w:val="single"/>
          <w14:textFill>
            <w14:solidFill>
              <w14:schemeClr w14:val="tx1"/>
            </w14:solidFill>
          </w14:textFill>
        </w:rPr>
        <w:t>202</w:t>
      </w:r>
      <w:r>
        <w:rPr>
          <w:rFonts w:hint="default" w:ascii="Times New Roman" w:hAnsi="Times New Roman" w:eastAsia="宋体" w:cs="Times New Roman"/>
          <w:bCs/>
          <w:color w:val="000000" w:themeColor="text1"/>
          <w:kern w:val="21"/>
          <w:sz w:val="32"/>
          <w:szCs w:val="32"/>
          <w:u w:val="single"/>
          <w:lang w:val="en-US" w:eastAsia="zh-CN"/>
          <w14:textFill>
            <w14:solidFill>
              <w14:schemeClr w14:val="tx1"/>
            </w14:solidFill>
          </w14:textFill>
        </w:rPr>
        <w:t>6</w:t>
      </w:r>
      <w:r>
        <w:rPr>
          <w:rFonts w:hint="default" w:ascii="Times New Roman" w:hAnsi="Times New Roman" w:eastAsia="宋体" w:cs="Times New Roman"/>
          <w:bCs/>
          <w:color w:val="000000" w:themeColor="text1"/>
          <w:kern w:val="21"/>
          <w:sz w:val="32"/>
          <w:szCs w:val="32"/>
          <w:u w:val="single"/>
          <w14:textFill>
            <w14:solidFill>
              <w14:schemeClr w14:val="tx1"/>
            </w14:solidFill>
          </w14:textFill>
        </w:rPr>
        <w:t>年</w:t>
      </w:r>
      <w:r>
        <w:rPr>
          <w:rFonts w:hint="eastAsia" w:ascii="Times New Roman" w:hAnsi="Times New Roman" w:cs="Times New Roman"/>
          <w:bCs/>
          <w:color w:val="000000" w:themeColor="text1"/>
          <w:kern w:val="21"/>
          <w:sz w:val="32"/>
          <w:szCs w:val="32"/>
          <w:u w:val="single"/>
          <w:lang w:val="en-US" w:eastAsia="zh-CN"/>
          <w14:textFill>
            <w14:solidFill>
              <w14:schemeClr w14:val="tx1"/>
            </w14:solidFill>
          </w14:textFill>
        </w:rPr>
        <w:t>10</w:t>
      </w:r>
      <w:r>
        <w:rPr>
          <w:rFonts w:hint="default" w:ascii="Times New Roman" w:hAnsi="Times New Roman" w:eastAsia="宋体" w:cs="Times New Roman"/>
          <w:bCs/>
          <w:color w:val="000000" w:themeColor="text1"/>
          <w:kern w:val="21"/>
          <w:sz w:val="32"/>
          <w:szCs w:val="32"/>
          <w:u w:val="single"/>
          <w14:textFill>
            <w14:solidFill>
              <w14:schemeClr w14:val="tx1"/>
            </w14:solidFill>
          </w14:textFill>
        </w:rPr>
        <w:t>月</w:t>
      </w:r>
    </w:p>
    <w:p w14:paraId="3BB32162">
      <w:pPr>
        <w:adjustRightInd w:val="0"/>
        <w:snapToGrid w:val="0"/>
        <w:spacing w:line="288" w:lineRule="auto"/>
        <w:ind w:firstLine="1040"/>
        <w:jc w:val="center"/>
        <w:rPr>
          <w:rFonts w:hint="default" w:ascii="Times New Roman" w:hAnsi="Times New Roman" w:eastAsia="宋体" w:cs="Times New Roman"/>
          <w:color w:val="000000" w:themeColor="text1"/>
          <w:kern w:val="21"/>
          <w:sz w:val="32"/>
          <w:szCs w:val="32"/>
          <w:u w:val="single"/>
          <w14:textFill>
            <w14:solidFill>
              <w14:schemeClr w14:val="tx1"/>
            </w14:solidFill>
          </w14:textFill>
        </w:rPr>
      </w:pPr>
      <w:bookmarkStart w:id="0" w:name="_Hlk57884087"/>
    </w:p>
    <w:p w14:paraId="62148983">
      <w:pPr>
        <w:adjustRightInd w:val="0"/>
        <w:snapToGrid w:val="0"/>
        <w:spacing w:line="288" w:lineRule="auto"/>
        <w:ind w:firstLine="1040"/>
        <w:rPr>
          <w:rFonts w:hint="default" w:ascii="Times New Roman" w:hAnsi="Times New Roman" w:eastAsia="宋体" w:cs="Times New Roman"/>
          <w:color w:val="000000" w:themeColor="text1"/>
          <w:kern w:val="21"/>
          <w:sz w:val="36"/>
          <w:szCs w:val="36"/>
          <w14:textFill>
            <w14:solidFill>
              <w14:schemeClr w14:val="tx1"/>
            </w14:solidFill>
          </w14:textFill>
        </w:rPr>
      </w:pPr>
    </w:p>
    <w:p w14:paraId="48EC496C">
      <w:pPr>
        <w:adjustRightInd w:val="0"/>
        <w:snapToGrid w:val="0"/>
        <w:spacing w:line="288" w:lineRule="auto"/>
        <w:ind w:firstLine="1040"/>
        <w:rPr>
          <w:rFonts w:hint="default" w:ascii="Times New Roman" w:hAnsi="Times New Roman" w:eastAsia="宋体" w:cs="Times New Roman"/>
          <w:color w:val="000000" w:themeColor="text1"/>
          <w:kern w:val="21"/>
          <w:sz w:val="36"/>
          <w:szCs w:val="36"/>
          <w14:textFill>
            <w14:solidFill>
              <w14:schemeClr w14:val="tx1"/>
            </w14:solidFill>
          </w14:textFill>
        </w:rPr>
      </w:pPr>
    </w:p>
    <w:p w14:paraId="3584E1FF">
      <w:pPr>
        <w:adjustRightInd w:val="0"/>
        <w:snapToGrid w:val="0"/>
        <w:spacing w:line="288" w:lineRule="auto"/>
        <w:ind w:firstLine="1040"/>
        <w:rPr>
          <w:rFonts w:hint="default" w:ascii="Times New Roman" w:hAnsi="Times New Roman" w:eastAsia="宋体" w:cs="Times New Roman"/>
          <w:color w:val="000000" w:themeColor="text1"/>
          <w:kern w:val="21"/>
          <w:sz w:val="36"/>
          <w:szCs w:val="36"/>
          <w14:textFill>
            <w14:solidFill>
              <w14:schemeClr w14:val="tx1"/>
            </w14:solidFill>
          </w14:textFill>
        </w:rPr>
      </w:pPr>
    </w:p>
    <w:bookmarkEnd w:id="0"/>
    <w:p w14:paraId="6BF7FC1E">
      <w:pPr>
        <w:adjustRightInd w:val="0"/>
        <w:snapToGrid w:val="0"/>
        <w:spacing w:line="288" w:lineRule="auto"/>
        <w:jc w:val="center"/>
        <w:rPr>
          <w:rFonts w:hint="default" w:ascii="Times New Roman" w:hAnsi="Times New Roman" w:eastAsia="宋体" w:cs="Times New Roman"/>
          <w:b/>
          <w:bCs/>
          <w:color w:val="000000" w:themeColor="text1"/>
          <w:kern w:val="21"/>
          <w:sz w:val="36"/>
          <w:szCs w:val="36"/>
          <w14:textFill>
            <w14:solidFill>
              <w14:schemeClr w14:val="tx1"/>
            </w14:solidFill>
          </w14:textFill>
        </w:rPr>
      </w:pPr>
      <w:r>
        <w:rPr>
          <w:rFonts w:hint="default" w:ascii="Times New Roman" w:hAnsi="Times New Roman" w:eastAsia="宋体" w:cs="Times New Roman"/>
          <w:b/>
          <w:bCs/>
          <w:color w:val="000000" w:themeColor="text1"/>
          <w:kern w:val="21"/>
          <w:sz w:val="36"/>
          <w:szCs w:val="36"/>
          <w14:textFill>
            <w14:solidFill>
              <w14:schemeClr w14:val="tx1"/>
            </w14:solidFill>
          </w14:textFill>
        </w:rPr>
        <w:t>中华人民共和国生态环境部制</w:t>
      </w:r>
    </w:p>
    <w:p w14:paraId="23900615">
      <w:pPr>
        <w:pStyle w:val="3"/>
        <w:rPr>
          <w:rFonts w:hint="default" w:ascii="Times New Roman" w:hAnsi="Times New Roman" w:eastAsia="宋体" w:cs="Times New Roman"/>
          <w:color w:val="000000" w:themeColor="text1"/>
          <w14:textFill>
            <w14:solidFill>
              <w14:schemeClr w14:val="tx1"/>
            </w14:solidFill>
          </w14:textFill>
        </w:rPr>
        <w:sectPr>
          <w:footerReference r:id="rId5" w:type="default"/>
          <w:footerReference r:id="rId6" w:type="even"/>
          <w:pgSz w:w="11906" w:h="16838"/>
          <w:pgMar w:top="1440" w:right="1800" w:bottom="1440" w:left="1800" w:header="851" w:footer="1077" w:gutter="0"/>
          <w:pgBorders>
            <w:top w:val="none" w:sz="0" w:space="0"/>
            <w:left w:val="none" w:sz="0" w:space="0"/>
            <w:bottom w:val="none" w:sz="0" w:space="0"/>
            <w:right w:val="none" w:sz="0" w:space="0"/>
          </w:pgBorders>
          <w:pgNumType w:start="3"/>
          <w:cols w:space="720" w:num="1"/>
          <w:docGrid w:linePitch="312" w:charSpace="0"/>
        </w:sectPr>
      </w:pPr>
    </w:p>
    <w:p w14:paraId="67461EC8">
      <w:pPr>
        <w:pStyle w:val="3"/>
        <w:keepLines/>
        <w:overflowPunct/>
        <w:snapToGrid/>
        <w:spacing w:before="0" w:after="0" w:line="360" w:lineRule="auto"/>
        <w:ind w:left="0" w:firstLine="0"/>
        <w:jc w:val="center"/>
        <w:rPr>
          <w:rFonts w:hint="default" w:ascii="Times New Roman" w:hAnsi="Times New Roman" w:eastAsia="宋体" w:cs="Times New Roman"/>
          <w:bCs w:val="0"/>
          <w:snapToGrid w:val="0"/>
          <w:color w:val="000000" w:themeColor="text1"/>
          <w:kern w:val="21"/>
          <w:sz w:val="30"/>
          <w:szCs w:val="30"/>
          <w14:textFill>
            <w14:solidFill>
              <w14:schemeClr w14:val="tx1"/>
            </w14:solidFill>
          </w14:textFill>
        </w:rPr>
      </w:pPr>
      <w:r>
        <w:rPr>
          <w:rFonts w:hint="default" w:ascii="Times New Roman" w:hAnsi="Times New Roman" w:eastAsia="宋体" w:cs="Times New Roman"/>
          <w:bCs w:val="0"/>
          <w:snapToGrid w:val="0"/>
          <w:color w:val="000000" w:themeColor="text1"/>
          <w:kern w:val="21"/>
          <w:sz w:val="30"/>
          <w:szCs w:val="30"/>
          <w14:textFill>
            <w14:solidFill>
              <w14:schemeClr w14:val="tx1"/>
            </w14:solidFill>
          </w14:textFill>
        </w:rPr>
        <w:t>一、建设项目基本情况</w:t>
      </w:r>
    </w:p>
    <w:tbl>
      <w:tblPr>
        <w:tblStyle w:val="5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709"/>
        <w:gridCol w:w="999"/>
        <w:gridCol w:w="1941"/>
        <w:gridCol w:w="1565"/>
        <w:gridCol w:w="3610"/>
      </w:tblGrid>
      <w:tr w14:paraId="418C77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968" w:type="pct"/>
            <w:gridSpan w:val="2"/>
            <w:tcMar>
              <w:top w:w="16" w:type="dxa"/>
              <w:left w:w="16" w:type="dxa"/>
              <w:right w:w="16" w:type="dxa"/>
            </w:tcMar>
            <w:vAlign w:val="center"/>
          </w:tcPr>
          <w:p w14:paraId="0817BF9E">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建设项目名称</w:t>
            </w:r>
          </w:p>
        </w:tc>
        <w:tc>
          <w:tcPr>
            <w:tcW w:w="4032" w:type="pct"/>
            <w:gridSpan w:val="3"/>
            <w:vAlign w:val="center"/>
          </w:tcPr>
          <w:p w14:paraId="121EC587">
            <w:pPr>
              <w:spacing w:line="360" w:lineRule="auto"/>
              <w:jc w:val="center"/>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lang w:eastAsia="zh-CN"/>
                <w14:textFill>
                  <w14:solidFill>
                    <w14:schemeClr w14:val="tx1"/>
                  </w14:solidFill>
                </w14:textFill>
              </w:rPr>
              <w:t>泸定县城区自来水厂备用水源取水工程新建项目</w:t>
            </w:r>
          </w:p>
        </w:tc>
      </w:tr>
      <w:tr w14:paraId="4A13DA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968" w:type="pct"/>
            <w:gridSpan w:val="2"/>
            <w:tcMar>
              <w:top w:w="16" w:type="dxa"/>
              <w:left w:w="16" w:type="dxa"/>
              <w:right w:w="16" w:type="dxa"/>
            </w:tcMar>
            <w:vAlign w:val="center"/>
          </w:tcPr>
          <w:p w14:paraId="44C5D158">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项目代码</w:t>
            </w:r>
          </w:p>
        </w:tc>
        <w:tc>
          <w:tcPr>
            <w:tcW w:w="4032" w:type="pct"/>
            <w:gridSpan w:val="3"/>
            <w:vAlign w:val="center"/>
          </w:tcPr>
          <w:p w14:paraId="73FCF36F">
            <w:pPr>
              <w:spacing w:line="360" w:lineRule="auto"/>
              <w:jc w:val="center"/>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w:t>
            </w:r>
          </w:p>
        </w:tc>
      </w:tr>
      <w:tr w14:paraId="12FF2A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968" w:type="pct"/>
            <w:gridSpan w:val="2"/>
            <w:tcMar>
              <w:top w:w="16" w:type="dxa"/>
              <w:left w:w="16" w:type="dxa"/>
              <w:right w:w="16" w:type="dxa"/>
            </w:tcMar>
            <w:vAlign w:val="center"/>
          </w:tcPr>
          <w:p w14:paraId="76B98B65">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建设单位</w:t>
            </w:r>
          </w:p>
          <w:p w14:paraId="47258C64">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联系人</w:t>
            </w:r>
          </w:p>
        </w:tc>
        <w:tc>
          <w:tcPr>
            <w:tcW w:w="1100" w:type="pct"/>
            <w:vAlign w:val="center"/>
          </w:tcPr>
          <w:p w14:paraId="0687A4FC">
            <w:pPr>
              <w:spacing w:line="360" w:lineRule="auto"/>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w:t>
            </w:r>
          </w:p>
        </w:tc>
        <w:tc>
          <w:tcPr>
            <w:tcW w:w="887" w:type="pct"/>
            <w:vAlign w:val="center"/>
          </w:tcPr>
          <w:p w14:paraId="1CD1040F">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联系方式</w:t>
            </w:r>
          </w:p>
        </w:tc>
        <w:tc>
          <w:tcPr>
            <w:tcW w:w="2045" w:type="pct"/>
            <w:vAlign w:val="center"/>
          </w:tcPr>
          <w:p w14:paraId="199562E2">
            <w:pPr>
              <w:spacing w:line="360" w:lineRule="auto"/>
              <w:jc w:val="center"/>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w:t>
            </w:r>
          </w:p>
        </w:tc>
      </w:tr>
      <w:tr w14:paraId="45E943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968" w:type="pct"/>
            <w:gridSpan w:val="2"/>
            <w:tcMar>
              <w:top w:w="16" w:type="dxa"/>
              <w:left w:w="16" w:type="dxa"/>
              <w:right w:w="16" w:type="dxa"/>
            </w:tcMar>
            <w:vAlign w:val="center"/>
          </w:tcPr>
          <w:p w14:paraId="6217FFDC">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建设地点</w:t>
            </w:r>
          </w:p>
        </w:tc>
        <w:tc>
          <w:tcPr>
            <w:tcW w:w="4032" w:type="pct"/>
            <w:gridSpan w:val="3"/>
            <w:vAlign w:val="center"/>
          </w:tcPr>
          <w:p w14:paraId="4DBF7B47">
            <w:pPr>
              <w:spacing w:line="360" w:lineRule="auto"/>
              <w:jc w:val="center"/>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四川省</w:t>
            </w:r>
            <w:r>
              <w:rPr>
                <w:rFonts w:hint="default" w:ascii="Times New Roman" w:hAnsi="Times New Roman" w:eastAsia="宋体" w:cs="Times New Roman"/>
                <w:color w:val="000000" w:themeColor="text1"/>
                <w:sz w:val="24"/>
                <w:lang w:eastAsia="zh-CN"/>
                <w14:textFill>
                  <w14:solidFill>
                    <w14:schemeClr w14:val="tx1"/>
                  </w14:solidFill>
                </w14:textFill>
              </w:rPr>
              <w:t>甘孜藏族自治州泸定县泸桥镇</w:t>
            </w:r>
          </w:p>
        </w:tc>
      </w:tr>
      <w:tr w14:paraId="4B0D86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90" w:hRule="atLeast"/>
        </w:trPr>
        <w:tc>
          <w:tcPr>
            <w:tcW w:w="968" w:type="pct"/>
            <w:gridSpan w:val="2"/>
            <w:tcMar>
              <w:top w:w="16" w:type="dxa"/>
              <w:left w:w="16" w:type="dxa"/>
              <w:right w:w="16" w:type="dxa"/>
            </w:tcMar>
            <w:vAlign w:val="center"/>
          </w:tcPr>
          <w:p w14:paraId="20C62D78">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地理坐标</w:t>
            </w:r>
          </w:p>
        </w:tc>
        <w:tc>
          <w:tcPr>
            <w:tcW w:w="4032" w:type="pct"/>
            <w:gridSpan w:val="3"/>
            <w:vAlign w:val="center"/>
          </w:tcPr>
          <w:p w14:paraId="20F17343">
            <w:pPr>
              <w:spacing w:line="360" w:lineRule="auto"/>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取水口</w:t>
            </w:r>
            <w:r>
              <w:rPr>
                <w:rFonts w:hint="default" w:ascii="Times New Roman" w:hAnsi="Times New Roman" w:eastAsia="宋体" w:cs="Times New Roman"/>
                <w:color w:val="000000" w:themeColor="text1"/>
                <w:sz w:val="24"/>
                <w:lang w:val="en-US" w:eastAsia="zh-CN"/>
                <w14:textFill>
                  <w14:solidFill>
                    <w14:schemeClr w14:val="tx1"/>
                  </w14:solidFill>
                </w14:textFill>
              </w:rPr>
              <w:t>坐标：E</w:t>
            </w:r>
            <w:r>
              <w:rPr>
                <w:rFonts w:hint="eastAsia" w:ascii="Times New Roman" w:hAnsi="Times New Roman" w:cs="Times New Roman"/>
                <w:color w:val="000000" w:themeColor="text1"/>
                <w:sz w:val="24"/>
                <w:lang w:val="en-US" w:eastAsia="zh-CN"/>
                <w14:textFill>
                  <w14:solidFill>
                    <w14:schemeClr w14:val="tx1"/>
                  </w14:solidFill>
                </w14:textFill>
              </w:rPr>
              <w:t>102°15′13.900″</w:t>
            </w:r>
            <w:r>
              <w:rPr>
                <w:rFonts w:hint="default" w:ascii="Times New Roman" w:hAnsi="Times New Roman" w:eastAsia="宋体" w:cs="Times New Roman"/>
                <w:color w:val="000000" w:themeColor="text1"/>
                <w:sz w:val="24"/>
                <w:lang w:val="en-US" w:eastAsia="zh-CN"/>
                <w14:textFill>
                  <w14:solidFill>
                    <w14:schemeClr w14:val="tx1"/>
                  </w14:solidFill>
                </w14:textFill>
              </w:rPr>
              <w:t>，N</w:t>
            </w:r>
            <w:r>
              <w:rPr>
                <w:rFonts w:hint="eastAsia" w:ascii="Times New Roman" w:hAnsi="Times New Roman" w:cs="Times New Roman"/>
                <w:color w:val="000000" w:themeColor="text1"/>
                <w:sz w:val="24"/>
                <w:lang w:val="en-US" w:eastAsia="zh-CN"/>
                <w14:textFill>
                  <w14:solidFill>
                    <w14:schemeClr w14:val="tx1"/>
                  </w14:solidFill>
                </w14:textFill>
              </w:rPr>
              <w:t>29°57′6.210″</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14:paraId="73814228">
            <w:pPr>
              <w:spacing w:line="360" w:lineRule="auto"/>
              <w:jc w:val="center"/>
              <w:rPr>
                <w:rFonts w:hint="default"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原水管道</w:t>
            </w:r>
            <w:r>
              <w:rPr>
                <w:rFonts w:hint="default" w:ascii="Times New Roman" w:hAnsi="Times New Roman" w:eastAsia="宋体" w:cs="Times New Roman"/>
                <w:color w:val="000000" w:themeColor="text1"/>
                <w:sz w:val="24"/>
                <w:lang w:val="en-US" w:eastAsia="zh-CN"/>
                <w14:textFill>
                  <w14:solidFill>
                    <w14:schemeClr w14:val="tx1"/>
                  </w14:solidFill>
                </w14:textFill>
              </w:rPr>
              <w:t>起点：</w:t>
            </w:r>
            <w:r>
              <w:rPr>
                <w:rFonts w:hint="eastAsia" w:ascii="Times New Roman" w:hAnsi="Times New Roman" w:cs="Times New Roman"/>
                <w:color w:val="000000" w:themeColor="text1"/>
                <w:sz w:val="24"/>
                <w:lang w:eastAsia="zh-CN"/>
                <w14:textFill>
                  <w14:solidFill>
                    <w14:schemeClr w14:val="tx1"/>
                  </w14:solidFill>
                </w14:textFill>
              </w:rPr>
              <w:t>102°15′13.362″</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29°57′5.022″</w:t>
            </w:r>
            <w:r>
              <w:rPr>
                <w:rFonts w:hint="default" w:ascii="Times New Roman" w:hAnsi="Times New Roman" w:eastAsia="宋体" w:cs="Times New Roman"/>
                <w:color w:val="000000" w:themeColor="text1"/>
                <w:sz w:val="24"/>
                <w:lang w:eastAsia="zh-CN"/>
                <w14:textFill>
                  <w14:solidFill>
                    <w14:schemeClr w14:val="tx1"/>
                  </w14:solidFill>
                </w14:textFill>
              </w:rPr>
              <w:t>；</w:t>
            </w:r>
          </w:p>
          <w:p w14:paraId="408B7D6A">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原水管道</w:t>
            </w:r>
            <w:r>
              <w:rPr>
                <w:rFonts w:hint="default" w:ascii="Times New Roman" w:hAnsi="Times New Roman" w:eastAsia="宋体" w:cs="Times New Roman"/>
                <w:color w:val="000000" w:themeColor="text1"/>
                <w:sz w:val="24"/>
                <w:lang w:val="en-US" w:eastAsia="zh-CN"/>
                <w14:textFill>
                  <w14:solidFill>
                    <w14:schemeClr w14:val="tx1"/>
                  </w14:solidFill>
                </w14:textFill>
              </w:rPr>
              <w:t>终点：</w:t>
            </w:r>
            <w:r>
              <w:rPr>
                <w:rFonts w:hint="default" w:ascii="Times New Roman" w:hAnsi="Times New Roman" w:eastAsia="宋体" w:cs="Times New Roman"/>
                <w:color w:val="000000" w:themeColor="text1"/>
                <w:sz w:val="24"/>
                <w:lang w:eastAsia="zh-CN"/>
                <w14:textFill>
                  <w14:solidFill>
                    <w14:schemeClr w14:val="tx1"/>
                  </w14:solidFill>
                </w14:textFill>
              </w:rPr>
              <w:t>102°14′6.737″，29°54′40.912″</w:t>
            </w:r>
            <w:r>
              <w:rPr>
                <w:rFonts w:hint="eastAsia" w:ascii="Times New Roman" w:hAnsi="Times New Roman" w:eastAsia="宋体" w:cs="Times New Roman"/>
                <w:color w:val="000000" w:themeColor="text1"/>
                <w:sz w:val="24"/>
                <w:lang w:eastAsia="zh-CN"/>
                <w14:textFill>
                  <w14:solidFill>
                    <w14:schemeClr w14:val="tx1"/>
                  </w14:solidFill>
                </w14:textFill>
              </w:rPr>
              <w:t>。</w:t>
            </w:r>
          </w:p>
        </w:tc>
      </w:tr>
      <w:tr w14:paraId="77A2D7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49" w:hRule="atLeast"/>
        </w:trPr>
        <w:tc>
          <w:tcPr>
            <w:tcW w:w="968" w:type="pct"/>
            <w:gridSpan w:val="2"/>
            <w:tcMar>
              <w:top w:w="16" w:type="dxa"/>
              <w:left w:w="16" w:type="dxa"/>
              <w:right w:w="16" w:type="dxa"/>
            </w:tcMar>
            <w:vAlign w:val="center"/>
          </w:tcPr>
          <w:p w14:paraId="60F3339E">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国民经济</w:t>
            </w:r>
          </w:p>
          <w:p w14:paraId="6D101FC5">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行业类别</w:t>
            </w:r>
          </w:p>
        </w:tc>
        <w:tc>
          <w:tcPr>
            <w:tcW w:w="1100" w:type="pct"/>
            <w:vAlign w:val="center"/>
          </w:tcPr>
          <w:p w14:paraId="1E9FAD92">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D4610自来水生产和供应</w:t>
            </w:r>
          </w:p>
        </w:tc>
        <w:tc>
          <w:tcPr>
            <w:tcW w:w="887" w:type="pct"/>
            <w:vAlign w:val="center"/>
          </w:tcPr>
          <w:p w14:paraId="6ED28E2E">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bookmarkStart w:id="1" w:name="_Hlk49843745"/>
            <w:r>
              <w:rPr>
                <w:rFonts w:hint="default" w:ascii="Times New Roman" w:hAnsi="Times New Roman" w:eastAsia="宋体" w:cs="Times New Roman"/>
                <w:b/>
                <w:color w:val="000000" w:themeColor="text1"/>
                <w:sz w:val="24"/>
                <w14:textFill>
                  <w14:solidFill>
                    <w14:schemeClr w14:val="tx1"/>
                  </w14:solidFill>
                </w14:textFill>
              </w:rPr>
              <w:t>建设项目</w:t>
            </w:r>
          </w:p>
          <w:p w14:paraId="1EA57A3E">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行业类别</w:t>
            </w:r>
            <w:bookmarkEnd w:id="1"/>
          </w:p>
        </w:tc>
        <w:tc>
          <w:tcPr>
            <w:tcW w:w="2045" w:type="pct"/>
            <w:vAlign w:val="center"/>
          </w:tcPr>
          <w:p w14:paraId="4D4F55FE">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四十三、水的生产和供应业94自来水生产和供应461（不含供应工程；不含村庄供应工程）</w:t>
            </w:r>
          </w:p>
        </w:tc>
      </w:tr>
      <w:tr w14:paraId="339369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968" w:type="pct"/>
            <w:gridSpan w:val="2"/>
            <w:tcMar>
              <w:top w:w="16" w:type="dxa"/>
              <w:left w:w="16" w:type="dxa"/>
              <w:right w:w="16" w:type="dxa"/>
            </w:tcMar>
            <w:vAlign w:val="center"/>
          </w:tcPr>
          <w:p w14:paraId="3D2B7421">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建设性质</w:t>
            </w:r>
          </w:p>
        </w:tc>
        <w:tc>
          <w:tcPr>
            <w:tcW w:w="1100" w:type="pct"/>
            <w:vAlign w:val="center"/>
          </w:tcPr>
          <w:p w14:paraId="4712DBE5">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√新建（迁建）</w:t>
            </w:r>
          </w:p>
          <w:p w14:paraId="398ACC17">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□改建</w:t>
            </w:r>
          </w:p>
          <w:p w14:paraId="1CC4576A">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sym w:font="Wingdings 2" w:char="00A3"/>
            </w:r>
            <w:r>
              <w:rPr>
                <w:rFonts w:hint="default" w:ascii="Times New Roman" w:hAnsi="Times New Roman" w:eastAsia="宋体" w:cs="Times New Roman"/>
                <w:color w:val="000000" w:themeColor="text1"/>
                <w:sz w:val="24"/>
                <w14:textFill>
                  <w14:solidFill>
                    <w14:schemeClr w14:val="tx1"/>
                  </w14:solidFill>
                </w14:textFill>
              </w:rPr>
              <w:t>扩建</w:t>
            </w:r>
          </w:p>
          <w:p w14:paraId="335A34CE">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sym w:font="Wingdings 2" w:char="00A3"/>
            </w:r>
            <w:r>
              <w:rPr>
                <w:rFonts w:hint="default" w:ascii="Times New Roman" w:hAnsi="Times New Roman" w:eastAsia="宋体" w:cs="Times New Roman"/>
                <w:color w:val="000000" w:themeColor="text1"/>
                <w:sz w:val="24"/>
                <w14:textFill>
                  <w14:solidFill>
                    <w14:schemeClr w14:val="tx1"/>
                  </w14:solidFill>
                </w14:textFill>
              </w:rPr>
              <w:t>技术改造</w:t>
            </w:r>
          </w:p>
        </w:tc>
        <w:tc>
          <w:tcPr>
            <w:tcW w:w="887" w:type="pct"/>
            <w:vAlign w:val="center"/>
          </w:tcPr>
          <w:p w14:paraId="26A89EA0">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建设项目</w:t>
            </w:r>
          </w:p>
          <w:p w14:paraId="2DDA2729">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申报情形</w:t>
            </w:r>
          </w:p>
        </w:tc>
        <w:tc>
          <w:tcPr>
            <w:tcW w:w="2045" w:type="pct"/>
            <w:vAlign w:val="center"/>
          </w:tcPr>
          <w:p w14:paraId="251D0ADD">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√首次申报项目</w:t>
            </w:r>
          </w:p>
          <w:p w14:paraId="66369840">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□不予批准后再次申报项目</w:t>
            </w:r>
          </w:p>
          <w:p w14:paraId="577BB287">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sym w:font="Wingdings 2" w:char="00A3"/>
            </w:r>
            <w:r>
              <w:rPr>
                <w:rFonts w:hint="default" w:ascii="Times New Roman" w:hAnsi="Times New Roman" w:eastAsia="宋体" w:cs="Times New Roman"/>
                <w:color w:val="000000" w:themeColor="text1"/>
                <w:sz w:val="24"/>
                <w14:textFill>
                  <w14:solidFill>
                    <w14:schemeClr w14:val="tx1"/>
                  </w14:solidFill>
                </w14:textFill>
              </w:rPr>
              <w:t>超五年重新审核项目</w:t>
            </w:r>
          </w:p>
          <w:p w14:paraId="3F7CD8BC">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□重大变动重新报批项目</w:t>
            </w:r>
          </w:p>
        </w:tc>
      </w:tr>
      <w:tr w14:paraId="1E571C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968" w:type="pct"/>
            <w:gridSpan w:val="2"/>
            <w:tcMar>
              <w:top w:w="16" w:type="dxa"/>
              <w:left w:w="16" w:type="dxa"/>
              <w:right w:w="16" w:type="dxa"/>
            </w:tcMar>
            <w:vAlign w:val="center"/>
          </w:tcPr>
          <w:p w14:paraId="3935FA99">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项目审批</w:t>
            </w:r>
          </w:p>
          <w:p w14:paraId="66DB9BF7">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（核准/备案）部门</w:t>
            </w:r>
          </w:p>
        </w:tc>
        <w:tc>
          <w:tcPr>
            <w:tcW w:w="1100" w:type="pct"/>
            <w:vAlign w:val="center"/>
          </w:tcPr>
          <w:p w14:paraId="11FB5183">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eastAsia="zh-CN"/>
                <w14:textFill>
                  <w14:solidFill>
                    <w14:schemeClr w14:val="tx1"/>
                  </w14:solidFill>
                </w14:textFill>
              </w:rPr>
              <w:t>泸定县</w:t>
            </w:r>
            <w:r>
              <w:rPr>
                <w:rFonts w:hint="default" w:ascii="Times New Roman" w:hAnsi="Times New Roman" w:eastAsia="宋体" w:cs="Times New Roman"/>
                <w:color w:val="000000" w:themeColor="text1"/>
                <w:sz w:val="24"/>
                <w14:textFill>
                  <w14:solidFill>
                    <w14:schemeClr w14:val="tx1"/>
                  </w14:solidFill>
                </w14:textFill>
              </w:rPr>
              <w:t>发展</w:t>
            </w:r>
          </w:p>
          <w:p w14:paraId="7172CEF3">
            <w:pPr>
              <w:spacing w:line="360" w:lineRule="auto"/>
              <w:jc w:val="center"/>
              <w:rPr>
                <w:rFonts w:hint="default" w:ascii="Times New Roman" w:hAnsi="Times New Roman" w:eastAsia="宋体" w:cs="Times New Roman"/>
                <w:color w:val="000000" w:themeColor="text1"/>
                <w:kern w:val="21"/>
                <w:szCs w:val="21"/>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和改革局</w:t>
            </w:r>
          </w:p>
        </w:tc>
        <w:tc>
          <w:tcPr>
            <w:tcW w:w="887" w:type="pct"/>
            <w:vAlign w:val="center"/>
          </w:tcPr>
          <w:p w14:paraId="5C7A419A">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项目审批</w:t>
            </w:r>
          </w:p>
          <w:p w14:paraId="59339E90">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（核准/备案）文号</w:t>
            </w:r>
          </w:p>
        </w:tc>
        <w:tc>
          <w:tcPr>
            <w:tcW w:w="2045" w:type="pct"/>
            <w:vAlign w:val="center"/>
          </w:tcPr>
          <w:p w14:paraId="2C56F08D">
            <w:pPr>
              <w:spacing w:line="360" w:lineRule="auto"/>
              <w:jc w:val="center"/>
              <w:rPr>
                <w:rFonts w:hint="default" w:ascii="Times New Roman" w:hAnsi="Times New Roman" w:eastAsia="宋体" w:cs="Times New Roman"/>
                <w:bCs/>
                <w:color w:val="000000" w:themeColor="text1"/>
                <w:sz w:val="24"/>
                <w:szCs w:val="20"/>
                <w:lang w:eastAsia="zh-CN"/>
                <w14:textFill>
                  <w14:solidFill>
                    <w14:schemeClr w14:val="tx1"/>
                  </w14:solidFill>
                </w14:textFill>
              </w:rPr>
            </w:pPr>
            <w:r>
              <w:rPr>
                <w:rFonts w:hint="default" w:ascii="Times New Roman" w:hAnsi="Times New Roman" w:eastAsia="宋体" w:cs="Times New Roman"/>
                <w:bCs/>
                <w:color w:val="000000" w:themeColor="text1"/>
                <w:sz w:val="24"/>
                <w:szCs w:val="20"/>
                <w:lang w:eastAsia="zh-CN"/>
                <w14:textFill>
                  <w14:solidFill>
                    <w14:schemeClr w14:val="tx1"/>
                  </w14:solidFill>
                </w14:textFill>
              </w:rPr>
              <w:t>泸发改[2023]348号</w:t>
            </w:r>
          </w:p>
        </w:tc>
      </w:tr>
      <w:tr w14:paraId="1FBE4E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968" w:type="pct"/>
            <w:gridSpan w:val="2"/>
            <w:tcMar>
              <w:top w:w="16" w:type="dxa"/>
              <w:left w:w="16" w:type="dxa"/>
              <w:right w:w="16" w:type="dxa"/>
            </w:tcMar>
            <w:vAlign w:val="center"/>
          </w:tcPr>
          <w:p w14:paraId="0EF9AF0F">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总投资</w:t>
            </w:r>
          </w:p>
          <w:p w14:paraId="1BBD9536">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（万元）</w:t>
            </w:r>
          </w:p>
        </w:tc>
        <w:tc>
          <w:tcPr>
            <w:tcW w:w="1100" w:type="pct"/>
            <w:vAlign w:val="center"/>
          </w:tcPr>
          <w:p w14:paraId="53120C63">
            <w:pPr>
              <w:spacing w:line="360" w:lineRule="auto"/>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eastAsia="zh-CN"/>
                <w14:textFill>
                  <w14:solidFill>
                    <w14:schemeClr w14:val="tx1"/>
                  </w14:solidFill>
                </w14:textFill>
              </w:rPr>
              <w:t>17</w:t>
            </w:r>
            <w:r>
              <w:rPr>
                <w:rFonts w:hint="eastAsia" w:ascii="Times New Roman" w:hAnsi="Times New Roman" w:cs="Times New Roman"/>
                <w:color w:val="000000" w:themeColor="text1"/>
                <w:sz w:val="24"/>
                <w:lang w:val="en-US" w:eastAsia="zh-CN"/>
                <w14:textFill>
                  <w14:solidFill>
                    <w14:schemeClr w14:val="tx1"/>
                  </w14:solidFill>
                </w14:textFill>
              </w:rPr>
              <w:t>87.64</w:t>
            </w:r>
          </w:p>
        </w:tc>
        <w:tc>
          <w:tcPr>
            <w:tcW w:w="887" w:type="pct"/>
            <w:tcMar>
              <w:top w:w="16" w:type="dxa"/>
              <w:left w:w="16" w:type="dxa"/>
              <w:right w:w="16" w:type="dxa"/>
            </w:tcMar>
            <w:vAlign w:val="center"/>
          </w:tcPr>
          <w:p w14:paraId="76720EA6">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环保投资</w:t>
            </w:r>
          </w:p>
          <w:p w14:paraId="10A8EA99">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（万元）</w:t>
            </w:r>
          </w:p>
        </w:tc>
        <w:tc>
          <w:tcPr>
            <w:tcW w:w="2045" w:type="pct"/>
            <w:vAlign w:val="center"/>
          </w:tcPr>
          <w:p w14:paraId="3B3C9F76">
            <w:pPr>
              <w:spacing w:line="360" w:lineRule="auto"/>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67</w:t>
            </w:r>
          </w:p>
        </w:tc>
      </w:tr>
      <w:tr w14:paraId="50221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968" w:type="pct"/>
            <w:gridSpan w:val="2"/>
            <w:tcMar>
              <w:top w:w="16" w:type="dxa"/>
              <w:left w:w="16" w:type="dxa"/>
              <w:right w:w="16" w:type="dxa"/>
            </w:tcMar>
            <w:vAlign w:val="center"/>
          </w:tcPr>
          <w:p w14:paraId="62CFCBE6">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环保投资占比（%）</w:t>
            </w:r>
          </w:p>
        </w:tc>
        <w:tc>
          <w:tcPr>
            <w:tcW w:w="1100" w:type="pct"/>
            <w:vAlign w:val="center"/>
          </w:tcPr>
          <w:p w14:paraId="58CE1929">
            <w:pPr>
              <w:spacing w:line="360" w:lineRule="auto"/>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5.31</w:t>
            </w:r>
          </w:p>
        </w:tc>
        <w:tc>
          <w:tcPr>
            <w:tcW w:w="887" w:type="pct"/>
            <w:tcMar>
              <w:top w:w="16" w:type="dxa"/>
              <w:left w:w="16" w:type="dxa"/>
              <w:right w:w="16" w:type="dxa"/>
            </w:tcMar>
            <w:vAlign w:val="center"/>
          </w:tcPr>
          <w:p w14:paraId="75A8153B">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施工工期</w:t>
            </w:r>
          </w:p>
        </w:tc>
        <w:tc>
          <w:tcPr>
            <w:tcW w:w="2045" w:type="pct"/>
            <w:vAlign w:val="center"/>
          </w:tcPr>
          <w:p w14:paraId="4C436262">
            <w:pPr>
              <w:spacing w:line="360" w:lineRule="auto"/>
              <w:jc w:val="center"/>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lang w:eastAsia="zh-CN"/>
                <w14:textFill>
                  <w14:solidFill>
                    <w14:schemeClr w14:val="tx1"/>
                  </w14:solidFill>
                </w14:textFill>
              </w:rPr>
              <w:t>8个月</w:t>
            </w:r>
          </w:p>
        </w:tc>
      </w:tr>
      <w:tr w14:paraId="524CAA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1386" w:hRule="atLeast"/>
        </w:trPr>
        <w:tc>
          <w:tcPr>
            <w:tcW w:w="968" w:type="pct"/>
            <w:gridSpan w:val="2"/>
            <w:tcMar>
              <w:top w:w="16" w:type="dxa"/>
              <w:left w:w="16" w:type="dxa"/>
              <w:right w:w="16" w:type="dxa"/>
            </w:tcMar>
            <w:vAlign w:val="center"/>
          </w:tcPr>
          <w:p w14:paraId="47D08212">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是否开工建设</w:t>
            </w:r>
          </w:p>
        </w:tc>
        <w:tc>
          <w:tcPr>
            <w:tcW w:w="1100" w:type="pct"/>
            <w:vAlign w:val="center"/>
          </w:tcPr>
          <w:p w14:paraId="251AB658">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√否</w:t>
            </w:r>
          </w:p>
          <w:p w14:paraId="0CD22497">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sym w:font="Wingdings 2" w:char="00A3"/>
            </w:r>
            <w:r>
              <w:rPr>
                <w:rFonts w:hint="default" w:ascii="Times New Roman" w:hAnsi="Times New Roman" w:eastAsia="宋体" w:cs="Times New Roman"/>
                <w:color w:val="000000" w:themeColor="text1"/>
                <w:sz w:val="24"/>
                <w14:textFill>
                  <w14:solidFill>
                    <w14:schemeClr w14:val="tx1"/>
                  </w14:solidFill>
                </w14:textFill>
              </w:rPr>
              <w:t>是</w:t>
            </w:r>
          </w:p>
        </w:tc>
        <w:tc>
          <w:tcPr>
            <w:tcW w:w="887" w:type="pct"/>
            <w:tcMar>
              <w:top w:w="16" w:type="dxa"/>
              <w:left w:w="16" w:type="dxa"/>
              <w:right w:w="16" w:type="dxa"/>
            </w:tcMar>
            <w:vAlign w:val="center"/>
          </w:tcPr>
          <w:p w14:paraId="74D2676E">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用地（用海）</w:t>
            </w:r>
          </w:p>
          <w:p w14:paraId="46D6D81A">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面积（m</w:t>
            </w:r>
            <w:r>
              <w:rPr>
                <w:rFonts w:hint="default" w:ascii="Times New Roman" w:hAnsi="Times New Roman" w:eastAsia="宋体" w:cs="Times New Roman"/>
                <w:b/>
                <w:color w:val="000000" w:themeColor="text1"/>
                <w:sz w:val="24"/>
                <w:vertAlign w:val="superscript"/>
                <w14:textFill>
                  <w14:solidFill>
                    <w14:schemeClr w14:val="tx1"/>
                  </w14:solidFill>
                </w14:textFill>
              </w:rPr>
              <w:t>2</w:t>
            </w:r>
            <w:r>
              <w:rPr>
                <w:rFonts w:hint="default" w:ascii="Times New Roman" w:hAnsi="Times New Roman" w:eastAsia="宋体" w:cs="Times New Roman"/>
                <w:b/>
                <w:color w:val="000000" w:themeColor="text1"/>
                <w:sz w:val="24"/>
                <w14:textFill>
                  <w14:solidFill>
                    <w14:schemeClr w14:val="tx1"/>
                  </w14:solidFill>
                </w14:textFill>
              </w:rPr>
              <w:t>）</w:t>
            </w:r>
          </w:p>
        </w:tc>
        <w:tc>
          <w:tcPr>
            <w:tcW w:w="2045" w:type="pct"/>
            <w:vAlign w:val="center"/>
          </w:tcPr>
          <w:p w14:paraId="3B2D4213">
            <w:pPr>
              <w:spacing w:line="360" w:lineRule="auto"/>
              <w:jc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永久用地</w:t>
            </w:r>
            <w:r>
              <w:rPr>
                <w:rFonts w:hint="eastAsia" w:ascii="Times New Roman" w:hAnsi="Times New Roman" w:cs="Times New Roman"/>
                <w:color w:val="000000" w:themeColor="text1"/>
                <w:sz w:val="24"/>
                <w:lang w:val="en-US" w:eastAsia="zh-CN"/>
                <w14:textFill>
                  <w14:solidFill>
                    <w14:schemeClr w14:val="tx1"/>
                  </w14:solidFill>
                </w14:textFill>
              </w:rPr>
              <w:t>263m</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4"/>
                <w:lang w:val="en-US" w:eastAsia="zh-CN"/>
                <w14:textFill>
                  <w14:solidFill>
                    <w14:schemeClr w14:val="tx1"/>
                  </w14:solidFill>
                </w14:textFill>
              </w:rPr>
              <w:t>；临时占地</w:t>
            </w:r>
            <w:r>
              <w:rPr>
                <w:rFonts w:hint="eastAsia" w:ascii="Times New Roman" w:hAnsi="Times New Roman" w:cs="Times New Roman"/>
                <w:color w:val="000000" w:themeColor="text1"/>
                <w:sz w:val="24"/>
                <w:lang w:val="en-US" w:eastAsia="zh-CN"/>
                <w14:textFill>
                  <w14:solidFill>
                    <w14:schemeClr w14:val="tx1"/>
                  </w14:solidFill>
                </w14:textFill>
              </w:rPr>
              <w:t>8546m</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2</w:t>
            </w:r>
          </w:p>
        </w:tc>
      </w:tr>
      <w:tr w14:paraId="5FD25F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280" w:hRule="atLeast"/>
        </w:trPr>
        <w:tc>
          <w:tcPr>
            <w:tcW w:w="402" w:type="pct"/>
            <w:vAlign w:val="center"/>
          </w:tcPr>
          <w:p w14:paraId="62386A72">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专项评价</w:t>
            </w:r>
          </w:p>
          <w:p w14:paraId="2958753A">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设置情况</w:t>
            </w:r>
          </w:p>
        </w:tc>
        <w:tc>
          <w:tcPr>
            <w:tcW w:w="4598" w:type="pct"/>
            <w:gridSpan w:val="4"/>
            <w:vAlign w:val="center"/>
          </w:tcPr>
          <w:p w14:paraId="5A40C65A">
            <w:pPr>
              <w:spacing w:line="360" w:lineRule="auto"/>
              <w:ind w:firstLine="480" w:firstLineChars="200"/>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根据《建设项目环境影响报告表编制技术指南（污染影响类）（试行）》表1要求及</w:t>
            </w:r>
            <w:r>
              <w:rPr>
                <w:rFonts w:hint="default" w:ascii="Times New Roman" w:hAnsi="Times New Roman" w:eastAsia="宋体" w:cs="Times New Roman"/>
                <w:color w:val="000000" w:themeColor="text1"/>
                <w:kern w:val="0"/>
                <w:sz w:val="24"/>
                <w14:textFill>
                  <w14:solidFill>
                    <w14:schemeClr w14:val="tx1"/>
                  </w14:solidFill>
                </w14:textFill>
              </w:rPr>
              <w:t>建设项目排污情况及所涉环境敏感程度</w:t>
            </w:r>
            <w:r>
              <w:rPr>
                <w:rFonts w:hint="default" w:ascii="Times New Roman" w:hAnsi="Times New Roman" w:eastAsia="宋体" w:cs="Times New Roman"/>
                <w:color w:val="000000" w:themeColor="text1"/>
                <w:sz w:val="24"/>
                <w14:textFill>
                  <w14:solidFill>
                    <w14:schemeClr w14:val="tx1"/>
                  </w14:solidFill>
                </w14:textFill>
              </w:rPr>
              <w:t>，专项评价设置情况见下表。</w:t>
            </w:r>
          </w:p>
          <w:p w14:paraId="30F5621E">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专项评价设置原则表</w:t>
            </w:r>
          </w:p>
          <w:tbl>
            <w:tblPr>
              <w:tblStyle w:val="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84"/>
              <w:gridCol w:w="3496"/>
              <w:gridCol w:w="3755"/>
            </w:tblGrid>
            <w:tr w14:paraId="2F8B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31" w:type="pct"/>
                  <w:vAlign w:val="center"/>
                </w:tcPr>
                <w:p w14:paraId="50C1D49E">
                  <w:pPr>
                    <w:spacing w:line="276"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专项评价</w:t>
                  </w:r>
                </w:p>
              </w:tc>
              <w:tc>
                <w:tcPr>
                  <w:tcW w:w="2203" w:type="pct"/>
                  <w:vAlign w:val="center"/>
                </w:tcPr>
                <w:p w14:paraId="37068252">
                  <w:pPr>
                    <w:spacing w:line="276"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涉及项目类别</w:t>
                  </w:r>
                </w:p>
              </w:tc>
              <w:tc>
                <w:tcPr>
                  <w:tcW w:w="2366" w:type="pct"/>
                  <w:vAlign w:val="center"/>
                </w:tcPr>
                <w:p w14:paraId="0FC2643A">
                  <w:pPr>
                    <w:spacing w:line="276"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本项目</w:t>
                  </w:r>
                </w:p>
              </w:tc>
            </w:tr>
            <w:tr w14:paraId="18A3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31" w:type="pct"/>
                  <w:vAlign w:val="center"/>
                </w:tcPr>
                <w:p w14:paraId="1CE353AA">
                  <w:pPr>
                    <w:spacing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大气</w:t>
                  </w:r>
                </w:p>
              </w:tc>
              <w:tc>
                <w:tcPr>
                  <w:tcW w:w="2203" w:type="pct"/>
                  <w:vAlign w:val="center"/>
                </w:tcPr>
                <w:p w14:paraId="580D6996">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排放废气含有毒有害污染物</w:t>
                  </w:r>
                  <w:r>
                    <w:rPr>
                      <w:rFonts w:hint="default" w:ascii="Times New Roman" w:hAnsi="Times New Roman" w:eastAsia="宋体" w:cs="Times New Roman"/>
                      <w:color w:val="000000" w:themeColor="text1"/>
                      <w:kern w:val="0"/>
                      <w:szCs w:val="21"/>
                      <w:vertAlign w:val="superscript"/>
                      <w14:textFill>
                        <w14:solidFill>
                          <w14:schemeClr w14:val="tx1"/>
                        </w14:solidFill>
                      </w14:textFill>
                    </w:rPr>
                    <w:t>1</w:t>
                  </w:r>
                  <w:r>
                    <w:rPr>
                      <w:rFonts w:hint="default" w:ascii="Times New Roman" w:hAnsi="Times New Roman" w:eastAsia="宋体" w:cs="Times New Roman"/>
                      <w:color w:val="000000" w:themeColor="text1"/>
                      <w:kern w:val="0"/>
                      <w:szCs w:val="21"/>
                      <w14:textFill>
                        <w14:solidFill>
                          <w14:schemeClr w14:val="tx1"/>
                        </w14:solidFill>
                      </w14:textFill>
                    </w:rPr>
                    <w:t>、二噁英、苯并〔α〕芘、氰化物、氯气且厂界外500m范围内有环境空气敏感目标</w:t>
                  </w:r>
                  <w:r>
                    <w:rPr>
                      <w:rFonts w:hint="default" w:ascii="Times New Roman" w:hAnsi="Times New Roman" w:eastAsia="宋体" w:cs="Times New Roman"/>
                      <w:color w:val="000000" w:themeColor="text1"/>
                      <w:kern w:val="0"/>
                      <w:szCs w:val="21"/>
                      <w:vertAlign w:val="superscript"/>
                      <w14:textFill>
                        <w14:solidFill>
                          <w14:schemeClr w14:val="tx1"/>
                        </w14:solidFill>
                      </w14:textFill>
                    </w:rPr>
                    <w:t>2</w:t>
                  </w:r>
                  <w:r>
                    <w:rPr>
                      <w:rFonts w:hint="default" w:ascii="Times New Roman" w:hAnsi="Times New Roman" w:eastAsia="宋体" w:cs="Times New Roman"/>
                      <w:color w:val="000000" w:themeColor="text1"/>
                      <w:kern w:val="0"/>
                      <w:szCs w:val="21"/>
                      <w14:textFill>
                        <w14:solidFill>
                          <w14:schemeClr w14:val="tx1"/>
                        </w14:solidFill>
                      </w14:textFill>
                    </w:rPr>
                    <w:t>的建设项目。</w:t>
                  </w:r>
                </w:p>
              </w:tc>
              <w:tc>
                <w:tcPr>
                  <w:tcW w:w="2366" w:type="pct"/>
                  <w:vAlign w:val="center"/>
                </w:tcPr>
                <w:p w14:paraId="15988E9D">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本项目外排废气中不涉及二噁英、苯并〔α〕芘、氰化物、氯气及有毒有害污染物，因此项目不涉及大气专项评价。</w:t>
                  </w:r>
                </w:p>
              </w:tc>
            </w:tr>
            <w:tr w14:paraId="32D6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31" w:type="pct"/>
                  <w:vAlign w:val="center"/>
                </w:tcPr>
                <w:p w14:paraId="61A80A8F">
                  <w:pPr>
                    <w:spacing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地表水</w:t>
                  </w:r>
                </w:p>
              </w:tc>
              <w:tc>
                <w:tcPr>
                  <w:tcW w:w="2203" w:type="pct"/>
                  <w:vAlign w:val="center"/>
                </w:tcPr>
                <w:p w14:paraId="06A9FBDA">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新增工业废水直排建设项目（槽罐车外送污水处理厂的除外）；废水直排的污水集中处理厂。</w:t>
                  </w:r>
                </w:p>
              </w:tc>
              <w:tc>
                <w:tcPr>
                  <w:tcW w:w="2366" w:type="pct"/>
                  <w:vAlign w:val="center"/>
                </w:tcPr>
                <w:p w14:paraId="422F7CE3">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本项目不属于污水集中处理厂；项目</w:t>
                  </w:r>
                  <w:r>
                    <w:rPr>
                      <w:rFonts w:hint="eastAsia" w:ascii="Times New Roman" w:hAnsi="Times New Roman" w:cs="Times New Roman"/>
                      <w:color w:val="000000" w:themeColor="text1"/>
                      <w:kern w:val="0"/>
                      <w:szCs w:val="21"/>
                      <w:lang w:val="en-US" w:eastAsia="zh-CN"/>
                      <w14:textFill>
                        <w14:solidFill>
                          <w14:schemeClr w14:val="tx1"/>
                        </w14:solidFill>
                      </w14:textFill>
                    </w:rPr>
                    <w:t>无生产废水产生，</w:t>
                  </w:r>
                  <w:r>
                    <w:rPr>
                      <w:rFonts w:hint="default" w:ascii="Times New Roman" w:hAnsi="Times New Roman" w:eastAsia="宋体" w:cs="Times New Roman"/>
                      <w:color w:val="000000" w:themeColor="text1"/>
                      <w:kern w:val="0"/>
                      <w:szCs w:val="21"/>
                      <w14:textFill>
                        <w14:solidFill>
                          <w14:schemeClr w14:val="tx1"/>
                        </w14:solidFill>
                      </w14:textFill>
                    </w:rPr>
                    <w:t>不涉及工业废水直排。因此不涉及地表水专项评价。</w:t>
                  </w:r>
                </w:p>
              </w:tc>
            </w:tr>
            <w:tr w14:paraId="2CD9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5" w:hRule="atLeast"/>
              </w:trPr>
              <w:tc>
                <w:tcPr>
                  <w:tcW w:w="431" w:type="pct"/>
                  <w:vAlign w:val="center"/>
                </w:tcPr>
                <w:p w14:paraId="7A7A1D69">
                  <w:pPr>
                    <w:spacing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环境风险</w:t>
                  </w:r>
                </w:p>
              </w:tc>
              <w:tc>
                <w:tcPr>
                  <w:tcW w:w="2203" w:type="pct"/>
                  <w:vAlign w:val="center"/>
                </w:tcPr>
                <w:p w14:paraId="39C7328A">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易燃易爆、有毒有害物质存储量</w:t>
                  </w:r>
                  <w:r>
                    <w:rPr>
                      <w:rFonts w:hint="default" w:ascii="Times New Roman" w:hAnsi="Times New Roman" w:eastAsia="宋体" w:cs="Times New Roman"/>
                      <w:color w:val="000000" w:themeColor="text1"/>
                      <w:kern w:val="0"/>
                      <w:szCs w:val="21"/>
                      <w:vertAlign w:val="superscript"/>
                      <w14:textFill>
                        <w14:solidFill>
                          <w14:schemeClr w14:val="tx1"/>
                        </w14:solidFill>
                      </w14:textFill>
                    </w:rPr>
                    <w:t>3</w:t>
                  </w:r>
                  <w:r>
                    <w:rPr>
                      <w:rFonts w:hint="default" w:ascii="Times New Roman" w:hAnsi="Times New Roman" w:eastAsia="宋体" w:cs="Times New Roman"/>
                      <w:color w:val="000000" w:themeColor="text1"/>
                      <w:kern w:val="0"/>
                      <w:szCs w:val="21"/>
                      <w14:textFill>
                        <w14:solidFill>
                          <w14:schemeClr w14:val="tx1"/>
                        </w14:solidFill>
                      </w14:textFill>
                    </w:rPr>
                    <w:t>超过临界量的。</w:t>
                  </w:r>
                </w:p>
              </w:tc>
              <w:tc>
                <w:tcPr>
                  <w:tcW w:w="2366" w:type="pct"/>
                  <w:vAlign w:val="center"/>
                </w:tcPr>
                <w:p w14:paraId="29EAB977">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本项目</w:t>
                  </w:r>
                  <w:r>
                    <w:rPr>
                      <w:rFonts w:hint="eastAsia" w:ascii="Times New Roman" w:hAnsi="Times New Roman" w:cs="Times New Roman"/>
                      <w:color w:val="000000" w:themeColor="text1"/>
                      <w:kern w:val="0"/>
                      <w:szCs w:val="21"/>
                      <w:lang w:val="en-US" w:eastAsia="zh-CN"/>
                      <w14:textFill>
                        <w14:solidFill>
                          <w14:schemeClr w14:val="tx1"/>
                        </w14:solidFill>
                      </w14:textFill>
                    </w:rPr>
                    <w:t>运营期不涉及储存</w:t>
                  </w:r>
                  <w:r>
                    <w:rPr>
                      <w:rFonts w:hint="default" w:ascii="Times New Roman" w:hAnsi="Times New Roman" w:eastAsia="宋体" w:cs="Times New Roman"/>
                      <w:color w:val="000000" w:themeColor="text1"/>
                      <w:kern w:val="0"/>
                      <w:szCs w:val="21"/>
                      <w14:textFill>
                        <w14:solidFill>
                          <w14:schemeClr w14:val="tx1"/>
                        </w14:solidFill>
                      </w14:textFill>
                    </w:rPr>
                    <w:t>易燃易爆、有毒有害物质</w:t>
                  </w:r>
                  <w:r>
                    <w:rPr>
                      <w:rFonts w:hint="eastAsia" w:ascii="Times New Roman" w:hAnsi="Times New Roman" w:cs="Times New Roman"/>
                      <w:color w:val="000000" w:themeColor="text1"/>
                      <w:kern w:val="0"/>
                      <w:szCs w:val="21"/>
                      <w:lang w:eastAsia="zh-CN"/>
                      <w14:textFill>
                        <w14:solidFill>
                          <w14:schemeClr w14:val="tx1"/>
                        </w14:solidFill>
                      </w14:textFill>
                    </w:rPr>
                    <w:t>，</w:t>
                  </w:r>
                  <w:r>
                    <w:rPr>
                      <w:rFonts w:hint="eastAsia" w:ascii="Times New Roman" w:hAnsi="Times New Roman" w:cs="Times New Roman"/>
                      <w:color w:val="000000" w:themeColor="text1"/>
                      <w:kern w:val="0"/>
                      <w:szCs w:val="21"/>
                      <w:lang w:val="en-US" w:eastAsia="zh-CN"/>
                      <w14:textFill>
                        <w14:solidFill>
                          <w14:schemeClr w14:val="tx1"/>
                        </w14:solidFill>
                      </w14:textFill>
                    </w:rPr>
                    <w:t>Q=0</w:t>
                  </w:r>
                  <w:r>
                    <w:rPr>
                      <w:rFonts w:hint="default" w:ascii="Times New Roman" w:hAnsi="Times New Roman" w:eastAsia="宋体" w:cs="Times New Roman"/>
                      <w:color w:val="000000" w:themeColor="text1"/>
                      <w:kern w:val="0"/>
                      <w:szCs w:val="21"/>
                      <w14:textFill>
                        <w14:solidFill>
                          <w14:schemeClr w14:val="tx1"/>
                        </w14:solidFill>
                      </w14:textFill>
                    </w:rPr>
                    <w:t>。</w:t>
                  </w:r>
                </w:p>
              </w:tc>
            </w:tr>
            <w:tr w14:paraId="7E85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31" w:type="pct"/>
                  <w:vAlign w:val="center"/>
                </w:tcPr>
                <w:p w14:paraId="3DC77B72">
                  <w:pPr>
                    <w:spacing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生态</w:t>
                  </w:r>
                </w:p>
              </w:tc>
              <w:tc>
                <w:tcPr>
                  <w:tcW w:w="2203" w:type="pct"/>
                  <w:vAlign w:val="center"/>
                </w:tcPr>
                <w:p w14:paraId="28D791BE">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bookmarkStart w:id="2" w:name="_Hlk211434023"/>
                  <w:r>
                    <w:rPr>
                      <w:rFonts w:hint="default" w:ascii="Times New Roman" w:hAnsi="Times New Roman" w:eastAsia="宋体" w:cs="Times New Roman"/>
                      <w:color w:val="000000" w:themeColor="text1"/>
                      <w:kern w:val="0"/>
                      <w:szCs w:val="21"/>
                      <w14:textFill>
                        <w14:solidFill>
                          <w14:schemeClr w14:val="tx1"/>
                        </w14:solidFill>
                      </w14:textFill>
                    </w:rPr>
                    <w:t>取水口下游500m范围内有重要水生生物的自然卵场、索饵场、越冬场和洄游通道的新增河道取水项目。</w:t>
                  </w:r>
                  <w:bookmarkEnd w:id="2"/>
                </w:p>
              </w:tc>
              <w:tc>
                <w:tcPr>
                  <w:tcW w:w="2366" w:type="pct"/>
                  <w:vAlign w:val="center"/>
                </w:tcPr>
                <w:p w14:paraId="768DF6D5">
                  <w:pPr>
                    <w:rPr>
                      <w:rFonts w:hint="default" w:ascii="Times New Roman" w:hAnsi="Times New Roman" w:eastAsia="宋体" w:cs="Times New Roman"/>
                      <w:color w:val="000000" w:themeColor="text1"/>
                      <w:kern w:val="0"/>
                      <w:szCs w:val="21"/>
                      <w:highlight w:val="yellow"/>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根据泸定县农牧农村和科技局关于回复《泸定县住房和城乡建设局关于核实泸定县城区自来水厂备用水源取水工程新建项目取水囗下游500m范围内是否涉及重要水生生物自然产卵场，索佴场，越冬场和洄游通道》的函，</w:t>
                  </w:r>
                  <w:r>
                    <w:rPr>
                      <w:rFonts w:hint="default" w:ascii="Times New Roman" w:hAnsi="Times New Roman" w:eastAsia="宋体" w:cs="Times New Roman"/>
                      <w:color w:val="000000" w:themeColor="text1"/>
                      <w:kern w:val="0"/>
                      <w:szCs w:val="21"/>
                      <w14:textFill>
                        <w14:solidFill>
                          <w14:schemeClr w14:val="tx1"/>
                        </w14:solidFill>
                      </w14:textFill>
                    </w:rPr>
                    <w:t>本项目取水口下游500m范围内</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没</w:t>
                  </w:r>
                  <w:r>
                    <w:rPr>
                      <w:rFonts w:hint="default" w:ascii="Times New Roman" w:hAnsi="Times New Roman" w:eastAsia="宋体" w:cs="Times New Roman"/>
                      <w:color w:val="000000" w:themeColor="text1"/>
                      <w:kern w:val="0"/>
                      <w:szCs w:val="21"/>
                      <w14:textFill>
                        <w14:solidFill>
                          <w14:schemeClr w14:val="tx1"/>
                        </w14:solidFill>
                      </w14:textFill>
                    </w:rPr>
                    <w:t>有重要水生生物的自然卵场、索饵场、越冬场和洄游通道</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分布</w:t>
                  </w:r>
                  <w:r>
                    <w:rPr>
                      <w:rFonts w:hint="default" w:ascii="Times New Roman" w:hAnsi="Times New Roman" w:eastAsia="宋体" w:cs="Times New Roman"/>
                      <w:color w:val="000000" w:themeColor="text1"/>
                      <w:kern w:val="0"/>
                      <w:szCs w:val="21"/>
                      <w14:textFill>
                        <w14:solidFill>
                          <w14:schemeClr w14:val="tx1"/>
                        </w14:solidFill>
                      </w14:textFill>
                    </w:rPr>
                    <w:t>。因此不涉及生态专项评价。</w:t>
                  </w:r>
                </w:p>
              </w:tc>
            </w:tr>
            <w:tr w14:paraId="0793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31" w:type="pct"/>
                  <w:vAlign w:val="center"/>
                </w:tcPr>
                <w:p w14:paraId="6AD0C928">
                  <w:pPr>
                    <w:spacing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海洋</w:t>
                  </w:r>
                </w:p>
              </w:tc>
              <w:tc>
                <w:tcPr>
                  <w:tcW w:w="2203" w:type="pct"/>
                  <w:vAlign w:val="center"/>
                </w:tcPr>
                <w:p w14:paraId="66C1E9F5">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污染物向海洋排放点1公里范围内有海洋生态环境敏感目标的。</w:t>
                  </w:r>
                </w:p>
              </w:tc>
              <w:tc>
                <w:tcPr>
                  <w:tcW w:w="2366" w:type="pct"/>
                  <w:vAlign w:val="center"/>
                </w:tcPr>
                <w:p w14:paraId="38394188">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本项目不涉及海洋生态环境敏感目标，因此不涉及海洋专项评价。</w:t>
                  </w:r>
                </w:p>
              </w:tc>
            </w:tr>
            <w:tr w14:paraId="7CFE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5000" w:type="pct"/>
                  <w:gridSpan w:val="3"/>
                  <w:vAlign w:val="center"/>
                </w:tcPr>
                <w:p w14:paraId="4E90D269">
                  <w:pPr>
                    <w:spacing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注：1.废气中有毒有害污染物指纳入《有毒有害大气污染物名录》的污染物（不包括无排放标准的污染物）。</w:t>
                  </w:r>
                </w:p>
                <w:p w14:paraId="24E4E874">
                  <w:pPr>
                    <w:spacing w:line="276" w:lineRule="auto"/>
                    <w:ind w:firstLine="420" w:firstLineChars="200"/>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2.环境空气保护目标指自然保护区、风景名胜区、居住区、文化区和农村地区中人群较集中的区域。</w:t>
                  </w:r>
                </w:p>
                <w:p w14:paraId="7CB6699A">
                  <w:pPr>
                    <w:spacing w:line="276" w:lineRule="auto"/>
                    <w:ind w:firstLine="420" w:firstLineChars="200"/>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3.临界量及其计算方法可参考《建设项目环境风险评价技术导则》（HJ169）附录B、附录C。</w:t>
                  </w:r>
                </w:p>
              </w:tc>
            </w:tr>
          </w:tbl>
          <w:p w14:paraId="3F05E296">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此外，本项目土壤、声环境不开展专项评价；项目不涉及</w:t>
            </w:r>
            <w:r>
              <w:rPr>
                <w:rFonts w:hint="eastAsia" w:ascii="Times New Roman" w:hAnsi="Times New Roman" w:cs="Times New Roman"/>
                <w:color w:val="000000" w:themeColor="text1"/>
                <w:sz w:val="24"/>
                <w:lang w:val="en-US" w:eastAsia="zh-CN"/>
                <w14:textFill>
                  <w14:solidFill>
                    <w14:schemeClr w14:val="tx1"/>
                  </w14:solidFill>
                </w14:textFill>
              </w:rPr>
              <w:t>地下</w:t>
            </w:r>
            <w:r>
              <w:rPr>
                <w:rFonts w:hint="default" w:ascii="Times New Roman" w:hAnsi="Times New Roman" w:eastAsia="宋体" w:cs="Times New Roman"/>
                <w:color w:val="000000" w:themeColor="text1"/>
                <w:sz w:val="24"/>
                <w14:textFill>
                  <w14:solidFill>
                    <w14:schemeClr w14:val="tx1"/>
                  </w14:solidFill>
                </w14:textFill>
              </w:rPr>
              <w:t>集中式饮用水水源和热水、矿泉水、温泉等特殊地下水资源保护区，不开展地下水专项评价。</w:t>
            </w:r>
          </w:p>
        </w:tc>
      </w:tr>
      <w:tr w14:paraId="528A75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96" w:hRule="atLeast"/>
        </w:trPr>
        <w:tc>
          <w:tcPr>
            <w:tcW w:w="402" w:type="pct"/>
            <w:vAlign w:val="center"/>
          </w:tcPr>
          <w:p w14:paraId="24B79D62">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规划情况</w:t>
            </w:r>
          </w:p>
        </w:tc>
        <w:tc>
          <w:tcPr>
            <w:tcW w:w="8121" w:type="dxa"/>
            <w:gridSpan w:val="4"/>
            <w:vAlign w:val="center"/>
          </w:tcPr>
          <w:p w14:paraId="78799E0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1、规划名称：</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《岷江流域综合规划》；</w:t>
            </w:r>
          </w:p>
          <w:p w14:paraId="7D21DA0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审批机关：</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中华人民共和国水利部；</w:t>
            </w:r>
          </w:p>
          <w:p w14:paraId="2A6B7F4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审批文件及文号：</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水规计[2021]287号。</w:t>
            </w:r>
          </w:p>
          <w:p w14:paraId="721D80E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482" w:firstLineChars="200"/>
              <w:jc w:val="both"/>
              <w:textAlignment w:val="auto"/>
              <w:rPr>
                <w:rFonts w:hint="default" w:ascii="Times New Roman" w:hAnsi="Times New Roman" w:eastAsia="宋体" w:cs="Times New Roman"/>
                <w:iCs/>
                <w:color w:val="000000" w:themeColor="text1"/>
                <w:sz w:val="24"/>
                <w:szCs w:val="20"/>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2、规划名称：</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《泸定县国土空间总体规划》（2021~2035年）</w:t>
            </w:r>
          </w:p>
        </w:tc>
      </w:tr>
      <w:tr w14:paraId="5457B9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402" w:type="pct"/>
            <w:vAlign w:val="center"/>
          </w:tcPr>
          <w:p w14:paraId="24D4E3B4">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规划环境影响评价情况</w:t>
            </w:r>
          </w:p>
        </w:tc>
        <w:tc>
          <w:tcPr>
            <w:tcW w:w="8121" w:type="dxa"/>
            <w:gridSpan w:val="4"/>
            <w:vAlign w:val="center"/>
          </w:tcPr>
          <w:p w14:paraId="050E4B5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规划环评名称：</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《岷江流域综合规划环境影响报告书》；</w:t>
            </w:r>
          </w:p>
          <w:p w14:paraId="7F1FE4B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审查机关：</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中华人民共和国</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生态环境部；</w:t>
            </w:r>
          </w:p>
          <w:p w14:paraId="7D00242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482" w:firstLineChars="200"/>
              <w:jc w:val="both"/>
              <w:textAlignment w:val="auto"/>
              <w:rPr>
                <w:rFonts w:hint="default" w:ascii="Times New Roman" w:hAnsi="Times New Roman" w:eastAsia="宋体" w:cs="Times New Roman"/>
                <w:iCs/>
                <w:color w:val="000000" w:themeColor="text1"/>
                <w:sz w:val="24"/>
                <w:szCs w:val="20"/>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审查文件及文号：</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《关于岷江流域综合规划环境影响报告书的审查意见》（环审[2020]126号）</w:t>
            </w:r>
          </w:p>
        </w:tc>
      </w:tr>
      <w:tr w14:paraId="28ED96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402" w:type="pct"/>
            <w:vAlign w:val="center"/>
          </w:tcPr>
          <w:p w14:paraId="447CA68E">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规划及规划环境影响评价符合性分析</w:t>
            </w:r>
          </w:p>
        </w:tc>
        <w:tc>
          <w:tcPr>
            <w:tcW w:w="4598" w:type="pct"/>
            <w:gridSpan w:val="4"/>
            <w:vAlign w:val="center"/>
          </w:tcPr>
          <w:p w14:paraId="6F25607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1、与《岷江流域综合规划》的符合性分析</w:t>
            </w:r>
          </w:p>
          <w:p w14:paraId="3CBC774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2021年，水利部以水规计[2021]287号文批复了《岷江流域综合规划》。规划提出：</w:t>
            </w:r>
            <w:r>
              <w:rPr>
                <w:rFonts w:hint="default" w:ascii="Times New Roman" w:hAnsi="Times New Roman" w:eastAsia="宋体" w:cs="Times New Roman"/>
                <w:color w:val="000000" w:themeColor="text1"/>
                <w:sz w:val="24"/>
                <w:szCs w:val="24"/>
                <w14:textFill>
                  <w14:solidFill>
                    <w14:schemeClr w14:val="tx1"/>
                  </w14:solidFill>
                </w14:textFill>
              </w:rPr>
              <w:t>规划范围为岷江流域，规划重点为岷江干流和大渡河、青衣江等主要支流，规划水平年为2030年。《规划》主要包括水资源综合利用、防洪减灾、水资源与水生态环境保护等专项规划。防洪减灾规划提出，岷江、大渡河、青衣江干流新建防洪堤350.68公里，规划建设十里铺、双江口、下尔呷、上寨等大型防洪水库。全面建设节水型社会，优化配置与综合利用水资源，提高防洪减灾能力，加强水土保持与水生态保护，强化流域综合管理，保障流域和区域水安全</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w:t>
            </w:r>
          </w:p>
          <w:p w14:paraId="6631443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本项目为供水工程，本项目水资源论证已取得批复，根据结论，本项目水资源开发利用合理。本项目实施可以</w:t>
            </w:r>
            <w:r>
              <w:rPr>
                <w:rFonts w:hint="default" w:ascii="Times New Roman" w:hAnsi="Times New Roman" w:eastAsia="宋体" w:cs="Times New Roman"/>
                <w:color w:val="000000" w:themeColor="text1"/>
                <w:sz w:val="24"/>
                <w:szCs w:val="24"/>
                <w14:textFill>
                  <w14:solidFill>
                    <w14:schemeClr w14:val="tx1"/>
                  </w14:solidFill>
                </w14:textFill>
              </w:rPr>
              <w:t>优化配置与综合利用水资源</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，因此与《岷江流域综合规划》相符。</w:t>
            </w:r>
          </w:p>
          <w:p w14:paraId="6005E15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4"/>
                <w:szCs w:val="24"/>
                <w:highlight w:val="none"/>
                <w:lang w:val="en-US" w:eastAsia="zh-CN"/>
                <w14:textFill>
                  <w14:solidFill>
                    <w14:schemeClr w14:val="tx1"/>
                  </w14:solidFill>
                </w14:textFill>
              </w:rPr>
              <w:t>2、与《岷江流域综合规划环境影响报告书》及其审查意见的符合性分析</w:t>
            </w:r>
          </w:p>
          <w:p w14:paraId="3EC94F0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bCs/>
                <w:color w:val="000000" w:themeColor="text1"/>
                <w:kern w:val="0"/>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本项目涉及河流为五里沟、大渡河，属于岷江支流，根据《关于岷江流域综合规划环境影响报告书的审查意见》（环审[2020]126号），符合性分析详见下表。</w:t>
            </w:r>
          </w:p>
          <w:p w14:paraId="6A55156F">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与（环审[2020]126号）符合性分析一览表</w:t>
            </w:r>
          </w:p>
          <w:tbl>
            <w:tblPr>
              <w:tblStyle w:val="56"/>
              <w:tblW w:w="7942" w:type="dxa"/>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775"/>
              <w:gridCol w:w="4096"/>
              <w:gridCol w:w="2280"/>
              <w:gridCol w:w="791"/>
            </w:tblGrid>
            <w:tr w14:paraId="18CA1DB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75" w:hRule="atLeast"/>
                <w:jc w:val="center"/>
              </w:trPr>
              <w:tc>
                <w:tcPr>
                  <w:tcW w:w="487" w:type="pct"/>
                  <w:tcBorders>
                    <w:top w:val="single" w:color="auto" w:sz="4" w:space="0"/>
                    <w:left w:val="single" w:color="auto" w:sz="0" w:space="0"/>
                    <w:bottom w:val="single" w:color="auto" w:sz="4" w:space="0"/>
                    <w:right w:val="single" w:color="auto" w:sz="4" w:space="0"/>
                  </w:tcBorders>
                  <w:shd w:val="clear" w:color="auto" w:fill="DCE6F2"/>
                  <w:noWrap w:val="0"/>
                  <w:vAlign w:val="center"/>
                </w:tcPr>
                <w:p w14:paraId="1A570E6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序号</w:t>
                  </w:r>
                </w:p>
              </w:tc>
              <w:tc>
                <w:tcPr>
                  <w:tcW w:w="2578"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784C7D2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审查意见要求</w:t>
                  </w:r>
                </w:p>
              </w:tc>
              <w:tc>
                <w:tcPr>
                  <w:tcW w:w="1435"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3413A01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本项目情况</w:t>
                  </w:r>
                </w:p>
              </w:tc>
              <w:tc>
                <w:tcPr>
                  <w:tcW w:w="497"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493B53F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符合性</w:t>
                  </w:r>
                </w:p>
              </w:tc>
            </w:tr>
            <w:tr w14:paraId="20E16A8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487" w:type="pct"/>
                  <w:tcBorders>
                    <w:top w:val="single" w:color="auto" w:sz="4" w:space="0"/>
                    <w:left w:val="single" w:color="auto" w:sz="4" w:space="0"/>
                    <w:bottom w:val="single" w:color="auto" w:sz="4" w:space="0"/>
                    <w:right w:val="single" w:color="auto" w:sz="4" w:space="0"/>
                  </w:tcBorders>
                  <w:noWrap w:val="0"/>
                  <w:vAlign w:val="center"/>
                </w:tcPr>
                <w:p w14:paraId="5CCF4B4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1</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5285C83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坚持生态优先，绿色发展的理念。加强流域整体性保护，充分与四川、青海“三线一单”成果相衔接，从维护流域生态安全屏障和生态功能、格局稳定角度，加强生态空间保护，推进流域生态环境整体性修复，强化流域世界遗产地、珍稀特有鱼类栖息地等重要生态环境敏感区及文物保护单位的保护要求，将生态环境保护与修复作为《规划》的优先任务，作为《规划》实施的硬约束，纳入相关河湖长履职情况督察、考核重要内容</w:t>
                  </w:r>
                </w:p>
              </w:tc>
              <w:tc>
                <w:tcPr>
                  <w:tcW w:w="1435" w:type="pct"/>
                  <w:tcBorders>
                    <w:top w:val="single" w:color="auto" w:sz="4" w:space="0"/>
                    <w:left w:val="single" w:color="auto" w:sz="4" w:space="0"/>
                    <w:bottom w:val="single" w:color="auto" w:sz="4" w:space="0"/>
                    <w:right w:val="single" w:color="auto" w:sz="4" w:space="0"/>
                  </w:tcBorders>
                  <w:noWrap w:val="0"/>
                  <w:vAlign w:val="center"/>
                </w:tcPr>
                <w:p w14:paraId="6C8EB77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根据查询及分析，本项目与四川生态环境管控单元相符；本项目符合规划要求</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309A023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12227C4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487" w:type="pct"/>
                  <w:tcBorders>
                    <w:top w:val="single" w:color="auto" w:sz="4" w:space="0"/>
                    <w:left w:val="single" w:color="auto" w:sz="4" w:space="0"/>
                    <w:bottom w:val="single" w:color="auto" w:sz="4" w:space="0"/>
                    <w:right w:val="single" w:color="auto" w:sz="4" w:space="0"/>
                  </w:tcBorders>
                  <w:noWrap w:val="0"/>
                  <w:vAlign w:val="center"/>
                </w:tcPr>
                <w:p w14:paraId="141FA8E6">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2</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715C6DF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加强流域干支流生态环境保护与修复，严守生态保护红线、严控流域及重点河段污染物总量，严格生态环境准入要求，优化规划各开发任务，切实维护流域生物多样性保护、水源涵养等重要功能，确保流域生态安全</w:t>
                  </w:r>
                </w:p>
              </w:tc>
              <w:tc>
                <w:tcPr>
                  <w:tcW w:w="1435" w:type="pct"/>
                  <w:tcBorders>
                    <w:top w:val="single" w:color="auto" w:sz="4" w:space="0"/>
                    <w:left w:val="single" w:color="auto" w:sz="4" w:space="0"/>
                    <w:bottom w:val="single" w:color="auto" w:sz="4" w:space="0"/>
                    <w:right w:val="single" w:color="auto" w:sz="4" w:space="0"/>
                  </w:tcBorders>
                  <w:noWrap w:val="0"/>
                  <w:vAlign w:val="center"/>
                </w:tcPr>
                <w:p w14:paraId="08982A1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本项目为污染影响型建设项目，且本项目不涉及生态红线</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1382261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02A7888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487" w:type="pct"/>
                  <w:tcBorders>
                    <w:top w:val="single" w:color="auto" w:sz="4" w:space="0"/>
                    <w:left w:val="single" w:color="auto" w:sz="4" w:space="0"/>
                    <w:bottom w:val="single" w:color="auto" w:sz="4" w:space="0"/>
                    <w:right w:val="single" w:color="auto" w:sz="4" w:space="0"/>
                  </w:tcBorders>
                  <w:noWrap w:val="0"/>
                  <w:vAlign w:val="center"/>
                </w:tcPr>
                <w:p w14:paraId="3AC6C2D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3</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5846C75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严格限制流域开发强度，优化开发方案。深入论证供水、灌溉任务目标和规划开发方案的合理性，合理设置供水、灌溉规划目标，系统优化供水、灌溉等重点工程的规模、布局</w:t>
                  </w:r>
                </w:p>
              </w:tc>
              <w:tc>
                <w:tcPr>
                  <w:tcW w:w="1435" w:type="pct"/>
                  <w:tcBorders>
                    <w:top w:val="single" w:color="auto" w:sz="4" w:space="0"/>
                    <w:left w:val="single" w:color="auto" w:sz="4" w:space="0"/>
                    <w:bottom w:val="single" w:color="auto" w:sz="4" w:space="0"/>
                    <w:right w:val="single" w:color="auto" w:sz="4" w:space="0"/>
                  </w:tcBorders>
                  <w:noWrap w:val="0"/>
                  <w:vAlign w:val="center"/>
                </w:tcPr>
                <w:p w14:paraId="66D5A64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本项目水资源论证已取得批复，根据结论，本项目水资源开发利用合理。</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20EC8EB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38EBF98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487" w:type="pct"/>
                  <w:tcBorders>
                    <w:top w:val="single" w:color="auto" w:sz="4" w:space="0"/>
                    <w:left w:val="single" w:color="auto" w:sz="4" w:space="0"/>
                    <w:bottom w:val="single" w:color="auto" w:sz="4" w:space="0"/>
                    <w:right w:val="single" w:color="auto" w:sz="4" w:space="0"/>
                  </w:tcBorders>
                  <w:noWrap w:val="0"/>
                  <w:vAlign w:val="center"/>
                </w:tcPr>
                <w:p w14:paraId="0BE1CFA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4</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5EFE4AF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加强流域生态保护和修复，进一步完善规划生态保护和修复内容。加强流域重要水利枢纽生态调度，保障重要控制断面生态流量和敏感期生态需水及内江平原水网区生态流量。加快实施流域小水电清理整顿工作</w:t>
                  </w:r>
                </w:p>
              </w:tc>
              <w:tc>
                <w:tcPr>
                  <w:tcW w:w="1435" w:type="pct"/>
                  <w:tcBorders>
                    <w:top w:val="single" w:color="auto" w:sz="4" w:space="0"/>
                    <w:left w:val="single" w:color="auto" w:sz="4" w:space="0"/>
                    <w:bottom w:val="single" w:color="auto" w:sz="4" w:space="0"/>
                    <w:right w:val="single" w:color="auto" w:sz="4" w:space="0"/>
                  </w:tcBorders>
                  <w:noWrap w:val="0"/>
                  <w:vAlign w:val="center"/>
                </w:tcPr>
                <w:p w14:paraId="0457489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本项目不涉及重要控制断面生态流量和敏感期生态需水及内江平原水网区生态流量、不涉及流域小水电项目整顿</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1EAE096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461C898F">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487" w:type="pct"/>
                  <w:tcBorders>
                    <w:top w:val="single" w:color="auto" w:sz="4" w:space="0"/>
                    <w:left w:val="single" w:color="auto" w:sz="4" w:space="0"/>
                    <w:bottom w:val="single" w:color="auto" w:sz="4" w:space="0"/>
                    <w:right w:val="single" w:color="auto" w:sz="4" w:space="0"/>
                  </w:tcBorders>
                  <w:noWrap w:val="0"/>
                  <w:vAlign w:val="center"/>
                </w:tcPr>
                <w:p w14:paraId="6C7ED5F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5</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64F213B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强化流域水环境综合整治。加强岷江干支流水环境治理，强化流域污废水处理工程和管理措施，严格控制入河污染物排放总量。岷江中下游河段加强工业和生活污水治理，以及府河、南河、杨柳河、泥溪河、茫溪河、沐川河和龙溪河等支流水污染综合治理；污染较重河段禁止新建重污染型企业，制定饮用水水源地保护方案，确保饮用水水源保护区水质安全和流域水质改善</w:t>
                  </w:r>
                </w:p>
              </w:tc>
              <w:tc>
                <w:tcPr>
                  <w:tcW w:w="1435" w:type="pct"/>
                  <w:tcBorders>
                    <w:top w:val="single" w:color="auto" w:sz="4" w:space="0"/>
                    <w:left w:val="single" w:color="auto" w:sz="4" w:space="0"/>
                    <w:bottom w:val="single" w:color="auto" w:sz="4" w:space="0"/>
                    <w:right w:val="single" w:color="auto" w:sz="4" w:space="0"/>
                  </w:tcBorders>
                  <w:noWrap w:val="0"/>
                  <w:vAlign w:val="center"/>
                </w:tcPr>
                <w:p w14:paraId="1665FE52">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本项目不涉及向大渡河干流排放废水；本项目不属于重污染型企业，本项目制定饮用水水源地保护方案，确保饮用水水源保护区水质安全和流域水质改善</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2D0C879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62E5DF1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487" w:type="pct"/>
                  <w:tcBorders>
                    <w:top w:val="single" w:color="auto" w:sz="4" w:space="0"/>
                    <w:left w:val="single" w:color="auto" w:sz="4" w:space="0"/>
                    <w:bottom w:val="single" w:color="auto" w:sz="4" w:space="0"/>
                    <w:right w:val="single" w:color="auto" w:sz="4" w:space="0"/>
                  </w:tcBorders>
                  <w:noWrap w:val="0"/>
                  <w:vAlign w:val="center"/>
                </w:tcPr>
                <w:p w14:paraId="1DFDA54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6</w:t>
                  </w:r>
                </w:p>
              </w:tc>
              <w:tc>
                <w:tcPr>
                  <w:tcW w:w="2578" w:type="pct"/>
                  <w:tcBorders>
                    <w:top w:val="single" w:color="auto" w:sz="4" w:space="0"/>
                    <w:left w:val="single" w:color="auto" w:sz="4" w:space="0"/>
                    <w:bottom w:val="single" w:color="auto" w:sz="4" w:space="0"/>
                    <w:right w:val="single" w:color="auto" w:sz="4" w:space="0"/>
                  </w:tcBorders>
                  <w:noWrap w:val="0"/>
                  <w:vAlign w:val="center"/>
                </w:tcPr>
                <w:p w14:paraId="3E19C6F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全面推进河湖长制，加强流域综合管理，健全长效机制。落实干支流生境保护、污染治理任务，建立健全水文、水环境、生态流量、水陆生生态等监测体系，根据动态监测情况，落实和完善环境保护对策措施</w:t>
                  </w:r>
                </w:p>
              </w:tc>
              <w:tc>
                <w:tcPr>
                  <w:tcW w:w="1435" w:type="pct"/>
                  <w:tcBorders>
                    <w:top w:val="single" w:color="auto" w:sz="4" w:space="0"/>
                    <w:left w:val="single" w:color="auto" w:sz="4" w:space="0"/>
                    <w:bottom w:val="single" w:color="auto" w:sz="4" w:space="0"/>
                    <w:right w:val="single" w:color="auto" w:sz="4" w:space="0"/>
                  </w:tcBorders>
                  <w:noWrap w:val="0"/>
                  <w:vAlign w:val="center"/>
                </w:tcPr>
                <w:p w14:paraId="6DB4B55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本项目运营后，取水口设置生态流量监控设施</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2F609FA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bl>
          <w:p w14:paraId="7A9A4A44">
            <w:pPr>
              <w:pStyle w:val="311"/>
              <w:spacing w:before="0" w:beforeLines="0" w:after="0" w:afterLines="0" w:line="360" w:lineRule="auto"/>
              <w:ind w:firstLine="480"/>
              <w:jc w:val="both"/>
              <w:rPr>
                <w:rFonts w:hint="default" w:ascii="Times New Roman" w:hAnsi="Times New Roman" w:eastAsia="宋体" w:cs="Times New Roman"/>
                <w:iCs/>
                <w:color w:val="000000" w:themeColor="text1"/>
                <w:szCs w:val="20"/>
                <w:highlight w:val="gree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综上，本项目与《岷江流域综合规划环境影响报告书》及其审查意见相符。</w:t>
            </w:r>
          </w:p>
          <w:p w14:paraId="795ABC0F">
            <w:pPr>
              <w:pStyle w:val="311"/>
              <w:spacing w:before="0" w:beforeLines="0" w:after="0" w:afterLines="0" w:line="360" w:lineRule="auto"/>
              <w:ind w:left="0" w:leftChars="0" w:firstLine="0" w:firstLineChars="0"/>
              <w:jc w:val="both"/>
              <w:rPr>
                <w:rFonts w:hint="default" w:ascii="Times New Roman" w:hAnsi="Times New Roman" w:eastAsia="宋体" w:cs="Times New Roman"/>
                <w:iCs/>
                <w:color w:val="000000" w:themeColor="text1"/>
                <w:szCs w:val="20"/>
                <w14:textFill>
                  <w14:solidFill>
                    <w14:schemeClr w14:val="tx1"/>
                  </w14:solidFill>
                </w14:textFill>
              </w:rPr>
            </w:pPr>
          </w:p>
        </w:tc>
      </w:tr>
      <w:tr w14:paraId="5864A8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10368" w:hRule="atLeast"/>
        </w:trPr>
        <w:tc>
          <w:tcPr>
            <w:tcW w:w="401" w:type="pct"/>
            <w:vAlign w:val="center"/>
          </w:tcPr>
          <w:p w14:paraId="3DAB850D">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其他符合性分析</w:t>
            </w:r>
          </w:p>
        </w:tc>
        <w:tc>
          <w:tcPr>
            <w:tcW w:w="4599" w:type="pct"/>
            <w:gridSpan w:val="4"/>
            <w:vAlign w:val="center"/>
          </w:tcPr>
          <w:p w14:paraId="781C1A56">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Cs/>
                <w:iCs/>
                <w:color w:val="000000" w:themeColor="text1"/>
                <w:sz w:val="24"/>
                <w:szCs w:val="20"/>
                <w14:textFill>
                  <w14:solidFill>
                    <w14:schemeClr w14:val="tx1"/>
                  </w14:solidFill>
                </w14:textFill>
              </w:rPr>
            </w:pPr>
            <w:r>
              <w:rPr>
                <w:rFonts w:hint="default" w:ascii="Times New Roman" w:hAnsi="Times New Roman" w:eastAsia="宋体" w:cs="Times New Roman"/>
                <w:b/>
                <w:iCs/>
                <w:color w:val="000000" w:themeColor="text1"/>
                <w:sz w:val="24"/>
                <w:szCs w:val="20"/>
                <w14:textFill>
                  <w14:solidFill>
                    <w14:schemeClr w14:val="tx1"/>
                  </w14:solidFill>
                </w14:textFill>
              </w:rPr>
              <w:t>1、产业政策符合性分析</w:t>
            </w:r>
          </w:p>
          <w:p w14:paraId="692B548B">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iCs/>
                <w:color w:val="000000" w:themeColor="text1"/>
                <w:sz w:val="24"/>
                <w:szCs w:val="20"/>
                <w14:textFill>
                  <w14:solidFill>
                    <w14:schemeClr w14:val="tx1"/>
                  </w14:solidFill>
                </w14:textFill>
              </w:rPr>
            </w:pPr>
            <w:r>
              <w:rPr>
                <w:rFonts w:hint="default" w:ascii="Times New Roman" w:hAnsi="Times New Roman" w:eastAsia="宋体" w:cs="Times New Roman"/>
                <w:iCs/>
                <w:color w:val="000000" w:themeColor="text1"/>
                <w:sz w:val="24"/>
                <w:szCs w:val="20"/>
                <w14:textFill>
                  <w14:solidFill>
                    <w14:schemeClr w14:val="tx1"/>
                  </w14:solidFill>
                </w14:textFill>
              </w:rPr>
              <w:t>本项目为</w:t>
            </w:r>
            <w:r>
              <w:rPr>
                <w:rFonts w:hint="default" w:ascii="Times New Roman" w:hAnsi="Times New Roman" w:eastAsia="宋体" w:cs="Times New Roman"/>
                <w:color w:val="000000" w:themeColor="text1"/>
                <w:sz w:val="24"/>
                <w14:textFill>
                  <w14:solidFill>
                    <w14:schemeClr w14:val="tx1"/>
                  </w14:solidFill>
                </w14:textFill>
              </w:rPr>
              <w:t>供水工程</w:t>
            </w:r>
            <w:r>
              <w:rPr>
                <w:rFonts w:hint="default" w:ascii="Times New Roman" w:hAnsi="Times New Roman" w:eastAsia="宋体" w:cs="Times New Roman"/>
                <w:iCs/>
                <w:color w:val="000000" w:themeColor="text1"/>
                <w:sz w:val="24"/>
                <w:szCs w:val="20"/>
                <w14:textFill>
                  <w14:solidFill>
                    <w14:schemeClr w14:val="tx1"/>
                  </w14:solidFill>
                </w14:textFill>
              </w:rPr>
              <w:t>，属于《国民经济行业分类》（GB/T4754-2017）（2019年修订版）中“D4610自来水生产和供应”。</w:t>
            </w:r>
          </w:p>
          <w:p w14:paraId="3E5749B7">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iCs/>
                <w:color w:val="000000" w:themeColor="text1"/>
                <w:sz w:val="24"/>
                <w:szCs w:val="20"/>
                <w14:textFill>
                  <w14:solidFill>
                    <w14:schemeClr w14:val="tx1"/>
                  </w14:solidFill>
                </w14:textFill>
              </w:rPr>
            </w:pPr>
            <w:r>
              <w:rPr>
                <w:rFonts w:hint="default" w:ascii="Times New Roman" w:hAnsi="Times New Roman" w:eastAsia="宋体" w:cs="Times New Roman"/>
                <w:iCs/>
                <w:color w:val="000000" w:themeColor="text1"/>
                <w:sz w:val="24"/>
                <w:szCs w:val="20"/>
                <w14:textFill>
                  <w14:solidFill>
                    <w14:schemeClr w14:val="tx1"/>
                  </w14:solidFill>
                </w14:textFill>
              </w:rPr>
              <w:t>根据中华人民共和国国家发展和改革委员会制定《产业结构调整指导目录（2024年本）》（自2024年2月1日起施行），</w:t>
            </w:r>
            <w:r>
              <w:rPr>
                <w:rFonts w:hint="default" w:ascii="Times New Roman" w:hAnsi="Times New Roman" w:eastAsia="宋体" w:cs="Times New Roman"/>
                <w:iCs/>
                <w:color w:val="000000" w:themeColor="text1"/>
                <w:sz w:val="24"/>
                <w:szCs w:val="20"/>
                <w:lang w:val="en-US" w:eastAsia="zh-CN"/>
                <w14:textFill>
                  <w14:solidFill>
                    <w14:schemeClr w14:val="tx1"/>
                  </w14:solidFill>
                </w14:textFill>
              </w:rPr>
              <w:t>本项目属于其中第一类鼓励类中第二十二分项“城市基础设施”中第九条“城镇供排水管网工程、供水水源及净水厂工程”</w:t>
            </w:r>
            <w:r>
              <w:rPr>
                <w:rFonts w:hint="default" w:ascii="Times New Roman" w:hAnsi="Times New Roman" w:eastAsia="宋体" w:cs="Times New Roman"/>
                <w:iCs/>
                <w:color w:val="000000" w:themeColor="text1"/>
                <w:sz w:val="24"/>
                <w:szCs w:val="20"/>
                <w14:textFill>
                  <w14:solidFill>
                    <w14:schemeClr w14:val="tx1"/>
                  </w14:solidFill>
                </w14:textFill>
              </w:rPr>
              <w:t>，属于鼓励类建设项目。</w:t>
            </w:r>
          </w:p>
          <w:p w14:paraId="35B3B691">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iCs/>
                <w:color w:val="000000" w:themeColor="text1"/>
                <w:sz w:val="24"/>
                <w:szCs w:val="20"/>
                <w14:textFill>
                  <w14:solidFill>
                    <w14:schemeClr w14:val="tx1"/>
                  </w14:solidFill>
                </w14:textFill>
              </w:rPr>
            </w:pPr>
            <w:r>
              <w:rPr>
                <w:rFonts w:hint="default" w:ascii="Times New Roman" w:hAnsi="Times New Roman" w:eastAsia="宋体" w:cs="Times New Roman"/>
                <w:iCs/>
                <w:color w:val="000000" w:themeColor="text1"/>
                <w:sz w:val="24"/>
                <w:szCs w:val="20"/>
                <w14:textFill>
                  <w14:solidFill>
                    <w14:schemeClr w14:val="tx1"/>
                  </w14:solidFill>
                </w14:textFill>
              </w:rPr>
              <w:t>本项目已取得《</w:t>
            </w:r>
            <w:r>
              <w:rPr>
                <w:rFonts w:hint="default" w:ascii="Times New Roman" w:hAnsi="Times New Roman" w:eastAsia="宋体" w:cs="Times New Roman"/>
                <w:iCs/>
                <w:color w:val="000000" w:themeColor="text1"/>
                <w:sz w:val="24"/>
                <w:szCs w:val="20"/>
                <w:lang w:eastAsia="zh-CN"/>
                <w14:textFill>
                  <w14:solidFill>
                    <w14:schemeClr w14:val="tx1"/>
                  </w14:solidFill>
                </w14:textFill>
              </w:rPr>
              <w:t>泸定县</w:t>
            </w:r>
            <w:r>
              <w:rPr>
                <w:rFonts w:hint="default" w:ascii="Times New Roman" w:hAnsi="Times New Roman" w:eastAsia="宋体" w:cs="Times New Roman"/>
                <w:iCs/>
                <w:color w:val="000000" w:themeColor="text1"/>
                <w:sz w:val="24"/>
                <w:szCs w:val="20"/>
                <w14:textFill>
                  <w14:solidFill>
                    <w14:schemeClr w14:val="tx1"/>
                  </w14:solidFill>
                </w14:textFill>
              </w:rPr>
              <w:t>发展和改革局关于审批&lt;</w:t>
            </w:r>
            <w:r>
              <w:rPr>
                <w:rFonts w:hint="default" w:ascii="Times New Roman" w:hAnsi="Times New Roman" w:eastAsia="宋体" w:cs="Times New Roman"/>
                <w:iCs/>
                <w:color w:val="000000" w:themeColor="text1"/>
                <w:sz w:val="24"/>
                <w:szCs w:val="20"/>
                <w:lang w:eastAsia="zh-CN"/>
                <w14:textFill>
                  <w14:solidFill>
                    <w14:schemeClr w14:val="tx1"/>
                  </w14:solidFill>
                </w14:textFill>
              </w:rPr>
              <w:t>泸定县城区自来水厂备用水源取水工程新建项目可行性研究报告</w:t>
            </w:r>
            <w:r>
              <w:rPr>
                <w:rFonts w:hint="default" w:ascii="Times New Roman" w:hAnsi="Times New Roman" w:eastAsia="宋体" w:cs="Times New Roman"/>
                <w:iCs/>
                <w:color w:val="000000" w:themeColor="text1"/>
                <w:sz w:val="24"/>
                <w:szCs w:val="20"/>
                <w14:textFill>
                  <w14:solidFill>
                    <w14:schemeClr w14:val="tx1"/>
                  </w14:solidFill>
                </w14:textFill>
              </w:rPr>
              <w:t>&gt;的批复》（</w:t>
            </w:r>
            <w:r>
              <w:rPr>
                <w:rFonts w:hint="default" w:ascii="Times New Roman" w:hAnsi="Times New Roman" w:eastAsia="宋体" w:cs="Times New Roman"/>
                <w:iCs/>
                <w:color w:val="000000" w:themeColor="text1"/>
                <w:sz w:val="24"/>
                <w:szCs w:val="20"/>
                <w:lang w:eastAsia="zh-CN"/>
                <w14:textFill>
                  <w14:solidFill>
                    <w14:schemeClr w14:val="tx1"/>
                  </w14:solidFill>
                </w14:textFill>
              </w:rPr>
              <w:t>泸发改[2023]348号</w:t>
            </w:r>
            <w:r>
              <w:rPr>
                <w:rFonts w:hint="default" w:ascii="Times New Roman" w:hAnsi="Times New Roman" w:eastAsia="宋体" w:cs="Times New Roman"/>
                <w:iCs/>
                <w:color w:val="000000" w:themeColor="text1"/>
                <w:sz w:val="24"/>
                <w:szCs w:val="20"/>
                <w14:textFill>
                  <w14:solidFill>
                    <w14:schemeClr w14:val="tx1"/>
                  </w14:solidFill>
                </w14:textFill>
              </w:rPr>
              <w:t>）（附件1）。</w:t>
            </w:r>
          </w:p>
          <w:p w14:paraId="4A6F9E49">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iCs/>
                <w:color w:val="000000" w:themeColor="text1"/>
                <w:sz w:val="24"/>
                <w:szCs w:val="20"/>
                <w14:textFill>
                  <w14:solidFill>
                    <w14:schemeClr w14:val="tx1"/>
                  </w14:solidFill>
                </w14:textFill>
              </w:rPr>
            </w:pPr>
            <w:r>
              <w:rPr>
                <w:rFonts w:hint="default" w:ascii="Times New Roman" w:hAnsi="Times New Roman" w:eastAsia="宋体" w:cs="Times New Roman"/>
                <w:iCs/>
                <w:color w:val="000000" w:themeColor="text1"/>
                <w:sz w:val="24"/>
                <w:szCs w:val="20"/>
                <w14:textFill>
                  <w14:solidFill>
                    <w14:schemeClr w14:val="tx1"/>
                  </w14:solidFill>
                </w14:textFill>
              </w:rPr>
              <w:t>综上，本项目的建设符合国家现行产业政策。</w:t>
            </w:r>
          </w:p>
          <w:p w14:paraId="5EC5D16D">
            <w:pPr>
              <w:keepNext w:val="0"/>
              <w:keepLines w:val="0"/>
              <w:pageBreakBefore w:val="0"/>
              <w:widowControl w:val="0"/>
              <w:kinsoku/>
              <w:overflowPunct/>
              <w:topLinePunct w:val="0"/>
              <w:autoSpaceDE/>
              <w:autoSpaceDN/>
              <w:bidi w:val="0"/>
              <w:adjustRightInd w:val="0"/>
              <w:snapToGrid w:val="0"/>
              <w:spacing w:line="360" w:lineRule="auto"/>
              <w:ind w:firstLine="482" w:firstLineChars="200"/>
              <w:jc w:val="both"/>
              <w:textAlignment w:val="auto"/>
              <w:rPr>
                <w:rFonts w:hint="eastAsia" w:ascii="Times New Roman" w:hAnsi="Times New Roman" w:eastAsia="宋体" w:cs="Times New Roman"/>
                <w:b/>
                <w:color w:val="000000" w:themeColor="text1"/>
                <w:sz w:val="24"/>
                <w:szCs w:val="22"/>
                <w:lang w:val="en-US" w:eastAsia="zh-CN"/>
                <w14:textFill>
                  <w14:solidFill>
                    <w14:schemeClr w14:val="tx1"/>
                  </w14:solidFill>
                </w14:textFill>
              </w:rPr>
            </w:pPr>
            <w:r>
              <w:rPr>
                <w:rFonts w:hint="eastAsia" w:ascii="Times New Roman" w:hAnsi="Times New Roman" w:eastAsia="宋体" w:cs="Times New Roman"/>
                <w:b/>
                <w:color w:val="000000" w:themeColor="text1"/>
                <w:sz w:val="24"/>
                <w:szCs w:val="22"/>
                <w:lang w:val="en-US" w:eastAsia="zh-CN"/>
                <w14:textFill>
                  <w14:solidFill>
                    <w14:schemeClr w14:val="tx1"/>
                  </w14:solidFill>
                </w14:textFill>
              </w:rPr>
              <w:t>2、用地符合性</w:t>
            </w:r>
          </w:p>
          <w:p w14:paraId="5621EA93">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本工程永久占地、临时占地两部分共计</w:t>
            </w:r>
            <w:r>
              <w:rPr>
                <w:rFonts w:hint="eastAsia" w:ascii="Times New Roman" w:hAnsi="Times New Roman"/>
                <w:color w:val="000000" w:themeColor="text1"/>
                <w:sz w:val="24"/>
                <w:lang w:val="en-US" w:eastAsia="zh-CN"/>
                <w14:textFill>
                  <w14:solidFill>
                    <w14:schemeClr w14:val="tx1"/>
                  </w14:solidFill>
                </w14:textFill>
              </w:rPr>
              <w:t>0.8809</w:t>
            </w:r>
            <w:r>
              <w:rPr>
                <w:rFonts w:hint="eastAsia" w:ascii="Times New Roman" w:hAnsi="Times New Roman"/>
                <w:color w:val="000000" w:themeColor="text1"/>
                <w:sz w:val="24"/>
                <w14:textFill>
                  <w14:solidFill>
                    <w14:schemeClr w14:val="tx1"/>
                  </w14:solidFill>
                </w14:textFill>
              </w:rPr>
              <w:t>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，其中</w:t>
            </w:r>
            <w:r>
              <w:rPr>
                <w:rFonts w:hint="eastAsia" w:ascii="Times New Roman" w:hAnsi="Times New Roman"/>
                <w:color w:val="000000" w:themeColor="text1"/>
                <w:sz w:val="24"/>
                <w:lang w:val="en-US" w:eastAsia="zh-CN"/>
                <w14:textFill>
                  <w14:solidFill>
                    <w14:schemeClr w14:val="tx1"/>
                  </w14:solidFill>
                </w14:textFill>
              </w:rPr>
              <w:t>取水头部和消能池</w:t>
            </w:r>
            <w:r>
              <w:rPr>
                <w:rFonts w:hint="eastAsia" w:ascii="Times New Roman" w:hAnsi="Times New Roman"/>
                <w:color w:val="000000" w:themeColor="text1"/>
                <w:sz w:val="24"/>
                <w14:textFill>
                  <w14:solidFill>
                    <w14:schemeClr w14:val="tx1"/>
                  </w14:solidFill>
                </w14:textFill>
              </w:rPr>
              <w:t>永久占地</w:t>
            </w:r>
            <w:r>
              <w:rPr>
                <w:rFonts w:hint="eastAsia" w:ascii="Times New Roman" w:hAnsi="Times New Roman"/>
                <w:color w:val="000000" w:themeColor="text1"/>
                <w:sz w:val="24"/>
                <w:lang w:val="en-US" w:eastAsia="zh-CN"/>
                <w14:textFill>
                  <w14:solidFill>
                    <w14:schemeClr w14:val="tx1"/>
                  </w14:solidFill>
                </w14:textFill>
              </w:rPr>
              <w:t>0.0263</w:t>
            </w:r>
            <w:r>
              <w:rPr>
                <w:rFonts w:hint="eastAsia" w:ascii="Times New Roman" w:hAnsi="Times New Roman"/>
                <w:color w:val="000000" w:themeColor="text1"/>
                <w:sz w:val="24"/>
                <w14:textFill>
                  <w14:solidFill>
                    <w14:schemeClr w14:val="tx1"/>
                  </w14:solidFill>
                </w14:textFill>
              </w:rPr>
              <w:t>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w:t>
            </w:r>
            <w:r>
              <w:rPr>
                <w:rFonts w:hint="eastAsia"/>
                <w:color w:val="000000" w:themeColor="text1"/>
                <w:sz w:val="24"/>
                <w:szCs w:val="24"/>
                <w14:textFill>
                  <w14:solidFill>
                    <w14:schemeClr w14:val="tx1"/>
                  </w14:solidFill>
                </w14:textFill>
              </w:rPr>
              <w:t>占地类型为灌木林地和设施农用地</w:t>
            </w:r>
            <w:r>
              <w:rPr>
                <w:rFonts w:hint="eastAsia" w:ascii="Times New Roman" w:hAnsi="Times New Roman"/>
                <w:color w:val="000000" w:themeColor="text1"/>
                <w:sz w:val="24"/>
                <w14:textFill>
                  <w14:solidFill>
                    <w14:schemeClr w14:val="tx1"/>
                  </w14:solidFill>
                </w14:textFill>
              </w:rPr>
              <w:t>；施工临时占地</w:t>
            </w:r>
            <w:r>
              <w:rPr>
                <w:rFonts w:hint="eastAsia" w:ascii="Times New Roman" w:hAnsi="Times New Roman"/>
                <w:color w:val="000000" w:themeColor="text1"/>
                <w:sz w:val="24"/>
                <w:lang w:val="en-US" w:eastAsia="zh-CN"/>
                <w14:textFill>
                  <w14:solidFill>
                    <w14:schemeClr w14:val="tx1"/>
                  </w14:solidFill>
                </w14:textFill>
              </w:rPr>
              <w:t>0.8546</w:t>
            </w:r>
            <w:r>
              <w:rPr>
                <w:rFonts w:hint="eastAsia" w:ascii="Times New Roman" w:hAnsi="Times New Roman"/>
                <w:color w:val="000000" w:themeColor="text1"/>
                <w:sz w:val="24"/>
                <w14:textFill>
                  <w14:solidFill>
                    <w14:schemeClr w14:val="tx1"/>
                  </w14:solidFill>
                </w14:textFill>
              </w:rPr>
              <w:t>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w:t>
            </w:r>
            <w:r>
              <w:rPr>
                <w:rFonts w:hint="eastAsia" w:ascii="Times New Roman" w:hAnsi="Times New Roman"/>
                <w:color w:val="000000" w:themeColor="text1"/>
                <w:sz w:val="24"/>
                <w:lang w:val="en-US" w:eastAsia="zh-CN"/>
                <w14:textFill>
                  <w14:solidFill>
                    <w14:schemeClr w14:val="tx1"/>
                  </w14:solidFill>
                </w14:textFill>
              </w:rPr>
              <w:t>主要为</w:t>
            </w:r>
            <w:r>
              <w:rPr>
                <w:rFonts w:hint="eastAsia" w:ascii="Times New Roman" w:hAnsi="Times New Roman"/>
                <w:color w:val="000000" w:themeColor="text1"/>
                <w:sz w:val="24"/>
                <w14:textFill>
                  <w14:solidFill>
                    <w14:schemeClr w14:val="tx1"/>
                  </w14:solidFill>
                </w14:textFill>
              </w:rPr>
              <w:t>管道</w:t>
            </w:r>
            <w:r>
              <w:rPr>
                <w:rFonts w:hint="eastAsia" w:ascii="Times New Roman" w:hAnsi="Times New Roman"/>
                <w:color w:val="000000" w:themeColor="text1"/>
                <w:sz w:val="24"/>
                <w:lang w:val="en-US" w:eastAsia="zh-CN"/>
                <w14:textFill>
                  <w14:solidFill>
                    <w14:schemeClr w14:val="tx1"/>
                  </w14:solidFill>
                </w14:textFill>
              </w:rPr>
              <w:t>施工作业带</w:t>
            </w:r>
            <w:r>
              <w:rPr>
                <w:rFonts w:hint="eastAsia" w:ascii="Times New Roman" w:hAnsi="Times New Roman"/>
                <w:color w:val="000000" w:themeColor="text1"/>
                <w:sz w:val="24"/>
                <w14:textFill>
                  <w14:solidFill>
                    <w14:schemeClr w14:val="tx1"/>
                  </w14:solidFill>
                </w14:textFill>
              </w:rPr>
              <w:t>占地</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占地类型包括耕地、</w:t>
            </w:r>
            <w:r>
              <w:rPr>
                <w:rFonts w:hint="eastAsia" w:ascii="Times New Roman" w:hAnsi="Times New Roman"/>
                <w:color w:val="000000" w:themeColor="text1"/>
                <w:sz w:val="24"/>
                <w:lang w:val="en-US" w:eastAsia="zh-CN"/>
                <w14:textFill>
                  <w14:solidFill>
                    <w14:schemeClr w14:val="tx1"/>
                  </w14:solidFill>
                </w14:textFill>
              </w:rPr>
              <w:t>园地、林地、草地、</w:t>
            </w:r>
            <w:r>
              <w:rPr>
                <w:rFonts w:hint="eastAsia" w:ascii="Times New Roman" w:hAnsi="Times New Roman"/>
                <w:color w:val="000000" w:themeColor="text1"/>
                <w:sz w:val="24"/>
                <w14:textFill>
                  <w14:solidFill>
                    <w14:schemeClr w14:val="tx1"/>
                  </w14:solidFill>
                </w14:textFill>
              </w:rPr>
              <w:t>交通运输用地等。本项目在遗产地内总计永久占地面积为0.0263hm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，占地类型为灌木林地和设施农用地。</w:t>
            </w:r>
          </w:p>
          <w:p w14:paraId="2AEE8056">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项目在遗产地内其他用地为管道埋设临时用地，未设置施工便道、拌合厂等施工设施。项目在</w:t>
            </w:r>
            <w:r>
              <w:rPr>
                <w:rFonts w:hint="eastAsia" w:ascii="Times New Roman" w:hAnsi="Times New Roman"/>
                <w:color w:val="000000" w:themeColor="text1"/>
                <w:sz w:val="24"/>
                <w:lang w:val="en-US" w:eastAsia="zh-CN"/>
                <w14:textFill>
                  <w14:solidFill>
                    <w14:schemeClr w14:val="tx1"/>
                  </w14:solidFill>
                </w14:textFill>
              </w:rPr>
              <w:t>四川大熊猫栖息地世界自然遗产地缓冲区</w:t>
            </w:r>
            <w:r>
              <w:rPr>
                <w:rFonts w:hint="eastAsia" w:ascii="Times New Roman" w:hAnsi="Times New Roman"/>
                <w:color w:val="000000" w:themeColor="text1"/>
                <w:sz w:val="24"/>
                <w14:textFill>
                  <w14:solidFill>
                    <w14:schemeClr w14:val="tx1"/>
                  </w14:solidFill>
                </w14:textFill>
              </w:rPr>
              <w:t>内临时用地总面积为0.2975hm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，其中，临时占用林地0.1662hm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，占用草地0.0235hm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，占用设施农用地0.0775hm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，占用交通运输用地0.0303hm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w:t>
            </w:r>
          </w:p>
          <w:p w14:paraId="1EA47361">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olor w:val="000000" w:themeColor="text1"/>
                <w:sz w:val="24"/>
                <w:lang w:val="en-US" w:eastAsia="zh-CN"/>
                <w14:textFill>
                  <w14:solidFill>
                    <w14:schemeClr w14:val="tx1"/>
                  </w14:solidFill>
                </w14:textFill>
              </w:rPr>
            </w:pPr>
            <w:r>
              <w:rPr>
                <w:rFonts w:hint="eastAsia" w:ascii="Times New Roman" w:hAnsi="Times New Roman"/>
                <w:color w:val="000000" w:themeColor="text1"/>
                <w:sz w:val="24"/>
                <w:lang w:val="en-US" w:eastAsia="zh-CN"/>
                <w14:textFill>
                  <w14:solidFill>
                    <w14:schemeClr w14:val="tx1"/>
                  </w14:solidFill>
                </w14:textFill>
              </w:rPr>
              <w:t>项目已取得泸定县自然资源和规划局《关于泸定县城区自来水厂备用水源取水工程新建项目用地预审与选址意见书的复函》（泸自然资规函[2024]124），项目已取得《四川省林业和草原局关于准予泸定县城区自来水厂备用水源取水工程新建项目占用林地的行政许可决定》（川林资许准(甘)(2026)24号）、《泸定县林业和草原局关于同意泸定县城区自来水厂备用水源取水工程新建项目进入四川大熊猫栖息地世界自然遗产缓冲区的审核意见》泸林护审字(2025)02号，同意项目用地，因此，项目用地符合要求。</w:t>
            </w:r>
          </w:p>
          <w:p w14:paraId="2793592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val="0"/>
                <w:color w:val="000000" w:themeColor="text1"/>
                <w:kern w:val="0"/>
                <w:sz w:val="24"/>
                <w:szCs w:val="24"/>
                <w:lang w:val="en-US" w:eastAsia="zh-CN"/>
                <w14:textFill>
                  <w14:solidFill>
                    <w14:schemeClr w14:val="tx1"/>
                  </w14:solidFill>
                </w14:textFill>
              </w:rPr>
            </w:pPr>
            <w:r>
              <w:rPr>
                <w:rFonts w:hint="eastAsia" w:ascii="Times New Roman" w:hAnsi="Times New Roman" w:cs="Times New Roman"/>
                <w:b/>
                <w:bCs w:val="0"/>
                <w:color w:val="000000" w:themeColor="text1"/>
                <w:kern w:val="0"/>
                <w:sz w:val="24"/>
                <w:szCs w:val="24"/>
                <w:lang w:val="en-US" w:eastAsia="zh-CN"/>
                <w14:textFill>
                  <w14:solidFill>
                    <w14:schemeClr w14:val="tx1"/>
                  </w14:solidFill>
                </w14:textFill>
              </w:rPr>
              <w:t>3、</w:t>
            </w:r>
            <w:r>
              <w:rPr>
                <w:rFonts w:hint="default" w:ascii="Times New Roman" w:hAnsi="Times New Roman" w:eastAsia="宋体" w:cs="Times New Roman"/>
                <w:b/>
                <w:bCs w:val="0"/>
                <w:color w:val="000000" w:themeColor="text1"/>
                <w:kern w:val="0"/>
                <w:sz w:val="24"/>
                <w:szCs w:val="24"/>
                <w14:textFill>
                  <w14:solidFill>
                    <w14:schemeClr w14:val="tx1"/>
                  </w14:solidFill>
                </w14:textFill>
              </w:rPr>
              <w:t>《泸定县国土空间总体规划（2021—</w:t>
            </w:r>
            <w:r>
              <w:rPr>
                <w:rFonts w:hint="eastAsia" w:ascii="Times New Roman" w:hAnsi="Times New Roman" w:cs="Times New Roman"/>
                <w:b/>
                <w:bCs w:val="0"/>
                <w:color w:val="000000" w:themeColor="text1"/>
                <w:kern w:val="0"/>
                <w:sz w:val="24"/>
                <w:szCs w:val="24"/>
                <w:lang w:eastAsia="zh-CN"/>
                <w14:textFill>
                  <w14:solidFill>
                    <w14:schemeClr w14:val="tx1"/>
                  </w14:solidFill>
                </w14:textFill>
              </w:rPr>
              <w:t>2035年</w:t>
            </w:r>
            <w:r>
              <w:rPr>
                <w:rFonts w:hint="default" w:ascii="Times New Roman" w:hAnsi="Times New Roman" w:eastAsia="宋体" w:cs="Times New Roman"/>
                <w:b/>
                <w:bCs w:val="0"/>
                <w:color w:val="000000" w:themeColor="text1"/>
                <w:kern w:val="0"/>
                <w:sz w:val="24"/>
                <w:szCs w:val="24"/>
                <w14:textFill>
                  <w14:solidFill>
                    <w14:schemeClr w14:val="tx1"/>
                  </w14:solidFill>
                </w14:textFill>
              </w:rPr>
              <w:t>）》</w:t>
            </w:r>
            <w:r>
              <w:rPr>
                <w:rFonts w:hint="eastAsia" w:ascii="Times New Roman" w:hAnsi="Times New Roman" w:cs="Times New Roman"/>
                <w:b/>
                <w:bCs w:val="0"/>
                <w:color w:val="000000" w:themeColor="text1"/>
                <w:kern w:val="0"/>
                <w:sz w:val="24"/>
                <w:szCs w:val="24"/>
                <w:lang w:val="en-US" w:eastAsia="zh-CN"/>
                <w14:textFill>
                  <w14:solidFill>
                    <w14:schemeClr w14:val="tx1"/>
                  </w14:solidFill>
                </w14:textFill>
              </w:rPr>
              <w:t>符合性分析</w:t>
            </w:r>
          </w:p>
          <w:p w14:paraId="2C81AAE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eastAsia" w:ascii="Times New Roman" w:hAnsi="Times New Roman" w:eastAsia="宋体" w:cs="Times New Roman"/>
                <w:bCs/>
                <w:color w:val="000000" w:themeColor="text1"/>
                <w:kern w:val="0"/>
                <w:sz w:val="24"/>
                <w:szCs w:val="24"/>
                <w:lang w:eastAsia="zh-CN"/>
                <w14:textFill>
                  <w14:solidFill>
                    <w14:schemeClr w14:val="tx1"/>
                  </w14:solidFill>
                </w14:textFill>
              </w:rPr>
            </w:pPr>
            <w:r>
              <w:rPr>
                <w:rFonts w:hint="default" w:ascii="Times New Roman" w:hAnsi="Times New Roman" w:eastAsia="宋体" w:cs="Times New Roman"/>
                <w:b/>
                <w:bCs w:val="0"/>
                <w:color w:val="000000" w:themeColor="text1"/>
                <w:kern w:val="0"/>
                <w:sz w:val="24"/>
                <w:szCs w:val="24"/>
                <w14:textFill>
                  <w14:solidFill>
                    <w14:schemeClr w14:val="tx1"/>
                  </w14:solidFill>
                </w14:textFill>
              </w:rPr>
              <w:t>《泸定县国土空间总体规划（2021—</w:t>
            </w:r>
            <w:r>
              <w:rPr>
                <w:rFonts w:hint="eastAsia" w:ascii="Times New Roman" w:hAnsi="Times New Roman" w:cs="Times New Roman"/>
                <w:b/>
                <w:bCs w:val="0"/>
                <w:color w:val="000000" w:themeColor="text1"/>
                <w:kern w:val="0"/>
                <w:sz w:val="24"/>
                <w:szCs w:val="24"/>
                <w:lang w:eastAsia="zh-CN"/>
                <w14:textFill>
                  <w14:solidFill>
                    <w14:schemeClr w14:val="tx1"/>
                  </w14:solidFill>
                </w14:textFill>
              </w:rPr>
              <w:t>2035年</w:t>
            </w:r>
            <w:r>
              <w:rPr>
                <w:rFonts w:hint="default" w:ascii="Times New Roman" w:hAnsi="Times New Roman" w:eastAsia="宋体" w:cs="Times New Roman"/>
                <w:b/>
                <w:bCs w:val="0"/>
                <w:color w:val="000000" w:themeColor="text1"/>
                <w:kern w:val="0"/>
                <w:sz w:val="24"/>
                <w:szCs w:val="24"/>
                <w14:textFill>
                  <w14:solidFill>
                    <w14:schemeClr w14:val="tx1"/>
                  </w14:solidFill>
                </w14:textFill>
              </w:rPr>
              <w:t>）》</w:t>
            </w:r>
            <w:r>
              <w:rPr>
                <w:rFonts w:hint="default" w:ascii="Times New Roman" w:hAnsi="Times New Roman" w:eastAsia="宋体" w:cs="Times New Roman"/>
                <w:bCs/>
                <w:color w:val="000000" w:themeColor="text1"/>
                <w:kern w:val="0"/>
                <w:sz w:val="24"/>
                <w:szCs w:val="24"/>
                <w14:textFill>
                  <w14:solidFill>
                    <w14:schemeClr w14:val="tx1"/>
                  </w14:solidFill>
                </w14:textFill>
              </w:rPr>
              <w:t>安全韧性空间要求</w:t>
            </w:r>
            <w:r>
              <w:rPr>
                <w:rFonts w:hint="eastAsia" w:ascii="Times New Roman" w:hAnsi="Times New Roman" w:cs="Times New Roman"/>
                <w:bCs/>
                <w:color w:val="000000" w:themeColor="text1"/>
                <w:kern w:val="0"/>
                <w:sz w:val="24"/>
                <w:szCs w:val="24"/>
                <w:lang w:eastAsia="zh-CN"/>
                <w14:textFill>
                  <w14:solidFill>
                    <w14:schemeClr w14:val="tx1"/>
                  </w14:solidFill>
                </w14:textFill>
              </w:rPr>
              <w:t>：</w:t>
            </w:r>
          </w:p>
          <w:p w14:paraId="766688E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规划在城镇开发边界内单独预留应急供水设施对应的市政公用设施用地空间，保障应急供水场站、应急蓄水池等设施落地。统筹县域水源空间布局，构建多水源、可互为备用的供水空间格局，避免单一水源、单座水厂失效造成全域供水中断。</w:t>
            </w:r>
          </w:p>
          <w:p w14:paraId="46E7A15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将供水设施防灾抗灾空间保障纳入国土空间安全体系，统筹水厂、取水构筑物、清水池、输配水管线廊道的空间安全布局，提升供水系统抵御地震、山洪、地质灾害等突发事件的能力，保障灾害状态下城乡基本供水安全。供水设施用地选址、改扩建方案，必须符合国土空间防灾减灾空间管控要求，不得占用地质灾害高风险区、生态保护红线、永久基本农田。</w:t>
            </w:r>
          </w:p>
          <w:p w14:paraId="4D6CF1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本项目</w:t>
            </w:r>
            <w:r>
              <w:rPr>
                <w:rFonts w:hint="default" w:ascii="Times New Roman" w:hAnsi="Times New Roman" w:eastAsia="宋体" w:cs="Times New Roman"/>
                <w:color w:val="000000" w:themeColor="text1"/>
                <w:sz w:val="24"/>
                <w:szCs w:val="24"/>
                <w14:textFill>
                  <w14:solidFill>
                    <w14:schemeClr w14:val="tx1"/>
                  </w14:solidFill>
                </w14:textFill>
              </w:rPr>
              <w:t>因受地震的影响导致水厂取水点供水规模不足以满足供水区的需水量，</w:t>
            </w:r>
            <w:r>
              <w:rPr>
                <w:rFonts w:hint="eastAsia" w:ascii="Times New Roman" w:hAnsi="Times New Roman" w:cs="Times New Roman"/>
                <w:color w:val="000000" w:themeColor="text1"/>
                <w:sz w:val="24"/>
                <w:szCs w:val="24"/>
                <w:lang w:val="en-US" w:eastAsia="zh-CN"/>
                <w14:textFill>
                  <w14:solidFill>
                    <w14:schemeClr w14:val="tx1"/>
                  </w14:solidFill>
                </w14:textFill>
              </w:rPr>
              <w:t>根据2023年至2025年统计的</w:t>
            </w:r>
            <w:r>
              <w:rPr>
                <w:rFonts w:hint="default" w:ascii="Times New Roman" w:hAnsi="Times New Roman" w:eastAsia="宋体" w:cs="Times New Roman"/>
                <w:color w:val="000000" w:themeColor="text1"/>
                <w:sz w:val="24"/>
                <w:szCs w:val="24"/>
                <w14:textFill>
                  <w14:solidFill>
                    <w14:schemeClr w14:val="tx1"/>
                  </w14:solidFill>
                </w14:textFill>
              </w:rPr>
              <w:t>缺水量</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可</w:t>
            </w:r>
            <w:r>
              <w:rPr>
                <w:rFonts w:hint="default" w:ascii="Times New Roman" w:hAnsi="Times New Roman" w:eastAsia="宋体" w:cs="Times New Roman"/>
                <w:color w:val="000000" w:themeColor="text1"/>
                <w:sz w:val="24"/>
                <w:szCs w:val="24"/>
                <w14:textFill>
                  <w14:solidFill>
                    <w14:schemeClr w14:val="tx1"/>
                  </w14:solidFill>
                </w14:textFill>
              </w:rPr>
              <w:t>达3000m³/d，故于五里沟新建取水头部一座作为备用水源，补充羊圈沟取水点的供水缺口。</w:t>
            </w:r>
          </w:p>
          <w:p w14:paraId="4F832C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为了提高</w:t>
            </w:r>
            <w:r>
              <w:rPr>
                <w:rFonts w:hint="default" w:ascii="Times New Roman" w:hAnsi="Times New Roman" w:eastAsia="宋体" w:cs="Times New Roman"/>
                <w:color w:val="000000" w:themeColor="text1"/>
                <w:sz w:val="24"/>
                <w:szCs w:val="24"/>
                <w:lang w:eastAsia="zh-CN"/>
                <w14:textFill>
                  <w14:solidFill>
                    <w14:schemeClr w14:val="tx1"/>
                  </w14:solidFill>
                </w14:textFill>
              </w:rPr>
              <w:t>泸定县</w:t>
            </w:r>
            <w:r>
              <w:rPr>
                <w:rFonts w:hint="default" w:ascii="Times New Roman" w:hAnsi="Times New Roman" w:eastAsia="宋体" w:cs="Times New Roman"/>
                <w:color w:val="000000" w:themeColor="text1"/>
                <w:sz w:val="24"/>
                <w:szCs w:val="24"/>
                <w14:textFill>
                  <w14:solidFill>
                    <w14:schemeClr w14:val="tx1"/>
                  </w14:solidFill>
                </w14:textFill>
              </w:rPr>
              <w:t>水源水质水量保证率，保障人民饮水安全问题，</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五里沟取水口可供水量能满足水厂取水需求。</w:t>
            </w:r>
            <w:r>
              <w:rPr>
                <w:rFonts w:hint="eastAsia" w:ascii="Times New Roman" w:hAnsi="Times New Roman" w:cs="Times New Roman"/>
                <w:color w:val="000000" w:themeColor="text1"/>
                <w:sz w:val="24"/>
                <w:szCs w:val="24"/>
                <w:lang w:val="en-US" w:eastAsia="zh-CN"/>
                <w14:textFill>
                  <w14:solidFill>
                    <w14:schemeClr w14:val="tx1"/>
                  </w14:solidFill>
                </w14:textFill>
              </w:rPr>
              <w:t>本项目</w:t>
            </w:r>
            <w:r>
              <w:rPr>
                <w:rFonts w:hint="default" w:ascii="Times New Roman" w:hAnsi="Times New Roman" w:eastAsia="宋体" w:cs="Times New Roman"/>
                <w:bCs/>
                <w:color w:val="000000" w:themeColor="text1"/>
                <w:kern w:val="0"/>
                <w:sz w:val="24"/>
                <w:szCs w:val="24"/>
                <w14:textFill>
                  <w14:solidFill>
                    <w14:schemeClr w14:val="tx1"/>
                  </w14:solidFill>
                </w14:textFill>
              </w:rPr>
              <w:t>不占用地质灾害高风险区、生态保护红线、永久基本农田。</w:t>
            </w:r>
          </w:p>
          <w:p w14:paraId="4D26F419">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w:t>
            </w:r>
            <w:r>
              <w:rPr>
                <w:rFonts w:hint="eastAsia" w:ascii="Times New Roman" w:hAnsi="Times New Roman" w:cs="Times New Roman"/>
                <w:color w:val="000000" w:themeColor="text1"/>
                <w:sz w:val="24"/>
                <w:szCs w:val="24"/>
                <w:lang w:val="en-US" w:eastAsia="zh-CN"/>
                <w14:textFill>
                  <w14:solidFill>
                    <w14:schemeClr w14:val="tx1"/>
                  </w14:solidFill>
                </w14:textFill>
              </w:rPr>
              <w:t>符合</w:t>
            </w:r>
            <w:r>
              <w:rPr>
                <w:rFonts w:hint="default" w:ascii="Times New Roman" w:hAnsi="Times New Roman" w:eastAsia="宋体" w:cs="Times New Roman"/>
                <w:b/>
                <w:bCs w:val="0"/>
                <w:color w:val="000000" w:themeColor="text1"/>
                <w:kern w:val="0"/>
                <w:sz w:val="24"/>
                <w:szCs w:val="24"/>
                <w14:textFill>
                  <w14:solidFill>
                    <w14:schemeClr w14:val="tx1"/>
                  </w14:solidFill>
                </w14:textFill>
              </w:rPr>
              <w:t>《泸定县国土空间总体规划（2021—</w:t>
            </w:r>
            <w:r>
              <w:rPr>
                <w:rFonts w:hint="eastAsia" w:ascii="Times New Roman" w:hAnsi="Times New Roman" w:cs="Times New Roman"/>
                <w:b/>
                <w:bCs w:val="0"/>
                <w:color w:val="000000" w:themeColor="text1"/>
                <w:kern w:val="0"/>
                <w:sz w:val="24"/>
                <w:szCs w:val="24"/>
                <w:lang w:eastAsia="zh-CN"/>
                <w14:textFill>
                  <w14:solidFill>
                    <w14:schemeClr w14:val="tx1"/>
                  </w14:solidFill>
                </w14:textFill>
              </w:rPr>
              <w:t>2035年</w:t>
            </w:r>
            <w:r>
              <w:rPr>
                <w:rFonts w:hint="default" w:ascii="Times New Roman" w:hAnsi="Times New Roman" w:eastAsia="宋体" w:cs="Times New Roman"/>
                <w:b/>
                <w:bCs w:val="0"/>
                <w:color w:val="000000" w:themeColor="text1"/>
                <w:kern w:val="0"/>
                <w:sz w:val="24"/>
                <w:szCs w:val="24"/>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w:t>
            </w:r>
          </w:p>
          <w:p w14:paraId="3718268B">
            <w:pPr>
              <w:keepNext w:val="0"/>
              <w:keepLines w:val="0"/>
              <w:pageBreakBefore w:val="0"/>
              <w:widowControl w:val="0"/>
              <w:kinsoku/>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color w:val="000000" w:themeColor="text1"/>
                <w:sz w:val="24"/>
                <w:szCs w:val="22"/>
                <w14:textFill>
                  <w14:solidFill>
                    <w14:schemeClr w14:val="tx1"/>
                  </w14:solidFill>
                </w14:textFill>
              </w:rPr>
            </w:pPr>
            <w:r>
              <w:rPr>
                <w:rFonts w:hint="eastAsia" w:ascii="Times New Roman" w:hAnsi="Times New Roman" w:cs="Times New Roman"/>
                <w:b/>
                <w:color w:val="000000" w:themeColor="text1"/>
                <w:sz w:val="24"/>
                <w:szCs w:val="22"/>
                <w:lang w:val="en-US" w:eastAsia="zh-CN"/>
                <w14:textFill>
                  <w14:solidFill>
                    <w14:schemeClr w14:val="tx1"/>
                  </w14:solidFill>
                </w14:textFill>
              </w:rPr>
              <w:t>4</w:t>
            </w:r>
            <w:r>
              <w:rPr>
                <w:rFonts w:hint="default" w:ascii="Times New Roman" w:hAnsi="Times New Roman" w:eastAsia="宋体" w:cs="Times New Roman"/>
                <w:b/>
                <w:color w:val="000000" w:themeColor="text1"/>
                <w:sz w:val="24"/>
                <w:szCs w:val="22"/>
                <w14:textFill>
                  <w14:solidFill>
                    <w14:schemeClr w14:val="tx1"/>
                  </w14:solidFill>
                </w14:textFill>
              </w:rPr>
              <w:t>、“生态环境分区管控”符合性分析</w:t>
            </w:r>
          </w:p>
          <w:p w14:paraId="348B7C09">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0"/>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根据《四川省生态环境厅办公室关于印发&lt;产业园区规划环评“三线一单’符合性分析技术要点（试行）&gt;和&lt;项目环评“三线一单”符合性分析技术要点（试行）&gt;的通知》（川环办函〔2021〕469号）</w:t>
            </w:r>
            <w:r>
              <w:rPr>
                <w:rFonts w:hint="default" w:ascii="Times New Roman" w:hAnsi="Times New Roman" w:eastAsia="宋体" w:cs="Times New Roman"/>
                <w:color w:val="000000" w:themeColor="text1"/>
                <w:sz w:val="24"/>
                <w:szCs w:val="20"/>
                <w14:textFill>
                  <w14:solidFill>
                    <w14:schemeClr w14:val="tx1"/>
                  </w14:solidFill>
                </w14:textFill>
              </w:rPr>
              <w:t>要求</w:t>
            </w:r>
            <w:r>
              <w:rPr>
                <w:rFonts w:hint="default" w:ascii="Times New Roman" w:hAnsi="Times New Roman" w:eastAsia="宋体" w:cs="Times New Roman"/>
                <w:bCs/>
                <w:color w:val="000000" w:themeColor="text1"/>
                <w:kern w:val="0"/>
                <w:sz w:val="24"/>
                <w14:textFill>
                  <w14:solidFill>
                    <w14:schemeClr w14:val="tx1"/>
                  </w14:solidFill>
                </w14:textFill>
              </w:rPr>
              <w:t>可知：本项目位于产业园区外，则项目环评需进行空间符合性分析及管控要求符合性</w:t>
            </w:r>
            <w:r>
              <w:rPr>
                <w:rFonts w:hint="default" w:ascii="Times New Roman" w:hAnsi="Times New Roman" w:eastAsia="宋体" w:cs="Times New Roman"/>
                <w:color w:val="000000" w:themeColor="text1"/>
                <w:sz w:val="24"/>
                <w:szCs w:val="20"/>
                <w14:textFill>
                  <w14:solidFill>
                    <w14:schemeClr w14:val="tx1"/>
                  </w14:solidFill>
                </w14:textFill>
              </w:rPr>
              <w:t>。</w:t>
            </w:r>
          </w:p>
          <w:p w14:paraId="6622416E">
            <w:pPr>
              <w:keepNext w:val="0"/>
              <w:keepLines w:val="0"/>
              <w:pageBreakBefore w:val="0"/>
              <w:widowControl w:val="0"/>
              <w:kinsoku/>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Cs/>
                <w:color w:val="000000" w:themeColor="text1"/>
                <w:sz w:val="24"/>
                <w:szCs w:val="22"/>
                <w14:textFill>
                  <w14:solidFill>
                    <w14:schemeClr w14:val="tx1"/>
                  </w14:solidFill>
                </w14:textFill>
              </w:rPr>
            </w:pPr>
            <w:r>
              <w:rPr>
                <w:rFonts w:hint="default" w:ascii="Times New Roman" w:hAnsi="Times New Roman" w:eastAsia="宋体" w:cs="Times New Roman"/>
                <w:b/>
                <w:bCs/>
                <w:color w:val="000000" w:themeColor="text1"/>
                <w:sz w:val="24"/>
                <w:szCs w:val="22"/>
                <w14:textFill>
                  <w14:solidFill>
                    <w14:schemeClr w14:val="tx1"/>
                  </w14:solidFill>
                </w14:textFill>
              </w:rPr>
              <w:t>（1）项目所属环境管控单元</w:t>
            </w:r>
          </w:p>
          <w:p w14:paraId="4B3502D6">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0"/>
                <w14:textFill>
                  <w14:solidFill>
                    <w14:schemeClr w14:val="tx1"/>
                  </w14:solidFill>
                </w14:textFill>
              </w:rPr>
              <w:t>本项目位于</w:t>
            </w:r>
            <w:r>
              <w:rPr>
                <w:rFonts w:hint="default" w:ascii="Times New Roman" w:hAnsi="Times New Roman" w:eastAsia="宋体" w:cs="Times New Roman"/>
                <w:color w:val="000000" w:themeColor="text1"/>
                <w:sz w:val="24"/>
                <w14:textFill>
                  <w14:solidFill>
                    <w14:schemeClr w14:val="tx1"/>
                  </w14:solidFill>
                </w14:textFill>
              </w:rPr>
              <w:t>四川省</w:t>
            </w:r>
            <w:r>
              <w:rPr>
                <w:rFonts w:hint="default" w:ascii="Times New Roman" w:hAnsi="Times New Roman" w:eastAsia="宋体" w:cs="Times New Roman"/>
                <w:color w:val="000000" w:themeColor="text1"/>
                <w:sz w:val="24"/>
                <w:lang w:eastAsia="zh-CN"/>
                <w14:textFill>
                  <w14:solidFill>
                    <w14:schemeClr w14:val="tx1"/>
                  </w14:solidFill>
                </w14:textFill>
              </w:rPr>
              <w:t>甘孜藏族自治州泸定县泸桥镇</w:t>
            </w:r>
            <w:r>
              <w:rPr>
                <w:rFonts w:hint="default" w:ascii="Times New Roman" w:hAnsi="Times New Roman" w:eastAsia="宋体" w:cs="Times New Roman"/>
                <w:bCs/>
                <w:color w:val="000000" w:themeColor="text1"/>
                <w:sz w:val="24"/>
                <w:szCs w:val="22"/>
                <w14:textFill>
                  <w14:solidFill>
                    <w14:schemeClr w14:val="tx1"/>
                  </w14:solidFill>
                </w14:textFill>
              </w:rPr>
              <w:t>。</w:t>
            </w:r>
          </w:p>
          <w:p w14:paraId="4BBA987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szCs w:val="22"/>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根据</w:t>
            </w:r>
            <w:r>
              <w:rPr>
                <w:rFonts w:hint="default" w:ascii="Times New Roman" w:hAnsi="Times New Roman" w:eastAsia="宋体" w:cs="Times New Roman"/>
                <w:bCs/>
                <w:color w:val="000000" w:themeColor="text1"/>
                <w:sz w:val="24"/>
                <w:szCs w:val="22"/>
                <w14:textFill>
                  <w14:solidFill>
                    <w14:schemeClr w14:val="tx1"/>
                  </w14:solidFill>
                </w14:textFill>
              </w:rPr>
              <w:t>四川省政务服务网中的“生态环境分区管控符合性分析”（网址https://www.sczwfw.gov.cn/tftb/jmopenpub/jmopen_files/webapp/html5/s</w:t>
            </w:r>
            <w:r>
              <w:rPr>
                <w:rFonts w:hint="default" w:ascii="Times New Roman" w:hAnsi="Times New Roman" w:eastAsia="宋体" w:cs="Times New Roman"/>
                <w:bCs/>
                <w:color w:val="000000" w:themeColor="text1"/>
                <w:sz w:val="24"/>
                <w:szCs w:val="22"/>
                <w:lang w:val="en-US" w:eastAsia="zh-CN"/>
                <w14:textFill>
                  <w14:solidFill>
                    <w14:schemeClr w14:val="tx1"/>
                  </w14:solidFill>
                </w14:textFill>
              </w:rPr>
              <w:t>x</w:t>
            </w:r>
            <w:r>
              <w:rPr>
                <w:rFonts w:hint="default" w:ascii="Times New Roman" w:hAnsi="Times New Roman" w:eastAsia="宋体" w:cs="Times New Roman"/>
                <w:bCs/>
                <w:color w:val="000000" w:themeColor="text1"/>
                <w:sz w:val="24"/>
                <w:szCs w:val="22"/>
                <w14:textFill>
                  <w14:solidFill>
                    <w14:schemeClr w14:val="tx1"/>
                  </w14:solidFill>
                </w14:textFill>
              </w:rPr>
              <w:t>ydctf</w:t>
            </w:r>
            <w:r>
              <w:rPr>
                <w:rFonts w:hint="default" w:ascii="Times New Roman" w:hAnsi="Times New Roman" w:eastAsia="宋体" w:cs="Times New Roman"/>
                <w:bCs/>
                <w:color w:val="000000" w:themeColor="text1"/>
                <w:sz w:val="24"/>
                <w:szCs w:val="22"/>
                <w:lang w:val="en-US" w:eastAsia="zh-CN"/>
                <w14:textFill>
                  <w14:solidFill>
                    <w14:schemeClr w14:val="tx1"/>
                  </w14:solidFill>
                </w14:textFill>
              </w:rPr>
              <w:t>x</w:t>
            </w:r>
            <w:r>
              <w:rPr>
                <w:rFonts w:hint="default" w:ascii="Times New Roman" w:hAnsi="Times New Roman" w:eastAsia="宋体" w:cs="Times New Roman"/>
                <w:bCs/>
                <w:color w:val="000000" w:themeColor="text1"/>
                <w:sz w:val="24"/>
                <w:szCs w:val="22"/>
                <w14:textFill>
                  <w14:solidFill>
                    <w14:schemeClr w14:val="tx1"/>
                  </w14:solidFill>
                </w14:textFill>
              </w:rPr>
              <w:t>/inde</w:t>
            </w:r>
            <w:r>
              <w:rPr>
                <w:rFonts w:hint="default" w:ascii="Times New Roman" w:hAnsi="Times New Roman" w:eastAsia="宋体" w:cs="Times New Roman"/>
                <w:bCs/>
                <w:color w:val="000000" w:themeColor="text1"/>
                <w:sz w:val="24"/>
                <w:szCs w:val="22"/>
                <w:lang w:val="en-US" w:eastAsia="zh-CN"/>
                <w14:textFill>
                  <w14:solidFill>
                    <w14:schemeClr w14:val="tx1"/>
                  </w14:solidFill>
                </w14:textFill>
              </w:rPr>
              <w:t>x</w:t>
            </w:r>
            <w:r>
              <w:rPr>
                <w:rFonts w:hint="default" w:ascii="Times New Roman" w:hAnsi="Times New Roman" w:eastAsia="宋体" w:cs="Times New Roman"/>
                <w:bCs/>
                <w:color w:val="000000" w:themeColor="text1"/>
                <w:sz w:val="24"/>
                <w:szCs w:val="22"/>
                <w14:textFill>
                  <w14:solidFill>
                    <w14:schemeClr w14:val="tx1"/>
                  </w14:solidFill>
                </w14:textFill>
              </w:rPr>
              <w:t>.html?areaCode=510000000000）查询，</w:t>
            </w:r>
            <w:r>
              <w:rPr>
                <w:rFonts w:hint="default" w:ascii="Times New Roman" w:hAnsi="Times New Roman" w:eastAsia="宋体" w:cs="Times New Roman"/>
                <w:color w:val="000000" w:themeColor="text1"/>
                <w:sz w:val="24"/>
                <w:szCs w:val="20"/>
                <w14:textFill>
                  <w14:solidFill>
                    <w14:schemeClr w14:val="tx1"/>
                  </w14:solidFill>
                </w14:textFill>
              </w:rPr>
              <w:t>本项目涉及</w:t>
            </w:r>
            <w:r>
              <w:rPr>
                <w:rFonts w:hint="default" w:ascii="Times New Roman" w:hAnsi="Times New Roman" w:eastAsia="宋体" w:cs="Times New Roman"/>
                <w:color w:val="000000" w:themeColor="text1"/>
                <w:kern w:val="0"/>
                <w:sz w:val="24"/>
                <w14:textFill>
                  <w14:solidFill>
                    <w14:schemeClr w14:val="tx1"/>
                  </w14:solidFill>
                </w14:textFill>
              </w:rPr>
              <w:t>生态环境管控单元有</w:t>
            </w:r>
            <w:r>
              <w:rPr>
                <w:rFonts w:hint="eastAsia" w:ascii="Times New Roman" w:hAnsi="Times New Roman" w:cs="Times New Roman"/>
                <w:color w:val="000000" w:themeColor="text1"/>
                <w:kern w:val="0"/>
                <w:sz w:val="24"/>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14:textFill>
                  <w14:solidFill>
                    <w14:schemeClr w14:val="tx1"/>
                  </w14:solidFill>
                </w14:textFill>
              </w:rPr>
              <w:t>个，具</w:t>
            </w:r>
            <w:r>
              <w:rPr>
                <w:rFonts w:hint="default" w:ascii="Times New Roman" w:hAnsi="Times New Roman" w:eastAsia="宋体" w:cs="Times New Roman"/>
                <w:bCs/>
                <w:color w:val="000000" w:themeColor="text1"/>
                <w:sz w:val="24"/>
                <w:szCs w:val="22"/>
                <w14:textFill>
                  <w14:solidFill>
                    <w14:schemeClr w14:val="tx1"/>
                  </w14:solidFill>
                </w14:textFill>
              </w:rPr>
              <w:t>体</w:t>
            </w:r>
            <w:r>
              <w:rPr>
                <w:rFonts w:hint="default" w:ascii="Times New Roman" w:hAnsi="Times New Roman" w:eastAsia="宋体" w:cs="Times New Roman"/>
                <w:color w:val="000000" w:themeColor="text1"/>
                <w:kern w:val="0"/>
                <w:sz w:val="24"/>
                <w14:textFill>
                  <w14:solidFill>
                    <w14:schemeClr w14:val="tx1"/>
                  </w14:solidFill>
                </w14:textFill>
              </w:rPr>
              <w:t>管控单元</w:t>
            </w:r>
            <w:r>
              <w:rPr>
                <w:rFonts w:hint="default" w:ascii="Times New Roman" w:hAnsi="Times New Roman" w:eastAsia="宋体" w:cs="Times New Roman"/>
                <w:bCs/>
                <w:color w:val="000000" w:themeColor="text1"/>
                <w:sz w:val="24"/>
                <w:szCs w:val="22"/>
                <w14:textFill>
                  <w14:solidFill>
                    <w14:schemeClr w14:val="tx1"/>
                  </w14:solidFill>
                </w14:textFill>
              </w:rPr>
              <w:t>见下表。</w:t>
            </w:r>
          </w:p>
          <w:p w14:paraId="6734F36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szCs w:val="22"/>
                <w14:textFill>
                  <w14:solidFill>
                    <w14:schemeClr w14:val="tx1"/>
                  </w14:solidFill>
                </w14:textFill>
              </w:rPr>
            </w:pPr>
          </w:p>
          <w:p w14:paraId="5911E7D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szCs w:val="22"/>
                <w14:textFill>
                  <w14:solidFill>
                    <w14:schemeClr w14:val="tx1"/>
                  </w14:solidFill>
                </w14:textFill>
              </w:rPr>
            </w:pPr>
          </w:p>
          <w:p w14:paraId="50780D6F">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项目涉及环境管控单元一览表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36"/>
              <w:gridCol w:w="4579"/>
              <w:gridCol w:w="1173"/>
              <w:gridCol w:w="769"/>
              <w:gridCol w:w="1078"/>
            </w:tblGrid>
            <w:tr w14:paraId="630A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11" w:type="pct"/>
                  <w:vAlign w:val="center"/>
                </w:tcPr>
                <w:p w14:paraId="28A82CFF">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2885" w:type="pct"/>
                  <w:vAlign w:val="center"/>
                </w:tcPr>
                <w:p w14:paraId="56D30C06">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环境管控单元名称</w:t>
                  </w:r>
                </w:p>
              </w:tc>
              <w:tc>
                <w:tcPr>
                  <w:tcW w:w="739" w:type="pct"/>
                  <w:vAlign w:val="center"/>
                </w:tcPr>
                <w:p w14:paraId="798136C4">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环境管控</w:t>
                  </w:r>
                </w:p>
                <w:p w14:paraId="6D1EEF51">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单元编码</w:t>
                  </w:r>
                </w:p>
              </w:tc>
              <w:tc>
                <w:tcPr>
                  <w:tcW w:w="484" w:type="pct"/>
                  <w:vAlign w:val="center"/>
                </w:tcPr>
                <w:p w14:paraId="33F5558A">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行政</w:t>
                  </w:r>
                </w:p>
                <w:p w14:paraId="56CFE8D7">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区划</w:t>
                  </w:r>
                </w:p>
              </w:tc>
              <w:tc>
                <w:tcPr>
                  <w:tcW w:w="679" w:type="pct"/>
                  <w:vAlign w:val="center"/>
                </w:tcPr>
                <w:p w14:paraId="01246809">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环境管控</w:t>
                  </w:r>
                </w:p>
                <w:p w14:paraId="6CB7D245">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单元类型</w:t>
                  </w:r>
                </w:p>
              </w:tc>
            </w:tr>
            <w:tr w14:paraId="6572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11" w:type="pct"/>
                  <w:vAlign w:val="center"/>
                </w:tcPr>
                <w:p w14:paraId="28A8FF10">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2885" w:type="pct"/>
                  <w:vAlign w:val="center"/>
                </w:tcPr>
                <w:p w14:paraId="764DD097">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泸定县一般管控单元</w:t>
                  </w:r>
                </w:p>
              </w:tc>
              <w:tc>
                <w:tcPr>
                  <w:tcW w:w="739" w:type="pct"/>
                  <w:vAlign w:val="center"/>
                </w:tcPr>
                <w:p w14:paraId="46A01D6C">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ZH51332230001</w:t>
                  </w:r>
                </w:p>
              </w:tc>
              <w:tc>
                <w:tcPr>
                  <w:tcW w:w="484" w:type="pct"/>
                  <w:vMerge w:val="restart"/>
                  <w:vAlign w:val="center"/>
                </w:tcPr>
                <w:p w14:paraId="07957FDF">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679" w:type="pct"/>
                  <w:vAlign w:val="center"/>
                </w:tcPr>
                <w:p w14:paraId="0D573401">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一般管控单元</w:t>
                  </w:r>
                </w:p>
              </w:tc>
            </w:tr>
            <w:tr w14:paraId="66A1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11" w:type="pct"/>
                  <w:vAlign w:val="center"/>
                </w:tcPr>
                <w:p w14:paraId="255BF5A8">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p>
              </w:tc>
              <w:tc>
                <w:tcPr>
                  <w:tcW w:w="2885" w:type="pct"/>
                  <w:vAlign w:val="center"/>
                </w:tcPr>
                <w:p w14:paraId="625A8050">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泸定县城镇空间</w:t>
                  </w:r>
                </w:p>
              </w:tc>
              <w:tc>
                <w:tcPr>
                  <w:tcW w:w="739" w:type="pct"/>
                  <w:vAlign w:val="center"/>
                </w:tcPr>
                <w:p w14:paraId="48C2F39C">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ZH51332220001</w:t>
                  </w:r>
                </w:p>
              </w:tc>
              <w:tc>
                <w:tcPr>
                  <w:tcW w:w="484" w:type="pct"/>
                  <w:vMerge w:val="continue"/>
                  <w:vAlign w:val="center"/>
                </w:tcPr>
                <w:p w14:paraId="4821B17B">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679" w:type="pct"/>
                  <w:vAlign w:val="center"/>
                </w:tcPr>
                <w:p w14:paraId="73A7407E">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城镇重点管控单元</w:t>
                  </w:r>
                </w:p>
              </w:tc>
            </w:tr>
            <w:tr w14:paraId="10A3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11" w:type="pct"/>
                  <w:vAlign w:val="center"/>
                </w:tcPr>
                <w:p w14:paraId="4BC00A2B">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w:t>
                  </w:r>
                </w:p>
              </w:tc>
              <w:tc>
                <w:tcPr>
                  <w:tcW w:w="2885" w:type="pct"/>
                  <w:vAlign w:val="center"/>
                </w:tcPr>
                <w:p w14:paraId="42C09A50">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四川贡嘎山国家级自然保护区、贡嘎山国家级风景名胜区、泸定县木角沟饮用水水源保护区、泸定县羊圈沟饮用水水源保护区、四川大熊猫栖息地世界自然遗产地、生态功能极重要和重要区</w:t>
                  </w:r>
                </w:p>
              </w:tc>
              <w:tc>
                <w:tcPr>
                  <w:tcW w:w="739" w:type="pct"/>
                  <w:vAlign w:val="center"/>
                </w:tcPr>
                <w:p w14:paraId="5FD87992">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ZH51332210001</w:t>
                  </w:r>
                </w:p>
              </w:tc>
              <w:tc>
                <w:tcPr>
                  <w:tcW w:w="484" w:type="pct"/>
                  <w:vMerge w:val="continue"/>
                  <w:vAlign w:val="center"/>
                </w:tcPr>
                <w:p w14:paraId="3917258B">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679" w:type="pct"/>
                  <w:vAlign w:val="center"/>
                </w:tcPr>
                <w:p w14:paraId="5B0E5176">
                  <w:pPr>
                    <w:pStyle w:val="152"/>
                    <w:widowControl/>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优先保护单元</w:t>
                  </w:r>
                </w:p>
              </w:tc>
            </w:tr>
          </w:tbl>
          <w:p w14:paraId="0D2EC124">
            <w:pPr>
              <w:wordWrap w:val="0"/>
              <w:spacing w:line="360" w:lineRule="auto"/>
              <w:ind w:firstLine="480" w:firstLineChars="200"/>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szCs w:val="20"/>
                <w14:textFill>
                  <w14:solidFill>
                    <w14:schemeClr w14:val="tx1"/>
                  </w14:solidFill>
                </w14:textFill>
              </w:rPr>
              <w:t>本项目</w:t>
            </w:r>
            <w:r>
              <w:rPr>
                <w:rFonts w:hint="default" w:ascii="Times New Roman" w:hAnsi="Times New Roman" w:eastAsia="宋体" w:cs="Times New Roman"/>
                <w:bCs/>
                <w:color w:val="000000" w:themeColor="text1"/>
                <w:kern w:val="0"/>
                <w:sz w:val="24"/>
                <w14:textFill>
                  <w14:solidFill>
                    <w14:schemeClr w14:val="tx1"/>
                  </w14:solidFill>
                </w14:textFill>
              </w:rPr>
              <w:t>涉及的环境要素管控分区有</w:t>
            </w:r>
            <w:r>
              <w:rPr>
                <w:rFonts w:hint="eastAsia" w:ascii="Times New Roman" w:hAnsi="Times New Roman" w:cs="Times New Roman"/>
                <w:bCs/>
                <w:color w:val="000000" w:themeColor="text1"/>
                <w:kern w:val="0"/>
                <w:sz w:val="24"/>
                <w:lang w:val="en-US" w:eastAsia="zh-CN"/>
                <w14:textFill>
                  <w14:solidFill>
                    <w14:schemeClr w14:val="tx1"/>
                  </w14:solidFill>
                </w14:textFill>
              </w:rPr>
              <w:t>13</w:t>
            </w:r>
            <w:r>
              <w:rPr>
                <w:rFonts w:hint="default" w:ascii="Times New Roman" w:hAnsi="Times New Roman" w:eastAsia="宋体" w:cs="Times New Roman"/>
                <w:bCs/>
                <w:color w:val="000000" w:themeColor="text1"/>
                <w:kern w:val="0"/>
                <w:sz w:val="24"/>
                <w14:textFill>
                  <w14:solidFill>
                    <w14:schemeClr w14:val="tx1"/>
                  </w14:solidFill>
                </w14:textFill>
              </w:rPr>
              <w:t>个，</w:t>
            </w:r>
            <w:r>
              <w:rPr>
                <w:rFonts w:hint="default" w:ascii="Times New Roman" w:hAnsi="Times New Roman" w:eastAsia="宋体" w:cs="Times New Roman"/>
                <w:color w:val="000000" w:themeColor="text1"/>
                <w:kern w:val="0"/>
                <w:sz w:val="24"/>
                <w14:textFill>
                  <w14:solidFill>
                    <w14:schemeClr w14:val="tx1"/>
                  </w14:solidFill>
                </w14:textFill>
              </w:rPr>
              <w:t>具</w:t>
            </w:r>
            <w:r>
              <w:rPr>
                <w:rFonts w:hint="default" w:ascii="Times New Roman" w:hAnsi="Times New Roman" w:eastAsia="宋体" w:cs="Times New Roman"/>
                <w:bCs/>
                <w:color w:val="000000" w:themeColor="text1"/>
                <w:sz w:val="24"/>
                <w:szCs w:val="22"/>
                <w14:textFill>
                  <w14:solidFill>
                    <w14:schemeClr w14:val="tx1"/>
                  </w14:solidFill>
                </w14:textFill>
              </w:rPr>
              <w:t>体</w:t>
            </w:r>
            <w:r>
              <w:rPr>
                <w:rFonts w:hint="default" w:ascii="Times New Roman" w:hAnsi="Times New Roman" w:eastAsia="宋体" w:cs="Times New Roman"/>
                <w:bCs/>
                <w:color w:val="000000" w:themeColor="text1"/>
                <w:kern w:val="0"/>
                <w:sz w:val="24"/>
                <w:lang w:eastAsia="zh-CN"/>
                <w14:textFill>
                  <w14:solidFill>
                    <w14:schemeClr w14:val="tx1"/>
                  </w14:solidFill>
                </w14:textFill>
              </w:rPr>
              <w:t>管控分区见下表</w:t>
            </w:r>
            <w:r>
              <w:rPr>
                <w:rFonts w:hint="default" w:ascii="Times New Roman" w:hAnsi="Times New Roman" w:eastAsia="宋体" w:cs="Times New Roman"/>
                <w:bCs/>
                <w:color w:val="000000" w:themeColor="text1"/>
                <w:sz w:val="24"/>
                <w:szCs w:val="22"/>
                <w14:textFill>
                  <w14:solidFill>
                    <w14:schemeClr w14:val="tx1"/>
                  </w14:solidFill>
                </w14:textFill>
              </w:rPr>
              <w:t>。</w:t>
            </w:r>
          </w:p>
          <w:p w14:paraId="7C3EFCCD">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项目涉及环境管控单元一览表</w:t>
            </w:r>
          </w:p>
          <w:tbl>
            <w:tblPr>
              <w:tblStyle w:val="55"/>
              <w:tblW w:w="4998" w:type="pct"/>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fixed"/>
              <w:tblCellMar>
                <w:top w:w="0" w:type="dxa"/>
                <w:left w:w="10" w:type="dxa"/>
                <w:bottom w:w="0" w:type="dxa"/>
                <w:right w:w="10" w:type="dxa"/>
              </w:tblCellMar>
            </w:tblPr>
            <w:tblGrid>
              <w:gridCol w:w="377"/>
              <w:gridCol w:w="1887"/>
              <w:gridCol w:w="2002"/>
              <w:gridCol w:w="1221"/>
              <w:gridCol w:w="802"/>
              <w:gridCol w:w="1643"/>
            </w:tblGrid>
            <w:tr w14:paraId="2DBBD8E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8C20185">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0E80A3C">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涉及环境要素管控分区名称</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7844427">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涉及环境要素管控分区编码</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9856F27">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行政区划</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DA9E493">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环境要素类型</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AA1D5AD">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环境要素细类</w:t>
                  </w:r>
                </w:p>
              </w:tc>
            </w:tr>
            <w:tr w14:paraId="4E18D9D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B287587">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539D2A7">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大渡河江河湖库岸线其他区域</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B37A27F">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YS5133223610001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F5A9160">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D0C9E76">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岸线</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C394F2F">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江河湖库其他区域</w:t>
                  </w:r>
                </w:p>
              </w:tc>
            </w:tr>
            <w:tr w14:paraId="4970D97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4E7B3E2">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27EE39F">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大渡河江河湖库岸线优先保护区</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5476592">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YS5133221610001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809D58F">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D9A4B76">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岸线</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3B96CB3">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江河湖库岸线优先保护区</w:t>
                  </w:r>
                </w:p>
              </w:tc>
            </w:tr>
            <w:tr w14:paraId="1D7B4CD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12D57C4">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FF2ED2F">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大渡河江河湖库岸线重点管控区</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4769EFA">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YS5133222610001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D022B86">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42F0A30">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岸线</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F59B2C9">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江河湖库岸线重点管控区</w:t>
                  </w:r>
                </w:p>
              </w:tc>
            </w:tr>
            <w:tr w14:paraId="4AB739E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3F885A4">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F349123">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泸定县城镇开发边界</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A9CBE23">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YS5133222530001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F05ED9D">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14A7755">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自然资源</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36CFE0E">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土地资源重点管控区</w:t>
                  </w:r>
                </w:p>
              </w:tc>
            </w:tr>
            <w:tr w14:paraId="3E86644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E95A989">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1E13691">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泸定县自然资源重点管控区</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E97C318">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YS5133222550001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3A27B8A">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ABE7BFD">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自然资源</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E484042">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自然资源重点管控区</w:t>
                  </w:r>
                </w:p>
              </w:tc>
            </w:tr>
            <w:tr w14:paraId="2E049EB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62F85F8">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21A644C">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泸定县自然资源一般管控区</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818D343">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YS5133223510001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192C5E8">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CF2ED3A">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自然资源</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D74811F">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自然资源一般管控区</w:t>
                  </w:r>
                </w:p>
              </w:tc>
            </w:tr>
            <w:tr w14:paraId="5009EB4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C15BC7B">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16949D8">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生态优先保护区（一般生态空间）5</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4F5B7C6">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YS5133221130005</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2D51DA8">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826CAD6">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生态</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9746E1C">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一般生态空间</w:t>
                  </w:r>
                </w:p>
              </w:tc>
            </w:tr>
            <w:tr w14:paraId="2CB2A53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07D4B77">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8</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330BCF2">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泸定县其他区域</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996E7D8">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YS5133223110001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ADD750B">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B741B90">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生态</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15E952D">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一般管控区</w:t>
                  </w:r>
                </w:p>
              </w:tc>
            </w:tr>
            <w:tr w14:paraId="7D2F20D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297C307">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767E80D">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大渡河-泸定县-大岗山-控制单元</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BF3583F">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YS5133221210002</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10FAF1E">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9E926A2">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79B5CFC">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水环境优先保护区</w:t>
                  </w:r>
                </w:p>
              </w:tc>
            </w:tr>
            <w:tr w14:paraId="2840AC8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B08F154">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16056A2">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大渡河-泸定县-大岗山-控制单元</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E824C45">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YS5133222220001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5E6C466">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5032EAB">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9199CE3">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水环境城镇生活污染重点管控区</w:t>
                  </w:r>
                </w:p>
              </w:tc>
            </w:tr>
            <w:tr w14:paraId="18AE63A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A9D6F6E">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11</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A21236F">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大渡河-泸定县-大岗山-控制单元</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7B0C68A">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w:t>
                  </w:r>
                  <w:r>
                    <w:rPr>
                      <w:rFonts w:hint="eastAsia" w:eastAsia="宋体" w:cs="Times New Roman"/>
                      <w:color w:val="000000" w:themeColor="text1"/>
                      <w:sz w:val="21"/>
                      <w:szCs w:val="21"/>
                      <w:lang w:eastAsia="zh-CN"/>
                      <w14:textFill>
                        <w14:solidFill>
                          <w14:schemeClr w14:val="tx1"/>
                        </w14:solidFill>
                      </w14:textFill>
                    </w:rPr>
                    <w:t>3600</w:t>
                  </w:r>
                  <w:r>
                    <w:rPr>
                      <w:rFonts w:hint="default" w:ascii="Times New Roman" w:hAnsi="Times New Roman" w:eastAsia="宋体" w:cs="Times New Roman"/>
                      <w:color w:val="000000" w:themeColor="text1"/>
                      <w:sz w:val="21"/>
                      <w:szCs w:val="21"/>
                      <w14:textFill>
                        <w14:solidFill>
                          <w14:schemeClr w14:val="tx1"/>
                        </w14:solidFill>
                      </w14:textFill>
                    </w:rPr>
                    <w:t>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915E58B">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A9ADC65">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D6E2C12">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水环境一般管控区</w:t>
                  </w:r>
                </w:p>
              </w:tc>
            </w:tr>
            <w:tr w14:paraId="5F7DE96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1DC875DD">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12</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AFDAB19">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泸定县大气环境一般管控区</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724888C">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YS5133223310001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4951CB9">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20334CBC">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421CE523">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大气环境一般管控区</w:t>
                  </w:r>
                </w:p>
              </w:tc>
            </w:tr>
            <w:tr w14:paraId="2B37496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 w:type="dxa"/>
                  <w:bottom w:w="0" w:type="dxa"/>
                  <w:right w:w="10" w:type="dxa"/>
                </w:tblCellMar>
              </w:tblPrEx>
              <w:trPr>
                <w:trHeight w:val="23" w:hRule="atLeast"/>
              </w:trPr>
              <w:tc>
                <w:tcPr>
                  <w:tcW w:w="238"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07E7B138">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13</w:t>
                  </w:r>
                </w:p>
              </w:tc>
              <w:tc>
                <w:tcPr>
                  <w:tcW w:w="118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053E9C9">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泸定县城镇集中建设区</w:t>
                  </w:r>
                </w:p>
              </w:tc>
              <w:tc>
                <w:tcPr>
                  <w:tcW w:w="1261"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63A0D62C">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YS5133222340001</w:t>
                  </w:r>
                </w:p>
              </w:tc>
              <w:tc>
                <w:tcPr>
                  <w:tcW w:w="769"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7E5BF055">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甘孜藏族自治州泸定县</w:t>
                  </w:r>
                </w:p>
              </w:tc>
              <w:tc>
                <w:tcPr>
                  <w:tcW w:w="50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58C3CF4F">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w:t>
                  </w:r>
                </w:p>
              </w:tc>
              <w:tc>
                <w:tcPr>
                  <w:tcW w:w="1035" w:type="pct"/>
                  <w:tcBorders>
                    <w:top w:val="single" w:color="000000" w:sz="4" w:space="0"/>
                    <w:left w:val="single" w:color="000000" w:sz="4" w:space="0"/>
                    <w:bottom w:val="single" w:color="000000" w:sz="4" w:space="0"/>
                    <w:right w:val="single" w:color="000000" w:sz="4" w:space="0"/>
                  </w:tcBorders>
                  <w:tcMar>
                    <w:top w:w="50" w:type="dxa"/>
                    <w:left w:w="50" w:type="dxa"/>
                    <w:bottom w:w="50" w:type="dxa"/>
                    <w:right w:w="50" w:type="dxa"/>
                  </w:tcMar>
                  <w:vAlign w:val="center"/>
                </w:tcPr>
                <w:p w14:paraId="3A28DDEE">
                  <w:pPr>
                    <w:pStyle w:val="152"/>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大气环境受体敏感重点管控区</w:t>
                  </w:r>
                </w:p>
              </w:tc>
            </w:tr>
          </w:tbl>
          <w:p w14:paraId="10A9AD29">
            <w:pPr>
              <w:pStyle w:val="3"/>
              <w:ind w:left="0" w:firstLine="0"/>
              <w:rPr>
                <w:rFonts w:hint="default" w:ascii="Times New Roman" w:hAnsi="Times New Roman" w:eastAsia="宋体" w:cs="Times New Roman"/>
                <w:color w:val="000000" w:themeColor="text1"/>
                <w14:textFill>
                  <w14:solidFill>
                    <w14:schemeClr w14:val="tx1"/>
                  </w14:solidFill>
                </w14:textFill>
              </w:rPr>
            </w:pPr>
          </w:p>
        </w:tc>
      </w:tr>
    </w:tbl>
    <w:p w14:paraId="52DF303A">
      <w:pPr>
        <w:pStyle w:val="151"/>
        <w:spacing w:line="360" w:lineRule="auto"/>
        <w:ind w:firstLine="480"/>
        <w:rPr>
          <w:rFonts w:hint="default" w:ascii="Times New Roman" w:hAnsi="Times New Roman" w:eastAsia="宋体" w:cs="Times New Roman"/>
          <w:color w:val="000000" w:themeColor="text1"/>
          <w14:textFill>
            <w14:solidFill>
              <w14:schemeClr w14:val="tx1"/>
            </w14:solidFill>
          </w14:textFill>
        </w:rPr>
        <w:sectPr>
          <w:footerReference r:id="rId7" w:type="default"/>
          <w:pgSz w:w="11906" w:h="16838"/>
          <w:pgMar w:top="1418" w:right="1531" w:bottom="1418" w:left="1531" w:header="851" w:footer="737" w:gutter="0"/>
          <w:pgBorders>
            <w:top w:val="none" w:sz="0" w:space="0"/>
            <w:left w:val="none" w:sz="0" w:space="0"/>
            <w:bottom w:val="none" w:sz="0" w:space="0"/>
            <w:right w:val="none" w:sz="0" w:space="0"/>
          </w:pgBorders>
          <w:pgNumType w:start="1"/>
          <w:cols w:space="720" w:num="1"/>
          <w:docGrid w:type="lines" w:linePitch="312" w:charSpace="0"/>
        </w:sectPr>
      </w:pP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92"/>
      </w:tblGrid>
      <w:tr w14:paraId="5231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2" w:type="dxa"/>
          </w:tcPr>
          <w:p w14:paraId="3B16620A">
            <w:pPr>
              <w:pStyle w:val="151"/>
              <w:spacing w:line="360" w:lineRule="auto"/>
              <w:ind w:firstLine="480"/>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本项目与涉及的环境管控单元符合性分析见下图所示。</w:t>
            </w:r>
          </w:p>
          <w:p w14:paraId="64BBE323">
            <w:pPr>
              <w:spacing w:line="240" w:lineRule="auto"/>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drawing>
                <wp:inline distT="0" distB="0" distL="114300" distR="114300">
                  <wp:extent cx="8740775" cy="3771265"/>
                  <wp:effectExtent l="0" t="0" r="3175" b="635"/>
                  <wp:docPr id="1" name="图片 1" descr="地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地图 (3)"/>
                          <pic:cNvPicPr>
                            <a:picLocks noChangeAspect="1"/>
                          </pic:cNvPicPr>
                        </pic:nvPicPr>
                        <pic:blipFill>
                          <a:blip r:embed="rId10"/>
                          <a:stretch>
                            <a:fillRect/>
                          </a:stretch>
                        </pic:blipFill>
                        <pic:spPr>
                          <a:xfrm>
                            <a:off x="0" y="0"/>
                            <a:ext cx="8740775" cy="3771265"/>
                          </a:xfrm>
                          <a:prstGeom prst="rect">
                            <a:avLst/>
                          </a:prstGeom>
                        </pic:spPr>
                      </pic:pic>
                    </a:graphicData>
                  </a:graphic>
                </wp:inline>
              </w:drawing>
            </w:r>
          </w:p>
          <w:p w14:paraId="170596D3">
            <w:pPr>
              <w:pStyle w:val="155"/>
              <w:numPr>
                <w:ilvl w:val="0"/>
                <w:numId w:val="8"/>
              </w:numPr>
              <w:spacing w:line="240" w:lineRule="auto"/>
              <w:ind w:firstLineChars="0"/>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项目与所在区域环境管控单元的位置关系</w:t>
            </w:r>
          </w:p>
          <w:p w14:paraId="4C77DFB6">
            <w:pPr>
              <w:wordWrap w:val="0"/>
              <w:spacing w:line="360" w:lineRule="auto"/>
              <w:ind w:firstLine="482" w:firstLineChars="200"/>
              <w:rPr>
                <w:rFonts w:hint="default" w:ascii="Times New Roman" w:hAnsi="Times New Roman" w:eastAsia="宋体" w:cs="Times New Roman"/>
                <w:b/>
                <w:bCs/>
                <w:color w:val="000000" w:themeColor="text1"/>
                <w:sz w:val="24"/>
                <w:szCs w:val="20"/>
                <w14:textFill>
                  <w14:solidFill>
                    <w14:schemeClr w14:val="tx1"/>
                  </w14:solidFill>
                </w14:textFill>
              </w:rPr>
            </w:pPr>
            <w:r>
              <w:rPr>
                <w:rFonts w:hint="default" w:ascii="Times New Roman" w:hAnsi="Times New Roman" w:eastAsia="宋体" w:cs="Times New Roman"/>
                <w:b/>
                <w:bCs/>
                <w:color w:val="000000" w:themeColor="text1"/>
                <w:sz w:val="24"/>
                <w:szCs w:val="20"/>
                <w14:textFill>
                  <w14:solidFill>
                    <w14:schemeClr w14:val="tx1"/>
                  </w14:solidFill>
                </w14:textFill>
              </w:rPr>
              <w:t>（2）项目</w:t>
            </w:r>
            <w:r>
              <w:rPr>
                <w:rFonts w:hint="default" w:ascii="Times New Roman" w:hAnsi="Times New Roman" w:eastAsia="宋体" w:cs="Times New Roman"/>
                <w:b/>
                <w:bCs/>
                <w:color w:val="000000" w:themeColor="text1"/>
                <w:kern w:val="0"/>
                <w:sz w:val="24"/>
                <w:szCs w:val="20"/>
                <w14:textFill>
                  <w14:solidFill>
                    <w14:schemeClr w14:val="tx1"/>
                  </w14:solidFill>
                </w14:textFill>
              </w:rPr>
              <w:t>与生态保护红线位置关系</w:t>
            </w:r>
          </w:p>
          <w:p w14:paraId="2DCE38C3">
            <w:pPr>
              <w:pStyle w:val="151"/>
              <w:spacing w:line="360" w:lineRule="auto"/>
              <w:ind w:firstLine="480"/>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本项目</w:t>
            </w:r>
            <w:r>
              <w:rPr>
                <w:rFonts w:hint="default" w:ascii="Times New Roman" w:hAnsi="Times New Roman" w:eastAsia="宋体" w:cs="Times New Roman"/>
                <w:color w:val="000000" w:themeColor="text1"/>
                <w:lang w:val="en-US" w:eastAsia="zh-CN"/>
                <w14:textFill>
                  <w14:solidFill>
                    <w14:schemeClr w14:val="tx1"/>
                  </w14:solidFill>
                </w14:textFill>
              </w:rPr>
              <w:t>距离最近的生态保护红线12</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m，</w:t>
            </w:r>
            <w:r>
              <w:rPr>
                <w:rFonts w:hint="default" w:ascii="Times New Roman" w:hAnsi="Times New Roman" w:eastAsia="宋体" w:cs="Times New Roman"/>
                <w:color w:val="000000" w:themeColor="text1"/>
                <w14:textFill>
                  <w14:solidFill>
                    <w14:schemeClr w14:val="tx1"/>
                  </w14:solidFill>
                </w14:textFill>
              </w:rPr>
              <w:t>与生态保护红线位置关系见下图所示。</w:t>
            </w:r>
          </w:p>
          <w:p w14:paraId="5B645D0A">
            <w:pPr>
              <w:pStyle w:val="151"/>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drawing>
                <wp:inline distT="0" distB="0" distL="114300" distR="114300">
                  <wp:extent cx="7939405" cy="5292090"/>
                  <wp:effectExtent l="0" t="0" r="4445" b="3810"/>
                  <wp:docPr id="66" name="图片 66" descr="矩形区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矩形区域(2)"/>
                          <pic:cNvPicPr>
                            <a:picLocks noChangeAspect="1"/>
                          </pic:cNvPicPr>
                        </pic:nvPicPr>
                        <pic:blipFill>
                          <a:blip r:embed="rId11"/>
                          <a:stretch>
                            <a:fillRect/>
                          </a:stretch>
                        </pic:blipFill>
                        <pic:spPr>
                          <a:xfrm>
                            <a:off x="0" y="0"/>
                            <a:ext cx="7939405" cy="5292090"/>
                          </a:xfrm>
                          <a:prstGeom prst="rect">
                            <a:avLst/>
                          </a:prstGeom>
                        </pic:spPr>
                      </pic:pic>
                    </a:graphicData>
                  </a:graphic>
                </wp:inline>
              </w:drawing>
            </w:r>
          </w:p>
          <w:p w14:paraId="34523E6C">
            <w:pPr>
              <w:pStyle w:val="155"/>
              <w:keepNext w:val="0"/>
              <w:keepLines w:val="0"/>
              <w:pageBreakBefore w:val="0"/>
              <w:widowControl w:val="0"/>
              <w:numPr>
                <w:ilvl w:val="0"/>
                <w:numId w:val="8"/>
              </w:numPr>
              <w:kinsoku/>
              <w:wordWrap/>
              <w:overflowPunct/>
              <w:topLinePunct w:val="0"/>
              <w:autoSpaceDE/>
              <w:autoSpaceDN/>
              <w:bidi w:val="0"/>
              <w:adjustRightInd w:val="0"/>
              <w:snapToGrid w:val="0"/>
              <w:spacing w:line="240" w:lineRule="auto"/>
              <w:ind w:left="0" w:firstLineChars="0"/>
              <w:jc w:val="center"/>
              <w:textAlignment w:val="auto"/>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项目与生态保护红线位置关系图</w:t>
            </w:r>
          </w:p>
        </w:tc>
      </w:tr>
    </w:tbl>
    <w:p w14:paraId="4FA43C18">
      <w:pPr>
        <w:spacing w:line="360" w:lineRule="auto"/>
        <w:ind w:firstLine="420" w:firstLineChars="200"/>
        <w:rPr>
          <w:rFonts w:hint="default" w:ascii="Times New Roman" w:hAnsi="Times New Roman" w:eastAsia="宋体" w:cs="Times New Roman"/>
          <w:color w:val="000000" w:themeColor="text1"/>
          <w14:textFill>
            <w14:solidFill>
              <w14:schemeClr w14:val="tx1"/>
            </w14:solidFill>
          </w14:textFill>
        </w:rPr>
        <w:sectPr>
          <w:pgSz w:w="16838" w:h="11906" w:orient="landscape"/>
          <w:pgMar w:top="1644" w:right="1418" w:bottom="1531" w:left="1418" w:header="851" w:footer="737" w:gutter="0"/>
          <w:pgBorders>
            <w:top w:val="none" w:sz="0" w:space="0"/>
            <w:left w:val="none" w:sz="0" w:space="0"/>
            <w:bottom w:val="none" w:sz="0" w:space="0"/>
            <w:right w:val="none" w:sz="0" w:space="0"/>
          </w:pgBorders>
          <w:cols w:space="720" w:num="1"/>
          <w:docGrid w:type="lines" w:linePitch="312" w:charSpace="0"/>
        </w:sectPr>
      </w:pP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1"/>
      </w:tblGrid>
      <w:tr w14:paraId="5108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7" w:type="dxa"/>
          </w:tcPr>
          <w:p w14:paraId="06D1B1CE">
            <w:pPr>
              <w:pStyle w:val="151"/>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本项目不涉及永久基本农田</w:t>
            </w:r>
            <w:r>
              <w:rPr>
                <w:rFonts w:hint="eastAsia" w:ascii="Times New Roman" w:hAnsi="Times New Roman" w:cs="Times New Roman"/>
                <w:color w:val="000000" w:themeColor="text1"/>
                <w:lang w:val="en-US" w:eastAsia="zh-CN"/>
                <w14:textFill>
                  <w14:solidFill>
                    <w14:schemeClr w14:val="tx1"/>
                  </w14:solidFill>
                </w14:textFill>
              </w:rPr>
              <w:t>，本项目与永久基本农田的最近距离约2m</w:t>
            </w:r>
            <w:r>
              <w:rPr>
                <w:rFonts w:hint="default" w:ascii="Times New Roman" w:hAnsi="Times New Roman" w:eastAsia="宋体" w:cs="Times New Roman"/>
                <w:color w:val="000000" w:themeColor="text1"/>
                <w:lang w:val="en-US" w:eastAsia="zh-CN"/>
                <w14:textFill>
                  <w14:solidFill>
                    <w14:schemeClr w14:val="tx1"/>
                  </w14:solidFill>
                </w14:textFill>
              </w:rPr>
              <w:t>。</w:t>
            </w:r>
          </w:p>
          <w:p w14:paraId="62125C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vertAlign w:val="baseline"/>
                <w:lang w:val="en-US" w:eastAsia="zh-CN"/>
                <w14:textFill>
                  <w14:solidFill>
                    <w14:schemeClr w14:val="tx1"/>
                  </w14:solidFill>
                </w14:textFill>
              </w:rPr>
              <w:drawing>
                <wp:inline distT="0" distB="0" distL="114300" distR="114300">
                  <wp:extent cx="5396865" cy="6746240"/>
                  <wp:effectExtent l="0" t="0" r="13335" b="16510"/>
                  <wp:docPr id="3" name="图片 3" descr="与基本农田位置关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与基本农田位置关系图"/>
                          <pic:cNvPicPr>
                            <a:picLocks noChangeAspect="1"/>
                          </pic:cNvPicPr>
                        </pic:nvPicPr>
                        <pic:blipFill>
                          <a:blip r:embed="rId12"/>
                          <a:stretch>
                            <a:fillRect/>
                          </a:stretch>
                        </pic:blipFill>
                        <pic:spPr>
                          <a:xfrm>
                            <a:off x="0" y="0"/>
                            <a:ext cx="5396865" cy="6746240"/>
                          </a:xfrm>
                          <a:prstGeom prst="rect">
                            <a:avLst/>
                          </a:prstGeom>
                        </pic:spPr>
                      </pic:pic>
                    </a:graphicData>
                  </a:graphic>
                </wp:inline>
              </w:drawing>
            </w:r>
          </w:p>
          <w:p w14:paraId="7A2159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vertAlign w:val="baseline"/>
                <w:lang w:val="en-US" w:eastAsia="zh-CN"/>
                <w14:textFill>
                  <w14:solidFill>
                    <w14:schemeClr w14:val="tx1"/>
                  </w14:solidFill>
                </w14:textFill>
              </w:rPr>
            </w:pPr>
            <w:r>
              <w:rPr>
                <w:rFonts w:hint="eastAsia" w:ascii="Times New Roman" w:hAnsi="Times New Roman" w:cs="Times New Roman"/>
                <w:b/>
                <w:bCs/>
                <w:color w:val="000000" w:themeColor="text1"/>
                <w:vertAlign w:val="baseline"/>
                <w:lang w:val="en-US" w:eastAsia="zh-CN"/>
                <w14:textFill>
                  <w14:solidFill>
                    <w14:schemeClr w14:val="tx1"/>
                  </w14:solidFill>
                </w14:textFill>
              </w:rPr>
              <w:t>图1-3本项目与永久基本农田位置关系图（黄色区域为永久基本农田，蓝色为距离标注）</w:t>
            </w:r>
          </w:p>
        </w:tc>
      </w:tr>
    </w:tbl>
    <w:p w14:paraId="2B2708C7">
      <w:pPr>
        <w:spacing w:line="360" w:lineRule="auto"/>
        <w:rPr>
          <w:rFonts w:hint="default" w:ascii="Times New Roman" w:hAnsi="Times New Roman" w:eastAsia="宋体" w:cs="Times New Roman"/>
          <w:color w:val="000000" w:themeColor="text1"/>
          <w14:textFill>
            <w14:solidFill>
              <w14:schemeClr w14:val="tx1"/>
            </w14:solidFill>
          </w14:textFill>
        </w:rPr>
        <w:sectPr>
          <w:pgSz w:w="11906" w:h="16838"/>
          <w:pgMar w:top="1418" w:right="1531" w:bottom="1418" w:left="1644" w:header="851" w:footer="737" w:gutter="0"/>
          <w:pgBorders>
            <w:top w:val="none" w:sz="0" w:space="0"/>
            <w:left w:val="none" w:sz="0" w:space="0"/>
            <w:bottom w:val="none" w:sz="0" w:space="0"/>
            <w:right w:val="none" w:sz="0" w:space="0"/>
          </w:pgBorders>
          <w:cols w:space="720" w:num="1"/>
          <w:docGrid w:type="lines" w:linePitch="312" w:charSpace="0"/>
        </w:sectPr>
      </w:pP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2"/>
      </w:tblGrid>
      <w:tr w14:paraId="7436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92" w:type="dxa"/>
          </w:tcPr>
          <w:p w14:paraId="119067E2">
            <w:pPr>
              <w:spacing w:line="360" w:lineRule="auto"/>
              <w:ind w:firstLine="482" w:firstLineChars="200"/>
              <w:rPr>
                <w:rFonts w:hint="default" w:ascii="Times New Roman" w:hAnsi="Times New Roman" w:eastAsia="宋体" w:cs="Times New Roman"/>
                <w:b/>
                <w:bCs/>
                <w:color w:val="000000" w:themeColor="text1"/>
                <w:sz w:val="24"/>
                <w:szCs w:val="20"/>
                <w14:textFill>
                  <w14:solidFill>
                    <w14:schemeClr w14:val="tx1"/>
                  </w14:solidFill>
                </w14:textFill>
              </w:rPr>
            </w:pPr>
            <w:r>
              <w:rPr>
                <w:rFonts w:hint="default" w:ascii="Times New Roman" w:hAnsi="Times New Roman" w:eastAsia="宋体" w:cs="Times New Roman"/>
                <w:b/>
                <w:bCs/>
                <w:color w:val="000000" w:themeColor="text1"/>
                <w:sz w:val="24"/>
                <w:szCs w:val="20"/>
                <w14:textFill>
                  <w14:solidFill>
                    <w14:schemeClr w14:val="tx1"/>
                  </w14:solidFill>
                </w14:textFill>
              </w:rPr>
              <w:t>（3）项目与环境管控单元类型市州普适性清单符合性</w:t>
            </w:r>
          </w:p>
          <w:p w14:paraId="6BEE0F28">
            <w:pPr>
              <w:spacing w:line="360" w:lineRule="auto"/>
              <w:ind w:firstLine="480" w:firstLineChars="200"/>
              <w:rPr>
                <w:rFonts w:hint="default" w:ascii="Times New Roman" w:hAnsi="Times New Roman" w:eastAsia="宋体" w:cs="Times New Roman"/>
                <w:bCs/>
                <w:color w:val="000000" w:themeColor="text1"/>
                <w:sz w:val="24"/>
                <w:szCs w:val="22"/>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根据</w:t>
            </w:r>
            <w:r>
              <w:rPr>
                <w:rFonts w:hint="default" w:ascii="Times New Roman" w:hAnsi="Times New Roman" w:eastAsia="宋体" w:cs="Times New Roman"/>
                <w:bCs/>
                <w:color w:val="000000" w:themeColor="text1"/>
                <w:sz w:val="24"/>
                <w:szCs w:val="22"/>
                <w14:textFill>
                  <w14:solidFill>
                    <w14:schemeClr w14:val="tx1"/>
                  </w14:solidFill>
                </w14:textFill>
              </w:rPr>
              <w:t>四川省政务服务网中的“生态环境分区管控符合性分析”</w:t>
            </w:r>
            <w:r>
              <w:rPr>
                <w:rFonts w:hint="default" w:ascii="Times New Roman" w:hAnsi="Times New Roman" w:eastAsia="宋体" w:cs="Times New Roman"/>
                <w:color w:val="000000" w:themeColor="text1"/>
                <w:sz w:val="24"/>
                <w:szCs w:val="20"/>
                <w14:textFill>
                  <w14:solidFill>
                    <w14:schemeClr w14:val="tx1"/>
                  </w14:solidFill>
                </w14:textFill>
              </w:rPr>
              <w:t>，本项目与</w:t>
            </w:r>
            <w:r>
              <w:rPr>
                <w:rFonts w:hint="default" w:ascii="Times New Roman" w:hAnsi="Times New Roman" w:eastAsia="宋体" w:cs="Times New Roman"/>
                <w:color w:val="000000" w:themeColor="text1"/>
                <w:kern w:val="0"/>
                <w:sz w:val="24"/>
                <w14:textFill>
                  <w14:solidFill>
                    <w14:schemeClr w14:val="tx1"/>
                  </w14:solidFill>
                </w14:textFill>
              </w:rPr>
              <w:t>环境管控单元类型市州普适性清单</w:t>
            </w:r>
            <w:r>
              <w:rPr>
                <w:rFonts w:hint="default" w:ascii="Times New Roman" w:hAnsi="Times New Roman" w:eastAsia="宋体" w:cs="Times New Roman"/>
                <w:color w:val="000000" w:themeColor="text1"/>
                <w:sz w:val="24"/>
                <w:szCs w:val="20"/>
                <w14:textFill>
                  <w14:solidFill>
                    <w14:schemeClr w14:val="tx1"/>
                  </w14:solidFill>
                </w14:textFill>
              </w:rPr>
              <w:t>符合性分析如下表所示。</w:t>
            </w:r>
          </w:p>
          <w:p w14:paraId="26C86B5E">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项目与环境管控单元类型市州普适性清单符合性分析一览表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48"/>
              <w:gridCol w:w="551"/>
              <w:gridCol w:w="8137"/>
              <w:gridCol w:w="3943"/>
              <w:gridCol w:w="587"/>
            </w:tblGrid>
            <w:tr w14:paraId="6215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354" w:type="pct"/>
                  <w:gridSpan w:val="3"/>
                  <w:vAlign w:val="center"/>
                </w:tcPr>
                <w:p w14:paraId="71CBB61C">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市州普适性清单</w:t>
                  </w:r>
                </w:p>
              </w:tc>
              <w:tc>
                <w:tcPr>
                  <w:tcW w:w="1432" w:type="pct"/>
                  <w:vMerge w:val="restart"/>
                  <w:vAlign w:val="center"/>
                </w:tcPr>
                <w:p w14:paraId="2F163C85">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项目对应</w:t>
                  </w:r>
                </w:p>
                <w:p w14:paraId="031C86F9">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情况介绍</w:t>
                  </w:r>
                </w:p>
              </w:tc>
              <w:tc>
                <w:tcPr>
                  <w:tcW w:w="213" w:type="pct"/>
                  <w:vMerge w:val="restart"/>
                  <w:vAlign w:val="center"/>
                </w:tcPr>
                <w:p w14:paraId="7872AAF6">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符合性</w:t>
                  </w:r>
                </w:p>
              </w:tc>
            </w:tr>
            <w:tr w14:paraId="1DAB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99" w:type="pct"/>
                  <w:gridSpan w:val="2"/>
                  <w:vAlign w:val="center"/>
                </w:tcPr>
                <w:p w14:paraId="71FC53B2">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类别</w:t>
                  </w:r>
                </w:p>
              </w:tc>
              <w:tc>
                <w:tcPr>
                  <w:tcW w:w="2955" w:type="pct"/>
                  <w:vAlign w:val="center"/>
                </w:tcPr>
                <w:p w14:paraId="7823C2B4">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对应管控要求</w:t>
                  </w:r>
                </w:p>
              </w:tc>
              <w:tc>
                <w:tcPr>
                  <w:tcW w:w="1432" w:type="pct"/>
                  <w:vMerge w:val="continue"/>
                  <w:vAlign w:val="center"/>
                </w:tcPr>
                <w:p w14:paraId="0EF17B17">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213" w:type="pct"/>
                  <w:vMerge w:val="continue"/>
                  <w:vAlign w:val="center"/>
                </w:tcPr>
                <w:p w14:paraId="610BD308">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p>
              </w:tc>
            </w:tr>
            <w:tr w14:paraId="0B5D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restart"/>
                  <w:vAlign w:val="center"/>
                </w:tcPr>
                <w:p w14:paraId="6190FBBC">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优先保护单元</w:t>
                  </w:r>
                </w:p>
              </w:tc>
              <w:tc>
                <w:tcPr>
                  <w:tcW w:w="200" w:type="pct"/>
                  <w:vMerge w:val="restart"/>
                  <w:vAlign w:val="center"/>
                </w:tcPr>
                <w:p w14:paraId="121646E6">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空间布局约束</w:t>
                  </w:r>
                </w:p>
              </w:tc>
              <w:tc>
                <w:tcPr>
                  <w:tcW w:w="2955" w:type="pct"/>
                </w:tcPr>
                <w:p w14:paraId="64EF88B6">
                  <w:p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禁止开发建设活动的要求</w:t>
                  </w:r>
                </w:p>
                <w:p w14:paraId="64C5AE89">
                  <w:pPr>
                    <w:numPr>
                      <w:ilvl w:val="0"/>
                      <w:numId w:val="9"/>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生态保护红线：生态保护红线内自然保护地核心保护区外，禁止开发性、生产性建设活动，在符合法律法规的前提下，仅允许《关于加强生态保护红线管理的通知（试行）》（自然资发[2022]142号）中规定的十类对生态功能不造成破坏的有限人为活动。生态保护红线内自然保护区、风景名胜区、饮用水水源保护区等区域，依照法律法规执行。</w:t>
                  </w:r>
                </w:p>
                <w:p w14:paraId="428898AE">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2、自然保护地及饮用水水源地和水产种质资源保护区</w:t>
                  </w:r>
                </w:p>
                <w:p w14:paraId="3E4D1274">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2.1自然保护区：（1）禁止在缓冲区开展旅游和生产经营活动。（2）严禁开设与保护方向不一致的参观、旅游项目。（3）禁止进行砍伐、放牧、狩猎、捕捞、采药、开垦、烧荒、开矿、采石、挖沙等活动（法律、行政法规另有规定除外）。（4）核心区和缓冲区内禁止建设任何生产设施，实验区内不得建设污染环境、破坏资源或景观的生产设施，建设其他项目，其污染物排放不得超过国家和地方规定的污染物排放标准。（5）内部未分区的，依照条例有关核心区和缓冲区的规定管理。</w:t>
                  </w:r>
                </w:p>
                <w:p w14:paraId="4A1807A3">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2.2风景名胜区：（1）禁止开山、采石、开矿、开荒、修坟立碑等活动。（2）禁止修建储存爆炸性、易燃性、放射性、毒害性、腐蚀性物品的设施，或其他破坏景观、污染环境、妨碍游览和危害风景名胜区生态、公共安全的建筑物和构筑物。（3）禁止违反规划在区内设立各类开发区和在核心景区内建设宾馆、招待所、培训中心、疗养院以及与风景名胜资源保护无关的其他建筑物，已经建设的按照规划逐步迁出。（4）在风景名胜区及其外围保护地带不得设立开发区、度假区，不得建设破坏景观、污染环境的工矿企业和其他项目、设施。（5）在游人集中的游览区和自然环境保留地内，不得建设旅馆、招待所、休疗养机构、生活区以及其他影响观瞻或污染环境的工程设施，已经建设的按照规划逐步迁出。（6）重要景点上除必需的保护设施外，不得兴建其他工程设施。（7）禁止任何单位和个人在区内从事开山采石、围湖造田、开荒等活动；禁止超过风景名胜区总体规划确定的容量接待游客。</w:t>
                  </w:r>
                </w:p>
                <w:p w14:paraId="69705A14">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2.3森林公园：1、禁止擅自在国家级森林自然公园内从事采矿、房地产、开发区、高尔夫球场、风力光伏电场等不符合管控要求的开发活动。2、禁止违规侵占国家级森林自然公园，排放不符合水污染物排放标准的工业废水、生活污水及其他的废水、污水，倾倒、堆放、丢弃、遗撒固体废物等污染生态环境的行为。3、国家级森林自然公园按照一般控制区管理。4、国家级森林自然公园范围内除国家重大项目外，仅允许对生态功能不造成破坏的有限人为活动：（1）自然公园内居民和其他合法权益主体依法依规开展的生产生活及设施建设。（2）符合自然公园保护管理要求的文化、体育活动和必要的配套设施建设。（3）符合生态保护红线管控要求的其他活动和设施建设。（4）法律法规和国家政策允许在自然公园内开展的其他活动。</w:t>
                  </w:r>
                </w:p>
                <w:p w14:paraId="76229E0B">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2.4地质公园:（1）禁止在保护区内及可能对地质遗迹造成影响的一定范围内进行采石、取土、开矿、放牧、砍伐以及其它对保护对象有损害的活动。（2）未经管理机构批准，禁止在保护区范围内采集标本和化石。（3）禁止在保护区内修建与地质遗迹保护无关的厂房或其他建筑设施。</w:t>
                  </w:r>
                </w:p>
                <w:p w14:paraId="17282A0A">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2.5世界自然遗产地：（1）禁止建设污染环境、破坏生态和造成水土流失的设施。（2）禁止开山、采石、垦荒、开矿、取土等破坏地表、地貌的活动。（3）禁止修建储存爆炸性、易燃性、放射性、毒害性、腐蚀性等物品设施。（4）禁止设立各类开发区、度假区。（5）禁止在核心保护区建设宾馆、招待所、疗养院及各类培训中心等建筑物、构筑物和其他设施。（6）禁止在缓冲区未经省人民政府世界遗产行政主管部门审核进行建设。（7）禁止其他损害或者破坏世界遗产真实性和完整性的行为。</w:t>
                  </w:r>
                </w:p>
                <w:p w14:paraId="1BB99F7C">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2.6饮用水水源地：（1）禁止设置排污口。（2）禁止在一级保护区内新建、改建、扩建与供水设施和保护水源无关的建设项目，已建成的与供水设施和保护水源无关的建设项目，由县级以上人民政府责令拆除或者关闭。（3）禁止在一级保护区内从事网箱养殖、旅游、游泳、垂钓或者其他可能污染饮用水水体的活动。（4）禁止在二级保护区内新建、改建、扩建排放污染物的建设项目，已建成的排放污染物的建设项目，由县级以上人民政府责令拆除或者关闭。（5）禁止在准保护区内新建、扩建对水体污染严重的建设项目，改建建设项目，不得增加排污量。</w:t>
                  </w:r>
                </w:p>
                <w:p w14:paraId="648CAA7E">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2.7水产种质资源保护区：（1）禁止在水产种质资源保护区内从事围河（湖）造田、造地工程。（2）禁止新建排污口。（3）四川省境内水产种质资源保护区实行全年禁渔。（4）禁止在水产种质资源保护区内从事捕捞、垂钓、挖砂采石以及其他可能对保护区内生物资源和生态环境造成损害的活动。
</w:t>
                  </w:r>
                </w:p>
                <w:p w14:paraId="1C43A2A7">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b w:val="0"/>
                      <w:color w:val="000000" w:themeColor="text1"/>
                      <w:sz w:val="21"/>
                      <w:szCs w:val="21"/>
                      <w14:textFill>
                        <w14:solidFill>
                          <w14:schemeClr w14:val="tx1"/>
                        </w14:solidFill>
                      </w14:textFill>
                    </w:rPr>
                    <w:t>基本农田：（1）禁止在区内建窑、建房、建坟、挖砂、采石、采矿、取土、堆放固体废弃物或进行其他破坏基本农田的活动。（2）禁止占用基本农田发展林果业和挖塘养鱼。
</w:t>
                  </w:r>
                </w:p>
                <w:p w14:paraId="0476F403">
                  <w:pPr>
                    <w:numPr>
                      <w:ilvl w:val="0"/>
                      <w:numId w:val="0"/>
                    </w:numPr>
                    <w:spacing w:before="0" w:after="0" w:line="240" w:lineRule="auto"/>
                    <w:ind w:leftChars="0"/>
                    <w:jc w:val="left"/>
                    <w:rPr>
                      <w:rFonts w:hint="default" w:ascii="Times New Roman" w:hAnsi="Times New Roman" w:eastAsia="宋体" w:cs="Times New Roman"/>
                      <w:b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4、水土保持功能及生物多样性保护重要区、水土流失敏感区：（1）禁止毁林、毁草开垦。（2）禁止在二十五度以上陡坡地开垦种植农作物。（3）禁止过度放牧。（4）禁止在崩塌、滑坡危险区和泥石流易发区从事取土、挖砂、采石等可能造成水土流失的活动。
5、大熊猫国家公园：大熊猫国家公园按照管理目标、用途及管控强度划分为核心保护区和一般控制区，纳入生态保护红线管理，实行差别化用途管制，具体范围由大熊猫国家公园总体规划界定。核心保护区除满足国家特殊战略需要的有关活动外原则上禁止人为活动。一般控制区除满足国家特殊战略需要的有关活动外原则上禁止开发性、生产性项目建设活动。</w:t>
                  </w:r>
                </w:p>
                <w:p w14:paraId="6C5FF2CD">
                  <w:pPr>
                    <w:numPr>
                      <w:ilvl w:val="0"/>
                      <w:numId w:val="0"/>
                    </w:numPr>
                    <w:spacing w:before="0" w:after="0" w:line="240" w:lineRule="auto"/>
                    <w:ind w:leftChars="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6、禁止在生态保护红线区域、永久基本农田集中区域和其他需要特别保护的区域内选址建设尾矿库、冶炼渣库磷石膏库。
</w:t>
                  </w:r>
                </w:p>
                <w:p w14:paraId="0EC0463E">
                  <w:pPr>
                    <w:numPr>
                      <w:ilvl w:val="0"/>
                      <w:numId w:val="0"/>
                    </w:numPr>
                    <w:spacing w:before="0" w:after="0" w:line="240" w:lineRule="auto"/>
                    <w:ind w:leftChars="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7、四川大熊猫栖息地世界自然遗产：禁止在世界遗产保护范围内实施以下行为：1、建设污染环境、破坏生态和造成水土流失的设施；2、在世界遗产核心保护区、保护区范围内进行开山、采石、垦荒、开矿、取土等破坏地表、地貌的活动；3、在世界遗产核心保护区、保护区范围内修建储存爆炸性、易燃性、放射性、毒害性、腐蚀性等物品设施；4、在世界遗产核心保护区、保护区设立各类开发区、度假区；5、在世界遗产核心保护区建设宾馆、招待所、疗养院及各类培训中心等建筑物、构筑物和其他设施；6、在世界遗产保护区、缓冲区未经省人民政府世界遗产行政主管部门审核进行建设；7、其他损害或者破坏世界遗产真实性和完整性的行为。
以上自然保护地为截至2023年6月的自然保护地整合优化预案数据，最终名称、范围等以国家正式批复为准。</w:t>
                  </w:r>
                </w:p>
              </w:tc>
              <w:tc>
                <w:tcPr>
                  <w:tcW w:w="1432" w:type="pct"/>
                  <w:vAlign w:val="center"/>
                </w:tcPr>
                <w:p w14:paraId="6FE042A6">
                  <w:pPr>
                    <w:pStyle w:val="147"/>
                    <w:shd w:val="clear" w:color="auto" w:fill="FFFFFF"/>
                    <w:spacing w:line="240" w:lineRule="auto"/>
                    <w:ind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w:t>
                  </w:r>
                  <w:r>
                    <w:rPr>
                      <w:rFonts w:hint="eastAsia" w:eastAsia="宋体" w:cs="Times New Roman"/>
                      <w:color w:val="000000" w:themeColor="text1"/>
                      <w:sz w:val="21"/>
                      <w:szCs w:val="21"/>
                      <w:lang w:val="en-US" w:eastAsia="zh-CN"/>
                      <w14:textFill>
                        <w14:solidFill>
                          <w14:schemeClr w14:val="tx1"/>
                        </w14:solidFill>
                      </w14:textFill>
                    </w:rPr>
                    <w:t>占地</w:t>
                  </w:r>
                  <w:r>
                    <w:rPr>
                      <w:rFonts w:hint="default" w:ascii="Times New Roman" w:hAnsi="Times New Roman" w:eastAsia="宋体" w:cs="Times New Roman"/>
                      <w:color w:val="000000" w:themeColor="text1"/>
                      <w:sz w:val="21"/>
                      <w:szCs w:val="21"/>
                      <w14:textFill>
                        <w14:solidFill>
                          <w14:schemeClr w14:val="tx1"/>
                        </w14:solidFill>
                      </w14:textFill>
                    </w:rPr>
                    <w:t>不涉及生态保护红线，本项目严格采取水土保持设计中提出的水土流失预防措施后，工程的建设期不易造成水土流失，且待项目管道回填完毕，随着生态恢复的完成，因项目施工导致的水土流失将得到有效控制。</w:t>
                  </w:r>
                </w:p>
                <w:p w14:paraId="66E3DA70">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本项目涉及四川大熊猫栖息地世界自然遗产</w:t>
                  </w:r>
                  <w:r>
                    <w:rPr>
                      <w:rFonts w:hint="default" w:ascii="Times New Roman" w:hAnsi="Times New Roman" w:eastAsia="宋体" w:cs="Times New Roman"/>
                      <w:b w:val="0"/>
                      <w:color w:val="000000" w:themeColor="text1"/>
                      <w:sz w:val="21"/>
                      <w:szCs w:val="21"/>
                      <w14:textFill>
                        <w14:solidFill>
                          <w14:schemeClr w14:val="tx1"/>
                        </w14:solidFill>
                      </w14:textFill>
                    </w:rPr>
                    <w:t>地</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缓冲区，本项目已编制《泸定县城区自来水厂备用水源取水工程新建项目对四川大熊猫栖息地世界自然遗产影响评价报告》</w:t>
                  </w:r>
                  <w:r>
                    <w:rPr>
                      <w:rFonts w:hint="eastAsia" w:ascii="Times New Roman" w:hAnsi="Times New Roman" w:cs="Times New Roman"/>
                      <w:b w:val="0"/>
                      <w:color w:val="000000" w:themeColor="text1"/>
                      <w:sz w:val="21"/>
                      <w:szCs w:val="21"/>
                      <w:lang w:val="en-US" w:eastAsia="zh-CN"/>
                      <w14:textFill>
                        <w14:solidFill>
                          <w14:schemeClr w14:val="tx1"/>
                        </w14:solidFill>
                      </w14:textFill>
                    </w:rPr>
                    <w:t>，并取得《泸定县林业和草原局关于同意泸定县城区自来水厂备用水源取水工程新建项目进入四川大熊猫栖息地世界自然遗产缓冲区的审核意见》泸林护审字(2025)02号</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p>
                <w:p w14:paraId="678956A9">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本项目不在四川大熊猫栖息地世界自然遗产缓冲区</w:t>
                  </w:r>
                  <w:r>
                    <w:rPr>
                      <w:rFonts w:hint="default" w:ascii="Times New Roman" w:hAnsi="Times New Roman" w:eastAsia="宋体" w:cs="Times New Roman"/>
                      <w:b w:val="0"/>
                      <w:color w:val="000000" w:themeColor="text1"/>
                      <w:sz w:val="21"/>
                      <w:szCs w:val="21"/>
                      <w14:textFill>
                        <w14:solidFill>
                          <w14:schemeClr w14:val="tx1"/>
                        </w14:solidFill>
                      </w14:textFill>
                    </w:rPr>
                    <w:t>建设污染环境、破坏生态和造成水土流失的设施。（2）</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本项目不进行</w:t>
                  </w:r>
                  <w:r>
                    <w:rPr>
                      <w:rFonts w:hint="default" w:ascii="Times New Roman" w:hAnsi="Times New Roman" w:eastAsia="宋体" w:cs="Times New Roman"/>
                      <w:b w:val="0"/>
                      <w:color w:val="000000" w:themeColor="text1"/>
                      <w:sz w:val="21"/>
                      <w:szCs w:val="21"/>
                      <w14:textFill>
                        <w14:solidFill>
                          <w14:schemeClr w14:val="tx1"/>
                        </w14:solidFill>
                      </w14:textFill>
                    </w:rPr>
                    <w:t>开山、采石、垦荒、开矿、取土等破坏地表、地貌的活动。（3）</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w:t>
                  </w:r>
                  <w:r>
                    <w:rPr>
                      <w:rFonts w:hint="default" w:ascii="Times New Roman" w:hAnsi="Times New Roman" w:eastAsia="宋体" w:cs="Times New Roman"/>
                      <w:b w:val="0"/>
                      <w:color w:val="000000" w:themeColor="text1"/>
                      <w:sz w:val="21"/>
                      <w:szCs w:val="21"/>
                      <w14:textFill>
                        <w14:solidFill>
                          <w14:schemeClr w14:val="tx1"/>
                        </w14:solidFill>
                      </w14:textFill>
                    </w:rPr>
                    <w:t>修建储存爆炸性、易燃性、放射性、毒害性、腐蚀性等物品设施。（4）</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w:t>
                  </w:r>
                  <w:r>
                    <w:rPr>
                      <w:rFonts w:hint="default" w:ascii="Times New Roman" w:hAnsi="Times New Roman" w:eastAsia="宋体" w:cs="Times New Roman"/>
                      <w:b w:val="0"/>
                      <w:color w:val="000000" w:themeColor="text1"/>
                      <w:sz w:val="21"/>
                      <w:szCs w:val="21"/>
                      <w14:textFill>
                        <w14:solidFill>
                          <w14:schemeClr w14:val="tx1"/>
                        </w14:solidFill>
                      </w14:textFill>
                    </w:rPr>
                    <w:t>设立各类开发区、度假区。（5）</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核心保护区。（6）</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本项目取得《泸定县林业和草原局关于同意泸定县城区自来水厂备用水源取水工程新建项目进入四川大熊猫栖息地世界自然遗产缓冲区的审核意见》（泸林护审字[2025]02号）</w:t>
                  </w:r>
                  <w:r>
                    <w:rPr>
                      <w:rFonts w:hint="default" w:ascii="Times New Roman" w:hAnsi="Times New Roman" w:eastAsia="宋体" w:cs="Times New Roman"/>
                      <w:b w:val="0"/>
                      <w:color w:val="000000" w:themeColor="text1"/>
                      <w:sz w:val="21"/>
                      <w:szCs w:val="21"/>
                      <w14:textFill>
                        <w14:solidFill>
                          <w14:schemeClr w14:val="tx1"/>
                        </w14:solidFill>
                      </w14:textFill>
                    </w:rPr>
                    <w:t>。</w:t>
                  </w:r>
                </w:p>
                <w:p w14:paraId="43E9143A">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本项目不涉及自然保护区。</w:t>
                  </w:r>
                </w:p>
                <w:p w14:paraId="46F1CD19">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本项目不涉及风景名胜区。</w:t>
                  </w:r>
                </w:p>
                <w:p w14:paraId="1C1B5EB3">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本项目不涉及国家森林公园</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p w14:paraId="3B873CF4">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本项目不涉及饮用水源地。</w:t>
                  </w:r>
                </w:p>
                <w:p w14:paraId="1EBA406A">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水产种质资源保护区</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p>
                <w:p w14:paraId="4C9FB872">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本项目占地不占用</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永久</w:t>
                  </w:r>
                  <w:r>
                    <w:rPr>
                      <w:rFonts w:hint="default" w:ascii="Times New Roman" w:hAnsi="Times New Roman" w:eastAsia="宋体" w:cs="Times New Roman"/>
                      <w:color w:val="000000" w:themeColor="text1"/>
                      <w:sz w:val="21"/>
                      <w:szCs w:val="21"/>
                      <w14:textFill>
                        <w14:solidFill>
                          <w14:schemeClr w14:val="tx1"/>
                        </w14:solidFill>
                      </w14:textFill>
                    </w:rPr>
                    <w:t>基本农田。</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项目用地</w:t>
                  </w:r>
                  <w:r>
                    <w:rPr>
                      <w:rFonts w:hint="default" w:ascii="Times New Roman" w:hAnsi="Times New Roman" w:eastAsia="宋体" w:cs="Times New Roman"/>
                      <w:color w:val="000000" w:themeColor="text1"/>
                      <w:sz w:val="21"/>
                      <w:szCs w:val="21"/>
                      <w14:textFill>
                        <w14:solidFill>
                          <w14:schemeClr w14:val="tx1"/>
                        </w14:solidFill>
                      </w14:textFill>
                    </w:rPr>
                    <w:t>建设单位</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已</w:t>
                  </w:r>
                  <w:r>
                    <w:rPr>
                      <w:rFonts w:hint="default" w:ascii="Times New Roman" w:hAnsi="Times New Roman" w:eastAsia="宋体" w:cs="Times New Roman"/>
                      <w:color w:val="000000" w:themeColor="text1"/>
                      <w:sz w:val="21"/>
                      <w:szCs w:val="21"/>
                      <w14:textFill>
                        <w14:solidFill>
                          <w14:schemeClr w14:val="tx1"/>
                        </w14:solidFill>
                      </w14:textFill>
                    </w:rPr>
                    <w:t>按照要求取得相关部门许可。施工过程中，除了采取提高施工效率，缩短施工时间，分层开挖、分别堆放、分层复原等措施减少破坏外，在施工结束后，一定要负责对施工占用的土壤进行质量的恢复。</w:t>
                  </w:r>
                </w:p>
                <w:p w14:paraId="43705E60">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本项目不涉及生态保护红线。</w:t>
                  </w:r>
                </w:p>
                <w:p w14:paraId="610CBB7D">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w:t>
                  </w:r>
                  <w:r>
                    <w:rPr>
                      <w:rFonts w:hint="default" w:ascii="Times New Roman" w:hAnsi="Times New Roman" w:eastAsia="宋体" w:cs="Times New Roman"/>
                      <w:color w:val="000000" w:themeColor="text1"/>
                      <w:sz w:val="21"/>
                      <w:szCs w:val="21"/>
                      <w14:textFill>
                        <w14:solidFill>
                          <w14:schemeClr w14:val="tx1"/>
                        </w14:solidFill>
                      </w14:textFill>
                    </w:rPr>
                    <w:t>不会对自然生态系统进行成片破坏，施工完毕后对施工迹地进行生态修复和复垦，对</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生态</w:t>
                  </w:r>
                  <w:r>
                    <w:rPr>
                      <w:rFonts w:hint="default" w:ascii="Times New Roman" w:hAnsi="Times New Roman" w:eastAsia="宋体" w:cs="Times New Roman"/>
                      <w:color w:val="000000" w:themeColor="text1"/>
                      <w:sz w:val="21"/>
                      <w:szCs w:val="21"/>
                      <w14:textFill>
                        <w14:solidFill>
                          <w14:schemeClr w14:val="tx1"/>
                        </w14:solidFill>
                      </w14:textFill>
                    </w:rPr>
                    <w:t>的影响可以降到最低。</w:t>
                  </w:r>
                </w:p>
                <w:p w14:paraId="4464F54B">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根据《</w:t>
                  </w:r>
                  <w:r>
                    <w:rPr>
                      <w:rFonts w:hint="default" w:ascii="Times New Roman" w:hAnsi="Times New Roman" w:eastAsia="宋体" w:cs="Times New Roman"/>
                      <w:color w:val="000000" w:themeColor="text1"/>
                      <w:sz w:val="21"/>
                      <w:szCs w:val="21"/>
                      <w:lang w:eastAsia="zh-CN"/>
                      <w14:textFill>
                        <w14:solidFill>
                          <w14:schemeClr w14:val="tx1"/>
                        </w14:solidFill>
                      </w14:textFill>
                    </w:rPr>
                    <w:t>泸定县城区自来水厂备用水源取水工程新建项目</w:t>
                  </w:r>
                  <w:r>
                    <w:rPr>
                      <w:rFonts w:hint="default" w:ascii="Times New Roman" w:hAnsi="Times New Roman" w:eastAsia="宋体" w:cs="Times New Roman"/>
                      <w:color w:val="000000" w:themeColor="text1"/>
                      <w:sz w:val="21"/>
                      <w:szCs w:val="21"/>
                      <w14:textFill>
                        <w14:solidFill>
                          <w14:schemeClr w14:val="tx1"/>
                        </w14:solidFill>
                      </w14:textFill>
                    </w:rPr>
                    <w:t>水土保持方案报告书（报批稿）》，本项目不涉及水土保持-生态功能区。</w:t>
                  </w:r>
                </w:p>
              </w:tc>
              <w:tc>
                <w:tcPr>
                  <w:tcW w:w="213" w:type="pct"/>
                  <w:vAlign w:val="center"/>
                </w:tcPr>
                <w:p w14:paraId="70230AAC">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17F8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1558A9CC">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0576AF9C">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tcPr>
                <w:p w14:paraId="353BA580">
                  <w:pPr>
                    <w:spacing w:line="240" w:lineRule="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限制开发建设活动的要求</w:t>
                  </w:r>
                </w:p>
                <w:p w14:paraId="4FA1F418">
                  <w:pPr>
                    <w:pStyle w:val="147"/>
                    <w:numPr>
                      <w:ilvl w:val="0"/>
                      <w:numId w:val="10"/>
                    </w:numPr>
                    <w:shd w:val="clear" w:color="auto" w:fill="FFFFFF"/>
                    <w:spacing w:line="240" w:lineRule="auto"/>
                    <w:ind w:left="0" w:leftChars="0"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自然保护地及饮用水水源地和水产种质资源保护区</w:t>
                  </w:r>
                </w:p>
                <w:p w14:paraId="7A8F990F">
                  <w:pPr>
                    <w:pStyle w:val="147"/>
                    <w:numPr>
                      <w:ilvl w:val="0"/>
                      <w:numId w:val="0"/>
                    </w:numPr>
                    <w:shd w:val="clear" w:color="auto" w:fill="FFFFFF"/>
                    <w:spacing w:line="240" w:lineRule="auto"/>
                    <w:ind w:left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b w:val="0"/>
                      <w:color w:val="000000" w:themeColor="text1"/>
                      <w:sz w:val="21"/>
                      <w:szCs w:val="21"/>
                      <w14:textFill>
                        <w14:solidFill>
                          <w14:schemeClr w14:val="tx1"/>
                        </w14:solidFill>
                      </w14:textFill>
                    </w:rPr>
                    <w:t>.1自然保护区：（1）因科学研究的需要，必须进入核心区从事科学研究观测、调查活动的，应先向管理机构提交申请和活动计划，并经省级以上人民政府有关自然保护区行政主管部门批准，其中进入国家级自然保护区核心区的，必须经国务院有关自然保护区行政主管部门批准。（2）因教学科研目的需要进入缓冲区从事非破坏性科学研究、教学实习和标本采集活动的，应先向管理机构提交申请和活动计划，经自然保护区管理机构批准。（3）在实验区内开展参观、旅游活动，由管理机构编制方案，方案应当符合自然保护区管理目标。（4）在实验区内建设其他项目，其污染物排放不得超过国家和地方规定的污染物排放标准。（5）必须符合自然保沪区总体规划，严格按规划控制旅游容量。</w:t>
                  </w:r>
                </w:p>
                <w:p w14:paraId="6F1FA610">
                  <w:pPr>
                    <w:pStyle w:val="147"/>
                    <w:numPr>
                      <w:ilvl w:val="0"/>
                      <w:numId w:val="0"/>
                    </w:numPr>
                    <w:shd w:val="clear" w:color="auto" w:fill="FFFFFF"/>
                    <w:spacing w:line="240" w:lineRule="auto"/>
                    <w:ind w:left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b w:val="0"/>
                      <w:color w:val="000000" w:themeColor="text1"/>
                      <w:sz w:val="21"/>
                      <w:szCs w:val="21"/>
                      <w14:textFill>
                        <w14:solidFill>
                          <w14:schemeClr w14:val="tx1"/>
                        </w14:solidFill>
                      </w14:textFill>
                    </w:rPr>
                    <w:t>.2风景名胜区：（1）在国家级风景名胜区内修建缆车、索道等重大建设工程，项目选址方案应报省政府建设主管部门核准。（2）在风景名胜区中设置、张贴商业广告，举办大型游乐等活动，从事改变水资源、水环境自然状态的活动以及其他影响生态和景观的活动，应当经管理机构审核后依照有关法律、法规的规定报有关主管部门批准。（3）区内建设项目应当符合规划，并与景观相协调，不得破坏景观、污染环境、妨碍游览，进行建设活动的建设单位、施工单位应制定污染防治和水土保持方案并采取有效措施，保护好周围景物、水体、林草植被、野生动物资源和地形地貌。</w:t>
                  </w:r>
                </w:p>
                <w:p w14:paraId="1981D756">
                  <w:pPr>
                    <w:pStyle w:val="147"/>
                    <w:numPr>
                      <w:ilvl w:val="0"/>
                      <w:numId w:val="0"/>
                    </w:numPr>
                    <w:shd w:val="clear" w:color="auto" w:fill="FFFFFF"/>
                    <w:spacing w:line="240" w:lineRule="auto"/>
                    <w:ind w:left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b w:val="0"/>
                      <w:color w:val="000000" w:themeColor="text1"/>
                      <w:sz w:val="21"/>
                      <w:szCs w:val="21"/>
                      <w14:textFill>
                        <w14:solidFill>
                          <w14:schemeClr w14:val="tx1"/>
                        </w14:solidFill>
                      </w14:textFill>
                    </w:rPr>
                    <w:t>.3水产种质资源保护区：（1）在水产种质资源保护区附近新建、改建、扩建排污口，应当保证保护区水体不受污染。（2）区内从事修建水利工程、疏浚航道、建闸筑坝、勘探和开采矿产资源、港口建设等工程建设的，或者在水产种质资源保护区外从事可能损害保护区功能的工程建设活动的，应按照国家有关规定编制建设项目对水产种质资源保护区的影响专题论证报告，并将其纳入环境影响评价报告书。</w:t>
                  </w:r>
                </w:p>
                <w:p w14:paraId="52033BA0">
                  <w:pPr>
                    <w:pStyle w:val="147"/>
                    <w:numPr>
                      <w:ilvl w:val="0"/>
                      <w:numId w:val="0"/>
                    </w:numPr>
                    <w:shd w:val="clear" w:color="auto" w:fill="FFFFFF"/>
                    <w:spacing w:line="240" w:lineRule="auto"/>
                    <w:ind w:left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b w:val="0"/>
                      <w:color w:val="000000" w:themeColor="text1"/>
                      <w:sz w:val="21"/>
                      <w:szCs w:val="21"/>
                      <w14:textFill>
                        <w14:solidFill>
                          <w14:schemeClr w14:val="tx1"/>
                        </w14:solidFill>
                      </w14:textFill>
                    </w:rPr>
                    <w:t>.4湿地公园：（1）在湿地范围内从事旅游、种植、畜牧、水产养殖、航运等利用活动，应当避免改变湿地的自然状况，并采取措施减轻对湿地生态功能的不利影响。（2）地方各级人民政府应当严格控制河流源头和蓄滞洪区、水土流失严重区等区域的湿地开发利用活动，减轻对湿地及其生物多样性的不利影响。（3）地方各级人民政府对省级重要湿地和一般湿地利用活动进行分类指导，鼓励单位和个人开展符合湿地保护要求的生态旅游、生态农业、生态教育、自然体验等活动，适度控制种植养殖等湿地利用规模。（4）国家级湿地自然公园按照一般控制区管理。（5）国家级湿地自然公园范围内除国家重大项目外，仅允许对生态功能不造成破坏的有限人为活动：①自然公园内居民和其他合法权益主体依法依规开展的生产生活及设施建设。②符合自然公园保护管理要求的文化、体育活动和必要的配套设施建设。③符合生态保护红线管控要求的其他活动和设施建设。④法律法规和国家政策允许在自然公园内开展的其他活动。
</w:t>
                  </w:r>
                </w:p>
                <w:p w14:paraId="35DECA08">
                  <w:pPr>
                    <w:pStyle w:val="147"/>
                    <w:numPr>
                      <w:ilvl w:val="0"/>
                      <w:numId w:val="10"/>
                    </w:numPr>
                    <w:shd w:val="clear" w:color="auto" w:fill="FFFFFF"/>
                    <w:spacing w:line="240" w:lineRule="auto"/>
                    <w:ind w:left="0" w:leftChars="0" w:firstLine="0" w:firstLine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基本农田：（1）一般建设项目不得占用永久基本农田；重大建设项目选址确实难以避让永久基本农田的，在可行性研究阶段，省级自然资源主管部门负责组织对占用的必要性、合理性和补划方案的可行性进行严格论证，报自然资源部用地预审；农用地转用和土地征收依法报批。（2）严格控制在优先保护类耕地集中区域新建有色金属冶炼、石油加工、化工、焦化、电镀、制革等行业企业，现有相关行业企业要采用新技术、新工艺，加快提标升级改造步伐。
</w:t>
                  </w:r>
                </w:p>
                <w:p w14:paraId="378F56B4">
                  <w:pPr>
                    <w:pStyle w:val="147"/>
                    <w:numPr>
                      <w:ilvl w:val="0"/>
                      <w:numId w:val="10"/>
                    </w:numPr>
                    <w:shd w:val="clear" w:color="auto" w:fill="FFFFFF"/>
                    <w:spacing w:line="240" w:lineRule="auto"/>
                    <w:ind w:left="0" w:leftChars="0" w:firstLine="0" w:firstLine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水土保持功能及生物多样性保护重要区、水土流失敏感区：（1）限制陡坡垦殖和超载过牧；加强对能源和矿产资源开发及建设项目的监管，加大矿山环境整治和生态修复力度。（2）防止湿地退化、草地退化、沙化；保护林草植被，防止自然和旅游资源开发以及畜牧业生产对生态环境的破坏或不利影响。（3）限制土地资源高消耗产业在水土保持生态功能区发展。
</w:t>
                  </w:r>
                </w:p>
                <w:p w14:paraId="7955A8D3">
                  <w:pPr>
                    <w:pStyle w:val="147"/>
                    <w:numPr>
                      <w:ilvl w:val="0"/>
                      <w:numId w:val="10"/>
                    </w:numPr>
                    <w:shd w:val="clear" w:color="auto" w:fill="FFFFFF"/>
                    <w:spacing w:line="240" w:lineRule="auto"/>
                    <w:ind w:left="0" w:leftChars="0" w:firstLine="0" w:firstLine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地质灾害隐患点：（1）原则上极高风险区不应开展大规模城镇和工程建设，有序引导人口、经济向低风险区聚集。（2）地质灾害中和低风险区开发利用时，应开展专题地质灾害风险调查评价，并提出相应的风险管控措施。</w:t>
                  </w:r>
                </w:p>
                <w:p w14:paraId="48932994">
                  <w:pPr>
                    <w:pStyle w:val="147"/>
                    <w:numPr>
                      <w:ilvl w:val="0"/>
                      <w:numId w:val="10"/>
                    </w:numPr>
                    <w:shd w:val="clear" w:color="auto" w:fill="FFFFFF"/>
                    <w:spacing w:line="240" w:lineRule="auto"/>
                    <w:ind w:left="0" w:leftChars="0" w:firstLine="0" w:firstLine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限制开发建设活动要求：（1）严格限制在长江流域生态保护红线、自然保护地、水生生物重要栖息地水域实施航道整治工程；确需整治的，应当经科学论证，并依法办理相关手续。（2）尚未明确管理要求的一般生态空间，限制有损主导生态服务功能的开发建设活动。</w:t>
                  </w:r>
                </w:p>
                <w:p w14:paraId="5B049A21">
                  <w:pPr>
                    <w:pStyle w:val="147"/>
                    <w:numPr>
                      <w:ilvl w:val="0"/>
                      <w:numId w:val="0"/>
                    </w:numPr>
                    <w:shd w:val="clear" w:color="auto" w:fill="FFFFFF"/>
                    <w:spacing w:line="240" w:lineRule="auto"/>
                    <w:ind w:leftChars="0"/>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6、重大工程建设应当避让野生动物重要栖息地、迁徙洄游通道和国家重点保护野生植物的天然集中分布区；无法避让的，应当采取修建野生动物通道、迁地保护等措施，避免或者减少对自然生态系统与野生动植物的影响。
以上自然保护地为截至2023年6月的自然保护地整合优化预案数据，最终名称、范围等以国家正式批复为准。</w:t>
                  </w:r>
                </w:p>
              </w:tc>
              <w:tc>
                <w:tcPr>
                  <w:tcW w:w="1432" w:type="pct"/>
                  <w:vAlign w:val="center"/>
                </w:tcPr>
                <w:p w14:paraId="5A99D61A">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1、本项目不涉及自然保护区</w:t>
                  </w:r>
                  <w:r>
                    <w:rPr>
                      <w:rFonts w:hint="eastAsia" w:eastAsia="宋体" w:cs="Times New Roman"/>
                      <w:color w:val="000000" w:themeColor="text1"/>
                      <w:sz w:val="21"/>
                      <w:szCs w:val="21"/>
                      <w:lang w:eastAsia="zh-CN"/>
                      <w14:textFill>
                        <w14:solidFill>
                          <w14:schemeClr w14:val="tx1"/>
                        </w14:solidFill>
                      </w14:textFill>
                    </w:rPr>
                    <w:t>、饮用水水源地</w:t>
                  </w:r>
                  <w:r>
                    <w:rPr>
                      <w:rFonts w:hint="default" w:ascii="Times New Roman" w:hAnsi="Times New Roman" w:eastAsia="宋体" w:cs="Times New Roman"/>
                      <w:color w:val="000000" w:themeColor="text1"/>
                      <w:sz w:val="21"/>
                      <w:szCs w:val="21"/>
                      <w14:textFill>
                        <w14:solidFill>
                          <w14:schemeClr w14:val="tx1"/>
                        </w14:solidFill>
                      </w14:textFill>
                    </w:rPr>
                    <w:t>；</w:t>
                  </w:r>
                </w:p>
                <w:p w14:paraId="64879927">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2、本项目不涉及风景名胜区；</w:t>
                  </w:r>
                </w:p>
                <w:p w14:paraId="7C8D1607">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水产种质资源保护区</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p>
                <w:p w14:paraId="4FFA20E7">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14:textFill>
                        <w14:solidFill>
                          <w14:schemeClr w14:val="tx1"/>
                        </w14:solidFill>
                      </w14:textFill>
                    </w:rPr>
                    <w:t>本项目不涉及湿地公园；</w:t>
                  </w:r>
                </w:p>
                <w:p w14:paraId="7339BD77">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14:textFill>
                        <w14:solidFill>
                          <w14:schemeClr w14:val="tx1"/>
                        </w14:solidFill>
                      </w14:textFill>
                    </w:rPr>
                    <w:t>、本项目占地不占用</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永久</w:t>
                  </w:r>
                  <w:r>
                    <w:rPr>
                      <w:rFonts w:hint="default" w:ascii="Times New Roman" w:hAnsi="Times New Roman" w:eastAsia="宋体" w:cs="Times New Roman"/>
                      <w:color w:val="000000" w:themeColor="text1"/>
                      <w:sz w:val="21"/>
                      <w:szCs w:val="21"/>
                      <w14:textFill>
                        <w14:solidFill>
                          <w14:schemeClr w14:val="tx1"/>
                        </w14:solidFill>
                      </w14:textFill>
                    </w:rPr>
                    <w:t>基本农田。</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项目用地</w:t>
                  </w:r>
                  <w:r>
                    <w:rPr>
                      <w:rFonts w:hint="default" w:ascii="Times New Roman" w:hAnsi="Times New Roman" w:eastAsia="宋体" w:cs="Times New Roman"/>
                      <w:color w:val="000000" w:themeColor="text1"/>
                      <w:sz w:val="21"/>
                      <w:szCs w:val="21"/>
                      <w14:textFill>
                        <w14:solidFill>
                          <w14:schemeClr w14:val="tx1"/>
                        </w14:solidFill>
                      </w14:textFill>
                    </w:rPr>
                    <w:t>建设单位</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已</w:t>
                  </w:r>
                  <w:r>
                    <w:rPr>
                      <w:rFonts w:hint="default" w:ascii="Times New Roman" w:hAnsi="Times New Roman" w:eastAsia="宋体" w:cs="Times New Roman"/>
                      <w:color w:val="000000" w:themeColor="text1"/>
                      <w:sz w:val="21"/>
                      <w:szCs w:val="21"/>
                      <w14:textFill>
                        <w14:solidFill>
                          <w14:schemeClr w14:val="tx1"/>
                        </w14:solidFill>
                      </w14:textFill>
                    </w:rPr>
                    <w:t>按照要求取得相关部门许可。施工过程中，除了采取提高施工效率，缩短施工时间，分层开挖、分别堆放、分层复原等措施减少破坏外，在施工结束后，一定要负责对施工占用的土壤进行质量的恢复。</w:t>
                  </w:r>
                </w:p>
                <w:p w14:paraId="3F032CC5">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6、本项目不涉及生物多样性维护-生态功能区。</w:t>
                  </w:r>
                </w:p>
                <w:p w14:paraId="0E22BC47">
                  <w:pPr>
                    <w:pStyle w:val="147"/>
                    <w:shd w:val="clear" w:color="auto" w:fill="FFFFFF"/>
                    <w:spacing w:line="240" w:lineRule="auto"/>
                    <w:ind w:firstLine="0" w:firstLine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7、本项目不涉及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地质灾害隐患点。</w:t>
                  </w:r>
                </w:p>
                <w:p w14:paraId="54071662">
                  <w:pPr>
                    <w:pStyle w:val="147"/>
                    <w:shd w:val="clear" w:color="auto" w:fill="FFFFFF"/>
                    <w:spacing w:line="240" w:lineRule="auto"/>
                    <w:ind w:firstLine="0" w:firstLine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8、本项目不涉及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长江流域生态保护红线、自然保护地、水生生物重要栖息地水域。</w:t>
                  </w:r>
                </w:p>
                <w:p w14:paraId="3A65684D">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9、本项目不涉及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野生动物重要栖息地、迁徙洄游通道和国家重点保护野生植物的天然集中分布区。</w:t>
                  </w:r>
                </w:p>
              </w:tc>
              <w:tc>
                <w:tcPr>
                  <w:tcW w:w="213" w:type="pct"/>
                  <w:vAlign w:val="center"/>
                </w:tcPr>
                <w:p w14:paraId="447A03FE">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20D73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212CDD40">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5130AF39">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tcPr>
                <w:p w14:paraId="53BF08C7">
                  <w:pPr>
                    <w:pStyle w:val="147"/>
                    <w:shd w:val="clear" w:color="auto" w:fill="FFFFFF"/>
                    <w:spacing w:line="240" w:lineRule="auto"/>
                    <w:ind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允许开发建设活动的要求:</w:t>
                  </w:r>
                </w:p>
                <w:p w14:paraId="62C0A9C9">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暂无</w:t>
                  </w:r>
                </w:p>
              </w:tc>
              <w:tc>
                <w:tcPr>
                  <w:tcW w:w="1432" w:type="pct"/>
                  <w:vAlign w:val="center"/>
                </w:tcPr>
                <w:p w14:paraId="143E68A7">
                  <w:pPr>
                    <w:pStyle w:val="147"/>
                    <w:widowControl/>
                    <w:shd w:val="clear" w:color="auto" w:fill="FFFFFF"/>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39417FF9">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r>
            <w:tr w14:paraId="0C29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7BFA0E18">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42FB987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tcPr>
                <w:p w14:paraId="49140C47">
                  <w:pPr>
                    <w:pStyle w:val="147"/>
                    <w:spacing w:before="31" w:after="31" w:line="240" w:lineRule="auto"/>
                    <w:ind w:firstLine="0" w:firstLineChars="0"/>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不符合空间布局要求活动的退出要求</w:t>
                  </w:r>
                </w:p>
                <w:p w14:paraId="2127E8D8">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1.已有矿业权与生态保护红线、自然保护地等禁止或限制开发区域重叠的，要按相关要求主动退出或避让。</w:t>
                  </w:r>
                </w:p>
                <w:p w14:paraId="131C7346">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2.现有不符合相关保护区法律法规和规划的项目，应限期整改或关闭。对已造成的污染或损害，应限期治理。</w:t>
                  </w:r>
                </w:p>
                <w:p w14:paraId="457EFEE0">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以上自然保护地为截至2023年6月的自然保护地整合优化预案数据，最终名称、范围等以国家正式批复为准。</w:t>
                  </w:r>
                </w:p>
              </w:tc>
              <w:tc>
                <w:tcPr>
                  <w:tcW w:w="1432" w:type="pct"/>
                  <w:vAlign w:val="center"/>
                </w:tcPr>
                <w:p w14:paraId="3404A4ED">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1.本项目不涉及矿业权。</w:t>
                  </w:r>
                </w:p>
                <w:p w14:paraId="3137F1DD">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2.本项目不属于现有不符合相关保护区法律法规和规划的项目。</w:t>
                  </w:r>
                </w:p>
              </w:tc>
              <w:tc>
                <w:tcPr>
                  <w:tcW w:w="213" w:type="pct"/>
                  <w:vAlign w:val="center"/>
                </w:tcPr>
                <w:p w14:paraId="4A4675FD">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32C4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26CC2516">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00B78C45">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tcPr>
                <w:p w14:paraId="1C8CED4A">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其他空间布局约束要求</w:t>
                  </w:r>
                  <w:r>
                    <w:rPr>
                      <w:rFonts w:hint="default" w:ascii="Times New Roman" w:hAnsi="Times New Roman" w:eastAsia="宋体" w:cs="Times New Roman"/>
                      <w:color w:val="000000" w:themeColor="text1"/>
                      <w:sz w:val="21"/>
                      <w:szCs w:val="21"/>
                      <w14:textFill>
                        <w14:solidFill>
                          <w14:schemeClr w14:val="tx1"/>
                        </w14:solidFill>
                      </w14:textFill>
                    </w:rPr>
                    <w:t>:</w:t>
                  </w:r>
                </w:p>
                <w:p w14:paraId="50625B88">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园区外企业：位于生态保护红线内的园区外企业，对应县（市）政府应按照相关要求责令关停并退出。位于一般生态空间内的园区外企业，符合所在自然保护地管理规定、具有合法手续且污染物排放及环境风险符合管理要求的企业，可继续保留，要求污染物排放只降不增，需进一步加强日常环保监管；允许开展以提升生态安全和环境保护水平为目的的改建，引导企业结合产业结构调整、技改升级等方式，适时搬迁；不具备合法手续或污染物排放超标、环境风险不可控的企业，对应各县（市）政府应按照相关要求责令整改、情况严重者关停并退出。
</w:t>
                  </w:r>
                </w:p>
                <w:p w14:paraId="6577E887">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国家公园：国家公园内退化自然生态系统修复、生态廊道连通、重要栖息地恢复等生态修复活动应当坚持自然恢复为主，确有必要开展人工修复活动的，应当经科学论证。以上自然保护地为截至2023年6月的自然保护地整合优化预案数据，最终名称、范围等以国家正式批复为准。</w:t>
                  </w:r>
                </w:p>
              </w:tc>
              <w:tc>
                <w:tcPr>
                  <w:tcW w:w="1432" w:type="pct"/>
                  <w:vAlign w:val="center"/>
                </w:tcPr>
                <w:p w14:paraId="0F63D475">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color w:val="000000" w:themeColor="text1"/>
                      <w:sz w:val="21"/>
                      <w:szCs w:val="21"/>
                      <w14:textFill>
                        <w14:solidFill>
                          <w14:schemeClr w14:val="tx1"/>
                        </w14:solidFill>
                      </w14:textFill>
                    </w:rPr>
                    <w:t>生态保护红线。
</w:t>
                  </w:r>
                </w:p>
                <w:p w14:paraId="42E217F4">
                  <w:pPr>
                    <w:pStyle w:val="147"/>
                    <w:spacing w:line="240" w:lineRule="auto"/>
                    <w:ind w:firstLine="0" w:firstLineChars="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本项目不涉及国家公园，本项目涉及四川大熊猫栖息地世界自然遗产缓冲区区域自然</w:t>
                  </w:r>
                  <w:r>
                    <w:rPr>
                      <w:rFonts w:hint="default" w:ascii="Times New Roman" w:hAnsi="Times New Roman" w:eastAsia="宋体" w:cs="Times New Roman"/>
                      <w:color w:val="000000" w:themeColor="text1"/>
                      <w:sz w:val="21"/>
                      <w:szCs w:val="21"/>
                      <w14:textFill>
                        <w14:solidFill>
                          <w14:schemeClr w14:val="tx1"/>
                        </w14:solidFill>
                      </w14:textFill>
                    </w:rPr>
                    <w:t>恢复为主，人工修复</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为辅</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2C28C2C0">
                  <w:pPr>
                    <w:spacing w:line="240" w:lineRule="auto"/>
                    <w:jc w:val="center"/>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符合</w:t>
                  </w:r>
                </w:p>
              </w:tc>
            </w:tr>
            <w:tr w14:paraId="6E29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27EE4957">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Align w:val="center"/>
                </w:tcPr>
                <w:p w14:paraId="7B8054F6">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污染物排放管控</w:t>
                  </w:r>
                </w:p>
              </w:tc>
              <w:tc>
                <w:tcPr>
                  <w:tcW w:w="2955" w:type="pct"/>
                  <w:vAlign w:val="center"/>
                </w:tcPr>
                <w:p w14:paraId="424D2CF6">
                  <w:pPr>
                    <w:shd w:val="clear" w:color="auto" w:fill="FFFFFF"/>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1432" w:type="pct"/>
                  <w:vAlign w:val="center"/>
                </w:tcPr>
                <w:p w14:paraId="25C2A0DA">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36A1899D">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r>
            <w:tr w14:paraId="6E7D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6D747388">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Align w:val="center"/>
                </w:tcPr>
                <w:p w14:paraId="27811E1F">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环境风险防控</w:t>
                  </w:r>
                </w:p>
              </w:tc>
              <w:tc>
                <w:tcPr>
                  <w:tcW w:w="2955" w:type="pct"/>
                  <w:vAlign w:val="center"/>
                </w:tcPr>
                <w:p w14:paraId="3F1D9289">
                  <w:pPr>
                    <w:spacing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1432" w:type="pct"/>
                  <w:vAlign w:val="center"/>
                </w:tcPr>
                <w:p w14:paraId="6C8B742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3CF3C29A">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r>
            <w:tr w14:paraId="4D48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0B03EB4D">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Align w:val="center"/>
                </w:tcPr>
                <w:p w14:paraId="3066A704">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资源利用效率</w:t>
                  </w:r>
                </w:p>
              </w:tc>
              <w:tc>
                <w:tcPr>
                  <w:tcW w:w="2955" w:type="pct"/>
                  <w:vAlign w:val="center"/>
                </w:tcPr>
                <w:p w14:paraId="4D7B9CC0">
                  <w:pPr>
                    <w:spacing w:line="240" w:lineRule="auto"/>
                    <w:ind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1432" w:type="pct"/>
                  <w:vAlign w:val="center"/>
                </w:tcPr>
                <w:p w14:paraId="1A394E97">
                  <w:pPr>
                    <w:pStyle w:val="147"/>
                    <w:spacing w:line="240" w:lineRule="auto"/>
                    <w:ind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2388AC5B">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r>
            <w:tr w14:paraId="0538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restart"/>
                  <w:vAlign w:val="center"/>
                </w:tcPr>
                <w:p w14:paraId="3E3517E9">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一般管控单元</w:t>
                  </w:r>
                </w:p>
              </w:tc>
              <w:tc>
                <w:tcPr>
                  <w:tcW w:w="200" w:type="pct"/>
                  <w:vMerge w:val="restart"/>
                  <w:vAlign w:val="center"/>
                </w:tcPr>
                <w:p w14:paraId="15E31D3D">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空间布局约束</w:t>
                  </w:r>
                </w:p>
              </w:tc>
              <w:tc>
                <w:tcPr>
                  <w:tcW w:w="2955" w:type="pct"/>
                  <w:vAlign w:val="center"/>
                </w:tcPr>
                <w:p w14:paraId="44E56D99">
                  <w:pPr>
                    <w:spacing w:line="240" w:lineRule="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禁止开发建设活动的要求:</w:t>
                  </w:r>
                </w:p>
                <w:p w14:paraId="2974B0CE">
                  <w:pPr>
                    <w:numPr>
                      <w:ilvl w:val="0"/>
                      <w:numId w:val="11"/>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禁止在长江干支流雅砻江、金沙江、大渡河岸线一公里范围内新建、扩建化工园区和化工项目。
（2）禁止在法律法规规定的禁采区内开采矿产；禁止土法采、选、冶严重污染环境的矿产资源。
（3）禁止在长江流域河湖管理范围内倾倒、填埋、堆放、弃置、处理固体废物。</w:t>
                  </w:r>
                </w:p>
                <w:p w14:paraId="43A22546">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（4）重点行业禁止开发建设活动的要求</w:t>
                  </w:r>
                </w:p>
                <w:p w14:paraId="76461630">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矿产开发：①禁止在法律法规明确规定的禁采区内开采矿产；禁止土法采、选、冶严重污染环境的矿产资源。②禁止在长江干流岸线三公里范围内和雅砻江、金沙江、大渡河岸线一公里范围内新建尾矿库。禁止在长江干流岸线三公里范围内和重要支流岸线一公里范围内新建、改建、扩建尾矿库、冶炼渣库、磷石膏库，以提升安全、生态环境保护水平为目的的改建除外。
</w:t>
                  </w:r>
                </w:p>
                <w:p w14:paraId="6C1F0396">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清洁能源</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①风电项目风机基础、施工和检修道路、升压站、集电线路等，禁止占用天然乔木林地、一级国家级公益林地和二级国家级公益林中的有林地。②光伏电站的电池组件阵列禁止使用有林地、疏林地、未成林造林地、采伐迹地、火烧迹地，以及覆盖度高于50%的灌木林地。</w:t>
                  </w:r>
                </w:p>
                <w:p w14:paraId="641C2A51">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农牧业</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①除国家重点工程建设项目外，任何单位、组织或个人不得擅自改变基本草原用途。②禁止向草原排放有毒、有害的废水、废气、废渣等。
</w:t>
                  </w:r>
                </w:p>
                <w:p w14:paraId="34054698">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（5）禁止在永久基本农田集中区域和其他需要特别保护的区域选址建设尾矿库、冶炼渣库、磷石膏库。
</w:t>
                  </w:r>
                </w:p>
                <w:p w14:paraId="3294CEA9">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（6）新建、扩建光伏发电项目，一律不得占用永久基本农田、基本草原。光伏电站、风力发电等项目不得在河道、湖泊、水库内建设。
</w:t>
                  </w:r>
                </w:p>
                <w:p w14:paraId="3E3699ED">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（7）结合甘孜州主体功能区定位，严格按照《中华人民共和国青藏高原生态保护法》、《中华人民共和国长江保护法》中禁止条款执行。
</w:t>
                  </w:r>
                </w:p>
                <w:p w14:paraId="17AAB787">
                  <w:pPr>
                    <w:numPr>
                      <w:ilvl w:val="0"/>
                      <w:numId w:val="0"/>
                    </w:numPr>
                    <w:spacing w:before="0" w:after="0" w:line="240" w:lineRule="auto"/>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（8）城镇开发边界外不得进行城镇集中建设，不得规划建设各类开发区和产业园区，不得规划城镇居住用地。</w:t>
                  </w:r>
                </w:p>
              </w:tc>
              <w:tc>
                <w:tcPr>
                  <w:tcW w:w="1432" w:type="pct"/>
                  <w:vAlign w:val="center"/>
                </w:tcPr>
                <w:p w14:paraId="6FAB4379">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1、本项目不属于新建、扩建化工园区和化工项目。</w:t>
                  </w:r>
                </w:p>
                <w:p w14:paraId="18485DF7">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2、本项目不涉及开采矿产。</w:t>
                  </w:r>
                </w:p>
                <w:p w14:paraId="3CEDCCC1">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3、本项目固体废物合理处置；不存在倾倒、填埋、堆放、弃置、处理固体废物。</w:t>
                  </w:r>
                </w:p>
                <w:p w14:paraId="09D4E7CD">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14:textFill>
                        <w14:solidFill>
                          <w14:schemeClr w14:val="tx1"/>
                        </w14:solidFill>
                      </w14:textFill>
                    </w:rPr>
                    <w:t>、本项目永久占地不占用基本农田，</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本项目已取得用地手续。本项目</w:t>
                  </w:r>
                  <w:r>
                    <w:rPr>
                      <w:rFonts w:hint="default" w:ascii="Times New Roman" w:hAnsi="Times New Roman" w:eastAsia="宋体" w:cs="Times New Roman"/>
                      <w:color w:val="000000" w:themeColor="text1"/>
                      <w:sz w:val="21"/>
                      <w:szCs w:val="21"/>
                      <w14:textFill>
                        <w14:solidFill>
                          <w14:schemeClr w14:val="tx1"/>
                        </w14:solidFill>
                      </w14:textFill>
                    </w:rPr>
                    <w:t>施工过程中，除了采取提高施工效率，缩短施工时间，分层开挖、分别堆放、分层复原等措施减少破坏，在施工结束后，一定要负责对施工占用的土壤进行质量的恢复。</w:t>
                  </w:r>
                </w:p>
                <w:p w14:paraId="47CD553A">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p>
              </w:tc>
              <w:tc>
                <w:tcPr>
                  <w:tcW w:w="213" w:type="pct"/>
                  <w:vAlign w:val="center"/>
                </w:tcPr>
                <w:p w14:paraId="2B4B5CED">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56EC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6B8B91AE">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6460B699">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vAlign w:val="center"/>
                </w:tcPr>
                <w:p w14:paraId="6D49E51E">
                  <w:pPr>
                    <w:pStyle w:val="147"/>
                    <w:shd w:val="clear" w:color="auto" w:fill="FFFFFF"/>
                    <w:spacing w:line="240" w:lineRule="auto"/>
                    <w:ind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限制开发建设活动的要求:</w:t>
                  </w:r>
                </w:p>
                <w:p w14:paraId="361CB09D">
                  <w:pPr>
                    <w:keepNext w:val="0"/>
                    <w:keepLines w:val="0"/>
                    <w:pageBreakBefore w:val="0"/>
                    <w:widowControl w:val="0"/>
                    <w:numPr>
                      <w:ilvl w:val="0"/>
                      <w:numId w:val="12"/>
                    </w:numPr>
                    <w:kinsoku/>
                    <w:wordWrap/>
                    <w:overflowPunct/>
                    <w:topLinePunct w:val="0"/>
                    <w:autoSpaceDE/>
                    <w:autoSpaceDN/>
                    <w:bidi w:val="0"/>
                    <w:adjustRightInd w:val="0"/>
                    <w:snapToGrid w:val="0"/>
                    <w:spacing w:before="0" w:after="0" w:line="240" w:lineRule="auto"/>
                    <w:ind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严控新增建设用地规模和非农建设占用耕地；坚持最严格的耕地保护制度，对全部耕地按限制开发的要求进行管理，对全部基本农田按禁止开发的要求进行管理。
</w:t>
                  </w:r>
                </w:p>
                <w:p w14:paraId="54E76B7E">
                  <w:pPr>
                    <w:keepNext w:val="0"/>
                    <w:keepLines w:val="0"/>
                    <w:pageBreakBefore w:val="0"/>
                    <w:widowControl w:val="0"/>
                    <w:numPr>
                      <w:ilvl w:val="0"/>
                      <w:numId w:val="12"/>
                    </w:numPr>
                    <w:kinsoku/>
                    <w:wordWrap/>
                    <w:overflowPunct/>
                    <w:topLinePunct w:val="0"/>
                    <w:autoSpaceDE/>
                    <w:autoSpaceDN/>
                    <w:bidi w:val="0"/>
                    <w:adjustRightInd w:val="0"/>
                    <w:snapToGrid w:val="0"/>
                    <w:spacing w:before="0" w:after="0" w:line="240" w:lineRule="auto"/>
                    <w:ind w:left="0" w:leftChars="0"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严格限制农用地转为建设用地，控制建设用地总量，对耕地实行特殊保护。</w:t>
                  </w:r>
                </w:p>
                <w:p w14:paraId="6F7EA14C">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Chars="0"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3.一般管控单元中涉及的自然保护区、风景名胜区、森林公园、地质公园等法定保护地，严格按照国家及地方法律法规、管理办法等相关要求管控。配套旅游、基础设施等建设项目，在符合规划和相关保护要求的前提下，应实施生态避让、减缓影响及生态恢复措施。
</w:t>
                  </w:r>
                </w:p>
                <w:p w14:paraId="3BA2CF17">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4.重点行业限制开发建设活动的要求——矿产开发：①矿区必须满足国家、四川省和甘孜州矿产资源规划中开采区相应准入条件，开采规模和服务年限须符合各级矿产资源规划规定。②矿区企业严控新增建设用地规模和非农建设占用耕地。③大中型矿山须达到绿色矿山建设标准，引导小型矿山按照绿色矿山标准规范发展。④开展尾矿库土壤监测和定期评估；严把新（改、扩）建尾矿库立项、用地、环保、安全准入关；每年进行一次尾矿库安全风险评估；尽量降低尾矿库内水位，确保主要运行参数及排洪系统始终满足设计要求；严格落实“一库一策”安全风险管控要求。</w:t>
                  </w:r>
                </w:p>
                <w:p w14:paraId="1DDB0642">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旅游：①各类景区严格执行相应的风景名胜区规划开展建设和环保管理，主要旅游接待服务设施污水达标排放率达100%；生活垃圾无害化处理率达100%；风景区水体不得新建排污口；餐饮服务气体排放须采取油烟净化处理，满足《饮食业油烟排放标准》（GB18483-2001）相关要求，以贡嘎山国家级风景名胜区为例，在旅游峰值每年7-8月份，次峰值5-6、9-10月份时景区污水排放不得高于2025年4200床位标准。②甘孜新区位于泸定县燕子沟镇，是康泸新一体化三大核心之一，以文化旅游为主要发展方向。区域污水排放不得高于2025年城乡常住人口2万人、旅游总人数（含海螺沟）500万人次年标准；2025年城镇生活垃圾无害化处理率80%，城镇污水集中处理率50%。</w:t>
                  </w:r>
                </w:p>
                <w:p w14:paraId="27CB8B90">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重大交通：①川藏铁路弃土（渣）场须符合水保、环保要求，不得影响建筑物安全。②涉及河道，应符合治导规划及防洪行洪的规定，不得在河道、湖泊管理范围内设置弃土（渣）场；不宜布设在流量较大的沟道，否则应进行防洪论证。③各类临时用地严格控制在用地范围内，禁止随意占压和破坏地貌、植被，完工后及时进行迹地清理、整治和植被恢复。④修建动物防护栅栏。⑤进行全封闭声屏障施工。</w:t>
                  </w:r>
                </w:p>
                <w:p w14:paraId="26A16ABD">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农牧业：①在不改变草原所有权性质、用途的基础上，草原承包经营权可以按照自愿、有偿原则依法流转。②草原植被盖度50%以下严重退化、海拔4500米以上生态脆弱的天然草原实行禁牧，最短时限2年。③草原植被盖度50%-70%中度退化、植被盖度70%-80%轻度退化的草场实行休牧，最短时限1年。④每亩年产草量干物质超过60公斤和植被盖度达到80%的草原实行划区轮牧。⑤在草原上从事矿藏开采、工程建设、经营性活动等占用草原的，须交纳草原植被恢复费。⑥征用或占用草原2年以上的，应对草原承包经营者给予补偿，人工草地按征占用前3年平均产值的4-10倍，天然草原按征占用前3年平均产值的8-15倍，围栏割草地按征占用前3年平均产值的10-15倍补偿。⑦临时占用草原补偿标准：修建工程便道、挖砂石、取泥土的，按所占用草原前3年平均产值的5-10倍补偿；开展经营性活动的，按所占用草原前3年平均产值的3-5倍补偿。
</w:t>
                  </w:r>
                </w:p>
                <w:p w14:paraId="4B0709D6">
                  <w:pPr>
                    <w:keepNext w:val="0"/>
                    <w:keepLines w:val="0"/>
                    <w:pageBreakBefore w:val="0"/>
                    <w:widowControl w:val="0"/>
                    <w:numPr>
                      <w:ilvl w:val="0"/>
                      <w:numId w:val="13"/>
                    </w:numPr>
                    <w:kinsoku/>
                    <w:wordWrap/>
                    <w:overflowPunct/>
                    <w:topLinePunct w:val="0"/>
                    <w:autoSpaceDE/>
                    <w:autoSpaceDN/>
                    <w:bidi w:val="0"/>
                    <w:adjustRightInd w:val="0"/>
                    <w:snapToGrid w:val="0"/>
                    <w:spacing w:before="0" w:after="0" w:line="240" w:lineRule="auto"/>
                    <w:ind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2）提升高耗能项目能耗准入标准，能耗、物耗要达到清洁生产先进水平。严禁新增钢铁、焦化、炼油、电解铝、水泥、平板玻璃（不含光伏玻璃）等产能。
</w:t>
                  </w:r>
                </w:p>
                <w:p w14:paraId="70EC1F77">
                  <w:pPr>
                    <w:keepNext w:val="0"/>
                    <w:keepLines w:val="0"/>
                    <w:pageBreakBefore w:val="0"/>
                    <w:widowControl w:val="0"/>
                    <w:numPr>
                      <w:ilvl w:val="0"/>
                      <w:numId w:val="13"/>
                    </w:numPr>
                    <w:kinsoku/>
                    <w:wordWrap/>
                    <w:overflowPunct/>
                    <w:topLinePunct w:val="0"/>
                    <w:autoSpaceDE/>
                    <w:autoSpaceDN/>
                    <w:bidi w:val="0"/>
                    <w:adjustRightInd w:val="0"/>
                    <w:snapToGrid w:val="0"/>
                    <w:spacing w:before="0" w:after="0" w:line="240" w:lineRule="auto"/>
                    <w:ind w:left="0" w:leftChars="0"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
</w:t>
                  </w:r>
                </w:p>
                <w:p w14:paraId="448A6D82">
                  <w:pPr>
                    <w:keepNext w:val="0"/>
                    <w:keepLines w:val="0"/>
                    <w:pageBreakBefore w:val="0"/>
                    <w:widowControl w:val="0"/>
                    <w:numPr>
                      <w:ilvl w:val="0"/>
                      <w:numId w:val="13"/>
                    </w:numPr>
                    <w:kinsoku/>
                    <w:wordWrap/>
                    <w:overflowPunct/>
                    <w:topLinePunct w:val="0"/>
                    <w:autoSpaceDE/>
                    <w:autoSpaceDN/>
                    <w:bidi w:val="0"/>
                    <w:adjustRightInd w:val="0"/>
                    <w:snapToGrid w:val="0"/>
                    <w:spacing w:before="0" w:after="0" w:line="240" w:lineRule="auto"/>
                    <w:ind w:left="0" w:leftChars="0" w:firstLine="420" w:firstLineChars="200"/>
                    <w:jc w:val="both"/>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水环境农业污染重点管控区：（1）稳步推进建制镇污水处理设施建设，适当预留发展空间，宜集中则集中，宜分散则分散。农村生活污水处理设施排水执行《农村生活污水处理设施水污染物排放标准》（DB512626-2019）要求。（2）深入推进化肥减量增效。鼓励以循环利用与生态净化相结合的方式控制种植业污染，农企合作推进测土配方施肥。
</w:t>
                  </w:r>
                </w:p>
                <w:p w14:paraId="0AA8CA03">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240" w:lineRule="auto"/>
                    <w:ind w:leftChars="0" w:firstLine="420" w:firstLineChars="200"/>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8.（1）光伏项目建设严格按照自然资源部办公厅国家林业和草原局办公室国家能源局综合司关于《支持光伏发电产业发展规范用地管理有关工作的通知》（自然资办发〔2023〕12号）执行。（2）在湖泊周边、水库库汊建设光伏、风电项目的，要科学论证，严格管控，不得布设在具有防洪、供水功能和水生态、水环境保护需求的区域。</w:t>
                  </w:r>
                </w:p>
              </w:tc>
              <w:tc>
                <w:tcPr>
                  <w:tcW w:w="1432" w:type="pct"/>
                  <w:vAlign w:val="center"/>
                </w:tcPr>
                <w:p w14:paraId="6F1B58EA">
                  <w:pPr>
                    <w:numPr>
                      <w:ilvl w:val="0"/>
                      <w:numId w:val="0"/>
                    </w:numPr>
                    <w:spacing w:before="0" w:after="0" w:line="240" w:lineRule="auto"/>
                    <w:ind w:leftChars="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本项目不涉及占用</w:t>
                  </w:r>
                  <w:r>
                    <w:rPr>
                      <w:rFonts w:hint="default" w:ascii="Times New Roman" w:hAnsi="Times New Roman" w:eastAsia="宋体" w:cs="Times New Roman"/>
                      <w:b w:val="0"/>
                      <w:color w:val="000000" w:themeColor="text1"/>
                      <w:sz w:val="21"/>
                      <w:szCs w:val="21"/>
                      <w14:textFill>
                        <w14:solidFill>
                          <w14:schemeClr w14:val="tx1"/>
                        </w14:solidFill>
                      </w14:textFill>
                    </w:rPr>
                    <w:t>耕地。</w:t>
                  </w:r>
                </w:p>
                <w:p w14:paraId="6F96A5CD">
                  <w:pPr>
                    <w:numPr>
                      <w:ilvl w:val="0"/>
                      <w:numId w:val="0"/>
                    </w:numPr>
                    <w:spacing w:before="0" w:after="0" w:line="240" w:lineRule="auto"/>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自然保护区、风景名胜区、森林公园。
</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本项目取得《泸定县林业和草原局关于同意泸定县城区自来水厂备用水源取水工程新建项目进入四川大熊猫栖息地世界自然遗产缓冲区的审核意见》（泸林护审字[2025]02号）</w:t>
                  </w:r>
                  <w:r>
                    <w:rPr>
                      <w:rFonts w:hint="default" w:ascii="Times New Roman" w:hAnsi="Times New Roman" w:eastAsia="宋体" w:cs="Times New Roman"/>
                      <w:b w:val="0"/>
                      <w:color w:val="000000" w:themeColor="text1"/>
                      <w:sz w:val="21"/>
                      <w:szCs w:val="21"/>
                      <w14:textFill>
                        <w14:solidFill>
                          <w14:schemeClr w14:val="tx1"/>
                        </w14:solidFill>
                      </w14:textFill>
                    </w:rPr>
                    <w:t>。</w:t>
                  </w:r>
                </w:p>
                <w:p w14:paraId="02CCD401">
                  <w:pPr>
                    <w:numPr>
                      <w:ilvl w:val="0"/>
                      <w:numId w:val="0"/>
                    </w:numPr>
                    <w:spacing w:before="0" w:after="0" w:line="240" w:lineRule="auto"/>
                    <w:ind w:leftChars="0"/>
                    <w:jc w:val="left"/>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本项目不涉及采矿。</w:t>
                  </w:r>
                </w:p>
                <w:p w14:paraId="70FBD923">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本项目不属于</w:t>
                  </w:r>
                  <w:r>
                    <w:rPr>
                      <w:rFonts w:hint="default" w:ascii="Times New Roman" w:hAnsi="Times New Roman" w:eastAsia="宋体" w:cs="Times New Roman"/>
                      <w:b w:val="0"/>
                      <w:color w:val="000000" w:themeColor="text1"/>
                      <w:sz w:val="21"/>
                      <w:szCs w:val="21"/>
                      <w14:textFill>
                        <w14:solidFill>
                          <w14:schemeClr w14:val="tx1"/>
                        </w14:solidFill>
                      </w14:textFill>
                    </w:rPr>
                    <w:t>钢铁、焦化、炼油、电解铝、水泥、平板玻璃（不含光伏玻璃）等产能。
</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不属于</w:t>
                  </w:r>
                  <w:r>
                    <w:rPr>
                      <w:rFonts w:hint="default" w:ascii="Times New Roman" w:hAnsi="Times New Roman" w:eastAsia="宋体" w:cs="Times New Roman"/>
                      <w:b w:val="0"/>
                      <w:color w:val="000000" w:themeColor="text1"/>
                      <w:sz w:val="21"/>
                      <w:szCs w:val="21"/>
                      <w14:textFill>
                        <w14:solidFill>
                          <w14:schemeClr w14:val="tx1"/>
                        </w14:solidFill>
                      </w14:textFill>
                    </w:rPr>
                    <w:t>光伏、风电项目。</w:t>
                  </w:r>
                </w:p>
              </w:tc>
              <w:tc>
                <w:tcPr>
                  <w:tcW w:w="213" w:type="pct"/>
                  <w:vAlign w:val="center"/>
                </w:tcPr>
                <w:p w14:paraId="3705070C">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2D0E9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773432AC">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2888E78C">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vAlign w:val="center"/>
                </w:tcPr>
                <w:p w14:paraId="2727B177">
                  <w:pPr>
                    <w:pStyle w:val="147"/>
                    <w:shd w:val="clear" w:color="auto" w:fill="FFFFFF"/>
                    <w:spacing w:line="240" w:lineRule="auto"/>
                    <w:ind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不符合空间布局要求活动的退出要求:</w:t>
                  </w:r>
                </w:p>
                <w:p w14:paraId="5F49B6F6">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（1）一般生态空间中涉及自然保护区、风景名胜区、森林公园、地质公园等法定保护地，现有不符合相关保护区法律法规和规划的项目，应限期整改或关闭。</w:t>
                  </w:r>
                </w:p>
                <w:p w14:paraId="0B667AF1">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（2）全面取缔禁养区内规模化畜禽养殖场。</w:t>
                  </w:r>
                </w:p>
                <w:p w14:paraId="19DBA032">
                  <w:pPr>
                    <w:pStyle w:val="147"/>
                    <w:shd w:val="clear" w:color="auto" w:fill="FFFFFF"/>
                    <w:spacing w:line="240" w:lineRule="auto"/>
                    <w:ind w:firstLine="420"/>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（3）按照相关规划和要求，清理整顿非法采砂、非法码头，全面清除不合规码头。</w:t>
                  </w:r>
                </w:p>
              </w:tc>
              <w:tc>
                <w:tcPr>
                  <w:tcW w:w="1432" w:type="pct"/>
                  <w:vAlign w:val="center"/>
                </w:tcPr>
                <w:p w14:paraId="0C3415F6">
                  <w:pPr>
                    <w:numPr>
                      <w:ilvl w:val="0"/>
                      <w:numId w:val="0"/>
                    </w:numPr>
                    <w:spacing w:before="0" w:after="0" w:line="240" w:lineRule="auto"/>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自然保护区、风景名胜区、森林公园。
</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本项目取得《泸定县林业和草原局关于同意泸定县城区自来水厂备用水源取水工程新建项目进入四川大熊猫栖息地世界自然遗产缓冲区的审核意见》（泸林护审字[2025]02号）</w:t>
                  </w:r>
                  <w:r>
                    <w:rPr>
                      <w:rFonts w:hint="default" w:ascii="Times New Roman" w:hAnsi="Times New Roman" w:eastAsia="宋体" w:cs="Times New Roman"/>
                      <w:b w:val="0"/>
                      <w:color w:val="000000" w:themeColor="text1"/>
                      <w:sz w:val="21"/>
                      <w:szCs w:val="21"/>
                      <w14:textFill>
                        <w14:solidFill>
                          <w14:schemeClr w14:val="tx1"/>
                        </w14:solidFill>
                      </w14:textFill>
                    </w:rPr>
                    <w:t>。</w:t>
                  </w:r>
                </w:p>
                <w:p w14:paraId="199D4B93">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本项目不属于畜禽养殖场。</w:t>
                  </w:r>
                </w:p>
                <w:p w14:paraId="4268FCBA">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、本项目不属于</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采砂、码头</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50B4397F">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00C9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2338CCB4">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5511CE69">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vAlign w:val="center"/>
                </w:tcPr>
                <w:p w14:paraId="272874C1">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其他空间布局约束要求</w:t>
                  </w:r>
                  <w:r>
                    <w:rPr>
                      <w:rFonts w:hint="default" w:ascii="Times New Roman" w:hAnsi="Times New Roman" w:eastAsia="宋体" w:cs="Times New Roman"/>
                      <w:color w:val="000000" w:themeColor="text1"/>
                      <w:sz w:val="21"/>
                      <w:szCs w:val="21"/>
                      <w14:textFill>
                        <w14:solidFill>
                          <w14:schemeClr w14:val="tx1"/>
                        </w14:solidFill>
                      </w14:textFill>
                    </w:rPr>
                    <w:t>:</w:t>
                  </w:r>
                </w:p>
                <w:p w14:paraId="44B31B0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1）园区外企业：位于一般管控单元内的园区外工业企业，须坚持“政府主导、企业主体、并联审查”原则，由对应各县（市）政府实施监督并确定需要整改的企业名单，上了名单的企业应提出整改承诺和方案，整改完成后由县（市）政府销号并纳入日常环境监管。对经整改治理后仍不能符合现行环保要求的，县（市）政府应责令关停或确定退出时限。</w:t>
                  </w:r>
                </w:p>
                <w:p w14:paraId="74B3B4B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（2）加快小水电清理整顿，加强流域生态修复。</w:t>
                  </w:r>
                </w:p>
                <w:p w14:paraId="5613C51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（3）按照省、州现行矿产资源总体规划执行。</w:t>
                  </w:r>
                </w:p>
              </w:tc>
              <w:tc>
                <w:tcPr>
                  <w:tcW w:w="1432" w:type="pct"/>
                  <w:vAlign w:val="center"/>
                </w:tcPr>
                <w:p w14:paraId="4F7CC6F1">
                  <w:pPr>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本项目不属于小水电项目。</w:t>
                  </w:r>
                </w:p>
              </w:tc>
              <w:tc>
                <w:tcPr>
                  <w:tcW w:w="213" w:type="pct"/>
                  <w:vAlign w:val="center"/>
                </w:tcPr>
                <w:p w14:paraId="00E8DF40">
                  <w:pPr>
                    <w:spacing w:line="240" w:lineRule="auto"/>
                    <w:jc w:val="center"/>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符合</w:t>
                  </w:r>
                </w:p>
              </w:tc>
            </w:tr>
            <w:tr w14:paraId="319B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4519915B">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restart"/>
                  <w:vAlign w:val="center"/>
                </w:tcPr>
                <w:p w14:paraId="00EA316E">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污染物排放管控</w:t>
                  </w:r>
                </w:p>
              </w:tc>
              <w:tc>
                <w:tcPr>
                  <w:tcW w:w="2955" w:type="pct"/>
                  <w:vAlign w:val="center"/>
                </w:tcPr>
                <w:p w14:paraId="3376FA44">
                  <w:pPr>
                    <w:spacing w:line="240" w:lineRule="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现有源提标升级改造:</w:t>
                  </w:r>
                </w:p>
                <w:p w14:paraId="3F263387">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（1）在矿产资源开发活动集中区域，废水执行重金属污染物排放特别限值。</w:t>
                  </w:r>
                </w:p>
                <w:p w14:paraId="4ADDD237">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（2）因地制宜、注重实效、突出重点，梯次推进农村生活污水治理。农村生活污水处理执行《四川省农村生活污水处理设施水污染物排放标准》（DB512626-2019）。</w:t>
                  </w:r>
                </w:p>
                <w:p w14:paraId="2723FF06">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（3）新建、改建、扩建规模化畜禽养殖场（养殖小区）要实施雨污分流、粪便污水资源化利用。</w:t>
                  </w:r>
                </w:p>
                <w:p w14:paraId="6F1FE360">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（4）砖瓦行业实施脱硫、除尘升级改造，污染物排放达到《砖瓦工业大气污染物排放标准》相关要求。</w:t>
                  </w:r>
                </w:p>
                <w:p w14:paraId="25D5A07A">
                  <w:pPr>
                    <w:pStyle w:val="147"/>
                    <w:shd w:val="clear" w:color="auto" w:fill="FFFFFF"/>
                    <w:spacing w:line="240" w:lineRule="auto"/>
                    <w:ind w:firstLine="420"/>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（5）水泥行业按相关要求推进大气污染物超低排放和深度治理。</w:t>
                  </w:r>
                </w:p>
              </w:tc>
              <w:tc>
                <w:tcPr>
                  <w:tcW w:w="1432" w:type="pct"/>
                  <w:vAlign w:val="center"/>
                </w:tcPr>
                <w:p w14:paraId="5E7465A5">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1、本项目不属于在矿产资源开发活动。</w:t>
                  </w:r>
                </w:p>
                <w:p w14:paraId="7303178B">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本项目不属于乡镇污水处理设施。</w:t>
                  </w:r>
                </w:p>
                <w:p w14:paraId="326C57E3">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3、本项目不属于砖瓦行业。</w:t>
                  </w:r>
                </w:p>
                <w:p w14:paraId="01747D5B">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4、本项目不属于火电、水泥等行业。</w:t>
                  </w:r>
                </w:p>
                <w:p w14:paraId="6CF9B006">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5、本项目不属于调整优化畜禽养殖。</w:t>
                  </w:r>
                </w:p>
              </w:tc>
              <w:tc>
                <w:tcPr>
                  <w:tcW w:w="213" w:type="pct"/>
                  <w:vAlign w:val="center"/>
                </w:tcPr>
                <w:p w14:paraId="41E2B737">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39A4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7D8A220F">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tcBorders>
                    <w:bottom w:val="single" w:color="000000" w:sz="8" w:space="0"/>
                  </w:tcBorders>
                  <w:vAlign w:val="center"/>
                </w:tcPr>
                <w:p w14:paraId="37498F3D">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tcBorders>
                    <w:bottom w:val="single" w:color="000000" w:sz="8" w:space="0"/>
                  </w:tcBorders>
                  <w:vAlign w:val="center"/>
                </w:tcPr>
                <w:p w14:paraId="1C08DF52">
                  <w:pPr>
                    <w:pStyle w:val="147"/>
                    <w:shd w:val="clear" w:color="auto" w:fill="FFFFFF"/>
                    <w:spacing w:line="240" w:lineRule="auto"/>
                    <w:ind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其他污染物排放管控要求:</w:t>
                  </w:r>
                </w:p>
                <w:p w14:paraId="0655F508">
                  <w:pPr>
                    <w:pStyle w:val="147"/>
                    <w:numPr>
                      <w:ilvl w:val="0"/>
                      <w:numId w:val="14"/>
                    </w:numPr>
                    <w:shd w:val="clear" w:color="auto" w:fill="FFFFFF"/>
                    <w:spacing w:line="240" w:lineRule="auto"/>
                    <w:ind w:firstLine="42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矿业：①加强矿山采选废水的处理和综合利用工作，选矿废水全部综合利用，不外排，采矿废水应尽量回用。②在矿产资源开发活动集中区域，废水执行重金属污染物排放特别限值。③严控引入有色金属冶炼产业（不使用矿石的产业链下游精加工产品制造除外），相关企业须满足污染物排放管控和治理要求。
</w:t>
                  </w:r>
                </w:p>
                <w:p w14:paraId="012654A9">
                  <w:pPr>
                    <w:pStyle w:val="147"/>
                    <w:numPr>
                      <w:ilvl w:val="0"/>
                      <w:numId w:val="14"/>
                    </w:numPr>
                    <w:shd w:val="clear" w:color="auto" w:fill="FFFFFF"/>
                    <w:spacing w:line="240" w:lineRule="auto"/>
                    <w:ind w:left="0" w:leftChars="0" w:firstLine="420" w:firstLineChars="20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建筑业：①砖瓦行业实施脱硫、除尘升级改造，污染物排放达到《砖瓦工业大气污染物排放标准》相关要求。②水泥行业按相关要求推进大气污染物超低排放和深度治理。
</w:t>
                  </w:r>
                </w:p>
                <w:p w14:paraId="7CD9D985">
                  <w:pPr>
                    <w:pStyle w:val="147"/>
                    <w:numPr>
                      <w:ilvl w:val="0"/>
                      <w:numId w:val="14"/>
                    </w:numPr>
                    <w:shd w:val="clear" w:color="auto" w:fill="FFFFFF"/>
                    <w:spacing w:line="240" w:lineRule="auto"/>
                    <w:ind w:left="0" w:leftChars="0" w:firstLine="420" w:firstLineChars="20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农牧业：①合理化畜禽养殖布局，推进畜禽粪污无害化、资源化综合处置利用。规模化畜禽养殖场（小区）粪污处理设施装备配套率达到95%以上，粪污综合利用率达到75%以上，大型规模养殖场粪污处理设施装备配套率达到100%。②新、改扩建规模化畜禽养殖场（小区）要实施雨污分流、粪便污水资源化利用。③散养密集区要实行畜禽粪便污水分户收集、集中处理利用。</w:t>
                  </w:r>
                </w:p>
                <w:p w14:paraId="49AE4954">
                  <w:pPr>
                    <w:pStyle w:val="147"/>
                    <w:numPr>
                      <w:ilvl w:val="0"/>
                      <w:numId w:val="14"/>
                    </w:numPr>
                    <w:shd w:val="clear" w:color="auto" w:fill="FFFFFF"/>
                    <w:spacing w:line="240" w:lineRule="auto"/>
                    <w:ind w:left="0" w:leftChars="0" w:firstLine="420" w:firstLineChars="20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污水及垃圾：①基本实现乡镇污水处理设施全覆盖，配套建设污水收集管网，乡镇污水处理率达到50%。②因地制宜、注重实效、突出重点，梯次推进农村生活污水治理，农村生活污水处理执行《四川省农村生活污水处理设施水污染物排放标准》（DB512626-2019）。③到2023年底，县城生活垃圾无害化处理率达95%以上；乡镇及行政村生活垃圾收转运处置体系基本实现全覆盖，其中行政村生活垃圾收转运体系覆盖率2021年底达90%，2022年底全覆盖；2022年底再生资源回收网点覆盖60%以上行政村。</w:t>
                  </w:r>
                </w:p>
                <w:p w14:paraId="4B400427">
                  <w:pPr>
                    <w:pStyle w:val="147"/>
                    <w:numPr>
                      <w:ilvl w:val="0"/>
                      <w:numId w:val="14"/>
                    </w:numPr>
                    <w:shd w:val="clear" w:color="auto" w:fill="FFFFFF"/>
                    <w:spacing w:line="240" w:lineRule="auto"/>
                    <w:ind w:left="0" w:leftChars="0" w:firstLine="420" w:firstLineChars="20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屠宰项目必须配套污水处理设施或进入城市污水管网。
</w:t>
                  </w:r>
                </w:p>
                <w:p w14:paraId="5A106B1E">
                  <w:pPr>
                    <w:pStyle w:val="147"/>
                    <w:numPr>
                      <w:ilvl w:val="0"/>
                      <w:numId w:val="14"/>
                    </w:numPr>
                    <w:shd w:val="clear" w:color="auto" w:fill="FFFFFF"/>
                    <w:spacing w:line="240" w:lineRule="auto"/>
                    <w:ind w:left="0" w:leftChars="0" w:firstLine="420" w:firstLineChars="20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新建、改建、扩建尾矿库的，应当根据国家有关规定和尾矿库实际情况，配套建设防渗、渗滤液收集、废水处理、环境监测、环境应急等污染防治设施。
</w:t>
                  </w:r>
                </w:p>
                <w:p w14:paraId="64A203C7">
                  <w:pPr>
                    <w:pStyle w:val="147"/>
                    <w:numPr>
                      <w:ilvl w:val="0"/>
                      <w:numId w:val="14"/>
                    </w:numPr>
                    <w:shd w:val="clear" w:color="auto" w:fill="FFFFFF"/>
                    <w:spacing w:line="240" w:lineRule="auto"/>
                    <w:ind w:left="0" w:leftChars="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尾矿库配套的渗滤液收集池、回水池、环境应急事故池等设施的防渗要求应当不低于该尾矿库的防渗要求，并设置防漫流设施。尾矿库上游、下游和可能出现污染扩散的尾矿库周边区域，应当设置地下水水质监测井。
</w:t>
                  </w:r>
                </w:p>
                <w:p w14:paraId="55C0DE21">
                  <w:pPr>
                    <w:pStyle w:val="147"/>
                    <w:numPr>
                      <w:ilvl w:val="0"/>
                      <w:numId w:val="14"/>
                    </w:numPr>
                    <w:shd w:val="clear" w:color="auto" w:fill="FFFFFF"/>
                    <w:spacing w:line="240" w:lineRule="auto"/>
                    <w:ind w:left="0" w:leftChars="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尾矿水应当优先返回选矿工艺使用；向环境排放的，应当符合国家和地方污染物排放标准，不得与尾矿库外的雨水混合排放，并按照有关规定设置污染物排放口，设立标志，依法安装流量计和视频监控；</w:t>
                  </w:r>
                </w:p>
                <w:p w14:paraId="71B08D14">
                  <w:pPr>
                    <w:pStyle w:val="147"/>
                    <w:numPr>
                      <w:ilvl w:val="0"/>
                      <w:numId w:val="14"/>
                    </w:numPr>
                    <w:shd w:val="clear" w:color="auto" w:fill="FFFFFF"/>
                    <w:spacing w:line="240" w:lineRule="auto"/>
                    <w:ind w:left="0" w:leftChars="0" w:firstLine="420" w:firstLineChars="20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非金属矿、有色金属、黄金等行业采矿严格按照现行有效的绿色矿山建设要求执行。</w:t>
                  </w:r>
                </w:p>
              </w:tc>
              <w:tc>
                <w:tcPr>
                  <w:tcW w:w="1432" w:type="pct"/>
                  <w:vAlign w:val="center"/>
                </w:tcPr>
                <w:p w14:paraId="1CB9F9C7">
                  <w:pPr>
                    <w:pStyle w:val="147"/>
                    <w:numPr>
                      <w:ilvl w:val="0"/>
                      <w:numId w:val="15"/>
                    </w:numPr>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本项目不属于矿山项目。</w:t>
                  </w:r>
                </w:p>
                <w:p w14:paraId="38B56219">
                  <w:pPr>
                    <w:pStyle w:val="147"/>
                    <w:numPr>
                      <w:ilvl w:val="0"/>
                      <w:numId w:val="15"/>
                    </w:numPr>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本项目不属于建筑业。</w:t>
                  </w:r>
                </w:p>
                <w:p w14:paraId="25B0003E">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3、本项目不属于畜禽养殖项目；</w:t>
                  </w:r>
                </w:p>
                <w:p w14:paraId="6C05FFCC">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4、本项目不属于屠宰项目。</w:t>
                  </w:r>
                </w:p>
                <w:p w14:paraId="3D331492">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项目不涉及尾矿库</w:t>
                  </w:r>
                  <w:r>
                    <w:rPr>
                      <w:rFonts w:hint="default" w:ascii="Times New Roman" w:hAnsi="Times New Roman" w:eastAsia="宋体" w:cs="Times New Roman"/>
                      <w:color w:val="000000" w:themeColor="text1"/>
                      <w:sz w:val="21"/>
                      <w:szCs w:val="21"/>
                      <w14:textFill>
                        <w14:solidFill>
                          <w14:schemeClr w14:val="tx1"/>
                        </w14:solidFill>
                      </w14:textFill>
                    </w:rPr>
                    <w:t>。</w:t>
                  </w:r>
                </w:p>
                <w:p w14:paraId="6BA8E866">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6、本项目不涉及</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选矿</w:t>
                  </w:r>
                  <w:r>
                    <w:rPr>
                      <w:rFonts w:hint="default" w:ascii="Times New Roman" w:hAnsi="Times New Roman" w:eastAsia="宋体" w:cs="Times New Roman"/>
                      <w:color w:val="000000" w:themeColor="text1"/>
                      <w:sz w:val="21"/>
                      <w:szCs w:val="21"/>
                      <w14:textFill>
                        <w14:solidFill>
                          <w14:schemeClr w14:val="tx1"/>
                        </w14:solidFill>
                      </w14:textFill>
                    </w:rPr>
                    <w:t>。</w:t>
                  </w:r>
                </w:p>
                <w:p w14:paraId="49E87635">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7、本项目不</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属于</w:t>
                  </w:r>
                  <w:r>
                    <w:rPr>
                      <w:rFonts w:hint="default" w:ascii="Times New Roman" w:hAnsi="Times New Roman" w:eastAsia="宋体" w:cs="Times New Roman"/>
                      <w:b w:val="0"/>
                      <w:color w:val="000000" w:themeColor="text1"/>
                      <w:sz w:val="21"/>
                      <w:szCs w:val="21"/>
                      <w14:textFill>
                        <w14:solidFill>
                          <w14:schemeClr w14:val="tx1"/>
                        </w14:solidFill>
                      </w14:textFill>
                    </w:rPr>
                    <w:t>非金属矿、有色金属、黄金等行业</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760BB17B">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40D5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22D92952">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tcBorders>
                    <w:top w:val="single" w:color="000000" w:sz="8" w:space="0"/>
                  </w:tcBorders>
                  <w:vAlign w:val="center"/>
                </w:tcPr>
                <w:p w14:paraId="0012E5B7">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955" w:type="pct"/>
                  <w:tcBorders>
                    <w:top w:val="single" w:color="000000" w:sz="8" w:space="0"/>
                  </w:tcBorders>
                  <w:vAlign w:val="center"/>
                </w:tcPr>
                <w:p w14:paraId="7003566C">
                  <w:pPr>
                    <w:pStyle w:val="147"/>
                    <w:shd w:val="clear" w:color="auto" w:fill="FFFFFF"/>
                    <w:spacing w:line="240" w:lineRule="auto"/>
                    <w:ind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其他环境风险防控要求:</w:t>
                  </w:r>
                </w:p>
                <w:p w14:paraId="78F74002">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（1）工业企业退出用地，应按相关要求进行评估、修复，满足相应用地功能后，方可改变用途。
（2）加强“散乱污”企业环境风险防控。
（3）严禁将城镇生活垃圾、污泥、工业废物直接用作肥料，禁止处理不达标的污泥进入耕地；禁止在农用地排放、倾倒、使用污泥、清淤底泥、尾矿（渣）等可能对土壤造成污染的固体废物。
（4）严格控制农药使用量，禁止使用高毒、高残留农药。
（5）定期对单元内尾矿库进行风险巡查，建立监测系统和环境风险应急预案，完善各尾矿库渗滤液收集、处理、回用系统，杜绝事故排放；尾矿库闭矿后因地制宜进行植被恢复和综合利用。
（6）禁止向农田灌溉渠道排放工业废水或者医疗污水；向农田灌溉渠道排放城镇污水以及未综合利用的畜禽养殖废水、农产品加工废水的，应当保证其下游最近的灌溉取水点的水质符合农田灌溉水质标准。
（7）矿业环境风险防控要求：①在矿产资源开发活动集中区域，废水执行重金属污染物排放特别限值。②严格执行闭矿后环保措施，进行矿区废弃土地复垦和矿山地质环境破坏区域恢复治理。</w:t>
                  </w:r>
                </w:p>
              </w:tc>
              <w:tc>
                <w:tcPr>
                  <w:tcW w:w="1432" w:type="pct"/>
                  <w:vAlign w:val="center"/>
                </w:tcPr>
                <w:p w14:paraId="405F94B9">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1、本项目不涉及工业企业退出用地。</w:t>
                  </w:r>
                </w:p>
                <w:p w14:paraId="2DD94AC2">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2、本项目不属于“散乱污”企业。</w:t>
                  </w:r>
                </w:p>
                <w:p w14:paraId="0415CE3F">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3、本项目不属于涉及五类重金属的企业。</w:t>
                  </w:r>
                </w:p>
                <w:p w14:paraId="5395EB3A">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用地环境风险防控要求</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p w14:paraId="396DED95">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4、本项目固废合理处置，不在农用地排放、倾倒、使用污泥、清淤底泥、尾矿（渣）等。</w:t>
                  </w:r>
                </w:p>
                <w:p w14:paraId="49403AFB">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5、本项目不属于尾矿库。</w:t>
                  </w:r>
                </w:p>
                <w:p w14:paraId="40237E75">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6、本项目不涉及</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向</w:t>
                  </w:r>
                  <w:r>
                    <w:rPr>
                      <w:rFonts w:hint="default" w:ascii="Times New Roman" w:hAnsi="Times New Roman" w:eastAsia="宋体" w:cs="Times New Roman"/>
                      <w:b w:val="0"/>
                      <w:color w:val="000000" w:themeColor="text1"/>
                      <w:sz w:val="21"/>
                      <w:szCs w:val="21"/>
                      <w14:textFill>
                        <w14:solidFill>
                          <w14:schemeClr w14:val="tx1"/>
                        </w14:solidFill>
                      </w14:textFill>
                    </w:rPr>
                    <w:t>农田灌溉渠道排放工业废水或者医疗污水</w:t>
                  </w:r>
                  <w:r>
                    <w:rPr>
                      <w:rFonts w:hint="default" w:ascii="Times New Roman" w:hAnsi="Times New Roman" w:eastAsia="宋体" w:cs="Times New Roman"/>
                      <w:color w:val="000000" w:themeColor="text1"/>
                      <w:sz w:val="21"/>
                      <w:szCs w:val="21"/>
                      <w14:textFill>
                        <w14:solidFill>
                          <w14:schemeClr w14:val="tx1"/>
                        </w14:solidFill>
                      </w14:textFill>
                    </w:rPr>
                    <w:t>。</w:t>
                  </w:r>
                </w:p>
                <w:p w14:paraId="2CB72F17">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7、本项目</w:t>
                  </w:r>
                  <w:r>
                    <w:rPr>
                      <w:rFonts w:hint="eastAsia" w:ascii="Times New Roman" w:hAnsi="Times New Roman" w:cs="Times New Roman"/>
                      <w:color w:val="000000" w:themeColor="text1"/>
                      <w:sz w:val="21"/>
                      <w:szCs w:val="21"/>
                      <w:lang w:val="en-US" w:eastAsia="zh-CN"/>
                      <w14:textFill>
                        <w14:solidFill>
                          <w14:schemeClr w14:val="tx1"/>
                        </w14:solidFill>
                      </w14:textFill>
                    </w:rPr>
                    <w:t>不</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属于矿产资源开发利用活动</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0A963E0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62D5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56A1F79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restart"/>
                  <w:vAlign w:val="center"/>
                </w:tcPr>
                <w:p w14:paraId="1EA35DC1">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955" w:type="pct"/>
                  <w:vAlign w:val="center"/>
                </w:tcPr>
                <w:p w14:paraId="7C50740D">
                  <w:pPr>
                    <w:pStyle w:val="147"/>
                    <w:spacing w:line="240" w:lineRule="auto"/>
                    <w:ind w:firstLine="0" w:firstLineChars="0"/>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水资源利用效率要</w:t>
                  </w:r>
                </w:p>
                <w:p w14:paraId="084EBB92">
                  <w:pPr>
                    <w:spacing w:before="0" w:after="0" w:line="240" w:lineRule="auto"/>
                    <w:jc w:val="left"/>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kern w:val="2"/>
                      <w:sz w:val="21"/>
                      <w:szCs w:val="21"/>
                      <w:lang w:val="en-US" w:eastAsia="zh-CN" w:bidi="ar-SA"/>
                      <w14:textFill>
                        <w14:solidFill>
                          <w14:schemeClr w14:val="tx1"/>
                        </w14:solidFill>
                      </w14:textFill>
                    </w:rPr>
                    <w:t>严格实行用水总量和强度控制。加强农业节水增效，大力推进节水灌溉、优化调整作物种植结构、推广畜牧渔业节水方式、加快推进农村生活节水；实施城镇节水降损，全面推进城市节水、大幅降低供水管网漏损、强化公共用水管理、严控高耗水服务用水。</w:t>
                  </w:r>
                </w:p>
              </w:tc>
              <w:tc>
                <w:tcPr>
                  <w:tcW w:w="1432" w:type="pct"/>
                  <w:vAlign w:val="center"/>
                </w:tcPr>
                <w:p w14:paraId="31EC6FC8">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213" w:type="pct"/>
                  <w:vAlign w:val="center"/>
                </w:tcPr>
                <w:p w14:paraId="56890D7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r>
            <w:tr w14:paraId="4AAF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5A952178">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2631ECBC">
                  <w:pPr>
                    <w:spacing w:line="240" w:lineRule="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vAlign w:val="center"/>
                </w:tcPr>
                <w:p w14:paraId="6453B09A">
                  <w:pPr>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其他资源利用效率要求:</w:t>
                  </w:r>
                </w:p>
                <w:p w14:paraId="79AAE8A5">
                  <w:pPr>
                    <w:pStyle w:val="147"/>
                    <w:shd w:val="clear" w:color="auto" w:fill="FFFFFF"/>
                    <w:spacing w:line="240" w:lineRule="auto"/>
                    <w:ind w:firstLine="420"/>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推进清洁能源的推广使用，全面推进散煤清洁化整治；禁止新建每小时10蒸吨以下的燃煤锅炉及其他燃煤设施。（2）矿业能源利用效率要求：①矿区大气污染物和废水排放率、工业固体废弃物综合利用率、一般工业固废和危险废物处置率等指标严格执行《有色金属行业绿色矿山建设规范》（DZT0320-2018）等各级产业政策和生态保护要求。②矿区矿产资源总回收率、共伴生矿产综合利用率等指标严格执行《有色金属行业绿色矿山建设规范》（DZT0320-2018）等各级产业政策和生态保护要求。</w:t>
                  </w:r>
                </w:p>
              </w:tc>
              <w:tc>
                <w:tcPr>
                  <w:tcW w:w="1432" w:type="pct"/>
                  <w:vAlign w:val="center"/>
                </w:tcPr>
                <w:p w14:paraId="2CAC06F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本项目不涉及</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燃煤和矿区</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5E930EE9">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14AD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restart"/>
                  <w:vAlign w:val="center"/>
                </w:tcPr>
                <w:p w14:paraId="67F8C3CE">
                  <w:pPr>
                    <w:pStyle w:val="147"/>
                    <w:shd w:val="clear" w:color="auto" w:fill="FFFFFF"/>
                    <w:spacing w:line="240" w:lineRule="auto"/>
                    <w:ind w:left="0" w:leftChars="0" w:firstLine="0" w:firstLineChars="0"/>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城镇重点管控单元</w:t>
                  </w:r>
                </w:p>
              </w:tc>
              <w:tc>
                <w:tcPr>
                  <w:tcW w:w="200" w:type="pct"/>
                  <w:vMerge w:val="restart"/>
                  <w:vAlign w:val="center"/>
                </w:tcPr>
                <w:p w14:paraId="3487A3F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空间布局约束</w:t>
                  </w:r>
                </w:p>
              </w:tc>
              <w:tc>
                <w:tcPr>
                  <w:tcW w:w="2955" w:type="pct"/>
                </w:tcPr>
                <w:p w14:paraId="10105F0B">
                  <w:pPr>
                    <w:spacing w:before="0" w:after="0" w:line="240" w:lineRule="auto"/>
                    <w:jc w:val="left"/>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7D69C345">
                  <w:pPr>
                    <w:spacing w:before="0" w:after="0" w:line="240" w:lineRule="auto"/>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（1）严禁在城市建成区以及近郊区域，新建、扩建石化、农药、电解铝、氯碱化工等高污染、高环境风险产业。
（2）严格执行相关行业企业布局选址要求，禁止在居民区、学校、医疗和养老机构等周边新建有色金属冶炼等行业企业，有序搬迁或依法关闭对土壤造成严重污染的现有企业。
（3）禁止在长江流域河湖管理范围内倾倒、填埋、堆放、弃置、处理固体废物。</w:t>
                  </w:r>
                </w:p>
              </w:tc>
              <w:tc>
                <w:tcPr>
                  <w:tcW w:w="1432" w:type="pct"/>
                  <w:vAlign w:val="center"/>
                </w:tcPr>
                <w:p w14:paraId="2BE680BA">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1、本项目不属于</w:t>
                  </w:r>
                  <w:r>
                    <w:rPr>
                      <w:rFonts w:hint="default" w:ascii="Times New Roman" w:hAnsi="Times New Roman" w:eastAsia="宋体" w:cs="Times New Roman"/>
                      <w:b w:val="0"/>
                      <w:color w:val="000000" w:themeColor="text1"/>
                      <w:sz w:val="21"/>
                      <w:szCs w:val="21"/>
                      <w14:textFill>
                        <w14:solidFill>
                          <w14:schemeClr w14:val="tx1"/>
                        </w14:solidFill>
                      </w14:textFill>
                    </w:rPr>
                    <w:t>石化、农药、电解铝、氯碱化工等高污染、高环境风险产业。
</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2、本项目不属于</w:t>
                  </w:r>
                  <w:r>
                    <w:rPr>
                      <w:rFonts w:hint="default" w:ascii="Times New Roman" w:hAnsi="Times New Roman" w:eastAsia="宋体" w:cs="Times New Roman"/>
                      <w:b w:val="0"/>
                      <w:color w:val="000000" w:themeColor="text1"/>
                      <w:sz w:val="21"/>
                      <w:szCs w:val="21"/>
                      <w14:textFill>
                        <w14:solidFill>
                          <w14:schemeClr w14:val="tx1"/>
                        </w14:solidFill>
                      </w14:textFill>
                    </w:rPr>
                    <w:t>有色金属冶炼等行业企业。
</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3、本项目不在</w:t>
                  </w:r>
                  <w:r>
                    <w:rPr>
                      <w:rFonts w:hint="default" w:ascii="Times New Roman" w:hAnsi="Times New Roman" w:eastAsia="宋体" w:cs="Times New Roman"/>
                      <w:b w:val="0"/>
                      <w:color w:val="000000" w:themeColor="text1"/>
                      <w:sz w:val="21"/>
                      <w:szCs w:val="21"/>
                      <w14:textFill>
                        <w14:solidFill>
                          <w14:schemeClr w14:val="tx1"/>
                        </w14:solidFill>
                      </w14:textFill>
                    </w:rPr>
                    <w:t>河湖管理范围内倾倒、填埋、堆放、弃置、处理固体废物。</w:t>
                  </w:r>
                </w:p>
              </w:tc>
              <w:tc>
                <w:tcPr>
                  <w:tcW w:w="213" w:type="pct"/>
                  <w:vAlign w:val="center"/>
                </w:tcPr>
                <w:p w14:paraId="6CE5ED7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1668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1CF5B4E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01983597">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tcPr>
                <w:p w14:paraId="71F1AA01">
                  <w:pPr>
                    <w:spacing w:line="240" w:lineRule="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限制开发建设活动的要求</w:t>
                  </w:r>
                </w:p>
                <w:p w14:paraId="72F97F5C">
                  <w:pPr>
                    <w:pStyle w:val="147"/>
                    <w:numPr>
                      <w:ilvl w:val="0"/>
                      <w:numId w:val="0"/>
                    </w:numPr>
                    <w:shd w:val="clear" w:color="auto" w:fill="FFFFFF"/>
                    <w:spacing w:line="240" w:lineRule="auto"/>
                    <w:ind w:leftChars="0"/>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（1）对不符合国土空间规划的现有工业企业，污染物排放总量及环境风险水平只降不增，引导企业适时搬迁进入对口园区。</w:t>
                  </w:r>
                </w:p>
                <w:p w14:paraId="3953DDFE">
                  <w:pPr>
                    <w:pStyle w:val="147"/>
                    <w:numPr>
                      <w:ilvl w:val="0"/>
                      <w:numId w:val="0"/>
                    </w:numPr>
                    <w:shd w:val="clear" w:color="auto" w:fill="FFFFFF"/>
                    <w:spacing w:line="240" w:lineRule="auto"/>
                    <w:ind w:leftChars="0"/>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（2）严控新设工业园区，如确需新布局工业园区，应充分论证选址的环境合理性。</w:t>
                  </w:r>
                </w:p>
              </w:tc>
              <w:tc>
                <w:tcPr>
                  <w:tcW w:w="1432" w:type="pct"/>
                  <w:vAlign w:val="center"/>
                </w:tcPr>
                <w:p w14:paraId="7E870E2B">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运营期污染物排放量少</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659D3E65">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40C9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169AC27F">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4E045283">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tcPr>
                <w:p w14:paraId="090545A6">
                  <w:pPr>
                    <w:pStyle w:val="147"/>
                    <w:spacing w:before="31" w:after="31" w:line="240" w:lineRule="auto"/>
                    <w:ind w:firstLine="0" w:firstLineChars="0"/>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不符合空间布局要求活动的退出要求</w:t>
                  </w:r>
                </w:p>
                <w:p w14:paraId="68CF314F">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（1）加快推进城市建成区涉重金属企业搬迁或关闭。</w:t>
                  </w:r>
                </w:p>
                <w:p w14:paraId="04947A1A">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（2）按照相关规划和要求，清理整顿非法采砂、非法码头，全面清除不合规码头。</w:t>
                  </w:r>
                </w:p>
              </w:tc>
              <w:tc>
                <w:tcPr>
                  <w:tcW w:w="1432" w:type="pct"/>
                  <w:vAlign w:val="center"/>
                </w:tcPr>
                <w:p w14:paraId="6056EBFC">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1.本项目不</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涉及重金属</w:t>
                  </w:r>
                  <w:r>
                    <w:rPr>
                      <w:rFonts w:hint="default" w:ascii="Times New Roman" w:hAnsi="Times New Roman" w:eastAsia="宋体" w:cs="Times New Roman"/>
                      <w:color w:val="000000" w:themeColor="text1"/>
                      <w:sz w:val="21"/>
                      <w:szCs w:val="21"/>
                      <w14:textFill>
                        <w14:solidFill>
                          <w14:schemeClr w14:val="tx1"/>
                        </w14:solidFill>
                      </w14:textFill>
                    </w:rPr>
                    <w:t>。</w:t>
                  </w:r>
                </w:p>
                <w:p w14:paraId="4CD1ACB6">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2.本项目不</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涉及采砂、码头</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688F5F2D">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6FDA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7F9E4464">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26EF544E">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tcPr>
                <w:p w14:paraId="311A7ABE">
                  <w:pPr>
                    <w:pStyle w:val="147"/>
                    <w:shd w:val="clear" w:color="auto" w:fill="FFFFFF"/>
                    <w:spacing w:line="240" w:lineRule="auto"/>
                    <w:ind w:firstLine="0" w:firstLineChars="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其他空间布局约束要求</w:t>
                  </w:r>
                  <w:r>
                    <w:rPr>
                      <w:rFonts w:hint="default" w:ascii="Times New Roman" w:hAnsi="Times New Roman" w:eastAsia="宋体" w:cs="Times New Roman"/>
                      <w:color w:val="000000" w:themeColor="text1"/>
                      <w:sz w:val="21"/>
                      <w:szCs w:val="21"/>
                      <w14:textFill>
                        <w14:solidFill>
                          <w14:schemeClr w14:val="tx1"/>
                        </w14:solidFill>
                      </w14:textFill>
                    </w:rPr>
                    <w:t>:</w:t>
                  </w:r>
                </w:p>
                <w:p w14:paraId="512A83C6">
                  <w:pPr>
                    <w:pStyle w:val="147"/>
                    <w:shd w:val="clear" w:color="auto" w:fill="FFFFFF"/>
                    <w:spacing w:line="240" w:lineRule="auto"/>
                    <w:ind w:firstLine="42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加快现有高污染或高风险产品生产企业“退城入园”进度，逐步退出环境敏感区。</w:t>
                  </w:r>
                </w:p>
              </w:tc>
              <w:tc>
                <w:tcPr>
                  <w:tcW w:w="1432" w:type="pct"/>
                  <w:vAlign w:val="center"/>
                </w:tcPr>
                <w:p w14:paraId="08848A02">
                  <w:pPr>
                    <w:pStyle w:val="147"/>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本项目不涉及高污染或高风险产品生产。</w:t>
                  </w:r>
                </w:p>
              </w:tc>
              <w:tc>
                <w:tcPr>
                  <w:tcW w:w="213" w:type="pct"/>
                  <w:vAlign w:val="center"/>
                </w:tcPr>
                <w:p w14:paraId="39E94DB8">
                  <w:pPr>
                    <w:spacing w:line="240" w:lineRule="auto"/>
                    <w:jc w:val="center"/>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符合</w:t>
                  </w:r>
                </w:p>
              </w:tc>
            </w:tr>
            <w:tr w14:paraId="31BD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410441C4">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restart"/>
                  <w:vAlign w:val="center"/>
                </w:tcPr>
                <w:p w14:paraId="0F39CC63">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污染物排放管控</w:t>
                  </w:r>
                </w:p>
              </w:tc>
              <w:tc>
                <w:tcPr>
                  <w:tcW w:w="2955" w:type="pct"/>
                  <w:vAlign w:val="center"/>
                </w:tcPr>
                <w:p w14:paraId="23B4748B">
                  <w:pPr>
                    <w:keepNext w:val="0"/>
                    <w:keepLines w:val="0"/>
                    <w:pageBreakBefore w:val="0"/>
                    <w:widowControl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现有源提标升级改造</w:t>
                  </w:r>
                </w:p>
                <w:p w14:paraId="452736B3">
                  <w:pPr>
                    <w:keepNext w:val="0"/>
                    <w:keepLines w:val="0"/>
                    <w:pageBreakBefore w:val="0"/>
                    <w:widowControl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（1）严格执行高寒地区污水处理厂建设运行管理标准。
（2）到2023年底，18个县城设施能力基本满足生活污水处理需求，基本建立城乡生活垃圾分类投放、收集、转运、处理系统，县城生活垃圾无害化处理率达98%。
（3）落实国家重点生态功能区转移支付资金中的生态环境保护治理资金按不低于50%的比例安排用于城镇污水和城乡垃圾处理设施建设、运营和维护。
（4）2021年底，农牧区乡镇垃圾处理率达75%，行政村生活垃圾收转运体系覆盖率达90%；农牧区垃圾分类推广率2022年底达70%以上，2025年底达90%以上。
（5）全面落实各类施工工地扬尘防控措施，重点、重大项目工地实现视频监控、可吸入颗粒物（PM</w:t>
                  </w:r>
                  <w:r>
                    <w:rPr>
                      <w:rFonts w:hint="default" w:ascii="Times New Roman" w:hAnsi="Times New Roman" w:eastAsia="宋体" w:cs="Times New Roman"/>
                      <w:b w:val="0"/>
                      <w:color w:val="000000" w:themeColor="text1"/>
                      <w:sz w:val="21"/>
                      <w:szCs w:val="21"/>
                      <w:vertAlign w:val="subscript"/>
                      <w14:textFill>
                        <w14:solidFill>
                          <w14:schemeClr w14:val="tx1"/>
                        </w14:solidFill>
                      </w14:textFill>
                    </w:rPr>
                    <w:t>10</w:t>
                  </w:r>
                  <w:r>
                    <w:rPr>
                      <w:rFonts w:hint="default" w:ascii="Times New Roman" w:hAnsi="Times New Roman" w:eastAsia="宋体" w:cs="Times New Roman"/>
                      <w:b w:val="0"/>
                      <w:color w:val="000000" w:themeColor="text1"/>
                      <w:sz w:val="21"/>
                      <w:szCs w:val="21"/>
                      <w14:textFill>
                        <w14:solidFill>
                          <w14:schemeClr w14:val="tx1"/>
                        </w14:solidFill>
                      </w14:textFill>
                    </w:rPr>
                    <w:t>）在线监测全覆盖。
（6）有序开展城市生活源VOCs污染防治；全面推广房屋建筑和市政工程涉VOCs工序环节使用低VOCs含量涂料和胶粘剂；推进加油站按照《四川省加油站大气污染排放标准》要求安装油气处理装置。
（7）加大新能源汽车在城市公交、出租汽车、城市配送、邮政快递、机场、铁路货场、重点地区港口等领域应用，地级以上城市清洁能源汽车在公共领域使用率显著提升，设区的市城市公交车基本实现新能源化</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p>
              </w:tc>
              <w:tc>
                <w:tcPr>
                  <w:tcW w:w="1432" w:type="pct"/>
                  <w:vAlign w:val="center"/>
                </w:tcPr>
                <w:p w14:paraId="0D054953">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项目</w:t>
                  </w:r>
                  <w:r>
                    <w:rPr>
                      <w:rFonts w:hint="default" w:ascii="Times New Roman" w:hAnsi="Times New Roman" w:eastAsia="宋体" w:cs="Times New Roman"/>
                      <w:b w:val="0"/>
                      <w:color w:val="000000" w:themeColor="text1"/>
                      <w:sz w:val="21"/>
                      <w:szCs w:val="21"/>
                      <w14:textFill>
                        <w14:solidFill>
                          <w14:schemeClr w14:val="tx1"/>
                        </w14:solidFill>
                      </w14:textFill>
                    </w:rPr>
                    <w:t>全面落实各类施工工地扬尘防控措施，重点、重大项目工地实现视频监控、可吸入颗粒物（PM</w:t>
                  </w:r>
                  <w:r>
                    <w:rPr>
                      <w:rFonts w:hint="default" w:ascii="Times New Roman" w:hAnsi="Times New Roman" w:eastAsia="宋体" w:cs="Times New Roman"/>
                      <w:b w:val="0"/>
                      <w:color w:val="000000" w:themeColor="text1"/>
                      <w:sz w:val="21"/>
                      <w:szCs w:val="21"/>
                      <w:vertAlign w:val="subscript"/>
                      <w14:textFill>
                        <w14:solidFill>
                          <w14:schemeClr w14:val="tx1"/>
                        </w14:solidFill>
                      </w14:textFill>
                    </w:rPr>
                    <w:t>10</w:t>
                  </w:r>
                  <w:r>
                    <w:rPr>
                      <w:rFonts w:hint="default" w:ascii="Times New Roman" w:hAnsi="Times New Roman" w:eastAsia="宋体" w:cs="Times New Roman"/>
                      <w:b w:val="0"/>
                      <w:color w:val="000000" w:themeColor="text1"/>
                      <w:sz w:val="21"/>
                      <w:szCs w:val="21"/>
                      <w14:textFill>
                        <w14:solidFill>
                          <w14:schemeClr w14:val="tx1"/>
                        </w14:solidFill>
                      </w14:textFill>
                    </w:rPr>
                    <w:t>）在线监测全覆盖。
</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项目不涉及VOCs涂料使用</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p>
              </w:tc>
              <w:tc>
                <w:tcPr>
                  <w:tcW w:w="213" w:type="pct"/>
                  <w:vAlign w:val="center"/>
                </w:tcPr>
                <w:p w14:paraId="7A150865">
                  <w:pPr>
                    <w:spacing w:line="240" w:lineRule="auto"/>
                    <w:jc w:val="center"/>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符合</w:t>
                  </w:r>
                </w:p>
              </w:tc>
            </w:tr>
            <w:tr w14:paraId="0250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15BE881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Merge w:val="continue"/>
                  <w:vAlign w:val="center"/>
                </w:tcPr>
                <w:p w14:paraId="436FB7EB">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955" w:type="pct"/>
                  <w:vAlign w:val="center"/>
                </w:tcPr>
                <w:p w14:paraId="4CD4B05C">
                  <w:pPr>
                    <w:keepNext w:val="0"/>
                    <w:keepLines w:val="0"/>
                    <w:pageBreakBefore w:val="0"/>
                    <w:widowControl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其他污染物排放管控要求</w:t>
                  </w:r>
                </w:p>
                <w:p w14:paraId="4B4C40B7">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（1）污水处理设施投入运行后一年内，实际处理负荷不低于设计能力的60%，三年内不低于设计能力的75%。
（2）严格落实建设工地管理要求，做好扬尘污染管控工作。
（3）从事机动车修理、印刷、服装干洗等排放挥发性有机污染物的生产作业，应当按照有关技术规范进行综合治理。禁止露天和敞开式喷漆作业；餐饮服务业油烟必须经处理达到相应排放标准要求。
（4）新建噪声敏感建筑物时，建设单位应全面执行绿色建筑标准，合理确定建筑物与交通干线等的防噪声距离，落实隔声减噪措施。
（5）已竣工交付使用的住宅楼、商铺、办公楼等建筑物不得在午、夜间进行产噪装修作业，在其他时间进行装修作业的，应当采取噪声防治措施。</w:t>
                  </w:r>
                </w:p>
              </w:tc>
              <w:tc>
                <w:tcPr>
                  <w:tcW w:w="1432" w:type="pct"/>
                  <w:vAlign w:val="center"/>
                </w:tcPr>
                <w:p w14:paraId="5E97E356">
                  <w:pPr>
                    <w:overflowPunct w:val="0"/>
                    <w:adjustRightInd w:val="0"/>
                    <w:spacing w:line="240" w:lineRule="auto"/>
                    <w:jc w:val="center"/>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项目</w:t>
                  </w:r>
                  <w:r>
                    <w:rPr>
                      <w:rFonts w:hint="default" w:ascii="Times New Roman" w:hAnsi="Times New Roman" w:eastAsia="宋体" w:cs="Times New Roman"/>
                      <w:b w:val="0"/>
                      <w:color w:val="000000" w:themeColor="text1"/>
                      <w:sz w:val="21"/>
                      <w:szCs w:val="21"/>
                      <w14:textFill>
                        <w14:solidFill>
                          <w14:schemeClr w14:val="tx1"/>
                        </w14:solidFill>
                      </w14:textFill>
                    </w:rPr>
                    <w:t>严格落实建设工地管理要求，做好扬尘污染管控工作。</w:t>
                  </w:r>
                </w:p>
                <w:p w14:paraId="10454CEF">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
</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项目不涉及</w:t>
                  </w:r>
                  <w:r>
                    <w:rPr>
                      <w:rFonts w:hint="default" w:ascii="Times New Roman" w:hAnsi="Times New Roman" w:eastAsia="宋体" w:cs="Times New Roman"/>
                      <w:b w:val="0"/>
                      <w:color w:val="000000" w:themeColor="text1"/>
                      <w:sz w:val="21"/>
                      <w:szCs w:val="21"/>
                      <w14:textFill>
                        <w14:solidFill>
                          <w14:schemeClr w14:val="tx1"/>
                        </w14:solidFill>
                      </w14:textFill>
                    </w:rPr>
                    <w:t>从事机动车修理、印刷、服装干洗等排放挥发性有机污染物的生产作业。</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项目不涉及</w:t>
                  </w:r>
                  <w:r>
                    <w:rPr>
                      <w:rFonts w:hint="default" w:ascii="Times New Roman" w:hAnsi="Times New Roman" w:eastAsia="宋体" w:cs="Times New Roman"/>
                      <w:b w:val="0"/>
                      <w:color w:val="000000" w:themeColor="text1"/>
                      <w:sz w:val="21"/>
                      <w:szCs w:val="21"/>
                      <w14:textFill>
                        <w14:solidFill>
                          <w14:schemeClr w14:val="tx1"/>
                        </w14:solidFill>
                      </w14:textFill>
                    </w:rPr>
                    <w:t>露天和敞开式喷漆作业。
</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项目不涉及</w:t>
                  </w:r>
                  <w:r>
                    <w:rPr>
                      <w:rFonts w:hint="default" w:ascii="Times New Roman" w:hAnsi="Times New Roman" w:eastAsia="宋体" w:cs="Times New Roman"/>
                      <w:b w:val="0"/>
                      <w:color w:val="000000" w:themeColor="text1"/>
                      <w:sz w:val="21"/>
                      <w:szCs w:val="21"/>
                      <w14:textFill>
                        <w14:solidFill>
                          <w14:schemeClr w14:val="tx1"/>
                        </w14:solidFill>
                      </w14:textFill>
                    </w:rPr>
                    <w:t>产噪装修作业，</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项目施工中</w:t>
                  </w:r>
                  <w:r>
                    <w:rPr>
                      <w:rFonts w:hint="default" w:ascii="Times New Roman" w:hAnsi="Times New Roman" w:eastAsia="宋体" w:cs="Times New Roman"/>
                      <w:b w:val="0"/>
                      <w:color w:val="000000" w:themeColor="text1"/>
                      <w:sz w:val="21"/>
                      <w:szCs w:val="21"/>
                      <w14:textFill>
                        <w14:solidFill>
                          <w14:schemeClr w14:val="tx1"/>
                        </w14:solidFill>
                      </w14:textFill>
                    </w:rPr>
                    <w:t>采取噪声防治措施。</w:t>
                  </w:r>
                </w:p>
              </w:tc>
              <w:tc>
                <w:tcPr>
                  <w:tcW w:w="213" w:type="pct"/>
                  <w:vAlign w:val="center"/>
                </w:tcPr>
                <w:p w14:paraId="39D8D117">
                  <w:pPr>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符合</w:t>
                  </w:r>
                </w:p>
              </w:tc>
            </w:tr>
            <w:tr w14:paraId="2928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4EA101E7">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Align w:val="center"/>
                </w:tcPr>
                <w:p w14:paraId="15D4E33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环境风险防控</w:t>
                  </w:r>
                </w:p>
              </w:tc>
              <w:tc>
                <w:tcPr>
                  <w:tcW w:w="2955" w:type="pct"/>
                  <w:vAlign w:val="center"/>
                </w:tcPr>
                <w:p w14:paraId="1797D17B">
                  <w:pPr>
                    <w:keepNext w:val="0"/>
                    <w:keepLines w:val="0"/>
                    <w:pageBreakBefore w:val="0"/>
                    <w:widowControl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其他环境风险防控要求</w:t>
                  </w:r>
                </w:p>
                <w:p w14:paraId="45E796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（1）现有涉及五类重金属的企业，不得新增污染物排放，限期退城入园或关停。
（2）对拟收回土地使用权的有色金属矿采选、有色金属冶炼、危废处置等行业企业用地，以及用途拟变更为居住和商业、学校、医疗、养老机构等公共设施的上述企业用地，以及由重度污染农用地转为的城镇建设用地，开展土壤环境状况调查评估，经评估、修复满足相应用地功能后，方可改变用途。
</w:t>
                  </w:r>
                </w:p>
              </w:tc>
              <w:tc>
                <w:tcPr>
                  <w:tcW w:w="1432" w:type="pct"/>
                  <w:vAlign w:val="center"/>
                </w:tcPr>
                <w:p w14:paraId="5A1E285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67D2589A">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r>
            <w:tr w14:paraId="6E89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5933C439">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00" w:type="pct"/>
                  <w:vAlign w:val="center"/>
                </w:tcPr>
                <w:p w14:paraId="2EF55095">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资源利用效率</w:t>
                  </w:r>
                </w:p>
              </w:tc>
              <w:tc>
                <w:tcPr>
                  <w:tcW w:w="2955" w:type="pct"/>
                  <w:vAlign w:val="center"/>
                </w:tcPr>
                <w:p w14:paraId="5383F6D8">
                  <w:pPr>
                    <w:keepNext w:val="0"/>
                    <w:keepLines w:val="0"/>
                    <w:pageBreakBefore w:val="0"/>
                    <w:widowControl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水资源利用总量要求</w:t>
                  </w:r>
                </w:p>
                <w:p w14:paraId="432315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（1）严格实行用水总量和强度控制，实施城镇节水降损，全面推进城市节水、大幅降低供水管网漏损、强化公共用水管理、严控高耗水服务用水。
（2）到2025年，城市再生水利用率、工业用水重复利用、畜禽粪污和渔业养殖尾水资源化利用水平显著提升；到2035年，形成系统、安全、环保、经济的污水资源化利用格局。</w:t>
                  </w:r>
                </w:p>
              </w:tc>
              <w:tc>
                <w:tcPr>
                  <w:tcW w:w="1432" w:type="pct"/>
                  <w:vAlign w:val="center"/>
                </w:tcPr>
                <w:p w14:paraId="24D858FC">
                  <w:pPr>
                    <w:pStyle w:val="147"/>
                    <w:spacing w:line="240" w:lineRule="auto"/>
                    <w:ind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16F5FD77">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r>
          </w:tbl>
          <w:p w14:paraId="590FA530">
            <w:pPr>
              <w:spacing w:line="360" w:lineRule="auto"/>
              <w:ind w:firstLine="482" w:firstLineChars="200"/>
              <w:rPr>
                <w:rFonts w:hint="default" w:ascii="Times New Roman" w:hAnsi="Times New Roman" w:eastAsia="宋体" w:cs="Times New Roman"/>
                <w:b/>
                <w:bCs/>
                <w:color w:val="000000" w:themeColor="text1"/>
                <w:sz w:val="24"/>
                <w:szCs w:val="20"/>
                <w14:textFill>
                  <w14:solidFill>
                    <w14:schemeClr w14:val="tx1"/>
                  </w14:solidFill>
                </w14:textFill>
              </w:rPr>
            </w:pPr>
            <w:r>
              <w:rPr>
                <w:rFonts w:hint="default" w:ascii="Times New Roman" w:hAnsi="Times New Roman" w:eastAsia="宋体" w:cs="Times New Roman"/>
                <w:b/>
                <w:bCs/>
                <w:color w:val="000000" w:themeColor="text1"/>
                <w:sz w:val="24"/>
                <w:szCs w:val="20"/>
                <w14:textFill>
                  <w14:solidFill>
                    <w14:schemeClr w14:val="tx1"/>
                  </w14:solidFill>
                </w14:textFill>
              </w:rPr>
              <w:t>（</w:t>
            </w:r>
            <w:r>
              <w:rPr>
                <w:rFonts w:hint="default" w:ascii="Times New Roman" w:hAnsi="Times New Roman" w:eastAsia="宋体" w:cs="Times New Roman"/>
                <w:b/>
                <w:bCs/>
                <w:color w:val="000000" w:themeColor="text1"/>
                <w:sz w:val="24"/>
                <w:szCs w:val="20"/>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20"/>
                <w14:textFill>
                  <w14:solidFill>
                    <w14:schemeClr w14:val="tx1"/>
                  </w14:solidFill>
                </w14:textFill>
              </w:rPr>
              <w:t>）项目与</w:t>
            </w:r>
            <w:r>
              <w:rPr>
                <w:rFonts w:hint="default" w:ascii="Times New Roman" w:hAnsi="Times New Roman" w:eastAsia="宋体" w:cs="Times New Roman"/>
                <w:b/>
                <w:bCs/>
                <w:color w:val="000000" w:themeColor="text1"/>
                <w:sz w:val="24"/>
                <w:szCs w:val="20"/>
                <w:lang w:eastAsia="zh-CN"/>
                <w14:textFill>
                  <w14:solidFill>
                    <w14:schemeClr w14:val="tx1"/>
                  </w14:solidFill>
                </w14:textFill>
              </w:rPr>
              <w:t>泸定县</w:t>
            </w:r>
            <w:r>
              <w:rPr>
                <w:rFonts w:hint="default" w:ascii="Times New Roman" w:hAnsi="Times New Roman" w:eastAsia="宋体" w:cs="Times New Roman"/>
                <w:b/>
                <w:bCs/>
                <w:color w:val="000000" w:themeColor="text1"/>
                <w:sz w:val="24"/>
                <w:szCs w:val="20"/>
                <w14:textFill>
                  <w14:solidFill>
                    <w14:schemeClr w14:val="tx1"/>
                  </w14:solidFill>
                </w14:textFill>
              </w:rPr>
              <w:t>环境管控单元普适性清单符合性</w:t>
            </w:r>
          </w:p>
          <w:p w14:paraId="484119B9">
            <w:pPr>
              <w:spacing w:line="360" w:lineRule="auto"/>
              <w:ind w:firstLine="480" w:firstLineChars="200"/>
              <w:rPr>
                <w:rFonts w:hint="default" w:ascii="Times New Roman" w:hAnsi="Times New Roman" w:eastAsia="宋体" w:cs="Times New Roman"/>
                <w:color w:val="000000" w:themeColor="text1"/>
                <w:sz w:val="24"/>
                <w:szCs w:val="20"/>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根据</w:t>
            </w:r>
            <w:r>
              <w:rPr>
                <w:rFonts w:hint="default" w:ascii="Times New Roman" w:hAnsi="Times New Roman" w:eastAsia="宋体" w:cs="Times New Roman"/>
                <w:bCs/>
                <w:color w:val="000000" w:themeColor="text1"/>
                <w:sz w:val="24"/>
                <w:szCs w:val="22"/>
                <w14:textFill>
                  <w14:solidFill>
                    <w14:schemeClr w14:val="tx1"/>
                  </w14:solidFill>
                </w14:textFill>
              </w:rPr>
              <w:t>四川省政务服务网中的“生态环境分区管控符合性分析”</w:t>
            </w:r>
            <w:r>
              <w:rPr>
                <w:rFonts w:hint="default" w:ascii="Times New Roman" w:hAnsi="Times New Roman" w:eastAsia="宋体" w:cs="Times New Roman"/>
                <w:color w:val="000000" w:themeColor="text1"/>
                <w:sz w:val="24"/>
                <w:szCs w:val="20"/>
                <w14:textFill>
                  <w14:solidFill>
                    <w14:schemeClr w14:val="tx1"/>
                  </w14:solidFill>
                </w14:textFill>
              </w:rPr>
              <w:t>，本项目与</w:t>
            </w:r>
            <w:r>
              <w:rPr>
                <w:rFonts w:hint="default" w:ascii="Times New Roman" w:hAnsi="Times New Roman" w:eastAsia="宋体" w:cs="Times New Roman"/>
                <w:color w:val="000000" w:themeColor="text1"/>
                <w:sz w:val="24"/>
                <w:lang w:eastAsia="zh-CN"/>
                <w14:textFill>
                  <w14:solidFill>
                    <w14:schemeClr w14:val="tx1"/>
                  </w14:solidFill>
                </w14:textFill>
              </w:rPr>
              <w:t>泸定县</w:t>
            </w:r>
            <w:r>
              <w:rPr>
                <w:rFonts w:hint="default" w:ascii="Times New Roman" w:hAnsi="Times New Roman" w:eastAsia="宋体" w:cs="Times New Roman"/>
                <w:color w:val="000000" w:themeColor="text1"/>
                <w:kern w:val="0"/>
                <w:sz w:val="24"/>
                <w14:textFill>
                  <w14:solidFill>
                    <w14:schemeClr w14:val="tx1"/>
                  </w14:solidFill>
                </w14:textFill>
              </w:rPr>
              <w:t>环境管控单元类型市州普适性清单</w:t>
            </w:r>
            <w:r>
              <w:rPr>
                <w:rFonts w:hint="default" w:ascii="Times New Roman" w:hAnsi="Times New Roman" w:eastAsia="宋体" w:cs="Times New Roman"/>
                <w:color w:val="000000" w:themeColor="text1"/>
                <w:sz w:val="24"/>
                <w:szCs w:val="20"/>
                <w14:textFill>
                  <w14:solidFill>
                    <w14:schemeClr w14:val="tx1"/>
                  </w14:solidFill>
                </w14:textFill>
              </w:rPr>
              <w:t>符合性分析如下表所示。</w:t>
            </w:r>
          </w:p>
          <w:p w14:paraId="5735C0AC">
            <w:pPr>
              <w:pStyle w:val="166"/>
              <w:numPr>
                <w:ilvl w:val="0"/>
                <w:numId w:val="7"/>
              </w:numPr>
              <w:spacing w:line="36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泸定县</w:t>
            </w:r>
            <w:r>
              <w:rPr>
                <w:rFonts w:hint="default" w:ascii="Times New Roman" w:hAnsi="Times New Roman" w:eastAsia="宋体" w:cs="Times New Roman"/>
                <w:b/>
                <w:bCs/>
                <w:color w:val="000000" w:themeColor="text1"/>
                <w:sz w:val="21"/>
                <w:szCs w:val="21"/>
                <w14:textFill>
                  <w14:solidFill>
                    <w14:schemeClr w14:val="tx1"/>
                  </w14:solidFill>
                </w14:textFill>
              </w:rPr>
              <w:t>环境管控单元普适性清单符合性分析一览表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48"/>
              <w:gridCol w:w="1115"/>
              <w:gridCol w:w="7573"/>
              <w:gridCol w:w="3943"/>
              <w:gridCol w:w="587"/>
            </w:tblGrid>
            <w:tr w14:paraId="6EB1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354" w:type="pct"/>
                  <w:gridSpan w:val="3"/>
                  <w:vAlign w:val="center"/>
                </w:tcPr>
                <w:p w14:paraId="442D75C1">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区县普适性清单</w:t>
                  </w:r>
                </w:p>
              </w:tc>
              <w:tc>
                <w:tcPr>
                  <w:tcW w:w="1432" w:type="pct"/>
                  <w:vMerge w:val="restart"/>
                  <w:vAlign w:val="center"/>
                </w:tcPr>
                <w:p w14:paraId="1F0B3CD7">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项目对应</w:t>
                  </w:r>
                </w:p>
                <w:p w14:paraId="0D29C1C6">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情况介绍</w:t>
                  </w:r>
                </w:p>
              </w:tc>
              <w:tc>
                <w:tcPr>
                  <w:tcW w:w="213" w:type="pct"/>
                  <w:vMerge w:val="restart"/>
                  <w:vAlign w:val="center"/>
                </w:tcPr>
                <w:p w14:paraId="15FB8F37">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符合性</w:t>
                  </w:r>
                </w:p>
              </w:tc>
            </w:tr>
            <w:tr w14:paraId="55D71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604" w:type="pct"/>
                  <w:gridSpan w:val="2"/>
                  <w:vAlign w:val="center"/>
                </w:tcPr>
                <w:p w14:paraId="3BC3D516">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类别</w:t>
                  </w:r>
                </w:p>
              </w:tc>
              <w:tc>
                <w:tcPr>
                  <w:tcW w:w="2750" w:type="pct"/>
                  <w:vAlign w:val="center"/>
                </w:tcPr>
                <w:p w14:paraId="62D28C86">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对应管控要求</w:t>
                  </w:r>
                </w:p>
              </w:tc>
              <w:tc>
                <w:tcPr>
                  <w:tcW w:w="1432" w:type="pct"/>
                  <w:vMerge w:val="continue"/>
                  <w:vAlign w:val="center"/>
                </w:tcPr>
                <w:p w14:paraId="4265E139">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213" w:type="pct"/>
                  <w:vMerge w:val="continue"/>
                  <w:vAlign w:val="center"/>
                </w:tcPr>
                <w:p w14:paraId="597E1ACD">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p>
              </w:tc>
            </w:tr>
            <w:tr w14:paraId="2FAF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restart"/>
                  <w:vAlign w:val="center"/>
                </w:tcPr>
                <w:p w14:paraId="375405A3">
                  <w:pPr>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泸定县普适性管控要求</w:t>
                  </w:r>
                </w:p>
              </w:tc>
              <w:tc>
                <w:tcPr>
                  <w:tcW w:w="404" w:type="pct"/>
                  <w:vMerge w:val="restart"/>
                  <w:vAlign w:val="center"/>
                </w:tcPr>
                <w:p w14:paraId="2D691116">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空间布局约束</w:t>
                  </w:r>
                </w:p>
              </w:tc>
              <w:tc>
                <w:tcPr>
                  <w:tcW w:w="2750" w:type="pct"/>
                </w:tcPr>
                <w:p w14:paraId="32C14EC9">
                  <w:pPr>
                    <w:pStyle w:val="147"/>
                    <w:shd w:val="clear" w:color="auto" w:fill="FFFFFF"/>
                    <w:spacing w:line="240" w:lineRule="auto"/>
                    <w:ind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12EA8665">
                  <w:pPr>
                    <w:spacing w:before="0"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优先保护区禁止违法开发建设活动，严禁在城市建成区以及近郊区域，新建、扩建石化、农药、电解铝、氯碱化工等高污染、高环境风险产业；禁止在长江干支流岸线一公里范围内新建、扩建化工园区和化工项目；禁止在长江流域河湖管理范围内倾倒、填埋、堆放、弃置、处理固体废物；禁止在法律法规规定的禁采区内开采矿产。
</w:t>
                  </w:r>
                </w:p>
              </w:tc>
              <w:tc>
                <w:tcPr>
                  <w:tcW w:w="1432" w:type="pct"/>
                  <w:vAlign w:val="center"/>
                </w:tcPr>
                <w:p w14:paraId="1CD68105">
                  <w:pPr>
                    <w:pStyle w:val="147"/>
                    <w:shd w:val="clear" w:color="auto" w:fill="FFFFFF"/>
                    <w:spacing w:line="240" w:lineRule="auto"/>
                    <w:ind w:firstLine="0" w:firstLineChars="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本项目不属于</w:t>
                  </w:r>
                  <w:r>
                    <w:rPr>
                      <w:rFonts w:hint="default" w:ascii="Times New Roman" w:hAnsi="Times New Roman" w:eastAsia="宋体" w:cs="Times New Roman"/>
                      <w:b w:val="0"/>
                      <w:color w:val="000000" w:themeColor="text1"/>
                      <w:sz w:val="21"/>
                      <w:szCs w:val="21"/>
                      <w14:textFill>
                        <w14:solidFill>
                          <w14:schemeClr w14:val="tx1"/>
                        </w14:solidFill>
                      </w14:textFill>
                    </w:rPr>
                    <w:t>新建、扩建石化、农药、电解铝、氯碱化工等高污染、高环境风险产业</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本项目不在</w:t>
                  </w:r>
                  <w:r>
                    <w:rPr>
                      <w:rFonts w:hint="default" w:ascii="Times New Roman" w:hAnsi="Times New Roman" w:eastAsia="宋体" w:cs="Times New Roman"/>
                      <w:b w:val="0"/>
                      <w:color w:val="000000" w:themeColor="text1"/>
                      <w:sz w:val="21"/>
                      <w:szCs w:val="21"/>
                      <w14:textFill>
                        <w14:solidFill>
                          <w14:schemeClr w14:val="tx1"/>
                        </w14:solidFill>
                      </w14:textFill>
                    </w:rPr>
                    <w:t>长江流域河湖管理范围内倾倒、填埋、堆放、弃置、处理固体废物；</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不涉及</w:t>
                  </w:r>
                  <w:r>
                    <w:rPr>
                      <w:rFonts w:hint="default" w:ascii="Times New Roman" w:hAnsi="Times New Roman" w:eastAsia="宋体" w:cs="Times New Roman"/>
                      <w:b w:val="0"/>
                      <w:color w:val="000000" w:themeColor="text1"/>
                      <w:sz w:val="21"/>
                      <w:szCs w:val="21"/>
                      <w14:textFill>
                        <w14:solidFill>
                          <w14:schemeClr w14:val="tx1"/>
                        </w14:solidFill>
                      </w14:textFill>
                    </w:rPr>
                    <w:t>开采矿产。
</w:t>
                  </w:r>
                </w:p>
              </w:tc>
              <w:tc>
                <w:tcPr>
                  <w:tcW w:w="213" w:type="pct"/>
                  <w:vAlign w:val="center"/>
                </w:tcPr>
                <w:p w14:paraId="6C2056CF">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32476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6F5DF352">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404" w:type="pct"/>
                  <w:vMerge w:val="continue"/>
                  <w:vAlign w:val="center"/>
                </w:tcPr>
                <w:p w14:paraId="024C8695">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750" w:type="pct"/>
                </w:tcPr>
                <w:p w14:paraId="4CD3A3EC">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限制开发建设活动的要求</w:t>
                  </w:r>
                </w:p>
                <w:p w14:paraId="4EB45781">
                  <w:pPr>
                    <w:spacing w:before="0" w:after="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优化调整产业结构，严格高排放、高能耗项目环境准入要求，加快园区外企业退城入园；加强大气污染治理，推进水泥等行业废气超低排放和深度治理；合理控制畜禽养殖布局，推进畜禽粪污无害化、资源化综合利用；强化主体功能区定位，保障大渡河干流生态基流。
</w:t>
                  </w:r>
                </w:p>
              </w:tc>
              <w:tc>
                <w:tcPr>
                  <w:tcW w:w="1432" w:type="pct"/>
                  <w:vAlign w:val="center"/>
                </w:tcPr>
                <w:p w14:paraId="51DD0B61">
                  <w:pPr>
                    <w:pStyle w:val="147"/>
                    <w:widowControl/>
                    <w:shd w:val="clear" w:color="auto" w:fill="FFFFFF"/>
                    <w:spacing w:line="240" w:lineRule="auto"/>
                    <w:ind w:firstLine="0" w:firstLineChars="0"/>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畜禽粪污无害化、资源化综合利用；</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本项目下泄生态流量流量充足。</w:t>
                  </w:r>
                </w:p>
              </w:tc>
              <w:tc>
                <w:tcPr>
                  <w:tcW w:w="213" w:type="pct"/>
                  <w:vAlign w:val="center"/>
                </w:tcPr>
                <w:p w14:paraId="280A6813">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4B2D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423E685D">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404" w:type="pct"/>
                  <w:vMerge w:val="continue"/>
                  <w:vAlign w:val="center"/>
                </w:tcPr>
                <w:p w14:paraId="6F36A1BB">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2750" w:type="pct"/>
                </w:tcPr>
                <w:p w14:paraId="1DE78875">
                  <w:pPr>
                    <w:pStyle w:val="147"/>
                    <w:spacing w:before="31" w:after="31" w:line="240" w:lineRule="auto"/>
                    <w:ind w:firstLine="0" w:firstLineChars="0"/>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不符合空间布局要求活动的退出要求</w:t>
                  </w:r>
                </w:p>
                <w:p w14:paraId="566ABE5A">
                  <w:pPr>
                    <w:pStyle w:val="147"/>
                    <w:shd w:val="clear" w:color="auto" w:fill="FFFFFF"/>
                    <w:spacing w:line="240" w:lineRule="auto"/>
                    <w:ind w:left="0" w:leftChars="0"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不符合生态保护红线、自然保护地及各类优先保护区域相应法律法规、管理办法及相关行业企业布局选址要求的活动退出</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432" w:type="pct"/>
                  <w:vAlign w:val="center"/>
                </w:tcPr>
                <w:p w14:paraId="58157855">
                  <w:pPr>
                    <w:pStyle w:val="147"/>
                    <w:widowControl/>
                    <w:shd w:val="clear" w:color="auto" w:fill="FFFFFF"/>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生态保护红线</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本项目属于优先保护区内允许建设项目，已取得准入许可</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13" w:type="pct"/>
                  <w:vAlign w:val="center"/>
                </w:tcPr>
                <w:p w14:paraId="4AB63576">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符合</w:t>
                  </w:r>
                </w:p>
              </w:tc>
            </w:tr>
            <w:tr w14:paraId="2067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4E773C64">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404" w:type="pct"/>
                  <w:vAlign w:val="center"/>
                </w:tcPr>
                <w:p w14:paraId="4F5494AE">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污染物排放管控</w:t>
                  </w:r>
                </w:p>
              </w:tc>
              <w:tc>
                <w:tcPr>
                  <w:tcW w:w="2750" w:type="pct"/>
                  <w:vAlign w:val="center"/>
                </w:tcPr>
                <w:p w14:paraId="66942B50">
                  <w:pPr>
                    <w:shd w:val="clear" w:color="auto" w:fill="FFFFFF"/>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1432" w:type="pct"/>
                  <w:vAlign w:val="center"/>
                </w:tcPr>
                <w:p w14:paraId="5D4E9A04">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213" w:type="pct"/>
                  <w:vAlign w:val="center"/>
                </w:tcPr>
                <w:p w14:paraId="2B777242">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6D6D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5788EC13">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404" w:type="pct"/>
                  <w:vAlign w:val="center"/>
                </w:tcPr>
                <w:p w14:paraId="3AD56D3E">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环境风险防控</w:t>
                  </w:r>
                </w:p>
              </w:tc>
              <w:tc>
                <w:tcPr>
                  <w:tcW w:w="2750" w:type="pct"/>
                  <w:vAlign w:val="center"/>
                </w:tcPr>
                <w:p w14:paraId="526C803D">
                  <w:pPr>
                    <w:spacing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1432" w:type="pct"/>
                  <w:vAlign w:val="center"/>
                </w:tcPr>
                <w:p w14:paraId="2780914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213" w:type="pct"/>
                </w:tcPr>
                <w:p w14:paraId="0A515670">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15A6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99" w:type="pct"/>
                  <w:vMerge w:val="continue"/>
                  <w:vAlign w:val="center"/>
                </w:tcPr>
                <w:p w14:paraId="7FA73348">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404" w:type="pct"/>
                  <w:vAlign w:val="center"/>
                </w:tcPr>
                <w:p w14:paraId="4C673EED">
                  <w:pPr>
                    <w:spacing w:line="240" w:lineRule="auto"/>
                    <w:jc w:val="center"/>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资源利用效率</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要求</w:t>
                  </w:r>
                </w:p>
              </w:tc>
              <w:tc>
                <w:tcPr>
                  <w:tcW w:w="2750" w:type="pct"/>
                  <w:vAlign w:val="center"/>
                </w:tcPr>
                <w:p w14:paraId="220178E1">
                  <w:pPr>
                    <w:spacing w:line="240" w:lineRule="auto"/>
                    <w:ind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1432" w:type="pct"/>
                  <w:vAlign w:val="center"/>
                </w:tcPr>
                <w:p w14:paraId="2D870A69">
                  <w:pPr>
                    <w:pStyle w:val="147"/>
                    <w:spacing w:line="240" w:lineRule="auto"/>
                    <w:ind w:firstLine="0" w:firstLineChars="0"/>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213" w:type="pct"/>
                </w:tcPr>
                <w:p w14:paraId="30A71A3D">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bl>
          <w:p w14:paraId="0531D659">
            <w:pPr>
              <w:pStyle w:val="166"/>
              <w:numPr>
                <w:ilvl w:val="0"/>
                <w:numId w:val="7"/>
              </w:numPr>
              <w:spacing w:line="36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w:t>
            </w:r>
            <w:r>
              <w:rPr>
                <w:rFonts w:hint="default" w:ascii="Times New Roman" w:hAnsi="Times New Roman" w:eastAsia="宋体" w:cs="Times New Roman"/>
                <w:b/>
                <w:bCs/>
                <w:color w:val="000000" w:themeColor="text1"/>
                <w:sz w:val="21"/>
                <w:szCs w:val="21"/>
                <w:lang w:eastAsia="zh-CN"/>
                <w14:textFill>
                  <w14:solidFill>
                    <w14:schemeClr w14:val="tx1"/>
                  </w14:solidFill>
                </w14:textFill>
              </w:rPr>
              <w:t>泸定县</w:t>
            </w:r>
            <w:r>
              <w:rPr>
                <w:rFonts w:hint="default" w:ascii="Times New Roman" w:hAnsi="Times New Roman" w:eastAsia="宋体" w:cs="Times New Roman"/>
                <w:b/>
                <w:bCs/>
                <w:color w:val="000000" w:themeColor="text1"/>
                <w:sz w:val="21"/>
                <w:szCs w:val="21"/>
                <w14:textFill>
                  <w14:solidFill>
                    <w14:schemeClr w14:val="tx1"/>
                  </w14:solidFill>
                </w14:textFill>
              </w:rPr>
              <w:t>环境管控单元符合性分析一览表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22"/>
              <w:gridCol w:w="2152"/>
              <w:gridCol w:w="645"/>
              <w:gridCol w:w="1230"/>
              <w:gridCol w:w="4782"/>
              <w:gridCol w:w="3460"/>
              <w:gridCol w:w="575"/>
            </w:tblGrid>
            <w:tr w14:paraId="612B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2" w:hRule="atLeast"/>
                <w:jc w:val="center"/>
              </w:trPr>
              <w:tc>
                <w:tcPr>
                  <w:tcW w:w="922" w:type="dxa"/>
                  <w:vAlign w:val="center"/>
                </w:tcPr>
                <w:p w14:paraId="1AE68CE4">
                  <w:pPr>
                    <w:spacing w:before="0" w:after="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环境管控单元编码</w:t>
                  </w:r>
                </w:p>
              </w:tc>
              <w:tc>
                <w:tcPr>
                  <w:tcW w:w="2152" w:type="dxa"/>
                  <w:vAlign w:val="center"/>
                </w:tcPr>
                <w:p w14:paraId="6AED297B">
                  <w:pPr>
                    <w:spacing w:before="0" w:after="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环境管控单元名称</w:t>
                  </w:r>
                </w:p>
              </w:tc>
              <w:tc>
                <w:tcPr>
                  <w:tcW w:w="645" w:type="dxa"/>
                  <w:vAlign w:val="center"/>
                </w:tcPr>
                <w:p w14:paraId="079F35FE">
                  <w:pPr>
                    <w:spacing w:before="0" w:after="0"/>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管控单元类型</w:t>
                  </w:r>
                </w:p>
              </w:tc>
              <w:tc>
                <w:tcPr>
                  <w:tcW w:w="1230" w:type="dxa"/>
                  <w:vAlign w:val="center"/>
                </w:tcPr>
                <w:p w14:paraId="0B21417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类别</w:t>
                  </w:r>
                </w:p>
              </w:tc>
              <w:tc>
                <w:tcPr>
                  <w:tcW w:w="4782" w:type="dxa"/>
                  <w:vAlign w:val="center"/>
                </w:tcPr>
                <w:p w14:paraId="1002912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对应管控要求</w:t>
                  </w:r>
                </w:p>
              </w:tc>
              <w:tc>
                <w:tcPr>
                  <w:tcW w:w="3460" w:type="dxa"/>
                  <w:vAlign w:val="center"/>
                </w:tcPr>
                <w:p w14:paraId="62C82C7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项目对应情况介绍</w:t>
                  </w:r>
                </w:p>
              </w:tc>
              <w:tc>
                <w:tcPr>
                  <w:tcW w:w="575" w:type="dxa"/>
                  <w:vAlign w:val="center"/>
                </w:tcPr>
                <w:p w14:paraId="613EB12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符合性</w:t>
                  </w:r>
                </w:p>
              </w:tc>
            </w:tr>
            <w:tr w14:paraId="609A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22" w:type="dxa"/>
                  <w:vMerge w:val="restart"/>
                  <w:vAlign w:val="center"/>
                </w:tcPr>
                <w:p w14:paraId="796A52E5">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ZH51332210001</w:t>
                  </w:r>
                </w:p>
              </w:tc>
              <w:tc>
                <w:tcPr>
                  <w:tcW w:w="2152" w:type="dxa"/>
                  <w:vMerge w:val="restart"/>
                  <w:vAlign w:val="center"/>
                </w:tcPr>
                <w:p w14:paraId="5439549E">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四川贡嘎山国家级自然保护区、贡嘎山国家级风景名胜区、泸定县木角沟饮用水水源保护区、泸定县羊圈沟饮用水水源保护区、四川大熊猫栖息地世界自然遗产、生态功能重要区(生物多样性维护重要区、水土保持功能重要区)、四川省二郎山森林公园、生物多样性维护重要区、水土保持重要区</w:t>
                  </w:r>
                </w:p>
              </w:tc>
              <w:tc>
                <w:tcPr>
                  <w:tcW w:w="645" w:type="dxa"/>
                  <w:vMerge w:val="restart"/>
                  <w:vAlign w:val="center"/>
                </w:tcPr>
                <w:p w14:paraId="4DABB4E9">
                  <w:pPr>
                    <w:spacing w:before="0" w:after="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优先保护单元</w:t>
                  </w:r>
                </w:p>
              </w:tc>
              <w:tc>
                <w:tcPr>
                  <w:tcW w:w="1230" w:type="dxa"/>
                  <w:vAlign w:val="center"/>
                </w:tcPr>
                <w:p w14:paraId="4E74C536">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空间布局约束</w:t>
                  </w:r>
                </w:p>
              </w:tc>
              <w:tc>
                <w:tcPr>
                  <w:tcW w:w="4782" w:type="dxa"/>
                  <w:vAlign w:val="center"/>
                </w:tcPr>
                <w:p w14:paraId="7F32BEF7">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禁止开发建设活动的要求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7AD7E359">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同优先保护单元普适性管控要求</w:t>
                  </w:r>
                </w:p>
                <w:p w14:paraId="1E30CA31">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限制开发建设活动的要求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79F5F77B">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同优先保护单元普适性管控要求</w:t>
                  </w:r>
                </w:p>
                <w:p w14:paraId="0A6EA162">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允许开发建设活动的要求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5F1367A8">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同优先保护单元普适性管控要求</w:t>
                  </w:r>
                </w:p>
                <w:p w14:paraId="6125D6F9">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不符合空间布局要求活动的退出要求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0C96CA5C">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同优先保护单元普适性管控要求</w:t>
                  </w:r>
                </w:p>
                <w:p w14:paraId="76932C60">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其他空间布局约束要求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11D16272">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无</w:t>
                  </w:r>
                </w:p>
              </w:tc>
              <w:tc>
                <w:tcPr>
                  <w:tcW w:w="3460" w:type="dxa"/>
                  <w:vAlign w:val="center"/>
                </w:tcPr>
                <w:p w14:paraId="776954D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根据分析，满足优先保护单元的管控要求。</w:t>
                  </w:r>
                </w:p>
                <w:p w14:paraId="0E1C6E0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575" w:type="dxa"/>
                  <w:vAlign w:val="center"/>
                </w:tcPr>
                <w:p w14:paraId="7604930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586D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22" w:type="dxa"/>
                  <w:vMerge w:val="continue"/>
                  <w:vAlign w:val="center"/>
                </w:tcPr>
                <w:p w14:paraId="06A4522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52" w:type="dxa"/>
                  <w:vMerge w:val="continue"/>
                </w:tcPr>
                <w:p w14:paraId="4AF4C39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5" w:type="dxa"/>
                  <w:vMerge w:val="continue"/>
                </w:tcPr>
                <w:p w14:paraId="320A238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230" w:type="dxa"/>
                  <w:vAlign w:val="center"/>
                </w:tcPr>
                <w:p w14:paraId="1CEAD1AB">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污染物排放管控</w:t>
                  </w:r>
                </w:p>
              </w:tc>
              <w:tc>
                <w:tcPr>
                  <w:tcW w:w="4782" w:type="dxa"/>
                  <w:vAlign w:val="center"/>
                </w:tcPr>
                <w:p w14:paraId="57CE1171">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无</w:t>
                  </w:r>
                </w:p>
              </w:tc>
              <w:tc>
                <w:tcPr>
                  <w:tcW w:w="3460" w:type="dxa"/>
                  <w:vAlign w:val="center"/>
                </w:tcPr>
                <w:p w14:paraId="2D8130A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75" w:type="dxa"/>
                  <w:vAlign w:val="center"/>
                </w:tcPr>
                <w:p w14:paraId="7E243C9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1C8A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22" w:type="dxa"/>
                  <w:vMerge w:val="continue"/>
                  <w:vAlign w:val="center"/>
                </w:tcPr>
                <w:p w14:paraId="3E69577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52" w:type="dxa"/>
                  <w:vMerge w:val="continue"/>
                </w:tcPr>
                <w:p w14:paraId="0D5F254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5" w:type="dxa"/>
                  <w:vMerge w:val="continue"/>
                </w:tcPr>
                <w:p w14:paraId="66A3055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230" w:type="dxa"/>
                  <w:vAlign w:val="center"/>
                </w:tcPr>
                <w:p w14:paraId="491D3299">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环境风险防控</w:t>
                  </w:r>
                </w:p>
              </w:tc>
              <w:tc>
                <w:tcPr>
                  <w:tcW w:w="4782" w:type="dxa"/>
                  <w:vAlign w:val="center"/>
                </w:tcPr>
                <w:p w14:paraId="304A4FAC">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无</w:t>
                  </w:r>
                </w:p>
              </w:tc>
              <w:tc>
                <w:tcPr>
                  <w:tcW w:w="3460" w:type="dxa"/>
                  <w:vAlign w:val="center"/>
                </w:tcPr>
                <w:p w14:paraId="4308B0B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75" w:type="dxa"/>
                  <w:vAlign w:val="center"/>
                </w:tcPr>
                <w:p w14:paraId="6D4C402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2C9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922" w:type="dxa"/>
                  <w:vMerge w:val="continue"/>
                  <w:vAlign w:val="center"/>
                </w:tcPr>
                <w:p w14:paraId="1E3D125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52" w:type="dxa"/>
                  <w:vMerge w:val="continue"/>
                </w:tcPr>
                <w:p w14:paraId="58D3C03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5" w:type="dxa"/>
                  <w:vMerge w:val="continue"/>
                </w:tcPr>
                <w:p w14:paraId="195C719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230" w:type="dxa"/>
                  <w:vAlign w:val="center"/>
                </w:tcPr>
                <w:p w14:paraId="72A48E1D">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资源开发利用效率要求</w:t>
                  </w:r>
                </w:p>
              </w:tc>
              <w:tc>
                <w:tcPr>
                  <w:tcW w:w="4782" w:type="dxa"/>
                  <w:vAlign w:val="center"/>
                </w:tcPr>
                <w:p w14:paraId="4F01C82A">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无</w:t>
                  </w:r>
                </w:p>
              </w:tc>
              <w:tc>
                <w:tcPr>
                  <w:tcW w:w="3460" w:type="dxa"/>
                  <w:vAlign w:val="center"/>
                </w:tcPr>
                <w:p w14:paraId="2AD566C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75" w:type="dxa"/>
                  <w:vAlign w:val="center"/>
                </w:tcPr>
                <w:p w14:paraId="292705A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49A9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922" w:type="dxa"/>
                  <w:vMerge w:val="restart"/>
                  <w:vAlign w:val="center"/>
                </w:tcPr>
                <w:p w14:paraId="53FEFFDE">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ZH51332220001</w:t>
                  </w:r>
                </w:p>
              </w:tc>
              <w:tc>
                <w:tcPr>
                  <w:tcW w:w="2152" w:type="dxa"/>
                  <w:vMerge w:val="restart"/>
                  <w:vAlign w:val="center"/>
                </w:tcPr>
                <w:p w14:paraId="3EACFE5E">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泸定县城镇空间</w:t>
                  </w:r>
                </w:p>
              </w:tc>
              <w:tc>
                <w:tcPr>
                  <w:tcW w:w="645" w:type="dxa"/>
                  <w:vMerge w:val="restart"/>
                  <w:vAlign w:val="center"/>
                </w:tcPr>
                <w:p w14:paraId="29360958">
                  <w:pPr>
                    <w:spacing w:before="0" w:after="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重点管控单元</w:t>
                  </w:r>
                </w:p>
              </w:tc>
              <w:tc>
                <w:tcPr>
                  <w:tcW w:w="1230" w:type="dxa"/>
                  <w:vAlign w:val="center"/>
                </w:tcPr>
                <w:p w14:paraId="48075E52">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空间布局约束</w:t>
                  </w:r>
                </w:p>
              </w:tc>
              <w:tc>
                <w:tcPr>
                  <w:tcW w:w="4782" w:type="dxa"/>
                  <w:vAlign w:val="center"/>
                </w:tcPr>
                <w:p w14:paraId="338FE5F0">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禁止开发建设活动的要求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4D1BABAA">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（1）禁止在退耕还林、还草、还湿的地块新建房地产开发项目。
（2）禁止在城镇用地布局规划确定的公共绿地、生态廊道内进行规模化开发建设。
（3）其他执行甘孜州城镇重点管控单元总体准入要求。</w:t>
                  </w:r>
                </w:p>
                <w:p w14:paraId="5D8E6A6B">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限制开发建设活动的要求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0BF01E72">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p w14:paraId="668DF9CC">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允许开发建设活动的要求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2FCBD75F">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（1）在城镇用地布局规划确定的公共绿地、生态廊道内允许建设必要的公共性园林式景观服务休闲设施。
（2）其他执行甘孜州城镇重点管控单元总体准入要求。
</w:t>
                  </w:r>
                </w:p>
                <w:p w14:paraId="169E062A">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不符合空间布局要求活动的退出要求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26666E69">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（1）不符合用地性质及排放标准的企业应限期整改，并积极引导迁入工业园区。
（2）水泥、砖瓦建造等行业按相关要求推进大气污染物超低排放和深度治理。
（3）其他执行甘孜州城镇重点管控单元总体准入要求。</w:t>
                  </w:r>
                </w:p>
                <w:p w14:paraId="7B61A871">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其他空间布局约束要求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4E9975EA">
                  <w:pPr>
                    <w:spacing w:before="0" w:after="0"/>
                    <w:jc w:val="left"/>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tc>
              <w:tc>
                <w:tcPr>
                  <w:tcW w:w="3460" w:type="dxa"/>
                  <w:vAlign w:val="center"/>
                </w:tcPr>
                <w:p w14:paraId="3B01FD0A">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、本项目不属于房地产、不属于</w:t>
                  </w:r>
                  <w:r>
                    <w:rPr>
                      <w:rFonts w:hint="default" w:ascii="Times New Roman" w:hAnsi="Times New Roman" w:eastAsia="宋体" w:cs="Times New Roman"/>
                      <w:b w:val="0"/>
                      <w:color w:val="000000" w:themeColor="text1"/>
                      <w:sz w:val="21"/>
                      <w:szCs w:val="21"/>
                      <w14:textFill>
                        <w14:solidFill>
                          <w14:schemeClr w14:val="tx1"/>
                        </w14:solidFill>
                      </w14:textFill>
                    </w:rPr>
                    <w:t>水泥、砖瓦建造等行业</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575" w:type="dxa"/>
                  <w:vAlign w:val="center"/>
                </w:tcPr>
                <w:p w14:paraId="3A0195F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4C71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922" w:type="dxa"/>
                  <w:vMerge w:val="continue"/>
                  <w:vAlign w:val="center"/>
                </w:tcPr>
                <w:p w14:paraId="63A9CB5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52" w:type="dxa"/>
                  <w:vMerge w:val="continue"/>
                </w:tcPr>
                <w:p w14:paraId="26F7BA4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5" w:type="dxa"/>
                  <w:vMerge w:val="continue"/>
                </w:tcPr>
                <w:p w14:paraId="1F4880C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230" w:type="dxa"/>
                  <w:vAlign w:val="center"/>
                </w:tcPr>
                <w:p w14:paraId="2DF19017">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污染物排放管控</w:t>
                  </w:r>
                </w:p>
              </w:tc>
              <w:tc>
                <w:tcPr>
                  <w:tcW w:w="4782" w:type="dxa"/>
                  <w:vAlign w:val="center"/>
                </w:tcPr>
                <w:p w14:paraId="58F1D1CD">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现有源提标升级改造</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24D18F23">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（1）到2023年底，泸定县污水处理厂进水生化需氧量（BOD）浓度不断提高；污泥无害化处置率达85%；县城生活垃圾无害化处理率达98%。
（2）其他执行甘孜州城镇重点管控单元总体准入要求。
</w:t>
                  </w:r>
                </w:p>
                <w:p w14:paraId="3441A775">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新增源等量或倍量替代</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18D0627A">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无</w:t>
                  </w:r>
                </w:p>
                <w:p w14:paraId="36910034">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新增源排放标准限值</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6453A947">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无</w:t>
                  </w:r>
                </w:p>
                <w:p w14:paraId="2BA3B8AA">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污染物排放绩效水平准入要求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15079287">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无</w:t>
                  </w:r>
                </w:p>
                <w:p w14:paraId="4B80EBDF">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其他污染物排放管控要求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2631C858">
                  <w:pPr>
                    <w:spacing w:before="0" w:after="0"/>
                    <w:jc w:val="left"/>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
</w:t>
                  </w:r>
                </w:p>
              </w:tc>
              <w:tc>
                <w:tcPr>
                  <w:tcW w:w="3460" w:type="dxa"/>
                  <w:vAlign w:val="center"/>
                </w:tcPr>
                <w:p w14:paraId="45C752C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75" w:type="dxa"/>
                  <w:vAlign w:val="center"/>
                </w:tcPr>
                <w:p w14:paraId="5ED4766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6E14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922" w:type="dxa"/>
                  <w:vMerge w:val="continue"/>
                  <w:vAlign w:val="center"/>
                </w:tcPr>
                <w:p w14:paraId="3910980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52" w:type="dxa"/>
                  <w:vMerge w:val="continue"/>
                </w:tcPr>
                <w:p w14:paraId="42FEA0B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5" w:type="dxa"/>
                  <w:vMerge w:val="continue"/>
                </w:tcPr>
                <w:p w14:paraId="3EA7DAF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230" w:type="dxa"/>
                  <w:vAlign w:val="center"/>
                </w:tcPr>
                <w:p w14:paraId="18E6CA53">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环境风险防控</w:t>
                  </w:r>
                </w:p>
              </w:tc>
              <w:tc>
                <w:tcPr>
                  <w:tcW w:w="4782" w:type="dxa"/>
                  <w:vAlign w:val="center"/>
                </w:tcPr>
                <w:p w14:paraId="6BEF1706">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严格管控类农用地管控要求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5F472BF7">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p w14:paraId="747177A8">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安全利用类农用地管控要求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7043B079">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p w14:paraId="580BECE7">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污染地块管控要求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2FA37738">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p w14:paraId="4AE33A3B">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企业环境风险防控要求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4593CC4E">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p w14:paraId="7354F814">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其他环境风险防控要求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455BEFB9">
                  <w:pPr>
                    <w:spacing w:before="0" w:after="0"/>
                    <w:jc w:val="left"/>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（1）严控涉危、涉化企业新建，严防环境风险。
（2）其他执行甘孜州城镇重点管控单元总体准入要求。
</w:t>
                  </w:r>
                </w:p>
              </w:tc>
              <w:tc>
                <w:tcPr>
                  <w:tcW w:w="3460" w:type="dxa"/>
                  <w:vAlign w:val="center"/>
                </w:tcPr>
                <w:p w14:paraId="1053BDF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75" w:type="dxa"/>
                  <w:vAlign w:val="center"/>
                </w:tcPr>
                <w:p w14:paraId="31AAD02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6B56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922" w:type="dxa"/>
                  <w:vMerge w:val="continue"/>
                  <w:vAlign w:val="center"/>
                </w:tcPr>
                <w:p w14:paraId="4201227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52" w:type="dxa"/>
                  <w:vMerge w:val="continue"/>
                </w:tcPr>
                <w:p w14:paraId="704B65A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5" w:type="dxa"/>
                  <w:vMerge w:val="continue"/>
                </w:tcPr>
                <w:p w14:paraId="6A19280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230" w:type="dxa"/>
                  <w:vAlign w:val="center"/>
                </w:tcPr>
                <w:p w14:paraId="41E642DE">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资源开发利用效率要求</w:t>
                  </w:r>
                </w:p>
              </w:tc>
              <w:tc>
                <w:tcPr>
                  <w:tcW w:w="4782" w:type="dxa"/>
                  <w:vAlign w:val="center"/>
                </w:tcPr>
                <w:p w14:paraId="68ED940A">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水资源利用效率要求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00F2CE3D">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p w14:paraId="479086B5">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地下水开采要求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2A09FBB0">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p w14:paraId="20739738">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能源利用效率要求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3C7E00D9">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p w14:paraId="2C3158ED">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其他资源利用效率要求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78B5C22A">
                  <w:pPr>
                    <w:spacing w:before="0" w:after="0"/>
                    <w:jc w:val="left"/>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执行甘孜州城镇重点管控单元总体准入要求</w:t>
                  </w:r>
                </w:p>
              </w:tc>
              <w:tc>
                <w:tcPr>
                  <w:tcW w:w="3460" w:type="dxa"/>
                  <w:vAlign w:val="center"/>
                </w:tcPr>
                <w:p w14:paraId="0E16840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75" w:type="dxa"/>
                  <w:vAlign w:val="center"/>
                </w:tcPr>
                <w:p w14:paraId="68A1382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F29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22" w:type="dxa"/>
                  <w:vMerge w:val="restart"/>
                  <w:vAlign w:val="center"/>
                </w:tcPr>
                <w:p w14:paraId="4735F8E6">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ZH51332230001</w:t>
                  </w:r>
                </w:p>
              </w:tc>
              <w:tc>
                <w:tcPr>
                  <w:tcW w:w="2152" w:type="dxa"/>
                  <w:vMerge w:val="restart"/>
                  <w:vAlign w:val="center"/>
                </w:tcPr>
                <w:p w14:paraId="58F8DE27">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泸定县一般管控单元</w:t>
                  </w:r>
                </w:p>
              </w:tc>
              <w:tc>
                <w:tcPr>
                  <w:tcW w:w="645" w:type="dxa"/>
                  <w:vMerge w:val="restart"/>
                  <w:vAlign w:val="center"/>
                </w:tcPr>
                <w:p w14:paraId="6DE6D5CB">
                  <w:pPr>
                    <w:spacing w:before="0" w:after="0"/>
                    <w:jc w:val="left"/>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一般管控单元</w:t>
                  </w:r>
                </w:p>
              </w:tc>
              <w:tc>
                <w:tcPr>
                  <w:tcW w:w="1230" w:type="dxa"/>
                  <w:vAlign w:val="center"/>
                </w:tcPr>
                <w:p w14:paraId="278DEE00">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空间布局约束</w:t>
                  </w:r>
                </w:p>
              </w:tc>
              <w:tc>
                <w:tcPr>
                  <w:tcW w:w="4782" w:type="dxa"/>
                  <w:vAlign w:val="center"/>
                </w:tcPr>
                <w:p w14:paraId="28E6DC21">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禁止开发建设活动的要求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38A11556">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p w14:paraId="15208A3C">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限制开发建设活动的要求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3CD67A82">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（1）企业严控新增建设用地规模和非农建设占用耕地。
（2）其他执行甘孜州一般管控单元总体准入要求。
</w:t>
                  </w:r>
                </w:p>
                <w:p w14:paraId="1D070197">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允许开发建设活动的要求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7A93DF6A">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对地震灾区灾后重建需要新设砂石土类矿产开采规划区块的，经市（州）自然资源主管部门充分论证，在合理布局、确保安全距离、满足环保要求的前提下，可直接纳入“十四五”矿产资源规划，允许灾区重建所需砂石土设置储量规模为小型、最低生产规模为20万吨无年的采矿权，服务期限与灾后重建专项规划期衔接一致，到期后及时开展矿山生态修复，并按程序注销采矿权。
2、其他执行甘孜州一般管控单元总体准入要求。</w:t>
                  </w:r>
                </w:p>
                <w:p w14:paraId="793DBFA3">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不符合空间布局要求活动的退出要求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1E2E122F">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企业如不符合用地性质及排放标准的应限期进行整改，并积极引导迁入产业园区，暂不具备入园条件的在既有合法手续、且污染物排放和环境风险满足总体管控要求的情况下可继续保留，维持现状，并加强监管。
（2）严控新增区外水泥企业。
（3）其他执行甘孜州一般管控单元总体准入要求。</w:t>
                  </w:r>
                </w:p>
                <w:p w14:paraId="1F0866E0">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其他空间布局约束要求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72E8FDFA">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tc>
              <w:tc>
                <w:tcPr>
                  <w:tcW w:w="3460" w:type="dxa"/>
                  <w:vAlign w:val="center"/>
                </w:tcPr>
                <w:p w14:paraId="6020B6D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w:t>
                  </w:r>
                  <w:r>
                    <w:rPr>
                      <w:rFonts w:hint="eastAsia" w:cs="Times New Roman"/>
                      <w:color w:val="000000" w:themeColor="text1"/>
                      <w:sz w:val="21"/>
                      <w:szCs w:val="21"/>
                      <w:lang w:val="en-US" w:eastAsia="zh-CN"/>
                      <w14:textFill>
                        <w14:solidFill>
                          <w14:schemeClr w14:val="tx1"/>
                        </w14:solidFill>
                      </w14:textFill>
                    </w:rPr>
                    <w:t>永久占地</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不占用耕地</w:t>
                  </w:r>
                  <w:r>
                    <w:rPr>
                      <w:rFonts w:hint="eastAsia" w:cs="Times New Roman"/>
                      <w:color w:val="000000" w:themeColor="text1"/>
                      <w:sz w:val="21"/>
                      <w:szCs w:val="21"/>
                      <w:lang w:val="en-US" w:eastAsia="zh-CN"/>
                      <w14:textFill>
                        <w14:solidFill>
                          <w14:schemeClr w14:val="tx1"/>
                        </w14:solidFill>
                      </w14:textFill>
                    </w:rPr>
                    <w:t>，仅临时用地占用一般耕地</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，本项目不涉及开采矿产资源。</w:t>
                  </w:r>
                </w:p>
                <w:p w14:paraId="44B6F5F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575" w:type="dxa"/>
                  <w:vAlign w:val="center"/>
                </w:tcPr>
                <w:p w14:paraId="7716D39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3FBA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22" w:type="dxa"/>
                  <w:vMerge w:val="continue"/>
                  <w:vAlign w:val="center"/>
                </w:tcPr>
                <w:p w14:paraId="05F7698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52" w:type="dxa"/>
                  <w:vMerge w:val="continue"/>
                </w:tcPr>
                <w:p w14:paraId="1D6E8BD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5" w:type="dxa"/>
                  <w:vMerge w:val="continue"/>
                </w:tcPr>
                <w:p w14:paraId="7DE2D39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230" w:type="dxa"/>
                  <w:vAlign w:val="center"/>
                </w:tcPr>
                <w:p w14:paraId="5297A7B4">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污染物排放管控</w:t>
                  </w:r>
                </w:p>
              </w:tc>
              <w:tc>
                <w:tcPr>
                  <w:tcW w:w="4782" w:type="dxa"/>
                  <w:vAlign w:val="center"/>
                </w:tcPr>
                <w:p w14:paraId="1EFBAD1F">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现有源提标升级改造</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0814F4AB">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（1）水泥、黏土砖瓦及建筑砌块制造行业按照相关要求推进大气污染物超低排放和深度治理。
（2）其他执行甘孜州一般管控单元总体准入要求。
</w:t>
                  </w:r>
                </w:p>
                <w:p w14:paraId="380C5E72">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新增源等量或倍量替代</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0748AF01">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p w14:paraId="11B03493">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新增源排放标准限值</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5788079C">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p w14:paraId="6DB49229">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污染物排放绩效水平准入要求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509AA434">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（1）泸定县属半农半牧区，行政村生活垃圾收转运体系覆盖率2021年底达90%，2022年底全覆盖；2022年底再生资源回收网点覆盖60%以上行政村。
（2）散养密集区须实行畜禽粪便污水分户收集、集中处理利用。
（3）泸定县涉及贡嘎山国家级风景名胜区东部景观片区，包括海螺沟景区，主要旅游接待服务设施污水达标排放率达100%；生活垃圾无害化处理率达100%；风景区水体不得新建排污口；餐饮服务气体排放须采取油烟净化处理，满足《饮食业油烟排放标准》（GB18483-2001）相关要求；生态旅游配套项目不得采用非清洁燃料。
（4）甘孜新区位于泸定县燕子沟镇，是康泸新一体化三大核心之一，以文化旅游为主要发展方向。区域污水排放不得高于2025年城乡常住人口2万人、旅游总人数（含海螺沟）500万人次无年标准；2025年城镇生活垃圾无害化处理率80%，城镇污水集中处理率50%。
（5）其他执行甘孜州一般管控单元总体准入要求。
</w:t>
                  </w:r>
                </w:p>
                <w:p w14:paraId="75FCB9C9">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其他污染物排放管控要求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4343A090">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tc>
              <w:tc>
                <w:tcPr>
                  <w:tcW w:w="3460" w:type="dxa"/>
                  <w:vAlign w:val="center"/>
                </w:tcPr>
                <w:p w14:paraId="00DA7F3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val="0"/>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本项目不属于</w:t>
                  </w:r>
                  <w:r>
                    <w:rPr>
                      <w:rFonts w:hint="default" w:ascii="Times New Roman" w:hAnsi="Times New Roman" w:eastAsia="宋体" w:cs="Times New Roman"/>
                      <w:b w:val="0"/>
                      <w:color w:val="000000" w:themeColor="text1"/>
                      <w:sz w:val="21"/>
                      <w:szCs w:val="21"/>
                      <w14:textFill>
                        <w14:solidFill>
                          <w14:schemeClr w14:val="tx1"/>
                        </w14:solidFill>
                      </w14:textFill>
                    </w:rPr>
                    <w:t>水泥、黏土砖瓦及建筑砌块制造行业</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p>
                <w:p w14:paraId="71D7CD5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本项目不涉及养殖。</w:t>
                  </w:r>
                </w:p>
              </w:tc>
              <w:tc>
                <w:tcPr>
                  <w:tcW w:w="575" w:type="dxa"/>
                  <w:vAlign w:val="center"/>
                </w:tcPr>
                <w:p w14:paraId="6758FBE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4AB0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922" w:type="dxa"/>
                  <w:vMerge w:val="continue"/>
                  <w:vAlign w:val="center"/>
                </w:tcPr>
                <w:p w14:paraId="4654646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52" w:type="dxa"/>
                  <w:vMerge w:val="continue"/>
                </w:tcPr>
                <w:p w14:paraId="5B0254B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5" w:type="dxa"/>
                  <w:vMerge w:val="continue"/>
                </w:tcPr>
                <w:p w14:paraId="7DF11B6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230" w:type="dxa"/>
                  <w:vAlign w:val="center"/>
                </w:tcPr>
                <w:p w14:paraId="35B48E52">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环境风险防控</w:t>
                  </w:r>
                </w:p>
              </w:tc>
              <w:tc>
                <w:tcPr>
                  <w:tcW w:w="4782" w:type="dxa"/>
                  <w:vAlign w:val="center"/>
                </w:tcPr>
                <w:p w14:paraId="576739EE">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严格管控类农用地管控要求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5A5A2474">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p w14:paraId="0DF9A6C0">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安全利用类农用地管控要求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26CDB1A9">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p w14:paraId="54965F57">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污染地块管控要求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3C2E271E">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p w14:paraId="7A895AD7">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企业环境风险防控要求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7EC0C7C4">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p w14:paraId="7E3966E0">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其他环境风险防控要求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2447F48E">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tc>
              <w:tc>
                <w:tcPr>
                  <w:tcW w:w="3460" w:type="dxa"/>
                  <w:vAlign w:val="center"/>
                </w:tcPr>
                <w:p w14:paraId="3224C87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75" w:type="dxa"/>
                  <w:vAlign w:val="center"/>
                </w:tcPr>
                <w:p w14:paraId="42B668F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7C80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922" w:type="dxa"/>
                  <w:vMerge w:val="continue"/>
                  <w:vAlign w:val="center"/>
                </w:tcPr>
                <w:p w14:paraId="1245BC7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152" w:type="dxa"/>
                  <w:vMerge w:val="continue"/>
                </w:tcPr>
                <w:p w14:paraId="46F46F3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5" w:type="dxa"/>
                  <w:vMerge w:val="continue"/>
                </w:tcPr>
                <w:p w14:paraId="357DD7F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230" w:type="dxa"/>
                  <w:vAlign w:val="center"/>
                </w:tcPr>
                <w:p w14:paraId="6D154D8B">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资源开发利用效率要求</w:t>
                  </w:r>
                </w:p>
              </w:tc>
              <w:tc>
                <w:tcPr>
                  <w:tcW w:w="4782" w:type="dxa"/>
                  <w:vAlign w:val="center"/>
                </w:tcPr>
                <w:p w14:paraId="69A68392">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水资源利用效率要求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052223C9">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（1）保障大渡河干流泸定（二）水文站生态基流184</w:t>
                  </w:r>
                  <w:r>
                    <w:rPr>
                      <w:rFonts w:hint="eastAsia" w:ascii="Times New Roman" w:hAnsi="Times New Roman" w:cs="Times New Roman"/>
                      <w:b w:val="0"/>
                      <w:color w:val="000000" w:themeColor="text1"/>
                      <w:sz w:val="21"/>
                      <w:szCs w:val="21"/>
                      <w:lang w:eastAsia="zh-CN"/>
                      <w14:textFill>
                        <w14:solidFill>
                          <w14:schemeClr w14:val="tx1"/>
                        </w14:solidFill>
                      </w14:textFill>
                    </w:rPr>
                    <w:t>m</w:t>
                  </w:r>
                  <w:r>
                    <w:rPr>
                      <w:rFonts w:hint="eastAsia" w:ascii="Times New Roman" w:hAnsi="Times New Roman" w:cs="Times New Roman"/>
                      <w:b w:val="0"/>
                      <w:color w:val="000000" w:themeColor="text1"/>
                      <w:sz w:val="21"/>
                      <w:szCs w:val="21"/>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s。
（2）其他执行甘孜州一般管控单元总体准入要求。
</w:t>
                  </w:r>
                </w:p>
                <w:p w14:paraId="765DB4E0">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地下水开采要求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3054E56A">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p w14:paraId="5DD98963">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能源利用效率要求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0D6AC558">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p w14:paraId="6C1C2F03">
                  <w:pPr>
                    <w:spacing w:before="0" w:after="0"/>
                    <w:jc w:val="left"/>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14:textFill>
                        <w14:solidFill>
                          <w14:schemeClr w14:val="tx1"/>
                        </w14:solidFill>
                      </w14:textFill>
                    </w:rPr>
                    <w:t>其他资源利用效率要求</w:t>
                  </w:r>
                  <w:r>
                    <w:rPr>
                      <w:rFonts w:hint="eastAsia" w:ascii="Times New Roman" w:hAnsi="Times New Roman" w:cs="Times New Roman"/>
                      <w:b w:val="0"/>
                      <w:color w:val="000000" w:themeColor="text1"/>
                      <w:sz w:val="21"/>
                      <w:szCs w:val="21"/>
                      <w:lang w:eastAsia="zh-CN"/>
                      <w14:textFill>
                        <w14:solidFill>
                          <w14:schemeClr w14:val="tx1"/>
                        </w14:solidFill>
                      </w14:textFill>
                    </w:rPr>
                    <w:t>]</w:t>
                  </w:r>
                </w:p>
                <w:p w14:paraId="3A0C1C5E">
                  <w:pPr>
                    <w:spacing w:before="0" w:after="0"/>
                    <w:jc w:val="left"/>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执行甘孜州一般管控单元总体准入要求</w:t>
                  </w:r>
                </w:p>
              </w:tc>
              <w:tc>
                <w:tcPr>
                  <w:tcW w:w="3460" w:type="dxa"/>
                  <w:vAlign w:val="center"/>
                </w:tcPr>
                <w:p w14:paraId="29F4DE0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本项目下泄生态流量满足要求。</w:t>
                  </w:r>
                </w:p>
              </w:tc>
              <w:tc>
                <w:tcPr>
                  <w:tcW w:w="575" w:type="dxa"/>
                  <w:vAlign w:val="center"/>
                </w:tcPr>
                <w:p w14:paraId="1BC410B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bl>
          <w:p w14:paraId="5B3C5495">
            <w:pPr>
              <w:spacing w:line="360" w:lineRule="auto"/>
              <w:ind w:firstLine="482" w:firstLineChars="200"/>
              <w:rPr>
                <w:rFonts w:hint="default" w:ascii="Times New Roman" w:hAnsi="Times New Roman" w:eastAsia="宋体" w:cs="Times New Roman"/>
                <w:b/>
                <w:bCs/>
                <w:color w:val="000000" w:themeColor="text1"/>
                <w:sz w:val="24"/>
                <w:szCs w:val="20"/>
                <w14:textFill>
                  <w14:solidFill>
                    <w14:schemeClr w14:val="tx1"/>
                  </w14:solidFill>
                </w14:textFill>
              </w:rPr>
            </w:pPr>
            <w:r>
              <w:rPr>
                <w:rFonts w:hint="default" w:ascii="Times New Roman" w:hAnsi="Times New Roman" w:eastAsia="宋体" w:cs="Times New Roman"/>
                <w:b/>
                <w:bCs/>
                <w:color w:val="000000" w:themeColor="text1"/>
                <w:sz w:val="24"/>
                <w:szCs w:val="20"/>
                <w14:textFill>
                  <w14:solidFill>
                    <w14:schemeClr w14:val="tx1"/>
                  </w14:solidFill>
                </w14:textFill>
              </w:rPr>
              <w:t>（</w:t>
            </w:r>
            <w:r>
              <w:rPr>
                <w:rFonts w:hint="default" w:ascii="Times New Roman" w:hAnsi="Times New Roman" w:eastAsia="宋体" w:cs="Times New Roman"/>
                <w:b/>
                <w:bCs/>
                <w:color w:val="000000" w:themeColor="text1"/>
                <w:sz w:val="24"/>
                <w:szCs w:val="20"/>
                <w:lang w:val="en-US" w:eastAsia="zh-CN"/>
                <w14:textFill>
                  <w14:solidFill>
                    <w14:schemeClr w14:val="tx1"/>
                  </w14:solidFill>
                </w14:textFill>
              </w:rPr>
              <w:t>5</w:t>
            </w:r>
            <w:r>
              <w:rPr>
                <w:rFonts w:hint="default" w:ascii="Times New Roman" w:hAnsi="Times New Roman" w:eastAsia="宋体" w:cs="Times New Roman"/>
                <w:b/>
                <w:bCs/>
                <w:color w:val="000000" w:themeColor="text1"/>
                <w:sz w:val="24"/>
                <w:szCs w:val="20"/>
                <w14:textFill>
                  <w14:solidFill>
                    <w14:schemeClr w14:val="tx1"/>
                  </w14:solidFill>
                </w14:textFill>
              </w:rPr>
              <w:t>）项目与涉及的生态环境管控单元准入清单符合性</w:t>
            </w:r>
          </w:p>
          <w:p w14:paraId="3485CA19">
            <w:pPr>
              <w:spacing w:line="360" w:lineRule="auto"/>
              <w:ind w:firstLine="480" w:firstLineChars="200"/>
              <w:rPr>
                <w:rFonts w:hint="default" w:ascii="Times New Roman" w:hAnsi="Times New Roman" w:eastAsia="宋体" w:cs="Times New Roman"/>
                <w:color w:val="000000" w:themeColor="text1"/>
                <w:sz w:val="24"/>
                <w:szCs w:val="20"/>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根据</w:t>
            </w:r>
            <w:r>
              <w:rPr>
                <w:rFonts w:hint="default" w:ascii="Times New Roman" w:hAnsi="Times New Roman" w:eastAsia="宋体" w:cs="Times New Roman"/>
                <w:bCs/>
                <w:color w:val="000000" w:themeColor="text1"/>
                <w:sz w:val="24"/>
                <w:szCs w:val="22"/>
                <w14:textFill>
                  <w14:solidFill>
                    <w14:schemeClr w14:val="tx1"/>
                  </w14:solidFill>
                </w14:textFill>
              </w:rPr>
              <w:t>四川省政务服务网中的“生态环境分区管控符合性分析”</w:t>
            </w:r>
            <w:r>
              <w:rPr>
                <w:rFonts w:hint="default" w:ascii="Times New Roman" w:hAnsi="Times New Roman" w:eastAsia="宋体" w:cs="Times New Roman"/>
                <w:color w:val="000000" w:themeColor="text1"/>
                <w:sz w:val="24"/>
                <w:szCs w:val="20"/>
                <w14:textFill>
                  <w14:solidFill>
                    <w14:schemeClr w14:val="tx1"/>
                  </w14:solidFill>
                </w14:textFill>
              </w:rPr>
              <w:t>，本项目与</w:t>
            </w:r>
            <w:r>
              <w:rPr>
                <w:rFonts w:hint="default" w:ascii="Times New Roman" w:hAnsi="Times New Roman" w:eastAsia="宋体" w:cs="Times New Roman"/>
                <w:color w:val="000000" w:themeColor="text1"/>
                <w:sz w:val="24"/>
                <w14:textFill>
                  <w14:solidFill>
                    <w14:schemeClr w14:val="tx1"/>
                  </w14:solidFill>
                </w14:textFill>
              </w:rPr>
              <w:t>涉及的生态环境</w:t>
            </w:r>
            <w:r>
              <w:rPr>
                <w:rFonts w:hint="default" w:ascii="Times New Roman" w:hAnsi="Times New Roman" w:eastAsia="宋体" w:cs="Times New Roman"/>
                <w:color w:val="000000" w:themeColor="text1"/>
                <w:sz w:val="24"/>
                <w:lang w:val="en-US" w:eastAsia="zh-CN"/>
                <w14:textFill>
                  <w14:solidFill>
                    <w14:schemeClr w14:val="tx1"/>
                  </w14:solidFill>
                </w14:textFill>
              </w:rPr>
              <w:t>要素</w:t>
            </w:r>
            <w:r>
              <w:rPr>
                <w:rFonts w:hint="default" w:ascii="Times New Roman" w:hAnsi="Times New Roman" w:eastAsia="宋体" w:cs="Times New Roman"/>
                <w:color w:val="000000" w:themeColor="text1"/>
                <w:sz w:val="24"/>
                <w14:textFill>
                  <w14:solidFill>
                    <w14:schemeClr w14:val="tx1"/>
                  </w14:solidFill>
                </w14:textFill>
              </w:rPr>
              <w:t>管控单元准入</w:t>
            </w:r>
            <w:r>
              <w:rPr>
                <w:rFonts w:hint="default" w:ascii="Times New Roman" w:hAnsi="Times New Roman" w:eastAsia="宋体" w:cs="Times New Roman"/>
                <w:color w:val="000000" w:themeColor="text1"/>
                <w:kern w:val="0"/>
                <w:sz w:val="24"/>
                <w14:textFill>
                  <w14:solidFill>
                    <w14:schemeClr w14:val="tx1"/>
                  </w14:solidFill>
                </w14:textFill>
              </w:rPr>
              <w:t>清单</w:t>
            </w:r>
            <w:r>
              <w:rPr>
                <w:rFonts w:hint="default" w:ascii="Times New Roman" w:hAnsi="Times New Roman" w:eastAsia="宋体" w:cs="Times New Roman"/>
                <w:color w:val="000000" w:themeColor="text1"/>
                <w:sz w:val="24"/>
                <w:szCs w:val="20"/>
                <w14:textFill>
                  <w14:solidFill>
                    <w14:schemeClr w14:val="tx1"/>
                  </w14:solidFill>
                </w14:textFill>
              </w:rPr>
              <w:t>符合性分析如下表所示。</w:t>
            </w:r>
          </w:p>
          <w:p w14:paraId="0BA6DF20">
            <w:pPr>
              <w:pStyle w:val="166"/>
              <w:numPr>
                <w:ilvl w:val="0"/>
                <w:numId w:val="7"/>
              </w:numPr>
              <w:spacing w:line="36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项目与涉及的</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要素</w:t>
            </w:r>
            <w:r>
              <w:rPr>
                <w:rFonts w:hint="default" w:ascii="Times New Roman" w:hAnsi="Times New Roman" w:eastAsia="宋体" w:cs="Times New Roman"/>
                <w:b/>
                <w:bCs/>
                <w:color w:val="000000" w:themeColor="text1"/>
                <w:sz w:val="21"/>
                <w:szCs w:val="21"/>
                <w14:textFill>
                  <w14:solidFill>
                    <w14:schemeClr w14:val="tx1"/>
                  </w14:solidFill>
                </w14:textFill>
              </w:rPr>
              <w:t>管控单元准入清单符合性分析一览表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84"/>
              <w:gridCol w:w="1185"/>
              <w:gridCol w:w="1770"/>
              <w:gridCol w:w="5592"/>
              <w:gridCol w:w="3460"/>
              <w:gridCol w:w="575"/>
            </w:tblGrid>
            <w:tr w14:paraId="2730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2" w:hRule="atLeast"/>
                <w:jc w:val="center"/>
              </w:trPr>
              <w:tc>
                <w:tcPr>
                  <w:tcW w:w="430" w:type="pct"/>
                  <w:vAlign w:val="center"/>
                </w:tcPr>
                <w:p w14:paraId="1BCA916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环境管控</w:t>
                  </w:r>
                </w:p>
                <w:p w14:paraId="453856B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单元编码</w:t>
                  </w:r>
                </w:p>
              </w:tc>
              <w:tc>
                <w:tcPr>
                  <w:tcW w:w="430" w:type="pct"/>
                  <w:vAlign w:val="center"/>
                </w:tcPr>
                <w:p w14:paraId="1D6446F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t>要素</w:t>
                  </w:r>
                  <w:r>
                    <w:rPr>
                      <w:rFonts w:hint="default" w:ascii="Times New Roman" w:hAnsi="Times New Roman" w:eastAsia="宋体" w:cs="Times New Roman"/>
                      <w:b/>
                      <w:bCs/>
                      <w:color w:val="000000" w:themeColor="text1"/>
                      <w:kern w:val="0"/>
                      <w:sz w:val="21"/>
                      <w:szCs w:val="21"/>
                      <w14:textFill>
                        <w14:solidFill>
                          <w14:schemeClr w14:val="tx1"/>
                        </w14:solidFill>
                      </w14:textFill>
                    </w:rPr>
                    <w:t>管控单元名称</w:t>
                  </w:r>
                </w:p>
              </w:tc>
              <w:tc>
                <w:tcPr>
                  <w:tcW w:w="642" w:type="pct"/>
                  <w:vAlign w:val="center"/>
                </w:tcPr>
                <w:p w14:paraId="2B03FF7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类别</w:t>
                  </w:r>
                </w:p>
              </w:tc>
              <w:tc>
                <w:tcPr>
                  <w:tcW w:w="2031" w:type="pct"/>
                  <w:vAlign w:val="center"/>
                </w:tcPr>
                <w:p w14:paraId="536C9B3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对应管控要求</w:t>
                  </w:r>
                </w:p>
              </w:tc>
              <w:tc>
                <w:tcPr>
                  <w:tcW w:w="1256" w:type="pct"/>
                  <w:vAlign w:val="center"/>
                </w:tcPr>
                <w:p w14:paraId="088ACFF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项目对应情况介绍</w:t>
                  </w:r>
                </w:p>
              </w:tc>
              <w:tc>
                <w:tcPr>
                  <w:tcW w:w="208" w:type="pct"/>
                  <w:vAlign w:val="center"/>
                </w:tcPr>
                <w:p w14:paraId="5059FC4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符合性</w:t>
                  </w:r>
                </w:p>
              </w:tc>
            </w:tr>
            <w:tr w14:paraId="13EB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restart"/>
                  <w:vAlign w:val="center"/>
                </w:tcPr>
                <w:p w14:paraId="05043C5C">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YS5133223610001</w:t>
                  </w:r>
                </w:p>
              </w:tc>
              <w:tc>
                <w:tcPr>
                  <w:tcW w:w="430" w:type="pct"/>
                  <w:vMerge w:val="restart"/>
                  <w:vAlign w:val="center"/>
                </w:tcPr>
                <w:p w14:paraId="0E8C42C2">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大渡河江河湖库岸线其他区域</w:t>
                  </w:r>
                </w:p>
              </w:tc>
              <w:tc>
                <w:tcPr>
                  <w:tcW w:w="642" w:type="pct"/>
                  <w:vAlign w:val="center"/>
                </w:tcPr>
                <w:p w14:paraId="35E9BBD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62D7AC6C">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06FEA778">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禁止开发建设活动的要求:岸线资源一般管控区-岸线保留区:1.对河势变化剧烈的河段，规划期内暂不开发利用。2.保留区内涉及国家级和省级自然保护区的实验区、水产种质资源保护区、国际重要湿地、国家重要湿地以及国家湿地公园、森林公园生态保育区和核心景区、地质公园地质遗迹保护区、世界自然遗产核心区和缓冲区等生态敏感区，但未纳入生态保护红线范围内的，禁止建设与各区相应法律法规不符合的项目。限制开发建设活动的要求:岸线资源一般管控区-岸线保留区:1.为规划工程预留的岸线保留区，因经济社会发展需要，确需开展的重要基础设施建设，在不影响规划工程未来建设、以及防洪、供水、生态安全的前提下，按相关法律法规要求履行河道内建设项目相关审批程序。2.为满足生活生态岸线开发需要划定的岸线保留区，除建设生态公园、江滩风光带等项目外，不得建设其他生产设施。对虽具备开发利用条件，但现状经济社会发展水平相对较低，暂无开发利用需求的岸段，今后因经济社会发展确需开发利用的，经充分论证并按照法律法规要求履行相关审批程序后，可根据所在河段实际情况并参照岸线控制利用区或开发利用区管控要求进行管理。岸线资源一般管控区-岸线开发利用区:1.符合《长江保护法》《水法》《防洪法》《环境保护法》《港口法》《航道法》《河道管理条例》等国家有关法律法规，在不影响防洪、航运安全、河势稳定、水生态环境的情况下，根据岸线保护要求和沿河（湖泊）地区经济社会发展的需要，依法依规履行水行政许可相关手续后，科学合理地开发利用。
2.符合依法批准的省域城镇体系规划和城市总体规划，须统筹协调与流域综合规划，防洪规划，取水口、排污口及应急水源地布局规划，航运发展规划，港口规划等相关规划的关系，充分考虑与附近已有涉水工程间的相互影响，合理布局，按照“深水深用、浅水浅用”、“节约、集约利用”的原则，提高岸线资源利用效率，充分发挥岸线资源的综合效益</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1C56EB9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本项目不开发岸线</w:t>
                  </w:r>
                  <w:r>
                    <w:rPr>
                      <w:rFonts w:hint="default" w:ascii="Times New Roman" w:hAnsi="Times New Roman" w:eastAsia="宋体" w:cs="Times New Roman"/>
                      <w:color w:val="000000" w:themeColor="text1"/>
                      <w:sz w:val="21"/>
                      <w:szCs w:val="21"/>
                      <w14:textFill>
                        <w14:solidFill>
                          <w14:schemeClr w14:val="tx1"/>
                        </w14:solidFill>
                      </w14:textFill>
                    </w:rPr>
                    <w:t>。</w:t>
                  </w:r>
                </w:p>
                <w:p w14:paraId="0BFE28B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w:t>
                  </w:r>
                  <w:r>
                    <w:rPr>
                      <w:rFonts w:hint="default" w:ascii="Times New Roman" w:hAnsi="Times New Roman" w:eastAsia="宋体" w:cs="Times New Roman"/>
                      <w:color w:val="000000" w:themeColor="text1"/>
                      <w:sz w:val="21"/>
                      <w:szCs w:val="21"/>
                      <w14:textFill>
                        <w14:solidFill>
                          <w14:schemeClr w14:val="tx1"/>
                        </w14:solidFill>
                      </w14:textFill>
                    </w:rPr>
                    <w:t>涉及国家级和省级自然保护区的实验区、水产种质资源保护区、国际重要湿地、国家重要湿地以及国家湿地公园、森林公园生态保育区和核心景区等生态敏感区</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p w14:paraId="78CB42D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本项目符合</w:t>
                  </w:r>
                  <w:r>
                    <w:rPr>
                      <w:rFonts w:hint="default" w:ascii="Times New Roman" w:hAnsi="Times New Roman" w:eastAsia="宋体" w:cs="Times New Roman"/>
                      <w:b w:val="0"/>
                      <w:color w:val="000000" w:themeColor="text1"/>
                      <w:sz w:val="21"/>
                      <w:szCs w:val="21"/>
                      <w14:textFill>
                        <w14:solidFill>
                          <w14:schemeClr w14:val="tx1"/>
                        </w14:solidFill>
                      </w14:textFill>
                    </w:rPr>
                    <w:t>世界自然遗产</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地缓冲区保护要求</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p w14:paraId="1DF288C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本项目不涉及岸线保留区。</w:t>
                  </w:r>
                </w:p>
                <w:p w14:paraId="7D952D5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本项目不影响防洪和航运规划。</w:t>
                  </w:r>
                </w:p>
                <w:p w14:paraId="2C152C2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08" w:type="pct"/>
                  <w:vAlign w:val="center"/>
                </w:tcPr>
                <w:p w14:paraId="4D997A0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18E7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7E07D1E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0D0D513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52F2201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011BED3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276807D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5D0160B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D95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033F6B8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330C8B0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033F8BB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0CA4BBA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26BF766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1A2EB9A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1DC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4AB4B2C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113A5C2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06EED77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233155D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36B6C77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1D0FCA9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2DA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restart"/>
                  <w:vAlign w:val="center"/>
                </w:tcPr>
                <w:p w14:paraId="08DE8E42">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YS5133221610001</w:t>
                  </w:r>
                </w:p>
              </w:tc>
              <w:tc>
                <w:tcPr>
                  <w:tcW w:w="430" w:type="pct"/>
                  <w:vMerge w:val="restart"/>
                  <w:vAlign w:val="center"/>
                </w:tcPr>
                <w:p w14:paraId="5D04207D">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大渡河江河湖库岸线优先保护区</w:t>
                  </w:r>
                </w:p>
              </w:tc>
              <w:tc>
                <w:tcPr>
                  <w:tcW w:w="642" w:type="pct"/>
                  <w:vAlign w:val="center"/>
                </w:tcPr>
                <w:p w14:paraId="025F433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1BA151DF">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7ACA7AE0">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为确保防洪安全、河势稳定划定的岸线保护区.，禁止建设除防洪安全工程、河道整治工程以外的其他项目。.在重要防洪枢纽岸线保护区内，禁止建设影响水利枢纽正常运行安全的项目。在改变分汊河段分流态势的分汇流段的岸线保护区内，禁止建设影响河势稳定的项目。2.为保障供水安全划定的岸线保护区，在饮用水水源一级保护区内，禁止新建、改建、扩建与供水设施和保护水源无关的建设项目。在地表水饮用水水源保护区内，禁止设置排污口。3.为保护生态环境划定的岸线保护区，在自然保护区核心区、缓冲区内的岸线保护区，不得建设任何生产设施。（根据自然资函〔2020〕71号，原核心区和原缓冲区转为核心保护区）。在风景名胜区核心景区内的岸线保护区，禁止违反规划设立各类开发区和建设宾馆、招待所、培训中心、疗养院以及与风景名胜资源保护无关的其它建筑物。已经建设的，应当按照风景名胜区规划，逐步迁出。在各类自然保护地的岸线保护区，禁止建设与相应法律法规不符的项目。4.为保护生态红线划定的岸线保护区，按照《生态保护红线管理办法》以及《关于在国土空间规划中统筹划定落实三条控制线的指导意见》有关要求对岸线的开发利用活动进行管控。生态红线内自然保护地核心保护区原则上按禁止人类活动的要求进行管理。</w:t>
                  </w:r>
                </w:p>
              </w:tc>
              <w:tc>
                <w:tcPr>
                  <w:tcW w:w="1256" w:type="pct"/>
                  <w:vAlign w:val="center"/>
                </w:tcPr>
                <w:p w14:paraId="49771581">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1、本项目不</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涉及岸线保护区、不涉及重要防洪枢纽岸线保护区</w:t>
                  </w:r>
                  <w:r>
                    <w:rPr>
                      <w:rFonts w:hint="default" w:ascii="Times New Roman" w:hAnsi="Times New Roman" w:eastAsia="宋体" w:cs="Times New Roman"/>
                      <w:color w:val="000000" w:themeColor="text1"/>
                      <w:sz w:val="21"/>
                      <w:szCs w:val="21"/>
                      <w14:textFill>
                        <w14:solidFill>
                          <w14:schemeClr w14:val="tx1"/>
                        </w14:solidFill>
                      </w14:textFill>
                    </w:rPr>
                    <w:t>。</w:t>
                  </w:r>
                </w:p>
                <w:p w14:paraId="43DA4DCE">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2、本项目不涉及饮用水源保护区。</w:t>
                  </w:r>
                </w:p>
                <w:p w14:paraId="005E08A9">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3、本项目不涉及岸线保护区。</w:t>
                  </w:r>
                </w:p>
                <w:p w14:paraId="41CB39FE">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4、本项目不涉及生态保护红线。</w:t>
                  </w:r>
                </w:p>
              </w:tc>
              <w:tc>
                <w:tcPr>
                  <w:tcW w:w="208" w:type="pct"/>
                  <w:vAlign w:val="center"/>
                </w:tcPr>
                <w:p w14:paraId="7880DE3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0296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3C4A6C4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0E27985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200BE0D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488FCCE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412FC93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61472D0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1092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5D8275B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0EAD49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7BEA2F9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5ED7840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1D19B07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7D93222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2B18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4DEB6D7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5BD3CBB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673B28F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1334283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7CF8184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54C8816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958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restart"/>
                  <w:vAlign w:val="center"/>
                </w:tcPr>
                <w:p w14:paraId="02F20856">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YS5133223610001</w:t>
                  </w:r>
                </w:p>
              </w:tc>
              <w:tc>
                <w:tcPr>
                  <w:tcW w:w="430" w:type="pct"/>
                  <w:vMerge w:val="restart"/>
                  <w:vAlign w:val="center"/>
                </w:tcPr>
                <w:p w14:paraId="07B507B7">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大渡河江河湖库岸线其他区域</w:t>
                  </w:r>
                </w:p>
              </w:tc>
              <w:tc>
                <w:tcPr>
                  <w:tcW w:w="642" w:type="pct"/>
                  <w:vAlign w:val="center"/>
                </w:tcPr>
                <w:p w14:paraId="7EC36E3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147486E7">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7D808760">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禁止开发建设活动的要求:岸线资源一般管控区-岸线保留区:1.对河势变化剧烈的河段，规划期内暂不开发利用。2.保留区内涉及国家级和省级自然保护区的实验区、水产种质资源保护区、国际重要湿地、国家重要湿地以及国家湿地公园、森林公园生态保育区和核心景区、地质公园地质遗迹保护区、世界自然遗产核心区和缓冲区等生态敏感区，但未纳入生态保护红线范围内的，禁止建设与各区相应法律法规不符合的项目。限制开发建设活动的要求:岸线资源一般管控区-岸线保留区:1.为规划工程预留的岸线保留区，因经济社会发展需要，确需开展的重要基础设施建设，在不影响规划工程未来建设、以及防洪、供水、生态安全的前提下，按相关法律法规要求履行河道内建设项目相关审批程序。2.为满足生活生态岸线开发需要划定的岸线保留区，除建设生态公园、江滩风光带等项目外，不得建设其他生产设施。对虽具备开发利用条件，但现状经济社会发展水平相对较低，暂无开发利用需求的岸段，今后因经济社会发展确需开发利用的，经充分论证并按照法律法规要求履行相关审批程序后，可根据所在河段实际情况并参照岸线控制利用区或开发利用区管控要求进行管理。岸线资源一般管控区-岸线开发利用区:1.符合《长江保护法》《水法》《防洪法》《环境保护法》《港口法》《航道法》《河道管理条例》等国家有关法律法规，在不影响防洪、航运安全、河势稳定、水生态环境的情况下，根据岸线保护要求和沿河（湖泊）地区经济社会发展的需要，依法依规履行水行政许可相关手续后，科学合理地开发利用。
2.符合依法批准的省域城镇体系规划和城市总体规划，须统筹协调与流域综合规划，防洪规划，取水口、排污口及应急水源地布局规划，航运发展规划，港口规划等相关规划的关系，充分考虑与附近已有涉水工程间的相互影响，合理布局，按照“深水深用、浅水浅用”、“节约、集约利用”的原则，提高岸线资源利用效率，充分发挥岸线资源的综合效益</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1195F82C">
                  <w:pPr>
                    <w:pStyle w:val="32"/>
                    <w:keepNext w:val="0"/>
                    <w:keepLines w:val="0"/>
                    <w:pageBreakBefore w:val="0"/>
                    <w:numPr>
                      <w:ilvl w:val="0"/>
                      <w:numId w:val="16"/>
                    </w:numPr>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本项目不涉及河势变化剧烈的河段</w:t>
                  </w:r>
                  <w:r>
                    <w:rPr>
                      <w:rFonts w:hint="default" w:ascii="Times New Roman" w:hAnsi="Times New Roman" w:eastAsia="宋体" w:cs="Times New Roman"/>
                      <w:color w:val="000000" w:themeColor="text1"/>
                      <w:sz w:val="21"/>
                      <w:szCs w:val="21"/>
                      <w14:textFill>
                        <w14:solidFill>
                          <w14:schemeClr w14:val="tx1"/>
                        </w14:solidFill>
                      </w14:textFill>
                    </w:rPr>
                    <w:t>。</w:t>
                  </w:r>
                </w:p>
                <w:p w14:paraId="7747C7B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2、本项目不</w:t>
                  </w:r>
                  <w:r>
                    <w:rPr>
                      <w:rFonts w:hint="default" w:ascii="Times New Roman" w:hAnsi="Times New Roman" w:eastAsia="宋体" w:cs="Times New Roman"/>
                      <w:color w:val="000000" w:themeColor="text1"/>
                      <w:sz w:val="21"/>
                      <w:szCs w:val="21"/>
                      <w14:textFill>
                        <w14:solidFill>
                          <w14:schemeClr w14:val="tx1"/>
                        </w14:solidFill>
                      </w14:textFill>
                    </w:rPr>
                    <w:t>涉及国家级和省级自然保护区的实验区、水产种质资源保护区、国际重要湿地、国家重要湿地以及国家湿地公园、森林公园生态保育区和核心景区等生态敏感区</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p w14:paraId="3B8513E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本项目符合</w:t>
                  </w:r>
                  <w:r>
                    <w:rPr>
                      <w:rFonts w:hint="default" w:ascii="Times New Roman" w:hAnsi="Times New Roman" w:eastAsia="宋体" w:cs="Times New Roman"/>
                      <w:b w:val="0"/>
                      <w:color w:val="000000" w:themeColor="text1"/>
                      <w:sz w:val="21"/>
                      <w:szCs w:val="21"/>
                      <w14:textFill>
                        <w14:solidFill>
                          <w14:schemeClr w14:val="tx1"/>
                        </w14:solidFill>
                      </w14:textFill>
                    </w:rPr>
                    <w:t>世界自然遗产</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地缓冲区保护要求</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p w14:paraId="024C278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3、不涉及</w:t>
                  </w:r>
                  <w:r>
                    <w:rPr>
                      <w:rFonts w:hint="default" w:ascii="Times New Roman" w:hAnsi="Times New Roman" w:eastAsia="宋体" w:cs="Times New Roman"/>
                      <w:b w:val="0"/>
                      <w:color w:val="000000" w:themeColor="text1"/>
                      <w:sz w:val="21"/>
                      <w:szCs w:val="21"/>
                      <w14:textFill>
                        <w14:solidFill>
                          <w14:schemeClr w14:val="tx1"/>
                        </w14:solidFill>
                      </w14:textFill>
                    </w:rPr>
                    <w:t>生活生态岸线保留区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208" w:type="pct"/>
                  <w:vAlign w:val="center"/>
                </w:tcPr>
                <w:p w14:paraId="0AFAF66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1D26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1335F58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12913B6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2A33540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1FC9588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427CA83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104CF5F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E2D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5724310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0E47752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790ED4A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25941A7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3FA6A44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7DA70FE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273F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0" w:hRule="atLeast"/>
                <w:jc w:val="center"/>
              </w:trPr>
              <w:tc>
                <w:tcPr>
                  <w:tcW w:w="430" w:type="pct"/>
                  <w:vMerge w:val="continue"/>
                  <w:vAlign w:val="center"/>
                </w:tcPr>
                <w:p w14:paraId="0A0BF17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68D3FCB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4EFD7F7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1B529FC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749A734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2732988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70EB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restart"/>
                  <w:vAlign w:val="center"/>
                </w:tcPr>
                <w:p w14:paraId="6E6290AE">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YS5133222610001</w:t>
                  </w:r>
                </w:p>
              </w:tc>
              <w:tc>
                <w:tcPr>
                  <w:tcW w:w="430" w:type="pct"/>
                  <w:vMerge w:val="restart"/>
                  <w:vAlign w:val="center"/>
                </w:tcPr>
                <w:p w14:paraId="510331FD">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大渡河江河湖库岸线重点管控区</w:t>
                  </w:r>
                </w:p>
              </w:tc>
              <w:tc>
                <w:tcPr>
                  <w:tcW w:w="642" w:type="pct"/>
                  <w:vAlign w:val="center"/>
                </w:tcPr>
                <w:p w14:paraId="6B59750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349CEE16">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637DF207">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严格控制新增开发利用项目的数量和类型，应按照国土、城市、水利、交通等相关规划，合理控制整体开发规模和强度，新建和改扩建项目必须严格论证，不得加大对防洪安全、河势稳定、供水安全、航道稳定的累计不利影响。2.严格控制项目类型和开发利用方式，不得加剧险情或影响今后险工险段治理，不得违反生态敏感区特定保护目标。除建设生态公园、河滩风光带等社会公益性项目外，一般不得建设其他项目设施。</w:t>
                  </w:r>
                </w:p>
              </w:tc>
              <w:tc>
                <w:tcPr>
                  <w:tcW w:w="1256" w:type="pct"/>
                  <w:vAlign w:val="center"/>
                </w:tcPr>
                <w:p w14:paraId="79ECC304">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1、本项目不属于钢铁、有色金属、造纸、印染、原料药制造、化工等企业。</w:t>
                  </w:r>
                </w:p>
                <w:p w14:paraId="44141F9E">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2、本项目不属于《四川省国家重点生态功能区产业准入负面清单（第一批）（试行）》中</w:t>
                  </w:r>
                  <w:r>
                    <w:rPr>
                      <w:rFonts w:hint="default" w:ascii="Times New Roman" w:hAnsi="Times New Roman" w:eastAsia="宋体" w:cs="Times New Roman"/>
                      <w:color w:val="000000" w:themeColor="text1"/>
                      <w:sz w:val="21"/>
                      <w:szCs w:val="21"/>
                      <w:lang w:eastAsia="zh-CN"/>
                      <w14:textFill>
                        <w14:solidFill>
                          <w14:schemeClr w14:val="tx1"/>
                        </w14:solidFill>
                      </w14:textFill>
                    </w:rPr>
                    <w:t>泸定县</w:t>
                  </w:r>
                  <w:r>
                    <w:rPr>
                      <w:rFonts w:hint="default" w:ascii="Times New Roman" w:hAnsi="Times New Roman" w:eastAsia="宋体" w:cs="Times New Roman"/>
                      <w:color w:val="000000" w:themeColor="text1"/>
                      <w:sz w:val="21"/>
                      <w:szCs w:val="21"/>
                      <w14:textFill>
                        <w14:solidFill>
                          <w14:schemeClr w14:val="tx1"/>
                        </w14:solidFill>
                      </w14:textFill>
                    </w:rPr>
                    <w:t>禁止类。</w:t>
                  </w:r>
                </w:p>
                <w:p w14:paraId="3D171071">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3、见一般管控单元普适性管控要求分析一览表。</w:t>
                  </w:r>
                </w:p>
              </w:tc>
              <w:tc>
                <w:tcPr>
                  <w:tcW w:w="208" w:type="pct"/>
                  <w:vAlign w:val="center"/>
                </w:tcPr>
                <w:p w14:paraId="37E6BEB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0318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012021D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AA6C8D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6366C55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4407206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3512750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027A491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C53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34B1FE5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34904D2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708F749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2AC50E1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0191AFB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799783D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6C1B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3B50EC1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497C13D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47F29C9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1A23C43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0326AB2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73353F7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2F94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restart"/>
                  <w:vAlign w:val="center"/>
                </w:tcPr>
                <w:p w14:paraId="51AF575F">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YS5133222530001</w:t>
                  </w:r>
                </w:p>
              </w:tc>
              <w:tc>
                <w:tcPr>
                  <w:tcW w:w="430" w:type="pct"/>
                  <w:vMerge w:val="restart"/>
                  <w:vAlign w:val="center"/>
                </w:tcPr>
                <w:p w14:paraId="01F90B8B">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泸定县城镇开发边界</w:t>
                  </w:r>
                </w:p>
              </w:tc>
              <w:tc>
                <w:tcPr>
                  <w:tcW w:w="642" w:type="pct"/>
                  <w:vAlign w:val="center"/>
                </w:tcPr>
                <w:p w14:paraId="2A656B2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513A1483">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60247C32">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1256" w:type="pct"/>
                  <w:vAlign w:val="center"/>
                </w:tcPr>
                <w:p w14:paraId="741E5E0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w:t>
                  </w:r>
                  <w:r>
                    <w:rPr>
                      <w:rFonts w:hint="default" w:ascii="Times New Roman" w:hAnsi="Times New Roman" w:eastAsia="宋体" w:cs="Times New Roman"/>
                      <w:b w:val="0"/>
                      <w:color w:val="000000" w:themeColor="text1"/>
                      <w:sz w:val="21"/>
                      <w:szCs w:val="21"/>
                      <w14:textFill>
                        <w14:solidFill>
                          <w14:schemeClr w14:val="tx1"/>
                        </w14:solidFill>
                      </w14:textFill>
                    </w:rPr>
                    <w:t>违法违规侵占河道、湖面、滩地。</w:t>
                  </w:r>
                </w:p>
              </w:tc>
              <w:tc>
                <w:tcPr>
                  <w:tcW w:w="208" w:type="pct"/>
                  <w:vAlign w:val="center"/>
                </w:tcPr>
                <w:p w14:paraId="3ACE8F6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46EE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531CAC5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54B0215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58602B5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66CC0CD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5FDAF74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299D355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E05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15233D4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2CDFBA0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483DB64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16C6DFB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5645413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7B45965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B26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09A5D4F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F11AE8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0E76DC5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79876318">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土地资源开发利用量不得超过土地资源利用上线控制性指标。</w:t>
                  </w:r>
                </w:p>
              </w:tc>
              <w:tc>
                <w:tcPr>
                  <w:tcW w:w="1256" w:type="pct"/>
                  <w:vAlign w:val="center"/>
                </w:tcPr>
                <w:p w14:paraId="3C46F17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本项目取得合法用地手续。</w:t>
                  </w:r>
                </w:p>
              </w:tc>
              <w:tc>
                <w:tcPr>
                  <w:tcW w:w="208" w:type="pct"/>
                  <w:vAlign w:val="center"/>
                </w:tcPr>
                <w:p w14:paraId="749AFEE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7324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restart"/>
                  <w:vAlign w:val="center"/>
                </w:tcPr>
                <w:p w14:paraId="6E4BB365">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YS5133222550001</w:t>
                  </w:r>
                </w:p>
              </w:tc>
              <w:tc>
                <w:tcPr>
                  <w:tcW w:w="430" w:type="pct"/>
                  <w:vMerge w:val="restart"/>
                  <w:vAlign w:val="center"/>
                </w:tcPr>
                <w:p w14:paraId="1836A5F1">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泸定县自然资源重点管控区</w:t>
                  </w:r>
                </w:p>
              </w:tc>
              <w:tc>
                <w:tcPr>
                  <w:tcW w:w="642" w:type="pct"/>
                  <w:vAlign w:val="center"/>
                </w:tcPr>
                <w:p w14:paraId="7F0221A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444DE23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4C1517E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6D1F55C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36A2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1BBDA4C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64D999F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4CB98F8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636B3D1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728D5D2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689AA46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94C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7CAF818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6EA997C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3C9969A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48B0DAE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5C9D7BF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3FFE40C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45B0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6C10878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3D9F02C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645B201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22362E2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土地资源开发利用量不得超过土地资源利用上线控制性指标。</w:t>
                  </w:r>
                </w:p>
              </w:tc>
              <w:tc>
                <w:tcPr>
                  <w:tcW w:w="1256" w:type="pct"/>
                  <w:vAlign w:val="center"/>
                </w:tcPr>
                <w:p w14:paraId="081B46F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本项目取得合法用地手续。</w:t>
                  </w:r>
                </w:p>
              </w:tc>
              <w:tc>
                <w:tcPr>
                  <w:tcW w:w="208" w:type="pct"/>
                  <w:vAlign w:val="center"/>
                </w:tcPr>
                <w:p w14:paraId="7604CF2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4FB2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restart"/>
                  <w:vAlign w:val="center"/>
                </w:tcPr>
                <w:p w14:paraId="5068289F">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YS5133223510001</w:t>
                  </w:r>
                </w:p>
              </w:tc>
              <w:tc>
                <w:tcPr>
                  <w:tcW w:w="430" w:type="pct"/>
                  <w:vMerge w:val="restart"/>
                  <w:vAlign w:val="center"/>
                </w:tcPr>
                <w:p w14:paraId="6484D6FA">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color w:val="000000" w:themeColor="text1"/>
                      <w:sz w:val="21"/>
                      <w:szCs w:val="21"/>
                      <w:highlight w:val="none"/>
                      <w14:textFill>
                        <w14:solidFill>
                          <w14:schemeClr w14:val="tx1"/>
                        </w14:solidFill>
                      </w14:textFill>
                    </w:rPr>
                    <w:t>泸定县自然资源一般管控区</w:t>
                  </w:r>
                </w:p>
              </w:tc>
              <w:tc>
                <w:tcPr>
                  <w:tcW w:w="642" w:type="pct"/>
                  <w:vAlign w:val="center"/>
                </w:tcPr>
                <w:p w14:paraId="7E91488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22377E24">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7CE3BA16">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合理开发高效利用水资源，建设节水型社会；优化土地利用布局与结构；优化产业空间布局，构建清洁能源体系。</w:t>
                  </w:r>
                </w:p>
              </w:tc>
              <w:tc>
                <w:tcPr>
                  <w:tcW w:w="1256" w:type="pct"/>
                  <w:vAlign w:val="center"/>
                </w:tcPr>
                <w:p w14:paraId="7A13DC1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本项目合理开发利用水资源</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3C925D7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6B70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16019C6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5625E77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4EB6EFE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65BEFA4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42DA84C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5882175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2C78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6EB5C1A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6C34E21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60E68E1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0DCF9F7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47E8254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79D1C7F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5EA7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3CF68BD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0964C4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Merge w:val="restart"/>
                  <w:vAlign w:val="center"/>
                </w:tcPr>
                <w:p w14:paraId="6ABA620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3BFBBEDF">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土地资源开发效率要求</w:t>
                  </w:r>
                </w:p>
                <w:p w14:paraId="04D38282">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土地资源开发利用量不得超过土地资源利用上线控制性指标。</w:t>
                  </w:r>
                </w:p>
              </w:tc>
              <w:tc>
                <w:tcPr>
                  <w:tcW w:w="1256" w:type="pct"/>
                  <w:vAlign w:val="center"/>
                </w:tcPr>
                <w:p w14:paraId="1C8D98B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本项目取得合法用地手续。</w:t>
                  </w:r>
                </w:p>
              </w:tc>
              <w:tc>
                <w:tcPr>
                  <w:tcW w:w="208" w:type="pct"/>
                  <w:vAlign w:val="center"/>
                </w:tcPr>
                <w:p w14:paraId="0BAD046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4CEF1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7A65547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455E96D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Merge w:val="continue"/>
                  <w:vAlign w:val="center"/>
                </w:tcPr>
                <w:p w14:paraId="0A4C754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031" w:type="pct"/>
                  <w:vAlign w:val="center"/>
                </w:tcPr>
                <w:p w14:paraId="58F625B7">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自然资源重点管控区已有开发建设活动的退出要求</w:t>
                  </w:r>
                </w:p>
                <w:p w14:paraId="401F73A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除《生态保护红线管理办法》第九条正面清单允许的认为活动外，其他已开发建设活动有序退出。</w:t>
                  </w:r>
                </w:p>
              </w:tc>
              <w:tc>
                <w:tcPr>
                  <w:tcW w:w="1256" w:type="pct"/>
                  <w:vAlign w:val="center"/>
                </w:tcPr>
                <w:p w14:paraId="76AAD74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不涉及生态保护红线</w:t>
                  </w:r>
                </w:p>
              </w:tc>
              <w:tc>
                <w:tcPr>
                  <w:tcW w:w="208" w:type="pct"/>
                  <w:vAlign w:val="center"/>
                </w:tcPr>
                <w:p w14:paraId="3C84F27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7BA1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430" w:type="pct"/>
                  <w:vMerge w:val="restart"/>
                  <w:vAlign w:val="center"/>
                </w:tcPr>
                <w:p w14:paraId="0AA238F2">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YS5133221130005</w:t>
                  </w:r>
                </w:p>
              </w:tc>
              <w:tc>
                <w:tcPr>
                  <w:tcW w:w="430" w:type="pct"/>
                  <w:vMerge w:val="restart"/>
                  <w:vAlign w:val="center"/>
                </w:tcPr>
                <w:p w14:paraId="7F1BFDD1">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生态优先保护区（一般生态空间）5</w:t>
                  </w:r>
                </w:p>
              </w:tc>
              <w:tc>
                <w:tcPr>
                  <w:tcW w:w="642" w:type="pct"/>
                  <w:vMerge w:val="restart"/>
                  <w:vAlign w:val="center"/>
                </w:tcPr>
                <w:p w14:paraId="7F61B98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3EE460BD">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1CC681A9">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水源涵养重要区、生物多样性维护重要区、水土保持功能重要区参照《全国生态功能区划》执行。</w:t>
                  </w:r>
                </w:p>
              </w:tc>
              <w:tc>
                <w:tcPr>
                  <w:tcW w:w="1256" w:type="pct"/>
                  <w:vAlign w:val="center"/>
                </w:tcPr>
                <w:p w14:paraId="2226E974">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水源涵养重要区、生物多样性维护重要区、水土保持功能重要区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208" w:type="pct"/>
                  <w:vAlign w:val="center"/>
                </w:tcPr>
                <w:p w14:paraId="4EB6EDA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191E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22F17CEA">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430" w:type="pct"/>
                  <w:vMerge w:val="continue"/>
                  <w:vAlign w:val="center"/>
                </w:tcPr>
                <w:p w14:paraId="3ECEF0FF">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642" w:type="pct"/>
                  <w:vMerge w:val="continue"/>
                  <w:vAlign w:val="center"/>
                </w:tcPr>
                <w:p w14:paraId="2117107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031" w:type="pct"/>
                  <w:vAlign w:val="center"/>
                </w:tcPr>
                <w:p w14:paraId="541AA47A">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限制开发建设活动的要求</w:t>
                  </w:r>
                </w:p>
                <w:p w14:paraId="58D1B1A4">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水源涵养重要区、生物多样性维护重要区、水土保持功能重要区参照《全国生态功能区划》执行。</w:t>
                  </w:r>
                </w:p>
              </w:tc>
              <w:tc>
                <w:tcPr>
                  <w:tcW w:w="3460" w:type="dxa"/>
                  <w:vAlign w:val="center"/>
                </w:tcPr>
                <w:p w14:paraId="231AAC4C">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水源涵养重要区、生物多样性维护重要区、水土保持功能重要区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575" w:type="dxa"/>
                  <w:vAlign w:val="center"/>
                </w:tcPr>
                <w:p w14:paraId="6D168E2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479E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5640ED15">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430" w:type="pct"/>
                  <w:vMerge w:val="continue"/>
                  <w:vAlign w:val="center"/>
                </w:tcPr>
                <w:p w14:paraId="508A2A82">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642" w:type="pct"/>
                  <w:vMerge w:val="continue"/>
                  <w:vAlign w:val="center"/>
                </w:tcPr>
                <w:p w14:paraId="43E7F2A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031" w:type="pct"/>
                  <w:vAlign w:val="center"/>
                </w:tcPr>
                <w:p w14:paraId="70EAE400">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允许开发建设活动的要求</w:t>
                  </w:r>
                </w:p>
                <w:p w14:paraId="0969AACC">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水源涵养重要区、生物多样性维护重要区、水土保持功能重要区参照《全国生态功能区划》执行。</w:t>
                  </w:r>
                </w:p>
              </w:tc>
              <w:tc>
                <w:tcPr>
                  <w:tcW w:w="3460" w:type="dxa"/>
                  <w:vAlign w:val="center"/>
                </w:tcPr>
                <w:p w14:paraId="2FA1C6E5">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水源涵养重要区、生物多样性维护重要区、水土保持功能重要区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575" w:type="dxa"/>
                  <w:vAlign w:val="center"/>
                </w:tcPr>
                <w:p w14:paraId="4C551E1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6B83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2" w:hRule="atLeast"/>
                <w:jc w:val="center"/>
              </w:trPr>
              <w:tc>
                <w:tcPr>
                  <w:tcW w:w="430" w:type="pct"/>
                  <w:vMerge w:val="continue"/>
                  <w:vAlign w:val="center"/>
                </w:tcPr>
                <w:p w14:paraId="694CB21B">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430" w:type="pct"/>
                  <w:vMerge w:val="continue"/>
                  <w:vAlign w:val="center"/>
                </w:tcPr>
                <w:p w14:paraId="79F8BD59">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642" w:type="pct"/>
                  <w:vMerge w:val="continue"/>
                  <w:vAlign w:val="center"/>
                </w:tcPr>
                <w:p w14:paraId="52D9011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031" w:type="pct"/>
                  <w:vAlign w:val="center"/>
                </w:tcPr>
                <w:p w14:paraId="0C371AFB">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不符合空间布局要求活动的退出要求</w:t>
                  </w:r>
                </w:p>
                <w:p w14:paraId="4F87DD87">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水源涵养重要区、生物多样性维护重要区、水土保持功能重要区参照《全国生态功能区划》执行。</w:t>
                  </w:r>
                </w:p>
              </w:tc>
              <w:tc>
                <w:tcPr>
                  <w:tcW w:w="3460" w:type="dxa"/>
                  <w:vAlign w:val="center"/>
                </w:tcPr>
                <w:p w14:paraId="7C602C60">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水源涵养重要区、生物多样性维护重要区、水土保持功能重要区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575" w:type="dxa"/>
                  <w:vAlign w:val="center"/>
                </w:tcPr>
                <w:p w14:paraId="127F2CC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394B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27EE349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2E460A7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74D2B6A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1DC88EC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66A0105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40D3E62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2A71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75559CB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2B2F8BD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455291A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2A769A6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06C234B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4ED4965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216F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3C06346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47F8EBD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4F89D60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6936DB8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0E9774F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525E034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201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restart"/>
                  <w:vAlign w:val="center"/>
                </w:tcPr>
                <w:p w14:paraId="61FBADD3">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YS5133223110001</w:t>
                  </w:r>
                </w:p>
              </w:tc>
              <w:tc>
                <w:tcPr>
                  <w:tcW w:w="430" w:type="pct"/>
                  <w:vMerge w:val="restart"/>
                  <w:vAlign w:val="center"/>
                </w:tcPr>
                <w:p w14:paraId="56700CE8">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泸定县其他区域</w:t>
                  </w:r>
                </w:p>
              </w:tc>
              <w:tc>
                <w:tcPr>
                  <w:tcW w:w="642" w:type="pct"/>
                  <w:vAlign w:val="center"/>
                </w:tcPr>
                <w:p w14:paraId="25723A7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4B02B966">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w:t>
                  </w:r>
                </w:p>
              </w:tc>
              <w:tc>
                <w:tcPr>
                  <w:tcW w:w="1256" w:type="pct"/>
                  <w:vAlign w:val="center"/>
                </w:tcPr>
                <w:p w14:paraId="5D6FF74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208" w:type="pct"/>
                  <w:vAlign w:val="center"/>
                </w:tcPr>
                <w:p w14:paraId="5F103AE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1DE0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6BBB563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FC45DE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014A791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6E33811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4EA2409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4CE2F4B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F25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3BAC344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6BDE09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20ADE87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1B2E780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70C7123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53DB31F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255F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7992B87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57D9E54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00F42F0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1E1687F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2DB62E6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7D25BD8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58AC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restart"/>
                  <w:vAlign w:val="center"/>
                </w:tcPr>
                <w:p w14:paraId="35F37231">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YS5133221210002</w:t>
                  </w:r>
                </w:p>
              </w:tc>
              <w:tc>
                <w:tcPr>
                  <w:tcW w:w="430" w:type="pct"/>
                  <w:vMerge w:val="restart"/>
                  <w:vAlign w:val="center"/>
                </w:tcPr>
                <w:p w14:paraId="6C8695B0">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大渡河-泸定县-大岗山-控制单元</w:t>
                  </w:r>
                </w:p>
              </w:tc>
              <w:tc>
                <w:tcPr>
                  <w:tcW w:w="642" w:type="pct"/>
                  <w:vMerge w:val="restart"/>
                  <w:vAlign w:val="center"/>
                </w:tcPr>
                <w:p w14:paraId="49F5DD6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16BD8DB3">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禁止开发建设活动的要求</w:t>
                  </w:r>
                </w:p>
                <w:p w14:paraId="79B86D35">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《中华人民共和国水污染防治法》、《四川省饮用水水源保护管理条例》等法规政策中明令禁止的开发建设活动一律禁止。</w:t>
                  </w:r>
                </w:p>
              </w:tc>
              <w:tc>
                <w:tcPr>
                  <w:tcW w:w="1256" w:type="pct"/>
                  <w:vAlign w:val="center"/>
                </w:tcPr>
                <w:p w14:paraId="473EB52B">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1、本项目不属于钢铁、有色金属、造纸、印染、原料药制造、化工等企业。</w:t>
                  </w:r>
                </w:p>
                <w:p w14:paraId="12441415">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2、本项目不属于《四川省国家重点生态功能区产业准入负面清单（第一批）（试行）》中</w:t>
                  </w:r>
                  <w:r>
                    <w:rPr>
                      <w:rFonts w:hint="default" w:ascii="Times New Roman" w:hAnsi="Times New Roman" w:eastAsia="宋体" w:cs="Times New Roman"/>
                      <w:color w:val="000000" w:themeColor="text1"/>
                      <w:sz w:val="21"/>
                      <w:szCs w:val="21"/>
                      <w:lang w:eastAsia="zh-CN"/>
                      <w14:textFill>
                        <w14:solidFill>
                          <w14:schemeClr w14:val="tx1"/>
                        </w14:solidFill>
                      </w14:textFill>
                    </w:rPr>
                    <w:t>泸定县</w:t>
                  </w:r>
                  <w:r>
                    <w:rPr>
                      <w:rFonts w:hint="default" w:ascii="Times New Roman" w:hAnsi="Times New Roman" w:eastAsia="宋体" w:cs="Times New Roman"/>
                      <w:color w:val="000000" w:themeColor="text1"/>
                      <w:sz w:val="21"/>
                      <w:szCs w:val="21"/>
                      <w14:textFill>
                        <w14:solidFill>
                          <w14:schemeClr w14:val="tx1"/>
                        </w14:solidFill>
                      </w14:textFill>
                    </w:rPr>
                    <w:t>禁止类。</w:t>
                  </w:r>
                </w:p>
                <w:p w14:paraId="0C750191">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3、见一般管控单元普适性管控要求分析一览表。</w:t>
                  </w:r>
                </w:p>
              </w:tc>
              <w:tc>
                <w:tcPr>
                  <w:tcW w:w="208" w:type="pct"/>
                  <w:vAlign w:val="center"/>
                </w:tcPr>
                <w:p w14:paraId="23A9CB5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6CFF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33BF5318">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430" w:type="pct"/>
                  <w:vMerge w:val="continue"/>
                  <w:vAlign w:val="center"/>
                </w:tcPr>
                <w:p w14:paraId="66465612">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642" w:type="pct"/>
                  <w:vMerge w:val="continue"/>
                  <w:vAlign w:val="center"/>
                </w:tcPr>
                <w:p w14:paraId="3F583C1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031" w:type="pct"/>
                  <w:vAlign w:val="center"/>
                </w:tcPr>
                <w:p w14:paraId="6D571EE8">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限制开发建设活动的要求</w:t>
                  </w:r>
                </w:p>
                <w:p w14:paraId="20929CEE">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《中华人民共和国水污染防治法》、《四川省饮用水水源保护管理条例》等法规政策限制的开发建设活动限制布局；法律无明确规定的，以饮用水水源保护为核心，慎重布局，减少人为干扰。</w:t>
                  </w:r>
                </w:p>
              </w:tc>
              <w:tc>
                <w:tcPr>
                  <w:tcW w:w="1256" w:type="pct"/>
                  <w:vAlign w:val="center"/>
                </w:tcPr>
                <w:p w14:paraId="46856E4B">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本项目不涉及饮用水水源保护区。</w:t>
                  </w:r>
                </w:p>
              </w:tc>
              <w:tc>
                <w:tcPr>
                  <w:tcW w:w="208" w:type="pct"/>
                  <w:vAlign w:val="center"/>
                </w:tcPr>
                <w:p w14:paraId="1C6E4BC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457D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169221AC">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430" w:type="pct"/>
                  <w:vMerge w:val="continue"/>
                  <w:vAlign w:val="center"/>
                </w:tcPr>
                <w:p w14:paraId="4CD80627">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642" w:type="pct"/>
                  <w:vMerge w:val="continue"/>
                  <w:vAlign w:val="center"/>
                </w:tcPr>
                <w:p w14:paraId="55CA78C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031" w:type="pct"/>
                  <w:vAlign w:val="center"/>
                </w:tcPr>
                <w:p w14:paraId="2284000C">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允许开发建设活动的要求</w:t>
                  </w:r>
                </w:p>
                <w:p w14:paraId="0FE869E0">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以饮用水水源保护为目的，开展区域污染治理、饮用水水源保护区规范化建设的项目允许布局，但采取可靠工程措施，避免施工期对水源影响。</w:t>
                  </w:r>
                </w:p>
              </w:tc>
              <w:tc>
                <w:tcPr>
                  <w:tcW w:w="3460" w:type="dxa"/>
                  <w:vAlign w:val="center"/>
                </w:tcPr>
                <w:p w14:paraId="212E2956">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本项目不涉及饮用水水源保护区。</w:t>
                  </w:r>
                </w:p>
              </w:tc>
              <w:tc>
                <w:tcPr>
                  <w:tcW w:w="575" w:type="dxa"/>
                  <w:vAlign w:val="center"/>
                </w:tcPr>
                <w:p w14:paraId="4721A17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40F9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551F95B0">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430" w:type="pct"/>
                  <w:vMerge w:val="continue"/>
                  <w:vAlign w:val="center"/>
                </w:tcPr>
                <w:p w14:paraId="16BF9525">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p>
              </w:tc>
              <w:tc>
                <w:tcPr>
                  <w:tcW w:w="642" w:type="pct"/>
                  <w:vMerge w:val="continue"/>
                  <w:vAlign w:val="center"/>
                </w:tcPr>
                <w:p w14:paraId="668EF0B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2031" w:type="pct"/>
                  <w:vAlign w:val="center"/>
                </w:tcPr>
                <w:p w14:paraId="70F81189">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不符合空间布局要求活动的退出要求</w:t>
                  </w:r>
                </w:p>
                <w:p w14:paraId="5C870487">
                  <w:pPr>
                    <w:keepNext w:val="0"/>
                    <w:keepLines w:val="0"/>
                    <w:pageBreakBefore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按照《中华人民共和国水污染防治法》、《四川省饮用水水源保护管理条例》等法规要求，清退不符合空间布局要求活动。</w:t>
                  </w:r>
                </w:p>
              </w:tc>
              <w:tc>
                <w:tcPr>
                  <w:tcW w:w="3460" w:type="dxa"/>
                  <w:vAlign w:val="center"/>
                </w:tcPr>
                <w:p w14:paraId="734F1116">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本项目不涉及饮用水水源保护区。</w:t>
                  </w:r>
                </w:p>
              </w:tc>
              <w:tc>
                <w:tcPr>
                  <w:tcW w:w="575" w:type="dxa"/>
                  <w:vAlign w:val="center"/>
                </w:tcPr>
                <w:p w14:paraId="3C625BE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3CC2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79B17E3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3171543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3ED09F2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636BCEB8">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城镇污水污染控制措施要求</w:t>
                  </w:r>
                </w:p>
                <w:p w14:paraId="45D11185">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中华人民共和国水污染防治法》《四川省饮用水水源保护管理条例》及集中式饮用水水源规范化建设环境保护技术要求等要求，加强保护区生活源污染治理，禁止在一二级保护区设置排污口，准保护区内城镇生活污水需强化治理，稳定达标排放。</w:t>
                  </w:r>
                </w:p>
                <w:p w14:paraId="40A170A4">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工业废水污染控制措施要求</w:t>
                  </w:r>
                </w:p>
                <w:p w14:paraId="645E2A2A">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一级保护区内工业企业及二级保护区内排放污染物的工业企业需搬迁或关闭，准保护区内符合法律法规要求的工业企业需按相关规定处理工业废水，实现达标排放</w:t>
                  </w:r>
                </w:p>
                <w:p w14:paraId="06EDB79F">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农业面源水污染控制措施要求</w:t>
                  </w:r>
                </w:p>
                <w:p w14:paraId="65C05F95">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执行《中华人民共和国水污染防治法》、《四川省饮用水水源保护管理条例》及集中式饮用水水源规范化建设环境保护技术要求等要求，强化饮用水水源保护区内农业面源污染防控，一级保护区禁止使用化肥、农药，禁止设置畜禽养殖场。二级保护区禁止使用农药；禁止丢弃农药、农药包装物或者清洗施药器械；限制使用化肥；禁止从事网箱养殖、施肥养鱼和超标准养殖等污染饮用水水体的活动。
</w:t>
                  </w:r>
                </w:p>
                <w:p w14:paraId="3C08B100">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船舶港口水污染控制措施要求</w:t>
                  </w:r>
                </w:p>
                <w:p w14:paraId="7639861C">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饮用水水源保护区内凡从事危险化学品、煤炭、矿砂、水泥等装卸作业的货运码头应拆除或关闭。一级保护区内旅游、航运、海事等管理部门工作码头应拆除或关闭，二级保护区内的应将污水、垃圾统一收集至保护区外处理排放</w:t>
                  </w:r>
                </w:p>
                <w:p w14:paraId="6405A0B4">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饮用水水源和其它特殊水体保护要求</w:t>
                  </w:r>
                </w:p>
                <w:p w14:paraId="235E5FE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以饮用水水源水质保护为核心，强化其他污染源治理。</w:t>
                  </w:r>
                </w:p>
              </w:tc>
              <w:tc>
                <w:tcPr>
                  <w:tcW w:w="1256" w:type="pct"/>
                  <w:vAlign w:val="center"/>
                </w:tcPr>
                <w:p w14:paraId="29AABDC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本项目不涉及城镇污水、农业面源污水、船舶港口污水，在原有环评批复基础上不新增工业废水。</w:t>
                  </w:r>
                </w:p>
              </w:tc>
              <w:tc>
                <w:tcPr>
                  <w:tcW w:w="208" w:type="pct"/>
                  <w:vAlign w:val="center"/>
                </w:tcPr>
                <w:p w14:paraId="7D1170A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60E9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0A27EA9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370BCFE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752A175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4E3449B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对饮用水水源保护区及供水单位周边区域的环境状况和污染风险进行调查评估，筛查可能存在的污染风险因素，并采取相应的风险防范措施。 </w:t>
                  </w:r>
                </w:p>
              </w:tc>
              <w:tc>
                <w:tcPr>
                  <w:tcW w:w="3460" w:type="dxa"/>
                  <w:vAlign w:val="center"/>
                </w:tcPr>
                <w:p w14:paraId="15F0B3A5">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本项目不涉及饮用水水源保护区。</w:t>
                  </w:r>
                </w:p>
              </w:tc>
              <w:tc>
                <w:tcPr>
                  <w:tcW w:w="575" w:type="dxa"/>
                  <w:vAlign w:val="center"/>
                </w:tcPr>
                <w:p w14:paraId="371344C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5F4E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2F8825C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600EB9F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612D685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5363A7E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72BB756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50FA78D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2421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restart"/>
                  <w:vAlign w:val="center"/>
                </w:tcPr>
                <w:p w14:paraId="52A8D213">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YS5133222220001</w:t>
                  </w:r>
                </w:p>
              </w:tc>
              <w:tc>
                <w:tcPr>
                  <w:tcW w:w="430" w:type="pct"/>
                  <w:vMerge w:val="restart"/>
                  <w:vAlign w:val="center"/>
                </w:tcPr>
                <w:p w14:paraId="7E98F322">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大渡河-泸定县-大岗山-控制单元</w:t>
                  </w:r>
                </w:p>
              </w:tc>
              <w:tc>
                <w:tcPr>
                  <w:tcW w:w="642" w:type="pct"/>
                  <w:vAlign w:val="center"/>
                </w:tcPr>
                <w:p w14:paraId="50011F3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66A2074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5663B6C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747205F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33DF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2BA5E9B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26DB9A6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00691A9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7549C953">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城镇污水污染控制措施要求</w:t>
                  </w:r>
                </w:p>
                <w:p w14:paraId="30E520F9">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提升污水收集率，推进城镇污水管网全覆盖；对进水情况出现明显异常的污水处理厂，开展片区管网系统化整治，现有污水处理厂进水生化需氧量(BOD)浓度低于100毫克升的城市，制定实施系统化整治方案；开展旱天生活污水直排口溯源治理。2、加快补齐处理能力缺口，推动县级及以上污水处理设施提标改造。3、强化汛期生活污水溢流处理，推进城市建成区初期雨水收集处理及资源化利用设施建设。4、强化城镇污水处理设施运行管理，确保已建成的城镇生活污水处理设施正常运营，稳定达标排放。5、建立健全生活垃圾收集、转运、处理体系。</w:t>
                  </w:r>
                </w:p>
                <w:p w14:paraId="4E70D2AB">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工业废水污染控制措施要求</w:t>
                  </w:r>
                </w:p>
                <w:p w14:paraId="1D02D80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对不符合国土空间规划的现有工业企业，污染物排放总量及环境风险水平只降不增，引导企业适时搬迁进入对口园区。2、对工业废水进入市政污水收集设施情况进行排查，组织开展评估，经评估认定污染物不能被城镇污水处理厂有效处理或可能影响污水处理厂出水稳定达标的，应限期退出。</w:t>
                  </w:r>
                </w:p>
              </w:tc>
              <w:tc>
                <w:tcPr>
                  <w:tcW w:w="3460" w:type="dxa"/>
                  <w:vAlign w:val="center"/>
                </w:tcPr>
                <w:p w14:paraId="4F172F8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本项目不涉及城镇污水，在原有环评批复基础上不新增工业废水。</w:t>
                  </w:r>
                </w:p>
              </w:tc>
              <w:tc>
                <w:tcPr>
                  <w:tcW w:w="575" w:type="dxa"/>
                  <w:vAlign w:val="center"/>
                </w:tcPr>
                <w:p w14:paraId="63EE78B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0516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3D41BF1D">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AD083C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5BB5188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42531DE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防范污水处理厂、加油站、其他物料堆存场所泄露风险，建立健全防泄漏设施，完善应急体系</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p>
              </w:tc>
              <w:tc>
                <w:tcPr>
                  <w:tcW w:w="3460" w:type="dxa"/>
                  <w:vAlign w:val="center"/>
                </w:tcPr>
                <w:p w14:paraId="5927A2E5">
                  <w:pPr>
                    <w:pStyle w:val="32"/>
                    <w:keepNext w:val="0"/>
                    <w:keepLines w:val="0"/>
                    <w:pageBreakBefore w:val="0"/>
                    <w:kinsoku/>
                    <w:wordWrap/>
                    <w:overflowPunct/>
                    <w:topLinePunct w:val="0"/>
                    <w:autoSpaceDE/>
                    <w:autoSpaceDN/>
                    <w:bidi w:val="0"/>
                    <w:adjustRightInd w:val="0"/>
                    <w:snapToGrid w:val="0"/>
                    <w:spacing w:after="0" w:line="240" w:lineRule="auto"/>
                    <w:ind w:left="0" w:leftChars="0"/>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污水处理厂、加油站</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本项目加强施工物料堆放管理</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575" w:type="dxa"/>
                  <w:vAlign w:val="center"/>
                </w:tcPr>
                <w:p w14:paraId="296DC39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69F6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636FA7E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26C1ED0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4793491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3FD028E0">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w:t>
                  </w:r>
                </w:p>
              </w:tc>
              <w:tc>
                <w:tcPr>
                  <w:tcW w:w="1256" w:type="pct"/>
                  <w:vAlign w:val="center"/>
                </w:tcPr>
                <w:p w14:paraId="101E180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68B428A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7E68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restart"/>
                  <w:vAlign w:val="center"/>
                </w:tcPr>
                <w:p w14:paraId="06432A7C">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w:t>
                  </w:r>
                  <w:r>
                    <w:rPr>
                      <w:rFonts w:hint="eastAsia" w:ascii="Times New Roman" w:hAnsi="Times New Roman" w:cs="Times New Roman"/>
                      <w:b w:val="0"/>
                      <w:color w:val="000000" w:themeColor="text1"/>
                      <w:sz w:val="21"/>
                      <w:szCs w:val="21"/>
                      <w:lang w:eastAsia="zh-CN"/>
                      <w14:textFill>
                        <w14:solidFill>
                          <w14:schemeClr w14:val="tx1"/>
                        </w14:solidFill>
                      </w14:textFill>
                    </w:rPr>
                    <w:t>3600</w:t>
                  </w:r>
                  <w:r>
                    <w:rPr>
                      <w:rFonts w:hint="default" w:ascii="Times New Roman" w:hAnsi="Times New Roman" w:eastAsia="宋体" w:cs="Times New Roman"/>
                      <w:b w:val="0"/>
                      <w:color w:val="000000" w:themeColor="text1"/>
                      <w:sz w:val="21"/>
                      <w:szCs w:val="21"/>
                      <w14:textFill>
                        <w14:solidFill>
                          <w14:schemeClr w14:val="tx1"/>
                        </w14:solidFill>
                      </w14:textFill>
                    </w:rPr>
                    <w:t>001</w:t>
                  </w:r>
                </w:p>
              </w:tc>
              <w:tc>
                <w:tcPr>
                  <w:tcW w:w="430" w:type="pct"/>
                  <w:vMerge w:val="restart"/>
                  <w:vAlign w:val="center"/>
                </w:tcPr>
                <w:p w14:paraId="115EE9E7">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大渡河-泸定县-大岗山-控制单元</w:t>
                  </w:r>
                </w:p>
              </w:tc>
              <w:tc>
                <w:tcPr>
                  <w:tcW w:w="642" w:type="pct"/>
                  <w:vAlign w:val="center"/>
                </w:tcPr>
                <w:p w14:paraId="6DB737E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76A0A1F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不再新建、改扩建开采规模在50万吨年以下的磷矿，不再新建露天磷矿。</w:t>
                  </w:r>
                </w:p>
              </w:tc>
              <w:tc>
                <w:tcPr>
                  <w:tcW w:w="1256" w:type="pct"/>
                  <w:vAlign w:val="center"/>
                </w:tcPr>
                <w:p w14:paraId="51B2700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本项目不属于</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磷矿</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46F1427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6777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6BC7F57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54AF238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02653028">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污染物排放管控</w:t>
                  </w:r>
                </w:p>
              </w:tc>
              <w:tc>
                <w:tcPr>
                  <w:tcW w:w="2031" w:type="pct"/>
                  <w:vAlign w:val="center"/>
                </w:tcPr>
                <w:p w14:paraId="24090A34">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城镇污水污染控制措施要求</w:t>
                  </w:r>
                </w:p>
                <w:p w14:paraId="18801E0A">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1、持续推进环保基础设施补短板，完善污水收集处理系统。2、保障乡镇污水收集处理设施顺畅运行。3、推进污水直排口排查与整治，落实“一口一策”整改措施。</w:t>
                  </w:r>
                </w:p>
                <w:p w14:paraId="203407FA">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工业废水污染控制措施要求</w:t>
                  </w:r>
                </w:p>
                <w:p w14:paraId="18838DBD">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1、落实主要污染物排放总量指标控制要求，加强入河排污口登记、审批和监督管理。2、强化流域内工业点源、规模化畜禽养殖场运行监管，避免偷排、漏排。</w:t>
                  </w:r>
                </w:p>
                <w:p w14:paraId="0A5A3F73">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农业面源水污染控制措施要求</w:t>
                  </w:r>
                </w:p>
                <w:p w14:paraId="7A0D0337">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1、推进农村污染治理，稳步农村污水处理设施建设，适当预留发展空间，宜集中则集中，宜分散则分散。大力推进农村生活垃圾就地分类减量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3460" w:type="dxa"/>
                  <w:vAlign w:val="center"/>
                </w:tcPr>
                <w:p w14:paraId="5A1CA6A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本项目不涉及城镇污水、农业面源污水，在原有环评批复基础上不新增工业废水。</w:t>
                  </w:r>
                </w:p>
              </w:tc>
              <w:tc>
                <w:tcPr>
                  <w:tcW w:w="575" w:type="dxa"/>
                  <w:vAlign w:val="center"/>
                </w:tcPr>
                <w:p w14:paraId="72E2594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298E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6D79AE3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143BD62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21D8C07B">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环境风险防控</w:t>
                  </w:r>
                </w:p>
              </w:tc>
              <w:tc>
                <w:tcPr>
                  <w:tcW w:w="2031" w:type="pct"/>
                  <w:vAlign w:val="center"/>
                </w:tcPr>
                <w:p w14:paraId="0F4A7E39">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进一步完善工业企业和矿山环境风险防范和管理体系建设，开展企业风险隐患排查与风险评估，增强企业的环境风险意识，守住环境安全底线。落实“一河一策一图”风险管理和应急响应方案，提升风险应急管理水平。</w:t>
                  </w:r>
                </w:p>
              </w:tc>
              <w:tc>
                <w:tcPr>
                  <w:tcW w:w="1256" w:type="pct"/>
                  <w:vAlign w:val="center"/>
                </w:tcPr>
                <w:p w14:paraId="1D0DC4D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不涉及采矿。</w:t>
                  </w:r>
                </w:p>
              </w:tc>
              <w:tc>
                <w:tcPr>
                  <w:tcW w:w="208" w:type="pct"/>
                  <w:vAlign w:val="center"/>
                </w:tcPr>
                <w:p w14:paraId="21CAEF8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153B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78A7CE0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7C434E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5331D6B7">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资源开发利用效率要求</w:t>
                  </w:r>
                </w:p>
              </w:tc>
              <w:tc>
                <w:tcPr>
                  <w:tcW w:w="2031" w:type="pct"/>
                  <w:vAlign w:val="center"/>
                </w:tcPr>
                <w:p w14:paraId="3331B2E5">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强化种植业节水；推进农村污水分质资源化利用。</w:t>
                  </w:r>
                </w:p>
              </w:tc>
              <w:tc>
                <w:tcPr>
                  <w:tcW w:w="1256" w:type="pct"/>
                  <w:vAlign w:val="center"/>
                </w:tcPr>
                <w:p w14:paraId="5A98050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不涉及种植业。</w:t>
                  </w:r>
                </w:p>
              </w:tc>
              <w:tc>
                <w:tcPr>
                  <w:tcW w:w="208" w:type="pct"/>
                  <w:vAlign w:val="center"/>
                </w:tcPr>
                <w:p w14:paraId="48EDEA1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39CB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restart"/>
                  <w:vAlign w:val="center"/>
                </w:tcPr>
                <w:p w14:paraId="1F8BE23D">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YS5133223310001</w:t>
                  </w:r>
                </w:p>
              </w:tc>
              <w:tc>
                <w:tcPr>
                  <w:tcW w:w="430" w:type="pct"/>
                  <w:vMerge w:val="restart"/>
                  <w:vAlign w:val="center"/>
                </w:tcPr>
                <w:p w14:paraId="37A35156">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泸定县大气环境一般管控区</w:t>
                  </w:r>
                </w:p>
              </w:tc>
              <w:tc>
                <w:tcPr>
                  <w:tcW w:w="642" w:type="pct"/>
                  <w:vAlign w:val="center"/>
                </w:tcPr>
                <w:p w14:paraId="0DB61C31">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6053CAAD">
                  <w:pPr>
                    <w:pStyle w:val="147"/>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w:t>
                  </w:r>
                </w:p>
              </w:tc>
              <w:tc>
                <w:tcPr>
                  <w:tcW w:w="1256" w:type="pct"/>
                  <w:vAlign w:val="center"/>
                </w:tcPr>
                <w:p w14:paraId="19A1ED9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208" w:type="pct"/>
                  <w:vAlign w:val="center"/>
                </w:tcPr>
                <w:p w14:paraId="6F8702B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3017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2A9F047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72FDAF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2D6AE38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39A86E4C">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其他大气污染物排放管控要求</w:t>
                  </w:r>
                </w:p>
                <w:p w14:paraId="55E89F6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减少工业化、城镇化对大气环境的影响，严格执行国家、省、市下达的相关大气污染防治要求。</w:t>
                  </w:r>
                </w:p>
              </w:tc>
              <w:tc>
                <w:tcPr>
                  <w:tcW w:w="1256" w:type="pct"/>
                  <w:vAlign w:val="center"/>
                </w:tcPr>
                <w:p w14:paraId="7B31147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2B5F02F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31E8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0" w:type="pct"/>
                  <w:vMerge w:val="continue"/>
                  <w:vAlign w:val="center"/>
                </w:tcPr>
                <w:p w14:paraId="3CA8453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77942C6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1AAEECE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76740E6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3A06BB7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0957273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1364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08FF624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53339DC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2F67E45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4282BD6C">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1256" w:type="pct"/>
                  <w:vAlign w:val="center"/>
                </w:tcPr>
                <w:p w14:paraId="474543A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29C2FB1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047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restart"/>
                  <w:vAlign w:val="center"/>
                </w:tcPr>
                <w:p w14:paraId="30AD2BAB">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YS5133222340001</w:t>
                  </w:r>
                </w:p>
              </w:tc>
              <w:tc>
                <w:tcPr>
                  <w:tcW w:w="430" w:type="pct"/>
                  <w:vMerge w:val="restart"/>
                  <w:vAlign w:val="center"/>
                </w:tcPr>
                <w:p w14:paraId="4182A77B">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泸定县城镇集中建设区</w:t>
                  </w:r>
                </w:p>
              </w:tc>
              <w:tc>
                <w:tcPr>
                  <w:tcW w:w="642" w:type="pct"/>
                  <w:vAlign w:val="center"/>
                </w:tcPr>
                <w:p w14:paraId="3086F8F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空间布局约束</w:t>
                  </w:r>
                </w:p>
              </w:tc>
              <w:tc>
                <w:tcPr>
                  <w:tcW w:w="2031" w:type="pct"/>
                  <w:vAlign w:val="center"/>
                </w:tcPr>
                <w:p w14:paraId="20F27F7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73D7889A">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192D18E3">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07B0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5EAABCA6">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571C2DE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29061FC9">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污染物排放管控</w:t>
                  </w:r>
                </w:p>
              </w:tc>
              <w:tc>
                <w:tcPr>
                  <w:tcW w:w="2031" w:type="pct"/>
                  <w:vAlign w:val="center"/>
                </w:tcPr>
                <w:p w14:paraId="3A055F6A">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机动车船大气污染控制要求</w:t>
                  </w:r>
                </w:p>
                <w:p w14:paraId="1A7D039D">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加大新能源汽车在城市公交、出租汽车、城市配送、邮政快递、机场、铁路货场、重点地区港口等领域应用，地级以上城市清洁能源汽车在公共领域使用率显著提升，设区的市城市公交车基本实现新能源化。</w:t>
                  </w:r>
                </w:p>
                <w:p w14:paraId="041A6451">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扬尘污染控制要求</w:t>
                  </w:r>
                </w:p>
                <w:p w14:paraId="499DF940">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全面落实各类施工工地扬尘防控措施，重点、重大项目工地实现视频监控、可吸入颗粒物（PM</w:t>
                  </w:r>
                  <w:r>
                    <w:rPr>
                      <w:rFonts w:hint="default" w:ascii="Times New Roman" w:hAnsi="Times New Roman" w:eastAsia="宋体" w:cs="Times New Roman"/>
                      <w:b w:val="0"/>
                      <w:color w:val="000000" w:themeColor="text1"/>
                      <w:sz w:val="21"/>
                      <w:szCs w:val="21"/>
                      <w:vertAlign w:val="subscript"/>
                      <w14:textFill>
                        <w14:solidFill>
                          <w14:schemeClr w14:val="tx1"/>
                        </w14:solidFill>
                      </w14:textFill>
                    </w:rPr>
                    <w:t>10</w:t>
                  </w:r>
                  <w:r>
                    <w:rPr>
                      <w:rFonts w:hint="default" w:ascii="Times New Roman" w:hAnsi="Times New Roman" w:eastAsia="宋体" w:cs="Times New Roman"/>
                      <w:b w:val="0"/>
                      <w:color w:val="000000" w:themeColor="text1"/>
                      <w:sz w:val="21"/>
                      <w:szCs w:val="21"/>
                      <w14:textFill>
                        <w14:solidFill>
                          <w14:schemeClr w14:val="tx1"/>
                        </w14:solidFill>
                      </w14:textFill>
                    </w:rPr>
                    <w:t>）在线监测全覆盖。</w:t>
                  </w:r>
                </w:p>
                <w:p w14:paraId="1AAB8A1C">
                  <w:pPr>
                    <w:keepNext w:val="0"/>
                    <w:keepLines w:val="0"/>
                    <w:pageBreakBefore w:val="0"/>
                    <w:kinsoku/>
                    <w:wordWrap/>
                    <w:overflowPunct/>
                    <w:topLinePunct w:val="0"/>
                    <w:autoSpaceDE/>
                    <w:autoSpaceDN/>
                    <w:bidi w:val="0"/>
                    <w:adjustRightInd w:val="0"/>
                    <w:snapToGrid w:val="0"/>
                    <w:spacing w:before="0" w:after="0" w:line="240" w:lineRule="auto"/>
                    <w:jc w:val="left"/>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其他大气污染物排放管控要求</w:t>
                  </w:r>
                </w:p>
                <w:p w14:paraId="152754E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color w:val="000000" w:themeColor="text1"/>
                      <w:sz w:val="21"/>
                      <w:szCs w:val="21"/>
                      <w14:textFill>
                        <w14:solidFill>
                          <w14:schemeClr w14:val="tx1"/>
                        </w14:solidFill>
                      </w14:textFill>
                    </w:rPr>
                    <w:t>有序开展城市生活源VOCs污染防治，全面推广房屋建筑和市政工程涉VOCs工序环节使用低VOCs含量涂料和胶粘剂；推进加油站按照《四川省加油站大气污染排放标准》要求安装油气处理装置</w:t>
                  </w:r>
                </w:p>
              </w:tc>
              <w:tc>
                <w:tcPr>
                  <w:tcW w:w="1256" w:type="pct"/>
                  <w:vAlign w:val="center"/>
                </w:tcPr>
                <w:p w14:paraId="77113B82">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w:t>
                  </w:r>
                  <w:r>
                    <w:rPr>
                      <w:rFonts w:hint="default" w:ascii="Times New Roman" w:hAnsi="Times New Roman" w:eastAsia="宋体" w:cs="Times New Roman"/>
                      <w:b w:val="0"/>
                      <w:color w:val="000000" w:themeColor="text1"/>
                      <w:sz w:val="21"/>
                      <w:szCs w:val="21"/>
                      <w14:textFill>
                        <w14:solidFill>
                          <w14:schemeClr w14:val="tx1"/>
                        </w14:solidFill>
                      </w14:textFill>
                    </w:rPr>
                    <w:t>全面落实各类施工工地扬尘防控措施，重点、重大项目工地实现视频监控、可吸入颗粒物（PM</w:t>
                  </w:r>
                  <w:r>
                    <w:rPr>
                      <w:rFonts w:hint="default" w:ascii="Times New Roman" w:hAnsi="Times New Roman" w:eastAsia="宋体" w:cs="Times New Roman"/>
                      <w:b w:val="0"/>
                      <w:color w:val="000000" w:themeColor="text1"/>
                      <w:sz w:val="21"/>
                      <w:szCs w:val="21"/>
                      <w:vertAlign w:val="subscript"/>
                      <w14:textFill>
                        <w14:solidFill>
                          <w14:schemeClr w14:val="tx1"/>
                        </w14:solidFill>
                      </w14:textFill>
                    </w:rPr>
                    <w:t>10</w:t>
                  </w:r>
                  <w:r>
                    <w:rPr>
                      <w:rFonts w:hint="default" w:ascii="Times New Roman" w:hAnsi="Times New Roman" w:eastAsia="宋体" w:cs="Times New Roman"/>
                      <w:b w:val="0"/>
                      <w:color w:val="000000" w:themeColor="text1"/>
                      <w:sz w:val="21"/>
                      <w:szCs w:val="21"/>
                      <w14:textFill>
                        <w14:solidFill>
                          <w14:schemeClr w14:val="tx1"/>
                        </w14:solidFill>
                      </w14:textFill>
                    </w:rPr>
                    <w:t>）在线监测全覆盖。</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本项目不涉及</w:t>
                  </w:r>
                  <w:r>
                    <w:rPr>
                      <w:rFonts w:hint="default" w:ascii="Times New Roman" w:hAnsi="Times New Roman" w:eastAsia="宋体" w:cs="Times New Roman"/>
                      <w:b w:val="0"/>
                      <w:color w:val="000000" w:themeColor="text1"/>
                      <w:sz w:val="21"/>
                      <w:szCs w:val="21"/>
                      <w14:textFill>
                        <w14:solidFill>
                          <w14:schemeClr w14:val="tx1"/>
                        </w14:solidFill>
                      </w14:textFill>
                    </w:rPr>
                    <w:t>VOCs工序</w:t>
                  </w:r>
                  <w:r>
                    <w:rPr>
                      <w:rFonts w:hint="default" w:ascii="Times New Roman" w:hAnsi="Times New Roman" w:eastAsia="宋体" w:cs="Times New Roman"/>
                      <w:b w:val="0"/>
                      <w:color w:val="000000" w:themeColor="text1"/>
                      <w:sz w:val="21"/>
                      <w:szCs w:val="21"/>
                      <w:lang w:eastAsia="zh-CN"/>
                      <w14:textFill>
                        <w14:solidFill>
                          <w14:schemeClr w14:val="tx1"/>
                        </w14:solidFill>
                      </w14:textFill>
                    </w:rPr>
                    <w:t>。</w:t>
                  </w:r>
                </w:p>
              </w:tc>
              <w:tc>
                <w:tcPr>
                  <w:tcW w:w="208" w:type="pct"/>
                  <w:vAlign w:val="center"/>
                </w:tcPr>
                <w:p w14:paraId="7F7A6BD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符合</w:t>
                  </w:r>
                </w:p>
              </w:tc>
            </w:tr>
            <w:tr w14:paraId="0BDA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444B059C">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44BBFFA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1C9E169B">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环境风险防控</w:t>
                  </w:r>
                </w:p>
              </w:tc>
              <w:tc>
                <w:tcPr>
                  <w:tcW w:w="2031" w:type="pct"/>
                  <w:vAlign w:val="center"/>
                </w:tcPr>
                <w:p w14:paraId="02839660">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7BEFC2F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0D6BBF1F">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1B74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0" w:hRule="atLeast"/>
                <w:jc w:val="center"/>
              </w:trPr>
              <w:tc>
                <w:tcPr>
                  <w:tcW w:w="430" w:type="pct"/>
                  <w:vMerge w:val="continue"/>
                  <w:vAlign w:val="center"/>
                </w:tcPr>
                <w:p w14:paraId="0B9AC11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430" w:type="pct"/>
                  <w:vMerge w:val="continue"/>
                </w:tcPr>
                <w:p w14:paraId="3387E398">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2" w:type="pct"/>
                  <w:vAlign w:val="center"/>
                </w:tcPr>
                <w:p w14:paraId="0CE15147">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资源开发效率要求</w:t>
                  </w:r>
                </w:p>
              </w:tc>
              <w:tc>
                <w:tcPr>
                  <w:tcW w:w="2031" w:type="pct"/>
                  <w:vAlign w:val="center"/>
                </w:tcPr>
                <w:p w14:paraId="60E05765">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1256" w:type="pct"/>
                  <w:vAlign w:val="center"/>
                </w:tcPr>
                <w:p w14:paraId="38EF50F4">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208" w:type="pct"/>
                  <w:vAlign w:val="center"/>
                </w:tcPr>
                <w:p w14:paraId="1C07C35E">
                  <w:pPr>
                    <w:pStyle w:val="32"/>
                    <w:keepNext w:val="0"/>
                    <w:keepLines w:val="0"/>
                    <w:pageBreakBefore w:val="0"/>
                    <w:kinsoku/>
                    <w:wordWrap/>
                    <w:overflowPunct/>
                    <w:topLinePunct w:val="0"/>
                    <w:autoSpaceDE/>
                    <w:autoSpaceDN/>
                    <w:bidi w:val="0"/>
                    <w:adjustRightInd w:val="0"/>
                    <w:snapToGrid w:val="0"/>
                    <w:spacing w:after="0" w:line="240" w:lineRule="auto"/>
                    <w:ind w:left="0" w:left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bl>
          <w:p w14:paraId="5EC2DA1C">
            <w:pPr>
              <w:pStyle w:val="47"/>
              <w:spacing w:after="0" w:line="360" w:lineRule="auto"/>
              <w:ind w:firstLine="480" w:firstLineChars="200"/>
              <w:rPr>
                <w:rFonts w:hint="default" w:ascii="Times New Roman" w:hAnsi="Times New Roman" w:eastAsia="宋体" w:cs="Times New Roman"/>
                <w:color w:val="000000" w:themeColor="text1"/>
                <w:kern w:val="0"/>
                <w:sz w:val="24"/>
                <w:szCs w:val="32"/>
                <w14:textFill>
                  <w14:solidFill>
                    <w14:schemeClr w14:val="tx1"/>
                  </w14:solidFill>
                </w14:textFill>
              </w:rPr>
            </w:pPr>
            <w:r>
              <w:rPr>
                <w:rFonts w:hint="default" w:ascii="Times New Roman" w:hAnsi="Times New Roman" w:eastAsia="宋体" w:cs="Times New Roman"/>
                <w:color w:val="000000" w:themeColor="text1"/>
                <w:kern w:val="0"/>
                <w:sz w:val="24"/>
                <w:szCs w:val="32"/>
                <w14:textFill>
                  <w14:solidFill>
                    <w14:schemeClr w14:val="tx1"/>
                  </w14:solidFill>
                </w14:textFill>
              </w:rPr>
              <w:t>综上，本项目符合生态环境管控单元准入清单相关要求；项目建设符合环境准入条件。</w:t>
            </w:r>
          </w:p>
        </w:tc>
      </w:tr>
    </w:tbl>
    <w:p w14:paraId="5FF5CAC3">
      <w:pPr>
        <w:autoSpaceDE w:val="0"/>
        <w:autoSpaceDN w:val="0"/>
        <w:spacing w:line="360" w:lineRule="auto"/>
        <w:rPr>
          <w:rFonts w:hint="default" w:ascii="Times New Roman" w:hAnsi="Times New Roman" w:eastAsia="宋体" w:cs="Times New Roman"/>
          <w:color w:val="000000" w:themeColor="text1"/>
          <w14:textFill>
            <w14:solidFill>
              <w14:schemeClr w14:val="tx1"/>
            </w14:solidFill>
          </w14:textFill>
        </w:rPr>
        <w:sectPr>
          <w:pgSz w:w="16838" w:h="11906" w:orient="landscape"/>
          <w:pgMar w:top="1644" w:right="1418" w:bottom="1531" w:left="1418" w:header="851" w:footer="851" w:gutter="0"/>
          <w:pgBorders>
            <w:top w:val="none" w:sz="0" w:space="0"/>
            <w:left w:val="none" w:sz="0" w:space="0"/>
            <w:bottom w:val="none" w:sz="0" w:space="0"/>
            <w:right w:val="none" w:sz="0" w:space="0"/>
          </w:pgBorders>
          <w:cols w:space="720" w:num="1"/>
          <w:docGrid w:type="lines" w:linePitch="312" w:charSpace="0"/>
        </w:sectPr>
      </w:pPr>
    </w:p>
    <w:tbl>
      <w:tblPr>
        <w:tblStyle w:val="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324"/>
        <w:gridCol w:w="8397"/>
      </w:tblGrid>
      <w:tr w14:paraId="70BF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7923" w:hRule="atLeast"/>
        </w:trPr>
        <w:tc>
          <w:tcPr>
            <w:tcW w:w="186" w:type="pct"/>
            <w:vAlign w:val="center"/>
          </w:tcPr>
          <w:p w14:paraId="73707460">
            <w:pPr>
              <w:pStyle w:val="49"/>
              <w:adjustRightInd w:val="0"/>
              <w:snapToGrid w:val="0"/>
              <w:spacing w:before="0" w:beforeAutospacing="0" w:after="0" w:afterAutospacing="0" w:line="360" w:lineRule="auto"/>
              <w:jc w:val="center"/>
              <w:outlineLvl w:val="0"/>
              <w:rPr>
                <w:rFonts w:hint="default" w:ascii="Times New Roman" w:hAnsi="Times New Roman" w:eastAsia="宋体" w:cs="Times New Roman"/>
                <w:b/>
                <w:snapToGrid w:val="0"/>
                <w:color w:val="000000" w:themeColor="text1"/>
                <w:kern w:val="21"/>
                <w:sz w:val="30"/>
                <w:szCs w:val="30"/>
                <w14:textFill>
                  <w14:solidFill>
                    <w14:schemeClr w14:val="tx1"/>
                  </w14:solidFill>
                </w14:textFill>
              </w:rPr>
            </w:pPr>
            <w:r>
              <w:rPr>
                <w:rFonts w:hint="default" w:ascii="Times New Roman" w:hAnsi="Times New Roman" w:eastAsia="宋体" w:cs="Times New Roman"/>
                <w:b/>
                <w:color w:val="000000" w:themeColor="text1"/>
                <w14:textFill>
                  <w14:solidFill>
                    <w14:schemeClr w14:val="tx1"/>
                  </w14:solidFill>
                </w14:textFill>
              </w:rPr>
              <w:t>其他符合性分析</w:t>
            </w:r>
          </w:p>
        </w:tc>
        <w:tc>
          <w:tcPr>
            <w:tcW w:w="4814" w:type="pct"/>
          </w:tcPr>
          <w:p w14:paraId="3C2D8967">
            <w:pPr>
              <w:spacing w:line="360" w:lineRule="auto"/>
              <w:ind w:firstLine="482" w:firstLineChars="200"/>
              <w:rPr>
                <w:rFonts w:hint="default" w:ascii="Times New Roman" w:hAnsi="Times New Roman" w:eastAsia="宋体" w:cs="Times New Roman"/>
                <w:b/>
                <w:color w:val="000000" w:themeColor="text1"/>
                <w:sz w:val="24"/>
                <w:lang w:val="en-US" w:eastAsia="zh-CN"/>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5</w:t>
            </w:r>
            <w:r>
              <w:rPr>
                <w:rFonts w:hint="default" w:ascii="Times New Roman" w:hAnsi="Times New Roman" w:eastAsia="宋体" w:cs="Times New Roman"/>
                <w:b/>
                <w:color w:val="000000" w:themeColor="text1"/>
                <w:sz w:val="24"/>
                <w:lang w:val="en-US" w:eastAsia="zh-CN"/>
                <w14:textFill>
                  <w14:solidFill>
                    <w14:schemeClr w14:val="tx1"/>
                  </w14:solidFill>
                </w14:textFill>
              </w:rPr>
              <w:t>、与《甘孜藏族自治州“十四五”生态环境保护规划》的符合性分析</w:t>
            </w:r>
          </w:p>
          <w:p w14:paraId="39FCF814">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项目与《</w:t>
            </w:r>
            <w:r>
              <w:rPr>
                <w:rFonts w:hint="default" w:ascii="Times New Roman" w:hAnsi="Times New Roman" w:eastAsia="宋体" w:cs="Times New Roman"/>
                <w:color w:val="000000" w:themeColor="text1"/>
                <w:sz w:val="24"/>
                <w:lang w:eastAsia="zh-CN"/>
                <w14:textFill>
                  <w14:solidFill>
                    <w14:schemeClr w14:val="tx1"/>
                  </w14:solidFill>
                </w14:textFill>
              </w:rPr>
              <w:t>甘孜藏族自治州</w:t>
            </w:r>
            <w:r>
              <w:rPr>
                <w:rFonts w:hint="default" w:ascii="Times New Roman" w:hAnsi="Times New Roman" w:eastAsia="宋体" w:cs="Times New Roman"/>
                <w:color w:val="000000" w:themeColor="text1"/>
                <w:sz w:val="24"/>
                <w14:textFill>
                  <w14:solidFill>
                    <w14:schemeClr w14:val="tx1"/>
                  </w14:solidFill>
                </w14:textFill>
              </w:rPr>
              <w:t>“十四五”生态环境保护规划》符合性分析如下：</w:t>
            </w:r>
          </w:p>
          <w:p w14:paraId="38C5F1EE">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与相关污染防治行动方案符合性分析一览表</w:t>
            </w:r>
          </w:p>
          <w:tbl>
            <w:tblPr>
              <w:tblStyle w:val="5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27"/>
              <w:gridCol w:w="4271"/>
              <w:gridCol w:w="2366"/>
              <w:gridCol w:w="653"/>
            </w:tblGrid>
            <w:tr w14:paraId="216A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64" w:type="pct"/>
                  <w:vAlign w:val="center"/>
                </w:tcPr>
                <w:p w14:paraId="1CDF090F">
                  <w:pPr>
                    <w:pStyle w:val="47"/>
                    <w:spacing w:after="0" w:line="240" w:lineRule="auto"/>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方案名称</w:t>
                  </w:r>
                </w:p>
              </w:tc>
              <w:tc>
                <w:tcPr>
                  <w:tcW w:w="2598" w:type="pct"/>
                  <w:vAlign w:val="center"/>
                </w:tcPr>
                <w:p w14:paraId="336B56DF">
                  <w:pPr>
                    <w:pStyle w:val="47"/>
                    <w:spacing w:after="0" w:line="240" w:lineRule="auto"/>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相关内容</w:t>
                  </w:r>
                </w:p>
              </w:tc>
              <w:tc>
                <w:tcPr>
                  <w:tcW w:w="1439" w:type="pct"/>
                  <w:vAlign w:val="center"/>
                </w:tcPr>
                <w:p w14:paraId="37F07B5C">
                  <w:pPr>
                    <w:pStyle w:val="47"/>
                    <w:spacing w:after="0" w:line="240" w:lineRule="auto"/>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本项目建设情况</w:t>
                  </w:r>
                </w:p>
              </w:tc>
              <w:tc>
                <w:tcPr>
                  <w:tcW w:w="397" w:type="pct"/>
                  <w:vAlign w:val="center"/>
                </w:tcPr>
                <w:p w14:paraId="1FB943CD">
                  <w:pPr>
                    <w:pStyle w:val="47"/>
                    <w:spacing w:after="0" w:line="240" w:lineRule="auto"/>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符合性</w:t>
                  </w:r>
                </w:p>
              </w:tc>
            </w:tr>
            <w:tr w14:paraId="2DEC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05" w:hRule="atLeast"/>
              </w:trPr>
              <w:tc>
                <w:tcPr>
                  <w:tcW w:w="564" w:type="pct"/>
                  <w:vAlign w:val="center"/>
                </w:tcPr>
                <w:p w14:paraId="2F28F7E6">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bookmarkStart w:id="3" w:name="_Toc32631"/>
                  <w:r>
                    <w:rPr>
                      <w:rFonts w:hint="default" w:ascii="Times New Roman" w:hAnsi="Times New Roman" w:eastAsia="宋体" w:cs="Times New Roman"/>
                      <w:color w:val="000000" w:themeColor="text1"/>
                      <w:kern w:val="0"/>
                      <w:sz w:val="21"/>
                      <w:szCs w:val="21"/>
                      <w14:textFill>
                        <w14:solidFill>
                          <w14:schemeClr w14:val="tx1"/>
                        </w14:solidFill>
                      </w14:textFill>
                    </w:rPr>
                    <w:t>巩固维护优良空气质量</w:t>
                  </w:r>
                  <w:bookmarkEnd w:id="3"/>
                </w:p>
                <w:p w14:paraId="1BF8C595">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2598" w:type="pct"/>
                  <w:vAlign w:val="center"/>
                </w:tcPr>
                <w:p w14:paraId="31C0B7C7">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综合整治城市扬尘。加强施工扬尘监管，建设工程施工现场必须全封闭设置围挡墙，积极推进文明施工和绿色施工，渣土运输车辆应采取密闭措施，加强施工现场视频监控、PM</w:t>
                  </w:r>
                  <w:r>
                    <w:rPr>
                      <w:rFonts w:hint="default" w:ascii="Times New Roman" w:hAnsi="Times New Roman" w:eastAsia="宋体" w:cs="Times New Roman"/>
                      <w:color w:val="000000" w:themeColor="text1"/>
                      <w:kern w:val="0"/>
                      <w:sz w:val="21"/>
                      <w:szCs w:val="21"/>
                      <w:vertAlign w:val="subscript"/>
                      <w14:textFill>
                        <w14:solidFill>
                          <w14:schemeClr w14:val="tx1"/>
                        </w14:solidFill>
                      </w14:textFill>
                    </w:rPr>
                    <w:t>10</w:t>
                  </w:r>
                  <w:r>
                    <w:rPr>
                      <w:rFonts w:hint="default" w:ascii="Times New Roman" w:hAnsi="Times New Roman" w:eastAsia="宋体" w:cs="Times New Roman"/>
                      <w:color w:val="000000" w:themeColor="text1"/>
                      <w:kern w:val="0"/>
                      <w:sz w:val="21"/>
                      <w:szCs w:val="21"/>
                      <w14:textFill>
                        <w14:solidFill>
                          <w14:schemeClr w14:val="tx1"/>
                        </w14:solidFill>
                      </w14:textFill>
                    </w:rPr>
                    <w:t>在线监测。强化料场、建筑垃圾堆场、弃土场扬尘管控，增设洒水降尘装置及覆盖措施，有效控制扬尘污染。积极推行城市道路机械化清扫，优化机械化清扫设备，提高道路机械化清扫率，到2025年，各县城道路机械化清扫率达到70%。加强城镇及周边绿化建设，推进裸露道路硬化、绿化，扩大建成区绿地规模。</w:t>
                  </w:r>
                </w:p>
              </w:tc>
              <w:tc>
                <w:tcPr>
                  <w:tcW w:w="1439" w:type="pct"/>
                  <w:vAlign w:val="center"/>
                </w:tcPr>
                <w:p w14:paraId="49570E2E">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项目施工期采用运输道路尽硬化、运输车辆不得超载超速，车辆进出清洗</w:t>
                  </w:r>
                  <w:r>
                    <w:rPr>
                      <w:rFonts w:hint="eastAsia" w:cs="Times New Roman"/>
                      <w:color w:val="000000" w:themeColor="text1"/>
                      <w:kern w:val="0"/>
                      <w:sz w:val="21"/>
                      <w:szCs w:val="21"/>
                      <w:lang w:val="en-US" w:eastAsia="zh-CN"/>
                      <w14:textFill>
                        <w14:solidFill>
                          <w14:schemeClr w14:val="tx1"/>
                        </w14:solidFill>
                      </w14:textFill>
                    </w:rPr>
                    <w:t>轮胎</w:t>
                  </w:r>
                  <w:r>
                    <w:rPr>
                      <w:rFonts w:hint="default" w:ascii="Times New Roman" w:hAnsi="Times New Roman" w:eastAsia="宋体" w:cs="Times New Roman"/>
                      <w:color w:val="000000" w:themeColor="text1"/>
                      <w:kern w:val="0"/>
                      <w:sz w:val="21"/>
                      <w:szCs w:val="21"/>
                      <w14:textFill>
                        <w14:solidFill>
                          <w14:schemeClr w14:val="tx1"/>
                        </w14:solidFill>
                      </w14:textFill>
                    </w:rPr>
                    <w:t>，及时采取洒水等一系列措施等降尘措施，可以大大减少施工扬尘对环境空气的影响。</w:t>
                  </w:r>
                </w:p>
              </w:tc>
              <w:tc>
                <w:tcPr>
                  <w:tcW w:w="397" w:type="pct"/>
                  <w:vAlign w:val="center"/>
                </w:tcPr>
                <w:p w14:paraId="2BC7E017">
                  <w:pPr>
                    <w:pStyle w:val="47"/>
                    <w:spacing w:after="0"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符合</w:t>
                  </w:r>
                </w:p>
              </w:tc>
            </w:tr>
            <w:tr w14:paraId="22C5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05" w:hRule="atLeast"/>
              </w:trPr>
              <w:tc>
                <w:tcPr>
                  <w:tcW w:w="564" w:type="pct"/>
                  <w:vAlign w:val="center"/>
                </w:tcPr>
                <w:p w14:paraId="0CD18964">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bookmarkStart w:id="4" w:name="_Toc96601774"/>
                  <w:r>
                    <w:rPr>
                      <w:rFonts w:hint="default" w:ascii="Times New Roman" w:hAnsi="Times New Roman" w:eastAsia="宋体" w:cs="Times New Roman"/>
                      <w:color w:val="000000" w:themeColor="text1"/>
                      <w:kern w:val="0"/>
                      <w:sz w:val="21"/>
                      <w:szCs w:val="21"/>
                      <w14:textFill>
                        <w14:solidFill>
                          <w14:schemeClr w14:val="tx1"/>
                        </w14:solidFill>
                      </w14:textFill>
                    </w:rPr>
                    <w:t>加强水生态环境保护</w:t>
                  </w:r>
                  <w:bookmarkEnd w:id="4"/>
                </w:p>
                <w:p w14:paraId="6A353BBE">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2598" w:type="pct"/>
                  <w:vAlign w:val="center"/>
                </w:tcPr>
                <w:p w14:paraId="1741C995">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持续推进饮用水源环境综合整治。制定饮用水水源保护区环境保护和污染防治规划，持续推进集中式饮用水源地规范化建设，推进乡城、雅城应急备用水源建设，完善新龙等5县县级饮用水水源地视频监控、在线监测设施。完成乡镇级集中式饮用水水源保护区划定，推进乡镇及以下集中式饮用水水源地规范化整治，完善名录和档案管理，完成水源地保护标志全覆盖。完善水质安全保障、隔离防护等设施建设，强化饮用水水源环境监管，规范开展监测监控，重点提高乡镇及“千吨万人”集中式饮用水水源地风险防范能力。定期开展水源地环境状况调查评估，完善饮用水水源信息公开制度。</w:t>
                  </w:r>
                </w:p>
              </w:tc>
              <w:tc>
                <w:tcPr>
                  <w:tcW w:w="1439" w:type="pct"/>
                  <w:vAlign w:val="center"/>
                </w:tcPr>
                <w:p w14:paraId="51DF1FA3">
                  <w:pPr>
                    <w:pStyle w:val="47"/>
                    <w:spacing w:after="0" w:line="240" w:lineRule="auto"/>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根据环境现状监测，项目取水水源水质均达到或Ⅲ类。本项目</w:t>
                  </w: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实施后，将划定</w:t>
                  </w:r>
                  <w:r>
                    <w:rPr>
                      <w:rFonts w:hint="default" w:ascii="Times New Roman" w:hAnsi="Times New Roman" w:eastAsia="宋体" w:cs="Times New Roman"/>
                      <w:color w:val="000000" w:themeColor="text1"/>
                      <w:kern w:val="0"/>
                      <w:sz w:val="21"/>
                      <w:szCs w:val="21"/>
                      <w14:textFill>
                        <w14:solidFill>
                          <w14:schemeClr w14:val="tx1"/>
                        </w14:solidFill>
                      </w14:textFill>
                    </w:rPr>
                    <w:t>集中式饮用水水源保护区</w:t>
                  </w:r>
                  <w:r>
                    <w:rPr>
                      <w:rFonts w:hint="default" w:ascii="Times New Roman" w:hAnsi="Times New Roman" w:eastAsia="宋体" w:cs="Times New Roman"/>
                      <w:color w:val="000000" w:themeColor="text1"/>
                      <w:kern w:val="0"/>
                      <w:sz w:val="21"/>
                      <w:szCs w:val="21"/>
                      <w:lang w:eastAsia="zh-CN"/>
                      <w14:textFill>
                        <w14:solidFill>
                          <w14:schemeClr w14:val="tx1"/>
                        </w14:solidFill>
                      </w14:textFill>
                    </w:rPr>
                    <w:t>，</w:t>
                  </w:r>
                  <w:r>
                    <w:rPr>
                      <w:rFonts w:hint="default" w:ascii="Times New Roman" w:hAnsi="Times New Roman" w:eastAsia="宋体" w:cs="Times New Roman"/>
                      <w:color w:val="000000" w:themeColor="text1"/>
                      <w:kern w:val="0"/>
                      <w:sz w:val="21"/>
                      <w:szCs w:val="21"/>
                      <w14:textFill>
                        <w14:solidFill>
                          <w14:schemeClr w14:val="tx1"/>
                        </w14:solidFill>
                      </w14:textFill>
                    </w:rPr>
                    <w:t>完善水质安全保障、隔离防护等设施建设，强化饮用水水源环境监管，规范开展监测监控。定期开展水源地环境状况调查评估，完善饮用水水源信息公开制度。</w:t>
                  </w:r>
                </w:p>
              </w:tc>
              <w:tc>
                <w:tcPr>
                  <w:tcW w:w="397" w:type="pct"/>
                  <w:vAlign w:val="center"/>
                </w:tcPr>
                <w:p w14:paraId="5E1CE4DD">
                  <w:pPr>
                    <w:pStyle w:val="47"/>
                    <w:spacing w:after="0"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符合</w:t>
                  </w:r>
                </w:p>
              </w:tc>
            </w:tr>
          </w:tbl>
          <w:p w14:paraId="6AA06A54">
            <w:pPr>
              <w:spacing w:line="360" w:lineRule="auto"/>
              <w:ind w:firstLine="482" w:firstLineChars="200"/>
              <w:rPr>
                <w:rFonts w:hint="default"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6</w:t>
            </w:r>
            <w:r>
              <w:rPr>
                <w:rFonts w:hint="default" w:ascii="Times New Roman" w:hAnsi="Times New Roman" w:eastAsia="宋体" w:cs="Times New Roman"/>
                <w:b/>
                <w:color w:val="000000" w:themeColor="text1"/>
                <w:sz w:val="24"/>
                <w14:textFill>
                  <w14:solidFill>
                    <w14:schemeClr w14:val="tx1"/>
                  </w14:solidFill>
                </w14:textFill>
              </w:rPr>
              <w:t>、项目与大气污染防治相关规划符合性分析</w:t>
            </w:r>
          </w:p>
          <w:p w14:paraId="6979D6B8">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项目与大气污染防治相关符合性分析详见下表1-</w:t>
            </w:r>
            <w:r>
              <w:rPr>
                <w:rFonts w:hint="default" w:ascii="Times New Roman" w:hAnsi="Times New Roman" w:eastAsia="宋体" w:cs="Times New Roman"/>
                <w:bCs/>
                <w:color w:val="000000" w:themeColor="text1"/>
                <w:sz w:val="24"/>
                <w:lang w:val="en-US" w:eastAsia="zh-CN"/>
                <w14:textFill>
                  <w14:solidFill>
                    <w14:schemeClr w14:val="tx1"/>
                  </w14:solidFill>
                </w14:textFill>
              </w:rPr>
              <w:t>10</w:t>
            </w:r>
            <w:r>
              <w:rPr>
                <w:rFonts w:hint="default" w:ascii="Times New Roman" w:hAnsi="Times New Roman" w:eastAsia="宋体" w:cs="Times New Roman"/>
                <w:bCs/>
                <w:color w:val="000000" w:themeColor="text1"/>
                <w:sz w:val="24"/>
                <w14:textFill>
                  <w14:solidFill>
                    <w14:schemeClr w14:val="tx1"/>
                  </w14:solidFill>
                </w14:textFill>
              </w:rPr>
              <w:t>所示。</w:t>
            </w:r>
          </w:p>
          <w:p w14:paraId="3672FC31">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项目与大气污染物防治相关规划的符合性分析</w:t>
            </w:r>
          </w:p>
          <w:tbl>
            <w:tblPr>
              <w:tblStyle w:val="5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9"/>
              <w:gridCol w:w="3680"/>
              <w:gridCol w:w="2633"/>
              <w:gridCol w:w="812"/>
            </w:tblGrid>
            <w:tr w14:paraId="16350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663" w:type="pct"/>
                  <w:noWrap w:val="0"/>
                  <w:vAlign w:val="center"/>
                </w:tcPr>
                <w:p w14:paraId="5539267B">
                  <w:pPr>
                    <w:pStyle w:val="117"/>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政策文件</w:t>
                  </w:r>
                </w:p>
              </w:tc>
              <w:tc>
                <w:tcPr>
                  <w:tcW w:w="2239" w:type="pct"/>
                  <w:noWrap w:val="0"/>
                  <w:vAlign w:val="center"/>
                </w:tcPr>
                <w:p w14:paraId="6817478F">
                  <w:pPr>
                    <w:pStyle w:val="117"/>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规划要求</w:t>
                  </w:r>
                </w:p>
              </w:tc>
              <w:tc>
                <w:tcPr>
                  <w:tcW w:w="1602" w:type="pct"/>
                  <w:noWrap w:val="0"/>
                  <w:vAlign w:val="center"/>
                </w:tcPr>
                <w:p w14:paraId="1EC1CFC7">
                  <w:pPr>
                    <w:pStyle w:val="117"/>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本项目情况</w:t>
                  </w:r>
                </w:p>
              </w:tc>
              <w:tc>
                <w:tcPr>
                  <w:tcW w:w="494" w:type="pct"/>
                  <w:noWrap w:val="0"/>
                  <w:vAlign w:val="center"/>
                </w:tcPr>
                <w:p w14:paraId="49ACCC41">
                  <w:pPr>
                    <w:pStyle w:val="117"/>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符合性</w:t>
                  </w:r>
                </w:p>
              </w:tc>
            </w:tr>
            <w:tr w14:paraId="61CB2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663" w:type="pct"/>
                  <w:vMerge w:val="restart"/>
                  <w:noWrap w:val="0"/>
                  <w:vAlign w:val="center"/>
                </w:tcPr>
                <w:p w14:paraId="73250F4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w:t>
                  </w:r>
                  <w:r>
                    <w:rPr>
                      <w:rFonts w:hint="eastAsia"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t>中华人民共和国生态环境法典</w:t>
                  </w: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w:t>
                  </w:r>
                </w:p>
              </w:tc>
              <w:tc>
                <w:tcPr>
                  <w:tcW w:w="2239" w:type="pct"/>
                  <w:noWrap w:val="0"/>
                  <w:vAlign w:val="center"/>
                </w:tcPr>
                <w:p w14:paraId="5B5F432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第二百四十条</w:t>
                  </w:r>
                  <w:r>
                    <w:rPr>
                      <w:rFonts w:hint="eastAsia"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建设单位应当将扬尘污染防治费用列入工程造价，在施工合同中明确施工单位的扬尘污染防治责任。施工单位应当制定具体的施工扬尘污染防治实施方案。</w:t>
                  </w:r>
                </w:p>
                <w:p w14:paraId="66DDC8D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　　从事房屋建筑、市政基础设施建设、河道整治以及建筑物拆除等施工单位，应当报负有扬尘污染防治监督管理职责的部门备案。</w:t>
                  </w:r>
                </w:p>
                <w:p w14:paraId="469F120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　　施工单位应当在施工工地设置硬质围挡，并采取覆盖、分段作业、择时施工、洒水抑尘、冲洗地面和车辆等有效防尘降尘措施。工程渣土等建筑垃圾、建筑土方应当及时清运；在场地内堆存的，应当采用密闭式防尘网遮盖。工程渣土等建筑垃圾应当进行资源化处理。</w:t>
                  </w:r>
                </w:p>
                <w:p w14:paraId="584C6DF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　　施工单位应当在施工工地公示扬尘污染防治措施、负责人、监督管理部门等信息。</w:t>
                  </w:r>
                </w:p>
                <w:p w14:paraId="3EADF3A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pacing w:val="-14"/>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　　暂时不能开工的建设用地，建设单位应当对裸露地面进行覆盖；超过三个月的，应当进行绿化、铺装或者遮盖。</w:t>
                  </w:r>
                </w:p>
              </w:tc>
              <w:tc>
                <w:tcPr>
                  <w:tcW w:w="1602" w:type="pct"/>
                  <w:noWrap w:val="0"/>
                  <w:vAlign w:val="center"/>
                </w:tcPr>
                <w:p w14:paraId="152EDB72">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施工期工地将设置硬质围挡，并采取覆盖、分段作业、择时施工、洒水抑尘、冲洗地面和车辆等有效防尘降尘措施。本项目施工期将及时清运建筑土方、工程渣土、建筑垃圾等；进行临时堆存时将采取密闭式防尘网遮盖</w:t>
                  </w:r>
                  <w:r>
                    <w:rPr>
                      <w:rFonts w:hint="eastAsia"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t>。</w:t>
                  </w:r>
                </w:p>
              </w:tc>
              <w:tc>
                <w:tcPr>
                  <w:tcW w:w="494" w:type="pct"/>
                  <w:noWrap w:val="0"/>
                  <w:vAlign w:val="center"/>
                </w:tcPr>
                <w:p w14:paraId="230207C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3E5AB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663" w:type="pct"/>
                  <w:vMerge w:val="continue"/>
                  <w:noWrap w:val="0"/>
                  <w:vAlign w:val="center"/>
                </w:tcPr>
                <w:p w14:paraId="09423E2C">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Cs/>
                      <w:color w:val="000000" w:themeColor="text1"/>
                      <w:szCs w:val="21"/>
                      <w14:textFill>
                        <w14:solidFill>
                          <w14:schemeClr w14:val="tx1"/>
                        </w14:solidFill>
                      </w14:textFill>
                    </w:rPr>
                  </w:pPr>
                </w:p>
              </w:tc>
              <w:tc>
                <w:tcPr>
                  <w:tcW w:w="2239" w:type="pct"/>
                  <w:noWrap w:val="0"/>
                  <w:vAlign w:val="center"/>
                </w:tcPr>
                <w:p w14:paraId="0130B48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第二百四十一条　运输煤炭、垃圾、渣土、砂石、土方、灰浆等散装、流体物料的车辆和船舶应当采取密闭或者其他有效措施防止物料遗撒造成扬尘污染，并按照规定路线行驶。</w:t>
                  </w:r>
                </w:p>
                <w:p w14:paraId="56BCB5F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pacing w:val="-14"/>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　　装卸物料应当采取密闭或者喷淋等方式防治扬尘污染。</w:t>
                  </w:r>
                </w:p>
              </w:tc>
              <w:tc>
                <w:tcPr>
                  <w:tcW w:w="1602" w:type="pct"/>
                  <w:noWrap w:val="0"/>
                  <w:vAlign w:val="center"/>
                </w:tcPr>
                <w:p w14:paraId="1B72AEF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本项目运输渣土、砂石、土方等车辆将采取密闭或者其他措施；装卸物料时采取喷淋方式防治扬尘污染</w:t>
                  </w:r>
                  <w:r>
                    <w:rPr>
                      <w:rFonts w:hint="eastAsia"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t>。</w:t>
                  </w:r>
                </w:p>
              </w:tc>
              <w:tc>
                <w:tcPr>
                  <w:tcW w:w="494" w:type="pct"/>
                  <w:noWrap w:val="0"/>
                  <w:vAlign w:val="center"/>
                </w:tcPr>
                <w:p w14:paraId="69D106B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43030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663" w:type="pct"/>
                  <w:noWrap w:val="0"/>
                  <w:vAlign w:val="center"/>
                </w:tcPr>
                <w:p w14:paraId="77CDF437">
                  <w:pPr>
                    <w:widowControl/>
                    <w:autoSpaceDE w:val="0"/>
                    <w:autoSpaceDN w:val="0"/>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甘孜州污染防治攻坚战领导小组办公室关于印发&lt;甘孜州2023-2025年大气污染防治整治行动综合实施方案&gt;的通知）</w:t>
                  </w:r>
                </w:p>
              </w:tc>
              <w:tc>
                <w:tcPr>
                  <w:tcW w:w="2239" w:type="pct"/>
                  <w:noWrap w:val="0"/>
                  <w:vAlign w:val="center"/>
                </w:tcPr>
                <w:p w14:paraId="65AF5B74">
                  <w:pPr>
                    <w:widowControl/>
                    <w:autoSpaceDE w:val="0"/>
                    <w:autoSpaceDN w:val="0"/>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应设置不低于物料堆放高度的围档或罩棚，并采用塑料布、防尘网等材料对物料进行覆盖，防止扬尘的产生及扩散；在物料堆放、搅拌、粉碎、筛分等作业时，加强湿化措施；场所主要运输通道实施硬化并定期冲洗或湿式清扫，堆场进出口设置车辆冲洗设施，运输车辆实施密闭或全覆盖，及时收集清理堆场外道路上撒落的物料。相关部门应结合本行业实际制定完善防控措施、标准，督促各物料堆场抓好落实，实现清单化管理。</w:t>
                  </w:r>
                </w:p>
              </w:tc>
              <w:tc>
                <w:tcPr>
                  <w:tcW w:w="1602" w:type="pct"/>
                  <w:noWrap w:val="0"/>
                  <w:vAlign w:val="center"/>
                </w:tcPr>
                <w:p w14:paraId="4E05B628">
                  <w:pPr>
                    <w:widowControl/>
                    <w:autoSpaceDE w:val="0"/>
                    <w:autoSpaceDN w:val="0"/>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项目运输车辆实施密闭或全覆盖，项目设车辆冲洗设施，车辆经冲洗后方能出场</w:t>
                  </w:r>
                  <w:r>
                    <w:rPr>
                      <w:rFonts w:hint="default" w:ascii="Times New Roman" w:hAnsi="Times New Roman" w:eastAsia="宋体" w:cs="Times New Roman"/>
                      <w:color w:val="000000" w:themeColor="text1"/>
                      <w:szCs w:val="21"/>
                      <w:lang w:eastAsia="zh-CN"/>
                      <w14:textFill>
                        <w14:solidFill>
                          <w14:schemeClr w14:val="tx1"/>
                        </w14:solidFill>
                      </w14:textFill>
                    </w:rPr>
                    <w:t>，</w:t>
                  </w:r>
                  <w:r>
                    <w:rPr>
                      <w:rFonts w:hint="default" w:ascii="Times New Roman" w:hAnsi="Times New Roman" w:eastAsia="宋体" w:cs="Times New Roman"/>
                      <w:color w:val="000000" w:themeColor="text1"/>
                      <w:szCs w:val="21"/>
                      <w:lang w:val="en-US" w:eastAsia="zh-CN"/>
                      <w14:textFill>
                        <w14:solidFill>
                          <w14:schemeClr w14:val="tx1"/>
                        </w14:solidFill>
                      </w14:textFill>
                    </w:rPr>
                    <w:t>施工场地</w:t>
                  </w:r>
                  <w:r>
                    <w:rPr>
                      <w:rFonts w:hint="default" w:ascii="Times New Roman" w:hAnsi="Times New Roman" w:eastAsia="宋体" w:cs="Times New Roman"/>
                      <w:color w:val="000000" w:themeColor="text1"/>
                      <w:szCs w:val="21"/>
                      <w14:textFill>
                        <w14:solidFill>
                          <w14:schemeClr w14:val="tx1"/>
                        </w14:solidFill>
                      </w14:textFill>
                    </w:rPr>
                    <w:t>设置移动式雾炮机进行洒水降尘，采取以上措施后可有效降低扬尘对周边环境的影响。</w:t>
                  </w:r>
                </w:p>
              </w:tc>
              <w:tc>
                <w:tcPr>
                  <w:tcW w:w="494" w:type="pct"/>
                  <w:noWrap w:val="0"/>
                  <w:vAlign w:val="center"/>
                </w:tcPr>
                <w:p w14:paraId="00DCFDF3">
                  <w:pPr>
                    <w:widowControl/>
                    <w:autoSpaceDE w:val="0"/>
                    <w:autoSpaceDN w:val="0"/>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r w14:paraId="3A6DF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663" w:type="pct"/>
                  <w:noWrap w:val="0"/>
                  <w:vAlign w:val="center"/>
                </w:tcPr>
                <w:p w14:paraId="74AFD86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《四川省空气质量持续改善行动计划实施方案》（川府发</w:t>
                  </w:r>
                  <w:r>
                    <w:rPr>
                      <w:rFonts w:hint="eastAsia"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2024</w:t>
                  </w:r>
                  <w:r>
                    <w:rPr>
                      <w:rFonts w:hint="eastAsia"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15号）</w:t>
                  </w:r>
                </w:p>
              </w:tc>
              <w:tc>
                <w:tcPr>
                  <w:tcW w:w="2239" w:type="pct"/>
                  <w:noWrap w:val="0"/>
                  <w:vAlign w:val="center"/>
                </w:tcPr>
                <w:p w14:paraId="23F1147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深化扬尘污染综合治理。城市建成区范围内建设用地面积5000平方米及以上且施工周期6个月及以上的建筑工地安装视频监控并接入监管平台。重点区域道路、水务等长距离线性工程实行分段施工。将扬尘污染防治费用纳入工程造价。重点城市建立扬尘“以克论净”监测监管考核体系。到2025年，装配式建筑占新建建筑面积比例达40%；地级及以上城市建成区道路机械化清扫率达80%左右，县城达70%左右。各地对城市公共裸地进行排查建档并采取防尘措施。城市大型煤炭、矿石等干散货码头物料堆场基本完成抑尘设施建设和物料输送系统封闭改造</w:t>
                  </w:r>
                </w:p>
              </w:tc>
              <w:tc>
                <w:tcPr>
                  <w:tcW w:w="1602" w:type="pct"/>
                  <w:noWrap w:val="0"/>
                  <w:vAlign w:val="center"/>
                </w:tcPr>
                <w:p w14:paraId="0E192E5C">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本项目施工期间采取洒水降尘、堆场遮盖等一系列防尘措施，确保施工场地扬尘达标排放</w:t>
                  </w:r>
                </w:p>
              </w:tc>
              <w:tc>
                <w:tcPr>
                  <w:tcW w:w="494" w:type="pct"/>
                  <w:noWrap w:val="0"/>
                  <w:vAlign w:val="center"/>
                </w:tcPr>
                <w:p w14:paraId="246FD9F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4E271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663" w:type="pct"/>
                  <w:noWrap w:val="0"/>
                  <w:vAlign w:val="center"/>
                </w:tcPr>
                <w:p w14:paraId="570B3A4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《四川省“十四五”生态环境保护规划》</w:t>
                  </w:r>
                </w:p>
              </w:tc>
              <w:tc>
                <w:tcPr>
                  <w:tcW w:w="2239" w:type="pct"/>
                  <w:noWrap w:val="0"/>
                  <w:vAlign w:val="center"/>
                </w:tcPr>
                <w:p w14:paraId="48B4A142">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加强扬尘污染治理。完善文明施工和绿色施工管理工作制度，积极探索将建设工程施工工地扬尘排污纳入环境税范围。全面落实建筑施工“六个百分百”，重要工地实现视频监控、PM</w:t>
                  </w:r>
                  <w:r>
                    <w:rPr>
                      <w:rFonts w:hint="default" w:ascii="Times New Roman" w:hAnsi="Times New Roman" w:eastAsia="宋体" w:cs="Times New Roman"/>
                      <w:b w:val="0"/>
                      <w:bCs w:val="0"/>
                      <w:color w:val="000000" w:themeColor="text1"/>
                      <w:kern w:val="0"/>
                      <w:sz w:val="21"/>
                      <w:szCs w:val="21"/>
                      <w:vertAlign w:val="subscript"/>
                      <w:lang w:val="en-US" w:eastAsia="zh-CN" w:bidi="ar-SA"/>
                      <w14:textFill>
                        <w14:solidFill>
                          <w14:schemeClr w14:val="tx1"/>
                        </w14:solidFill>
                      </w14:textFill>
                    </w:rPr>
                    <w:t>10</w:t>
                  </w: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在线监测全覆盖。加强铁路、公路、港口等货物运输管理，采取有效的封闭措施减少扬尘污染，无法封闭的应建设防风抑尘设施。逐步提高道路机械化清扫率，鼓励在有条件的地方开展“5G+AI”人工智能清扫作业试点示范。到2025年，地级及以上城市建成区道路机械化清扫率达到80%，县城达到70%，成都平原地区地级及以上城市达到85%</w:t>
                  </w:r>
                </w:p>
              </w:tc>
              <w:tc>
                <w:tcPr>
                  <w:tcW w:w="1602" w:type="pct"/>
                  <w:noWrap w:val="0"/>
                  <w:vAlign w:val="center"/>
                </w:tcPr>
                <w:p w14:paraId="2CBAF62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本项目将完善文明施工和绿色施工管理工作制度，施工期间将全面落实建筑施工“六个百分百”等要求</w:t>
                  </w:r>
                </w:p>
              </w:tc>
              <w:tc>
                <w:tcPr>
                  <w:tcW w:w="494" w:type="pct"/>
                  <w:noWrap w:val="0"/>
                  <w:vAlign w:val="center"/>
                </w:tcPr>
                <w:p w14:paraId="306677A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bl>
          <w:p w14:paraId="37A5CA68">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综上，本项目</w:t>
            </w:r>
            <w:r>
              <w:rPr>
                <w:rFonts w:hint="default" w:ascii="Times New Roman" w:hAnsi="Times New Roman" w:eastAsia="宋体" w:cs="Times New Roman"/>
                <w:bCs/>
                <w:color w:val="000000" w:themeColor="text1"/>
                <w:sz w:val="24"/>
                <w:lang w:val="en-US" w:eastAsia="zh-CN"/>
                <w14:textFill>
                  <w14:solidFill>
                    <w14:schemeClr w14:val="tx1"/>
                  </w14:solidFill>
                </w14:textFill>
              </w:rPr>
              <w:t>与</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大气污染防治等</w:t>
            </w:r>
            <w:r>
              <w:rPr>
                <w:rFonts w:hint="default" w:ascii="Times New Roman" w:hAnsi="Times New Roman" w:eastAsia="宋体" w:cs="Times New Roman"/>
                <w:bCs/>
                <w:color w:val="000000" w:themeColor="text1"/>
                <w:sz w:val="24"/>
                <w14:textFill>
                  <w14:solidFill>
                    <w14:schemeClr w14:val="tx1"/>
                  </w14:solidFill>
                </w14:textFill>
              </w:rPr>
              <w:t>要求相符。</w:t>
            </w:r>
          </w:p>
          <w:p w14:paraId="22BAFB51">
            <w:pPr>
              <w:spacing w:line="360" w:lineRule="auto"/>
              <w:ind w:firstLine="482" w:firstLineChars="200"/>
              <w:rPr>
                <w:rFonts w:hint="default" w:ascii="Times New Roman" w:hAnsi="Times New Roman" w:eastAsia="宋体"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7</w:t>
            </w:r>
            <w:r>
              <w:rPr>
                <w:rFonts w:hint="default" w:ascii="Times New Roman" w:hAnsi="Times New Roman" w:eastAsia="宋体" w:cs="Times New Roman"/>
                <w:b/>
                <w:color w:val="000000" w:themeColor="text1"/>
                <w:sz w:val="24"/>
                <w14:textFill>
                  <w14:solidFill>
                    <w14:schemeClr w14:val="tx1"/>
                  </w14:solidFill>
                </w14:textFill>
              </w:rPr>
              <w:t>、项目与水污染防治相关规划符合性分析</w:t>
            </w:r>
          </w:p>
          <w:p w14:paraId="62BF0E40">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根据《国务院关于印发水污染防治行动计划的通知》（国发〔2015〕17号）、《四川省人民政府&lt;关于印发水污染防治行动计划四川省工作方案的通知&gt;》（川府发</w:t>
            </w:r>
            <w:r>
              <w:rPr>
                <w:rFonts w:hint="default" w:ascii="Times New Roman" w:hAnsi="Times New Roman" w:eastAsia="宋体" w:cs="Times New Roman"/>
                <w:color w:val="000000" w:themeColor="text1"/>
                <w:kern w:val="0"/>
                <w:sz w:val="24"/>
                <w14:textFill>
                  <w14:solidFill>
                    <w14:schemeClr w14:val="tx1"/>
                  </w14:solidFill>
                </w14:textFill>
              </w:rPr>
              <w:t>〔2015〕</w:t>
            </w:r>
            <w:r>
              <w:rPr>
                <w:rFonts w:hint="default" w:ascii="Times New Roman" w:hAnsi="Times New Roman" w:eastAsia="宋体" w:cs="Times New Roman"/>
                <w:bCs/>
                <w:color w:val="000000" w:themeColor="text1"/>
                <w:sz w:val="24"/>
                <w14:textFill>
                  <w14:solidFill>
                    <w14:schemeClr w14:val="tx1"/>
                  </w14:solidFill>
                </w14:textFill>
              </w:rPr>
              <w:t>59号）、《四川省人民政府关于印发四川省打赢蓝天保卫战等九个实施方案的通知》（川府发</w:t>
            </w:r>
            <w:r>
              <w:rPr>
                <w:rFonts w:hint="default" w:ascii="Times New Roman" w:hAnsi="Times New Roman" w:eastAsia="宋体" w:cs="Times New Roman"/>
                <w:color w:val="000000" w:themeColor="text1"/>
                <w:kern w:val="0"/>
                <w:sz w:val="24"/>
                <w14:textFill>
                  <w14:solidFill>
                    <w14:schemeClr w14:val="tx1"/>
                  </w14:solidFill>
                </w14:textFill>
              </w:rPr>
              <w:t>〔2019〕</w:t>
            </w:r>
            <w:r>
              <w:rPr>
                <w:rFonts w:hint="default" w:ascii="Times New Roman" w:hAnsi="Times New Roman" w:eastAsia="宋体" w:cs="Times New Roman"/>
                <w:bCs/>
                <w:color w:val="000000" w:themeColor="text1"/>
                <w:sz w:val="24"/>
                <w14:textFill>
                  <w14:solidFill>
                    <w14:schemeClr w14:val="tx1"/>
                  </w14:solidFill>
                </w14:textFill>
              </w:rPr>
              <w:t>4号）等相关规范文件，本项目符合相关水污染防治规范要求，具体分析详见下表1-</w:t>
            </w:r>
            <w:r>
              <w:rPr>
                <w:rFonts w:hint="default" w:ascii="Times New Roman" w:hAnsi="Times New Roman" w:eastAsia="宋体" w:cs="Times New Roman"/>
                <w:bCs/>
                <w:color w:val="000000" w:themeColor="text1"/>
                <w:sz w:val="24"/>
                <w:lang w:val="en-US" w:eastAsia="zh-CN"/>
                <w14:textFill>
                  <w14:solidFill>
                    <w14:schemeClr w14:val="tx1"/>
                  </w14:solidFill>
                </w14:textFill>
              </w:rPr>
              <w:t>11</w:t>
            </w:r>
            <w:r>
              <w:rPr>
                <w:rFonts w:hint="default" w:ascii="Times New Roman" w:hAnsi="Times New Roman" w:eastAsia="宋体" w:cs="Times New Roman"/>
                <w:bCs/>
                <w:color w:val="000000" w:themeColor="text1"/>
                <w:sz w:val="24"/>
                <w14:textFill>
                  <w14:solidFill>
                    <w14:schemeClr w14:val="tx1"/>
                  </w14:solidFill>
                </w14:textFill>
              </w:rPr>
              <w:t>所示。</w:t>
            </w:r>
          </w:p>
          <w:p w14:paraId="416D82A0">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项目与水污染物防治相关规划的符合性分析</w:t>
            </w:r>
          </w:p>
          <w:tbl>
            <w:tblPr>
              <w:tblStyle w:val="5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9"/>
              <w:gridCol w:w="3086"/>
              <w:gridCol w:w="2620"/>
              <w:gridCol w:w="789"/>
            </w:tblGrid>
            <w:tr w14:paraId="27AF4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5" w:hRule="atLeast"/>
              </w:trPr>
              <w:tc>
                <w:tcPr>
                  <w:tcW w:w="1046" w:type="pct"/>
                  <w:noWrap w:val="0"/>
                  <w:vAlign w:val="center"/>
                </w:tcPr>
                <w:p w14:paraId="6FC7F32B">
                  <w:pPr>
                    <w:pStyle w:val="117"/>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政策文件</w:t>
                  </w:r>
                </w:p>
              </w:tc>
              <w:tc>
                <w:tcPr>
                  <w:tcW w:w="1878" w:type="pct"/>
                  <w:noWrap w:val="0"/>
                  <w:vAlign w:val="center"/>
                </w:tcPr>
                <w:p w14:paraId="0B848FCE">
                  <w:pPr>
                    <w:pStyle w:val="117"/>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规划要求</w:t>
                  </w:r>
                </w:p>
              </w:tc>
              <w:tc>
                <w:tcPr>
                  <w:tcW w:w="1594" w:type="pct"/>
                  <w:noWrap w:val="0"/>
                  <w:vAlign w:val="center"/>
                </w:tcPr>
                <w:p w14:paraId="57408317">
                  <w:pPr>
                    <w:pStyle w:val="117"/>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本项目情况</w:t>
                  </w:r>
                </w:p>
              </w:tc>
              <w:tc>
                <w:tcPr>
                  <w:tcW w:w="480" w:type="pct"/>
                  <w:noWrap w:val="0"/>
                  <w:vAlign w:val="center"/>
                </w:tcPr>
                <w:p w14:paraId="0950BD81">
                  <w:pPr>
                    <w:pStyle w:val="117"/>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符合性</w:t>
                  </w:r>
                </w:p>
              </w:tc>
            </w:tr>
            <w:tr w14:paraId="7C835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6" w:type="pct"/>
                  <w:noWrap w:val="0"/>
                  <w:vAlign w:val="center"/>
                </w:tcPr>
                <w:p w14:paraId="20BED875">
                  <w:pPr>
                    <w:pStyle w:val="117"/>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lang w:eastAsia="zh-CN"/>
                      <w14:textFill>
                        <w14:solidFill>
                          <w14:schemeClr w14:val="tx1"/>
                        </w14:solidFill>
                      </w14:textFill>
                    </w:rPr>
                    <w:t>《国务院关于印发水污染防治行动计划的通知》（国发〔2015〕17号）</w:t>
                  </w:r>
                </w:p>
              </w:tc>
              <w:tc>
                <w:tcPr>
                  <w:tcW w:w="1878" w:type="pct"/>
                  <w:noWrap w:val="0"/>
                  <w:vAlign w:val="center"/>
                </w:tcPr>
                <w:p w14:paraId="7D5BE736">
                  <w:pPr>
                    <w:pStyle w:val="117"/>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取缔“十小”企业。全面排查装备水平低、环保设施差的小型工业企业。2016年底前，按照水污染防治法律法规要求，全部取缔不符合国家产业政策的小型造纸、制革、印染、染料、炼焦、炼硫、炼砷、炼油、电镀、农药等严重污染水环境的生产项目。</w:t>
                  </w:r>
                </w:p>
              </w:tc>
              <w:tc>
                <w:tcPr>
                  <w:tcW w:w="1594" w:type="pct"/>
                  <w:noWrap w:val="0"/>
                  <w:vAlign w:val="center"/>
                </w:tcPr>
                <w:p w14:paraId="35FC0CA1">
                  <w:pPr>
                    <w:pStyle w:val="117"/>
                    <w:jc w:val="both"/>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项目不属于“十小”企业，不属于取缔项目。</w:t>
                  </w:r>
                </w:p>
              </w:tc>
              <w:tc>
                <w:tcPr>
                  <w:tcW w:w="480" w:type="pct"/>
                  <w:noWrap w:val="0"/>
                  <w:vAlign w:val="center"/>
                </w:tcPr>
                <w:p w14:paraId="4A06E6F0">
                  <w:pPr>
                    <w:pStyle w:val="117"/>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符合</w:t>
                  </w:r>
                </w:p>
              </w:tc>
            </w:tr>
            <w:tr w14:paraId="5D32B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6" w:type="pct"/>
                  <w:noWrap w:val="0"/>
                  <w:vAlign w:val="center"/>
                </w:tcPr>
                <w:p w14:paraId="608BE962">
                  <w:pPr>
                    <w:pStyle w:val="117"/>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《四川省人民政府&lt;关于印发水污染防治行动计划四川省工作方案的通知&gt;》（川府发〔2015〕59号）</w:t>
                  </w:r>
                </w:p>
              </w:tc>
              <w:tc>
                <w:tcPr>
                  <w:tcW w:w="1878" w:type="pct"/>
                  <w:noWrap w:val="0"/>
                  <w:vAlign w:val="center"/>
                </w:tcPr>
                <w:p w14:paraId="6C129830">
                  <w:pPr>
                    <w:pStyle w:val="117"/>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（一）狠抓工业污染防治：1、取缔“10+1”小企业；2、专项整治“10+1”重点行业；3、集中治理工业集聚区水污染；……（七）推进循环发展：22、加强工业水循环利用。</w:t>
                  </w:r>
                </w:p>
              </w:tc>
              <w:tc>
                <w:tcPr>
                  <w:tcW w:w="1594" w:type="pct"/>
                  <w:noWrap w:val="0"/>
                  <w:vAlign w:val="center"/>
                </w:tcPr>
                <w:p w14:paraId="21EC78E0">
                  <w:pPr>
                    <w:pStyle w:val="117"/>
                    <w:jc w:val="both"/>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项目生活污水经化粪池收集处理</w:t>
                  </w:r>
                  <w:r>
                    <w:rPr>
                      <w:rFonts w:hint="eastAsia" w:ascii="Times New Roman" w:hAnsi="Times New Roman" w:cs="Times New Roman"/>
                      <w:color w:val="000000" w:themeColor="text1"/>
                      <w:sz w:val="21"/>
                      <w:szCs w:val="21"/>
                      <w:lang w:val="en-US" w:eastAsia="zh-CN"/>
                      <w14:textFill>
                        <w14:solidFill>
                          <w14:schemeClr w14:val="tx1"/>
                        </w14:solidFill>
                      </w14:textFill>
                    </w:rPr>
                    <w:t>后用作周边农肥不外排</w:t>
                  </w:r>
                  <w:r>
                    <w:rPr>
                      <w:rFonts w:hint="default" w:ascii="Times New Roman" w:hAnsi="Times New Roman" w:eastAsia="宋体" w:cs="Times New Roman"/>
                      <w:color w:val="000000" w:themeColor="text1"/>
                      <w:sz w:val="21"/>
                      <w:szCs w:val="21"/>
                      <w:lang w:eastAsia="zh-CN"/>
                      <w14:textFill>
                        <w14:solidFill>
                          <w14:schemeClr w14:val="tx1"/>
                        </w14:solidFill>
                      </w14:textFill>
                    </w:rPr>
                    <w:t>。项目车辆冲洗废水、地面冲洗废水经沉淀池沉淀处理后作为洒水降尘回用，不外排。</w:t>
                  </w:r>
                </w:p>
              </w:tc>
              <w:tc>
                <w:tcPr>
                  <w:tcW w:w="480" w:type="pct"/>
                  <w:noWrap w:val="0"/>
                  <w:vAlign w:val="center"/>
                </w:tcPr>
                <w:p w14:paraId="52834651">
                  <w:pPr>
                    <w:pStyle w:val="117"/>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符合</w:t>
                  </w:r>
                </w:p>
              </w:tc>
            </w:tr>
            <w:tr w14:paraId="375DD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46" w:type="pct"/>
                  <w:noWrap w:val="0"/>
                  <w:vAlign w:val="center"/>
                </w:tcPr>
                <w:p w14:paraId="2C68CFC4">
                  <w:pPr>
                    <w:widowControl/>
                    <w:autoSpaceDE w:val="0"/>
                    <w:autoSpaceDN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《四川省人民政府关于印发四川省打赢蓝天保卫战等九个实施方案的通知》（川府发〔2019〕4号）</w:t>
                  </w:r>
                </w:p>
              </w:tc>
              <w:tc>
                <w:tcPr>
                  <w:tcW w:w="1878" w:type="pct"/>
                  <w:noWrap w:val="0"/>
                  <w:vAlign w:val="center"/>
                </w:tcPr>
                <w:p w14:paraId="6468DD07">
                  <w:pPr>
                    <w:widowControl/>
                    <w:autoSpaceDE w:val="0"/>
                    <w:autoSpaceDN w:val="0"/>
                    <w:jc w:val="center"/>
                    <w:rPr>
                      <w:rFonts w:hint="default" w:ascii="Times New Roman" w:hAnsi="Times New Roman" w:eastAsia="宋体" w:cs="Times New Roman"/>
                      <w:color w:val="000000" w:themeColor="text1"/>
                      <w:spacing w:val="-14"/>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减少工业废水排放量。减少重点行业工业企业废水排放量…，加强水资源节约。在岷江、沱江、嘉陵江等流域，实行重点扶持，落实国家节水行动，推动节水型社会建设。……抓好工业节水，提高水重复利用率……</w:t>
                  </w:r>
                </w:p>
              </w:tc>
              <w:tc>
                <w:tcPr>
                  <w:tcW w:w="1594" w:type="pct"/>
                  <w:noWrap w:val="0"/>
                  <w:vAlign w:val="center"/>
                </w:tcPr>
                <w:p w14:paraId="17EB0A28">
                  <w:pPr>
                    <w:widowControl/>
                    <w:autoSpaceDE w:val="0"/>
                    <w:autoSpaceDN w:val="0"/>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项目车辆冲洗废水、地面冲洗废水经沉淀池沉淀处理后作为洒水降尘回用，不外排。</w:t>
                  </w:r>
                </w:p>
              </w:tc>
              <w:tc>
                <w:tcPr>
                  <w:tcW w:w="480" w:type="pct"/>
                  <w:noWrap w:val="0"/>
                  <w:vAlign w:val="center"/>
                </w:tcPr>
                <w:p w14:paraId="0D6C05D7">
                  <w:pPr>
                    <w:widowControl/>
                    <w:autoSpaceDE w:val="0"/>
                    <w:autoSpaceDN w:val="0"/>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符合</w:t>
                  </w:r>
                </w:p>
              </w:tc>
            </w:tr>
          </w:tbl>
          <w:p w14:paraId="7A312FB3">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综上，项目符合国家和四川省水污染防治相关规划要求。</w:t>
            </w:r>
          </w:p>
          <w:p w14:paraId="4EE31C2B">
            <w:pPr>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cs="Times New Roman"/>
                <w:b/>
                <w:color w:val="000000" w:themeColor="text1"/>
                <w:sz w:val="24"/>
                <w:lang w:val="en-US" w:eastAsia="zh-CN"/>
                <w14:textFill>
                  <w14:solidFill>
                    <w14:schemeClr w14:val="tx1"/>
                  </w14:solidFill>
                </w14:textFill>
              </w:rPr>
              <w:t>8</w:t>
            </w:r>
            <w:r>
              <w:rPr>
                <w:rFonts w:hint="default" w:ascii="Times New Roman" w:hAnsi="Times New Roman" w:eastAsia="宋体" w:cs="Times New Roman"/>
                <w:b/>
                <w:color w:val="000000" w:themeColor="text1"/>
                <w:sz w:val="24"/>
                <w14:textFill>
                  <w14:solidFill>
                    <w14:schemeClr w14:val="tx1"/>
                  </w14:solidFill>
                </w14:textFill>
              </w:rPr>
              <w:t>、</w:t>
            </w:r>
            <w:r>
              <w:rPr>
                <w:rFonts w:hint="default" w:ascii="Times New Roman" w:hAnsi="Times New Roman" w:eastAsia="宋体" w:cs="Times New Roman"/>
                <w:b/>
                <w:bCs/>
                <w:color w:val="000000" w:themeColor="text1"/>
                <w:sz w:val="24"/>
                <w14:textFill>
                  <w14:solidFill>
                    <w14:schemeClr w14:val="tx1"/>
                  </w14:solidFill>
                </w14:textFill>
              </w:rPr>
              <w:t>项目与噪声防治相关法律法规及政策的符合性分析</w:t>
            </w:r>
          </w:p>
          <w:p w14:paraId="6336C280">
            <w:pPr>
              <w:autoSpaceDE w:val="0"/>
              <w:autoSpaceDN w:val="0"/>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本项目与噪声防治相关规划符合性分析见下表。</w:t>
            </w:r>
          </w:p>
          <w:p w14:paraId="1B3C30B3">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项目与噪声防治相关政策符合性分析</w:t>
            </w:r>
          </w:p>
          <w:tbl>
            <w:tblPr>
              <w:tblStyle w:val="55"/>
              <w:tblW w:w="497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82"/>
              <w:gridCol w:w="856"/>
              <w:gridCol w:w="3425"/>
              <w:gridCol w:w="1808"/>
              <w:gridCol w:w="913"/>
            </w:tblGrid>
            <w:tr w14:paraId="4111E9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722" w:type="pct"/>
                  <w:noWrap w:val="0"/>
                  <w:vAlign w:val="center"/>
                </w:tcPr>
                <w:p w14:paraId="4BFCCB5F">
                  <w:pPr>
                    <w:pStyle w:val="107"/>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相关</w:t>
                  </w:r>
                </w:p>
                <w:p w14:paraId="40C1B9EC">
                  <w:pPr>
                    <w:pStyle w:val="107"/>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文件</w:t>
                  </w:r>
                </w:p>
              </w:tc>
              <w:tc>
                <w:tcPr>
                  <w:tcW w:w="2615" w:type="pct"/>
                  <w:gridSpan w:val="2"/>
                  <w:noWrap w:val="0"/>
                  <w:vAlign w:val="center"/>
                </w:tcPr>
                <w:p w14:paraId="57542BE5">
                  <w:pPr>
                    <w:pStyle w:val="107"/>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相关内容</w:t>
                  </w:r>
                </w:p>
              </w:tc>
              <w:tc>
                <w:tcPr>
                  <w:tcW w:w="1104" w:type="pct"/>
                  <w:noWrap w:val="0"/>
                  <w:vAlign w:val="center"/>
                </w:tcPr>
                <w:p w14:paraId="57F11143">
                  <w:pPr>
                    <w:pStyle w:val="107"/>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本项目</w:t>
                  </w:r>
                </w:p>
              </w:tc>
              <w:tc>
                <w:tcPr>
                  <w:tcW w:w="557" w:type="pct"/>
                  <w:noWrap w:val="0"/>
                  <w:vAlign w:val="center"/>
                </w:tcPr>
                <w:p w14:paraId="72983BE1">
                  <w:pPr>
                    <w:pStyle w:val="107"/>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符合性分析</w:t>
                  </w:r>
                </w:p>
              </w:tc>
            </w:tr>
            <w:tr w14:paraId="620D7E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722" w:type="pct"/>
                  <w:noWrap w:val="0"/>
                  <w:vAlign w:val="center"/>
                </w:tcPr>
                <w:p w14:paraId="37FE831B">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《“十四五”噪声污染防治行动计划》（环大气〔2023〕1号）</w:t>
                  </w:r>
                </w:p>
              </w:tc>
              <w:tc>
                <w:tcPr>
                  <w:tcW w:w="523" w:type="pct"/>
                  <w:noWrap w:val="0"/>
                  <w:vAlign w:val="center"/>
                </w:tcPr>
                <w:p w14:paraId="774B0D90">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五、强化建筑施工噪声污染防治，严格夜间施工管理</w:t>
                  </w:r>
                </w:p>
              </w:tc>
              <w:tc>
                <w:tcPr>
                  <w:tcW w:w="2092" w:type="pct"/>
                  <w:noWrap w:val="0"/>
                  <w:vAlign w:val="center"/>
                </w:tcPr>
                <w:p w14:paraId="24095C80">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（十一）聚焦建筑施工管理重点</w:t>
                  </w:r>
                </w:p>
                <w:p w14:paraId="72FDEEC5">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16．加严噪声敏感建筑物集中区域施工要求。噪声敏感建筑物集中区域的施工场地应优先使用低噪声施工工艺和设备，采取减振降噪措施，加强进出场地运输车辆管理；建设单位应根据国家规定设置噪声自动监测系统，与监督管理部门联网。推动地方完善噪声敏感建筑物集中区域夜间施工证明的申报、审核、时限以及施工管理等要求，严格规范夜间施工证明发放。夜间施工单位应依法进行公示公告。</w:t>
                  </w:r>
                </w:p>
              </w:tc>
              <w:tc>
                <w:tcPr>
                  <w:tcW w:w="1104" w:type="pct"/>
                  <w:noWrap w:val="0"/>
                  <w:vAlign w:val="center"/>
                </w:tcPr>
                <w:p w14:paraId="1D309AE7">
                  <w:pPr>
                    <w:pStyle w:val="107"/>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本项目高噪声施工设备间歇作业，尽可能降低施工过程噪声对周边居民的影响；本项目不在夜间进行施工</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557" w:type="pct"/>
                  <w:noWrap w:val="0"/>
                  <w:vAlign w:val="center"/>
                </w:tcPr>
                <w:p w14:paraId="2DC00D7E">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4F6DCF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51" w:hRule="atLeast"/>
                <w:jc w:val="center"/>
              </w:trPr>
              <w:tc>
                <w:tcPr>
                  <w:tcW w:w="722" w:type="pct"/>
                  <w:vMerge w:val="restart"/>
                  <w:noWrap w:val="0"/>
                  <w:vAlign w:val="center"/>
                </w:tcPr>
                <w:p w14:paraId="7E65E2AA">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《四川省噪声污染防治行动计划实施方案》(2023-2025年)</w:t>
                  </w:r>
                </w:p>
              </w:tc>
              <w:tc>
                <w:tcPr>
                  <w:tcW w:w="523" w:type="pct"/>
                  <w:vMerge w:val="restart"/>
                  <w:noWrap w:val="0"/>
                  <w:vAlign w:val="center"/>
                </w:tcPr>
                <w:p w14:paraId="7E7265FB">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强化建筑施工噪声污染防治，提升文明建设水平</w:t>
                  </w:r>
                </w:p>
              </w:tc>
              <w:tc>
                <w:tcPr>
                  <w:tcW w:w="2092" w:type="pct"/>
                  <w:tcBorders>
                    <w:bottom w:val="single" w:color="auto" w:sz="4" w:space="0"/>
                  </w:tcBorders>
                  <w:noWrap w:val="0"/>
                  <w:vAlign w:val="center"/>
                </w:tcPr>
                <w:p w14:paraId="281529A4">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压实建设单位管理责任。建设单位应当在施工合同中明确施工单位的噪声污染防治责任。严格按照低噪声施工设备指导目录，限制或禁用易产生噪声污染的落后施工工艺和设备。住建、交通等部门要指导工地采用低噪声施工工艺和设备，制定错峰施工的监管措施，定期向生态环境部门推送新开工工地监管信息。建设单位应开展日常巡查，主要核查重点工程施工噪声污染防治、监控监测设备安装、运行以及高噪声施工机械登记管理情况，提升施工噪声的监管效率。</w:t>
                  </w:r>
                </w:p>
              </w:tc>
              <w:tc>
                <w:tcPr>
                  <w:tcW w:w="1104" w:type="pct"/>
                  <w:tcBorders>
                    <w:bottom w:val="single" w:color="auto" w:sz="4" w:space="0"/>
                  </w:tcBorders>
                  <w:noWrap w:val="0"/>
                  <w:vAlign w:val="center"/>
                </w:tcPr>
                <w:p w14:paraId="1594DAC1">
                  <w:pPr>
                    <w:pStyle w:val="107"/>
                    <w:keepNext w:val="0"/>
                    <w:keepLines w:val="0"/>
                    <w:pageBreakBefore w:val="0"/>
                    <w:widowControl w:val="0"/>
                    <w:kinsoku/>
                    <w:wordWrap/>
                    <w:overflowPunct/>
                    <w:topLinePunct w:val="0"/>
                    <w:bidi w:val="0"/>
                    <w:adjustRightInd w:val="0"/>
                    <w:snapToGri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在施工合同中明确施工单位的噪声污染防治责任。严格按照低噪声施工设备指导目录，限制或禁用易产生噪声污染的落后施工工艺和设备。开展日常巡查，提升施工噪声的监管效率。</w:t>
                  </w:r>
                </w:p>
              </w:tc>
              <w:tc>
                <w:tcPr>
                  <w:tcW w:w="557" w:type="pct"/>
                  <w:vMerge w:val="restart"/>
                  <w:noWrap w:val="0"/>
                  <w:vAlign w:val="center"/>
                </w:tcPr>
                <w:p w14:paraId="39A5E15F">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符合</w:t>
                  </w:r>
                </w:p>
              </w:tc>
            </w:tr>
            <w:tr w14:paraId="122916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3" w:hRule="atLeast"/>
                <w:jc w:val="center"/>
              </w:trPr>
              <w:tc>
                <w:tcPr>
                  <w:tcW w:w="722" w:type="pct"/>
                  <w:vMerge w:val="continue"/>
                  <w:noWrap w:val="0"/>
                  <w:vAlign w:val="center"/>
                </w:tcPr>
                <w:p w14:paraId="3DDEFD93">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p>
              </w:tc>
              <w:tc>
                <w:tcPr>
                  <w:tcW w:w="523" w:type="pct"/>
                  <w:vMerge w:val="continue"/>
                  <w:noWrap w:val="0"/>
                  <w:vAlign w:val="center"/>
                </w:tcPr>
                <w:p w14:paraId="56430530">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p>
              </w:tc>
              <w:tc>
                <w:tcPr>
                  <w:tcW w:w="2092" w:type="pct"/>
                  <w:tcBorders>
                    <w:top w:val="single" w:color="auto" w:sz="4" w:space="0"/>
                    <w:bottom w:val="single" w:color="auto" w:sz="4" w:space="0"/>
                  </w:tcBorders>
                  <w:noWrap w:val="0"/>
                  <w:vAlign w:val="center"/>
                </w:tcPr>
                <w:p w14:paraId="2A441F5A">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压实施工单位噪声污染防治主体责任。施工单位应当制定项目噪声污染防治方案，明确噪声污染防治责任，从安全文明施工、降噪资金投入、施工单位信用管理等关键环节落实减振降噪的措施。鼓励创建安全文明标准化工地，推动建筑施工企业加强噪声污染防治。</w:t>
                  </w:r>
                </w:p>
              </w:tc>
              <w:tc>
                <w:tcPr>
                  <w:tcW w:w="1104" w:type="pct"/>
                  <w:tcBorders>
                    <w:top w:val="single" w:color="auto" w:sz="4" w:space="0"/>
                    <w:bottom w:val="single" w:color="auto" w:sz="4" w:space="0"/>
                  </w:tcBorders>
                  <w:shd w:val="clear" w:color="auto" w:fill="auto"/>
                  <w:noWrap w:val="0"/>
                  <w:vAlign w:val="center"/>
                </w:tcPr>
                <w:p w14:paraId="7AEC19EE">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施工单位制定项目噪声污染防治方案，明确噪声污染防治责任，从安全文明施工、降噪资金投入、施工单位信用管理等关键环节落实减振降噪的措施。</w:t>
                  </w:r>
                </w:p>
              </w:tc>
              <w:tc>
                <w:tcPr>
                  <w:tcW w:w="557" w:type="pct"/>
                  <w:vMerge w:val="continue"/>
                  <w:noWrap w:val="0"/>
                  <w:vAlign w:val="center"/>
                </w:tcPr>
                <w:p w14:paraId="3EA6AF20">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p>
              </w:tc>
            </w:tr>
            <w:tr w14:paraId="193249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1" w:hRule="atLeast"/>
                <w:jc w:val="center"/>
              </w:trPr>
              <w:tc>
                <w:tcPr>
                  <w:tcW w:w="722" w:type="pct"/>
                  <w:vMerge w:val="continue"/>
                  <w:noWrap w:val="0"/>
                  <w:vAlign w:val="center"/>
                </w:tcPr>
                <w:p w14:paraId="3070BF8B">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p>
              </w:tc>
              <w:tc>
                <w:tcPr>
                  <w:tcW w:w="523" w:type="pct"/>
                  <w:vMerge w:val="continue"/>
                  <w:noWrap w:val="0"/>
                  <w:vAlign w:val="center"/>
                </w:tcPr>
                <w:p w14:paraId="37D7AEE1">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p>
              </w:tc>
              <w:tc>
                <w:tcPr>
                  <w:tcW w:w="2092" w:type="pct"/>
                  <w:tcBorders>
                    <w:top w:val="single" w:color="auto" w:sz="4" w:space="0"/>
                    <w:bottom w:val="single" w:color="auto" w:sz="4" w:space="0"/>
                  </w:tcBorders>
                  <w:noWrap w:val="0"/>
                  <w:vAlign w:val="center"/>
                </w:tcPr>
                <w:p w14:paraId="75CF0343">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加强施工设备噪声管理。征集低噪声施工设备名录，推广使用先进工艺设备。钢筋加工作业采用专业化生产的成型钢筋。施工通用设备选型时，采用电力设备，逐步取代汽油、柴油能源设备；采用液压式冲击设备，逐步取代气压式设备；以空气动力性噪声源为主的施工机械，在气流通道或进排气口安装阻性消声器、抗性消声器、阻抗复合消声器等消声降噪设备。出入施工工地的所有车辆，无特殊情况禁止鸣号，应避免急刹车、大马力启动加速等操作。通用设备应安装隔声罩（房），高噪声工艺需在防护棚内操作，施工场地内铺设路面减震覆板，轨道交通工程采取密闭施工。鼓励将噪声指标纳入非道路移动施工机械编码登记。</w:t>
                  </w:r>
                </w:p>
              </w:tc>
              <w:tc>
                <w:tcPr>
                  <w:tcW w:w="1104" w:type="pct"/>
                  <w:tcBorders>
                    <w:top w:val="single" w:color="auto" w:sz="4" w:space="0"/>
                    <w:bottom w:val="single" w:color="auto" w:sz="4" w:space="0"/>
                  </w:tcBorders>
                  <w:noWrap w:val="0"/>
                  <w:vAlign w:val="center"/>
                </w:tcPr>
                <w:p w14:paraId="4E452EA7">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加强施工设备噪声管理。</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选用低噪声设备</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57" w:type="pct"/>
                  <w:vMerge w:val="continue"/>
                  <w:noWrap w:val="0"/>
                  <w:vAlign w:val="center"/>
                </w:tcPr>
                <w:p w14:paraId="5D3D4C48">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p>
              </w:tc>
            </w:tr>
            <w:tr w14:paraId="0D82C4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1" w:hRule="atLeast"/>
                <w:jc w:val="center"/>
              </w:trPr>
              <w:tc>
                <w:tcPr>
                  <w:tcW w:w="722" w:type="pct"/>
                  <w:vMerge w:val="continue"/>
                  <w:noWrap w:val="0"/>
                  <w:vAlign w:val="center"/>
                </w:tcPr>
                <w:p w14:paraId="1BDF12A7">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p>
              </w:tc>
              <w:tc>
                <w:tcPr>
                  <w:tcW w:w="523" w:type="pct"/>
                  <w:vMerge w:val="continue"/>
                  <w:noWrap w:val="0"/>
                  <w:vAlign w:val="center"/>
                </w:tcPr>
                <w:p w14:paraId="2537E65F">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p>
              </w:tc>
              <w:tc>
                <w:tcPr>
                  <w:tcW w:w="2092" w:type="pct"/>
                  <w:tcBorders>
                    <w:top w:val="single" w:color="auto" w:sz="4" w:space="0"/>
                  </w:tcBorders>
                  <w:noWrap w:val="0"/>
                  <w:vAlign w:val="center"/>
                </w:tcPr>
                <w:p w14:paraId="21B565CD">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加强敏感建筑物集中区域和夜间时段施工噪声管理。噪声敏感建筑物集中区域和夜间时段的施工场地应优先使用低噪声施工工艺和设备，采取减振降噪措施，加强进出场地运输车辆管理。严格夜间施工管理，完善夜间施工证明申报，夜间施工单位应依法进行公示公告。获批夜间施工的项目，应采取降噪措施。将违规夜间施工纳入建设、施工企业信用信息管理，依法惩戒严重失信企业，问责、曝光责任不落实、措施不到位的单位和个人。到2025年，夜间施工噪声投诉明显减少。</w:t>
                  </w:r>
                </w:p>
              </w:tc>
              <w:tc>
                <w:tcPr>
                  <w:tcW w:w="1104" w:type="pct"/>
                  <w:tcBorders>
                    <w:top w:val="single" w:color="auto" w:sz="4" w:space="0"/>
                  </w:tcBorders>
                  <w:noWrap w:val="0"/>
                  <w:vAlign w:val="center"/>
                </w:tcPr>
                <w:p w14:paraId="221A163F">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在居民集中区域禁止</w:t>
                  </w:r>
                  <w:r>
                    <w:rPr>
                      <w:rFonts w:hint="default" w:ascii="Times New Roman" w:hAnsi="Times New Roman" w:eastAsia="宋体" w:cs="Times New Roman"/>
                      <w:color w:val="000000" w:themeColor="text1"/>
                      <w:sz w:val="21"/>
                      <w:szCs w:val="21"/>
                      <w14:textFill>
                        <w14:solidFill>
                          <w14:schemeClr w14:val="tx1"/>
                        </w14:solidFill>
                      </w14:textFill>
                    </w:rPr>
                    <w:t>夜间时段施工。优先使用低噪声施工工艺和设备，采取减振降噪措施，加强进出场地运输车辆管理。</w:t>
                  </w:r>
                </w:p>
              </w:tc>
              <w:tc>
                <w:tcPr>
                  <w:tcW w:w="557" w:type="pct"/>
                  <w:vMerge w:val="continue"/>
                  <w:noWrap w:val="0"/>
                  <w:vAlign w:val="center"/>
                </w:tcPr>
                <w:p w14:paraId="309356BC">
                  <w:pPr>
                    <w:pStyle w:val="107"/>
                    <w:keepNext w:val="0"/>
                    <w:keepLines w:val="0"/>
                    <w:pageBreakBefore w:val="0"/>
                    <w:widowControl w:val="0"/>
                    <w:kinsoku/>
                    <w:wordWrap/>
                    <w:overflowPunct/>
                    <w:topLinePunct w:val="0"/>
                    <w:bidi w:val="0"/>
                    <w:adjustRightInd w:val="0"/>
                    <w:snapToGrid w:val="0"/>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p>
              </w:tc>
            </w:tr>
          </w:tbl>
          <w:p w14:paraId="552E3C7F">
            <w:pPr>
              <w:autoSpaceDE w:val="0"/>
              <w:autoSpaceDN w:val="0"/>
              <w:adjustRightInd w:val="0"/>
              <w:snapToGrid w:val="0"/>
              <w:spacing w:line="360" w:lineRule="auto"/>
              <w:ind w:firstLine="482" w:firstLineChars="200"/>
              <w:jc w:val="left"/>
              <w:rPr>
                <w:rFonts w:hint="default" w:ascii="Times New Roman" w:hAnsi="Times New Roman" w:eastAsia="宋体" w:cs="Times New Roman"/>
                <w:color w:val="000000" w:themeColor="text1"/>
                <w:kern w:val="0"/>
                <w:sz w:val="24"/>
                <w:szCs w:val="20"/>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综上所述，本项目与噪声防治相关政策要求相符。</w:t>
            </w:r>
          </w:p>
          <w:p w14:paraId="7F86CA23">
            <w:pPr>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eastAsia" w:ascii="Times New Roman" w:hAnsi="Times New Roman" w:cs="Times New Roman"/>
                <w:b/>
                <w:bCs/>
                <w:color w:val="000000" w:themeColor="text1"/>
                <w:sz w:val="24"/>
                <w:lang w:val="en-US" w:eastAsia="zh-CN"/>
                <w14:textFill>
                  <w14:solidFill>
                    <w14:schemeClr w14:val="tx1"/>
                  </w14:solidFill>
                </w14:textFill>
              </w:rPr>
              <w:t>9</w:t>
            </w:r>
            <w:r>
              <w:rPr>
                <w:rFonts w:hint="default" w:ascii="Times New Roman" w:hAnsi="Times New Roman" w:eastAsia="宋体" w:cs="Times New Roman"/>
                <w:b/>
                <w:bCs/>
                <w:color w:val="000000" w:themeColor="text1"/>
                <w:sz w:val="24"/>
                <w14:textFill>
                  <w14:solidFill>
                    <w14:schemeClr w14:val="tx1"/>
                  </w14:solidFill>
                </w14:textFill>
              </w:rPr>
              <w:t>、项目与相关饮用水源地条例符合性分析</w:t>
            </w:r>
          </w:p>
          <w:p w14:paraId="7105A496">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（1）项目与《饮用水水源保护区污染防治管理规定》符合性分析</w:t>
            </w:r>
          </w:p>
          <w:p w14:paraId="008802B6">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本项目与《饮用水水源保护区污染防治管理规定（2010修正）》的符合性分析如下。</w:t>
            </w:r>
          </w:p>
          <w:p w14:paraId="7CDCA919">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项目与饮用水保护条例符合性分析</w:t>
            </w:r>
          </w:p>
          <w:tbl>
            <w:tblPr>
              <w:tblStyle w:val="5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95"/>
              <w:gridCol w:w="288"/>
              <w:gridCol w:w="4551"/>
              <w:gridCol w:w="2348"/>
              <w:gridCol w:w="532"/>
            </w:tblGrid>
            <w:tr w14:paraId="2739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1" w:hRule="atLeast"/>
              </w:trPr>
              <w:tc>
                <w:tcPr>
                  <w:tcW w:w="476" w:type="pct"/>
                  <w:gridSpan w:val="2"/>
                  <w:vAlign w:val="center"/>
                </w:tcPr>
                <w:p w14:paraId="38503200">
                  <w:pPr>
                    <w:pStyle w:val="47"/>
                    <w:spacing w:after="0" w:line="240" w:lineRule="auto"/>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相关</w:t>
                  </w:r>
                </w:p>
                <w:p w14:paraId="779AEA10">
                  <w:pPr>
                    <w:pStyle w:val="47"/>
                    <w:spacing w:after="0" w:line="240" w:lineRule="auto"/>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文件</w:t>
                  </w:r>
                </w:p>
              </w:tc>
              <w:tc>
                <w:tcPr>
                  <w:tcW w:w="2769" w:type="pct"/>
                  <w:vAlign w:val="center"/>
                </w:tcPr>
                <w:p w14:paraId="0D124D45">
                  <w:pPr>
                    <w:pStyle w:val="47"/>
                    <w:spacing w:after="0" w:line="240" w:lineRule="auto"/>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要求</w:t>
                  </w:r>
                </w:p>
              </w:tc>
              <w:tc>
                <w:tcPr>
                  <w:tcW w:w="1429" w:type="pct"/>
                  <w:vAlign w:val="center"/>
                </w:tcPr>
                <w:p w14:paraId="122B0173">
                  <w:pPr>
                    <w:pStyle w:val="47"/>
                    <w:spacing w:after="0" w:line="240" w:lineRule="auto"/>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本项目</w:t>
                  </w:r>
                </w:p>
              </w:tc>
              <w:tc>
                <w:tcPr>
                  <w:tcW w:w="324" w:type="pct"/>
                  <w:vAlign w:val="center"/>
                </w:tcPr>
                <w:p w14:paraId="16E340CB">
                  <w:pPr>
                    <w:pStyle w:val="47"/>
                    <w:spacing w:after="0" w:line="240" w:lineRule="auto"/>
                    <w:jc w:val="center"/>
                    <w:rPr>
                      <w:rFonts w:hint="default" w:ascii="Times New Roman" w:hAnsi="Times New Roman" w:eastAsia="宋体" w:cs="Times New Roman"/>
                      <w:b/>
                      <w:bCs/>
                      <w:color w:val="000000" w:themeColor="text1"/>
                      <w:kern w:val="0"/>
                      <w:sz w:val="21"/>
                      <w:szCs w:val="21"/>
                      <w14:textFill>
                        <w14:solidFill>
                          <w14:schemeClr w14:val="tx1"/>
                        </w14:solidFill>
                      </w14:textFill>
                    </w:rPr>
                  </w:pPr>
                  <w:r>
                    <w:rPr>
                      <w:rFonts w:hint="default" w:ascii="Times New Roman" w:hAnsi="Times New Roman" w:eastAsia="宋体" w:cs="Times New Roman"/>
                      <w:b/>
                      <w:bCs/>
                      <w:color w:val="000000" w:themeColor="text1"/>
                      <w:kern w:val="0"/>
                      <w:sz w:val="21"/>
                      <w:szCs w:val="21"/>
                      <w14:textFill>
                        <w14:solidFill>
                          <w14:schemeClr w14:val="tx1"/>
                        </w14:solidFill>
                      </w14:textFill>
                    </w:rPr>
                    <w:t>符合性</w:t>
                  </w:r>
                </w:p>
              </w:tc>
            </w:tr>
            <w:tr w14:paraId="1C11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01" w:type="pct"/>
                  <w:vMerge w:val="restart"/>
                  <w:vAlign w:val="center"/>
                </w:tcPr>
                <w:p w14:paraId="5F011FA3">
                  <w:pPr>
                    <w:pStyle w:val="47"/>
                    <w:spacing w:after="0"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饮用水水源保护区污染防治管理规定（20</w:t>
                  </w:r>
                </w:p>
                <w:p w14:paraId="492791D9">
                  <w:pPr>
                    <w:pStyle w:val="47"/>
                    <w:spacing w:after="0"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10修正）</w:t>
                  </w:r>
                </w:p>
              </w:tc>
              <w:tc>
                <w:tcPr>
                  <w:tcW w:w="175" w:type="pct"/>
                  <w:vAlign w:val="center"/>
                </w:tcPr>
                <w:p w14:paraId="0E12FF50">
                  <w:pPr>
                    <w:pStyle w:val="47"/>
                    <w:spacing w:after="0"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第十一条</w:t>
                  </w:r>
                </w:p>
              </w:tc>
              <w:tc>
                <w:tcPr>
                  <w:tcW w:w="2769" w:type="pct"/>
                  <w:vAlign w:val="center"/>
                </w:tcPr>
                <w:p w14:paraId="09D94C80">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饮用水地表水源各级保护区及准保护区内均必须遵守下列规定：</w:t>
                  </w:r>
                </w:p>
                <w:p w14:paraId="705872F5">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一、禁止一切破坏水环境生态平衡的活动以及破坏水源林、护岸林、与水源保护相关植被的活动。</w:t>
                  </w:r>
                </w:p>
                <w:p w14:paraId="0C3F2482">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二、禁止向水域倾倒工业废渣、城市垃圾、粪便及其它废弃物。</w:t>
                  </w:r>
                </w:p>
                <w:p w14:paraId="6D683A4F">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三、运输有毒有害物质、油类、粪便的船舶和车辆一般不准进入保护区，必须进入者应事先申请并经有关部门批准、登记并设置防渗、防溢、防漏设施。</w:t>
                  </w:r>
                </w:p>
                <w:p w14:paraId="5291D38C">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四、禁止使用剧毒和高残留农药，不得滥用化肥，不得使用炸药、毒品捕杀鱼类。</w:t>
                  </w:r>
                </w:p>
              </w:tc>
              <w:tc>
                <w:tcPr>
                  <w:tcW w:w="1429" w:type="pct"/>
                  <w:vMerge w:val="restart"/>
                  <w:vAlign w:val="center"/>
                </w:tcPr>
                <w:p w14:paraId="7AFEF48B">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本项目永久占地不涉及饮用水水源保护区。</w:t>
                  </w:r>
                </w:p>
                <w:p w14:paraId="3F6D7C99">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管网不涉及穿越饮用水源保护区</w:t>
                  </w:r>
                  <w:r>
                    <w:rPr>
                      <w:rFonts w:hint="default" w:ascii="Times New Roman" w:hAnsi="Times New Roman" w:eastAsia="宋体" w:cs="Times New Roman"/>
                      <w:color w:val="000000" w:themeColor="text1"/>
                      <w:kern w:val="0"/>
                      <w:sz w:val="21"/>
                      <w:szCs w:val="21"/>
                      <w14:textFill>
                        <w14:solidFill>
                          <w14:schemeClr w14:val="tx1"/>
                        </w14:solidFill>
                      </w14:textFill>
                    </w:rPr>
                    <w:t>。</w:t>
                  </w:r>
                </w:p>
                <w:p w14:paraId="6651D225">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施工范围严格控制在施工红线范围内，不得进行乱砍乱伐；项目在管线施工过程中施工废水不外排、固废合理处置，不涉及农药使用及有毒有害物质的运输，不涉及在保护区内排放污染物；在保护区内不设置排污口；在保护区内不涉及设立装卸垃圾、粪便、油类和有毒物品的码头。</w:t>
                  </w:r>
                </w:p>
              </w:tc>
              <w:tc>
                <w:tcPr>
                  <w:tcW w:w="324" w:type="pct"/>
                  <w:vAlign w:val="center"/>
                </w:tcPr>
                <w:p w14:paraId="6BF7CA1A">
                  <w:pPr>
                    <w:pStyle w:val="47"/>
                    <w:spacing w:after="0"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符合</w:t>
                  </w:r>
                </w:p>
              </w:tc>
            </w:tr>
            <w:tr w14:paraId="25CC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01" w:type="pct"/>
                  <w:vMerge w:val="continue"/>
                  <w:vAlign w:val="center"/>
                </w:tcPr>
                <w:p w14:paraId="5CE56943">
                  <w:pPr>
                    <w:pStyle w:val="47"/>
                    <w:spacing w:after="0"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175" w:type="pct"/>
                  <w:vAlign w:val="center"/>
                </w:tcPr>
                <w:p w14:paraId="68041098">
                  <w:pPr>
                    <w:pStyle w:val="47"/>
                    <w:spacing w:after="0"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第十二条</w:t>
                  </w:r>
                </w:p>
              </w:tc>
              <w:tc>
                <w:tcPr>
                  <w:tcW w:w="2769" w:type="pct"/>
                  <w:vAlign w:val="center"/>
                </w:tcPr>
                <w:p w14:paraId="7EFD8E93">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一、一级保护区内</w:t>
                  </w:r>
                </w:p>
                <w:p w14:paraId="6053AB2A">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禁止新建、扩建与供水设施和保护水源无关的建设项目；</w:t>
                  </w:r>
                </w:p>
                <w:p w14:paraId="04DA5D94">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禁止向水域排放污水，已设置的排污口必须拆除；</w:t>
                  </w:r>
                </w:p>
                <w:p w14:paraId="484498C8">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不得设置与供水需要无关的码头，禁止停靠船舶；</w:t>
                  </w:r>
                </w:p>
                <w:p w14:paraId="0AA61C55">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禁止堆置和存放工业废渣、城市垃圾、粪便和其他废弃物；</w:t>
                  </w:r>
                </w:p>
                <w:p w14:paraId="21999D08">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禁止设置油库；</w:t>
                  </w:r>
                </w:p>
                <w:p w14:paraId="1D29FF92">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禁止从事种植、放养畜禽和网箱养殖活动；</w:t>
                  </w:r>
                </w:p>
                <w:p w14:paraId="6F3E3856">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禁止可能污染水源的旅游活动和其他活动。</w:t>
                  </w:r>
                </w:p>
                <w:p w14:paraId="41043334">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二、二级保护区内</w:t>
                  </w:r>
                </w:p>
                <w:p w14:paraId="592D2463">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禁止新建、改建、扩建排放污染物的建设项目；</w:t>
                  </w:r>
                </w:p>
                <w:p w14:paraId="33D9C348">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原有排污口依法拆除或者关闭；</w:t>
                  </w:r>
                </w:p>
                <w:p w14:paraId="4425686A">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禁止设立装卸垃圾、粪便、油类和有毒物品的码头。</w:t>
                  </w:r>
                </w:p>
                <w:p w14:paraId="6A237A61">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三、准保护区内</w:t>
                  </w:r>
                </w:p>
                <w:p w14:paraId="6E1ACD34">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禁止新建、扩建对水体污染严重的建设项目；改建建设项目，不得增加排污量。</w:t>
                  </w:r>
                </w:p>
              </w:tc>
              <w:tc>
                <w:tcPr>
                  <w:tcW w:w="1429" w:type="pct"/>
                  <w:vMerge w:val="continue"/>
                  <w:vAlign w:val="center"/>
                </w:tcPr>
                <w:p w14:paraId="32F9AE5F">
                  <w:pPr>
                    <w:pStyle w:val="47"/>
                    <w:spacing w:after="0" w:line="240" w:lineRule="auto"/>
                    <w:rPr>
                      <w:rFonts w:hint="default" w:ascii="Times New Roman" w:hAnsi="Times New Roman" w:eastAsia="宋体" w:cs="Times New Roman"/>
                      <w:color w:val="000000" w:themeColor="text1"/>
                      <w:kern w:val="0"/>
                      <w:sz w:val="21"/>
                      <w:szCs w:val="21"/>
                      <w14:textFill>
                        <w14:solidFill>
                          <w14:schemeClr w14:val="tx1"/>
                        </w14:solidFill>
                      </w14:textFill>
                    </w:rPr>
                  </w:pPr>
                </w:p>
              </w:tc>
              <w:tc>
                <w:tcPr>
                  <w:tcW w:w="324" w:type="pct"/>
                  <w:vAlign w:val="center"/>
                </w:tcPr>
                <w:p w14:paraId="2FA34648">
                  <w:pPr>
                    <w:pStyle w:val="47"/>
                    <w:spacing w:after="0" w:line="240" w:lineRule="auto"/>
                    <w:jc w:val="center"/>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符合</w:t>
                  </w:r>
                </w:p>
              </w:tc>
            </w:tr>
          </w:tbl>
          <w:p w14:paraId="21487065">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（2）项目与《四川省饮用水水源保护管理条例》符合性分析</w:t>
            </w:r>
          </w:p>
          <w:p w14:paraId="730CA8EE">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本项目与《四川省饮用水水源保护管理条例（2019修正）》的符合性分析如下。</w:t>
            </w:r>
          </w:p>
          <w:p w14:paraId="47B9B549">
            <w:pPr>
              <w:pStyle w:val="166"/>
              <w:numPr>
                <w:ilvl w:val="0"/>
                <w:numId w:val="7"/>
              </w:numPr>
              <w:spacing w:line="36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项目与饮用水保护条例符合性分析</w:t>
            </w:r>
          </w:p>
          <w:tbl>
            <w:tblPr>
              <w:tblStyle w:val="5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95"/>
              <w:gridCol w:w="529"/>
              <w:gridCol w:w="3635"/>
              <w:gridCol w:w="2996"/>
              <w:gridCol w:w="559"/>
            </w:tblGrid>
            <w:tr w14:paraId="2B5A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1" w:hRule="atLeast"/>
              </w:trPr>
              <w:tc>
                <w:tcPr>
                  <w:tcW w:w="623" w:type="pct"/>
                  <w:gridSpan w:val="2"/>
                  <w:tcBorders>
                    <w:top w:val="single" w:color="auto" w:sz="4" w:space="0"/>
                  </w:tcBorders>
                  <w:vAlign w:val="center"/>
                </w:tcPr>
                <w:p w14:paraId="3A6C910E">
                  <w:pPr>
                    <w:pStyle w:val="47"/>
                    <w:spacing w:after="0" w:line="276"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相关</w:t>
                  </w:r>
                </w:p>
                <w:p w14:paraId="72059043">
                  <w:pPr>
                    <w:pStyle w:val="47"/>
                    <w:spacing w:after="0" w:line="276"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文件</w:t>
                  </w:r>
                </w:p>
              </w:tc>
              <w:tc>
                <w:tcPr>
                  <w:tcW w:w="2212" w:type="pct"/>
                  <w:tcBorders>
                    <w:top w:val="single" w:color="auto" w:sz="4" w:space="0"/>
                  </w:tcBorders>
                  <w:vAlign w:val="center"/>
                </w:tcPr>
                <w:p w14:paraId="5A7C53CC">
                  <w:pPr>
                    <w:pStyle w:val="47"/>
                    <w:spacing w:after="0" w:line="276"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要求</w:t>
                  </w:r>
                </w:p>
              </w:tc>
              <w:tc>
                <w:tcPr>
                  <w:tcW w:w="1823" w:type="pct"/>
                  <w:tcBorders>
                    <w:top w:val="single" w:color="auto" w:sz="4" w:space="0"/>
                  </w:tcBorders>
                  <w:vAlign w:val="center"/>
                </w:tcPr>
                <w:p w14:paraId="6EA7A3E1">
                  <w:pPr>
                    <w:pStyle w:val="47"/>
                    <w:spacing w:after="0" w:line="276"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本项目</w:t>
                  </w:r>
                </w:p>
              </w:tc>
              <w:tc>
                <w:tcPr>
                  <w:tcW w:w="340" w:type="pct"/>
                  <w:tcBorders>
                    <w:top w:val="single" w:color="auto" w:sz="4" w:space="0"/>
                    <w:right w:val="single" w:color="auto" w:sz="4" w:space="0"/>
                  </w:tcBorders>
                  <w:vAlign w:val="center"/>
                </w:tcPr>
                <w:p w14:paraId="3046E8B9">
                  <w:pPr>
                    <w:pStyle w:val="47"/>
                    <w:spacing w:after="0" w:line="276"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符合性</w:t>
                  </w:r>
                </w:p>
              </w:tc>
            </w:tr>
            <w:tr w14:paraId="7EEC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01" w:type="pct"/>
                  <w:vMerge w:val="restart"/>
                  <w:tcBorders>
                    <w:left w:val="single" w:color="auto" w:sz="4" w:space="0"/>
                  </w:tcBorders>
                  <w:vAlign w:val="center"/>
                </w:tcPr>
                <w:p w14:paraId="55E8C02C">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四川省饮用水水源保护管理条例（20</w:t>
                  </w:r>
                </w:p>
                <w:p w14:paraId="5D212D7A">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19修正）</w:t>
                  </w:r>
                </w:p>
              </w:tc>
              <w:tc>
                <w:tcPr>
                  <w:tcW w:w="322" w:type="pct"/>
                  <w:vAlign w:val="center"/>
                </w:tcPr>
                <w:p w14:paraId="5CDA84D3">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第十六条</w:t>
                  </w:r>
                </w:p>
              </w:tc>
              <w:tc>
                <w:tcPr>
                  <w:tcW w:w="2212" w:type="pct"/>
                  <w:vAlign w:val="center"/>
                </w:tcPr>
                <w:p w14:paraId="462674E2">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在地表水饮用水水源保护区内，禁止设置排污口。</w:t>
                  </w:r>
                </w:p>
              </w:tc>
              <w:tc>
                <w:tcPr>
                  <w:tcW w:w="1823" w:type="pct"/>
                  <w:vAlign w:val="center"/>
                </w:tcPr>
                <w:p w14:paraId="4C5EE0F6">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本项目未设置排污口。</w:t>
                  </w:r>
                </w:p>
              </w:tc>
              <w:tc>
                <w:tcPr>
                  <w:tcW w:w="340" w:type="pct"/>
                  <w:tcBorders>
                    <w:right w:val="single" w:color="auto" w:sz="4" w:space="0"/>
                  </w:tcBorders>
                  <w:vAlign w:val="center"/>
                </w:tcPr>
                <w:p w14:paraId="6EE9158E">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r w14:paraId="3BE63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01" w:type="pct"/>
                  <w:vMerge w:val="continue"/>
                  <w:tcBorders>
                    <w:left w:val="single" w:color="auto" w:sz="4" w:space="0"/>
                  </w:tcBorders>
                  <w:vAlign w:val="center"/>
                </w:tcPr>
                <w:p w14:paraId="6077CCE4">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322" w:type="pct"/>
                  <w:vAlign w:val="center"/>
                </w:tcPr>
                <w:p w14:paraId="6EFC333F">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第十七条</w:t>
                  </w:r>
                </w:p>
              </w:tc>
              <w:tc>
                <w:tcPr>
                  <w:tcW w:w="2212" w:type="pct"/>
                  <w:vAlign w:val="center"/>
                </w:tcPr>
                <w:p w14:paraId="5C46F1B8">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地表水饮用水水源准保护区内，应当遵守下列规定：</w:t>
                  </w:r>
                </w:p>
                <w:p w14:paraId="28B4072C">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（一）禁止新建、扩建对水体污染严重的建设项目；改建建设项目，不得增加排污量；</w:t>
                  </w:r>
                </w:p>
                <w:p w14:paraId="1D83E8F8">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（二）禁止向水体排放油类、酸液、碱液或者有毒废液；</w:t>
                  </w:r>
                </w:p>
                <w:p w14:paraId="688D3E98">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（三）禁止在水体清洗装贮过油类或者有毒污染物的车辆和容器；</w:t>
                  </w:r>
                </w:p>
                <w:p w14:paraId="0DA73885">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（四）禁止向水体排放、倾倒废水、含病原体的污水、放射性固体废物；</w:t>
                  </w:r>
                </w:p>
                <w:p w14:paraId="632FFDFC">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（五）禁止向水体排放、倾倒工业废渣、城镇垃圾和医疗垃圾等其他废弃物；</w:t>
                  </w:r>
                </w:p>
                <w:p w14:paraId="432FAB2D">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（六）禁止将含有汞、镉、砷、铬、铅、氰化物、黄磷等的可溶性剧毒废渣向水体排放、倾倒或者直接埋入地下；</w:t>
                  </w:r>
                </w:p>
                <w:p w14:paraId="16C6B624">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（七）禁止船舶向水体倾倒垃圾或者排放含油污水、生活污水；</w:t>
                  </w:r>
                </w:p>
                <w:p w14:paraId="60463FEB">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（八）禁止设置易溶性、有毒有害废弃物和危险废物的暂存和转运场所；禁止设置生活垃圾和工业固体废物的处置场所，生活垃圾转运站和工业固体废物暂存场所应当设置防护设施；</w:t>
                  </w:r>
                </w:p>
                <w:p w14:paraId="020F0719">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九）禁止通行装载剧毒化学品或者危险废物的船舶、车辆。装载其他危险品的船舶、车辆确需驶入饮用水水源保护区内的，应当在驶入该区域的二十四小时前向当地海事管理机构或者公安机关交通管理部门报告，配备防止污染物散落、溢流、渗漏的设施设备，指定专人保障危险品运输安全；</w:t>
                  </w:r>
                </w:p>
                <w:p w14:paraId="158FECB4">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（十）禁止进行可能严重影响饮用水水源水质的矿产勘查、开采等活动；</w:t>
                  </w:r>
                </w:p>
                <w:p w14:paraId="4D7865B9">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（十一）禁止非更新性、非抚育性采伐和破坏饮用水水源涵养林、护岸林和其他植被。</w:t>
                  </w:r>
                </w:p>
              </w:tc>
              <w:tc>
                <w:tcPr>
                  <w:tcW w:w="1823" w:type="pct"/>
                  <w:vAlign w:val="center"/>
                </w:tcPr>
                <w:p w14:paraId="1EE33AC2">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（一）本项目</w:t>
                  </w:r>
                  <w:r>
                    <w:rPr>
                      <w:rFonts w:hint="eastAsia" w:cs="Times New Roman"/>
                      <w:color w:val="000000" w:themeColor="text1"/>
                      <w:kern w:val="0"/>
                      <w:szCs w:val="21"/>
                      <w:lang w:val="en-US" w:eastAsia="zh-CN"/>
                      <w14:textFill>
                        <w14:solidFill>
                          <w14:schemeClr w14:val="tx1"/>
                        </w14:solidFill>
                      </w14:textFill>
                    </w:rPr>
                    <w:t>运营期不排放废水，施工期</w:t>
                  </w:r>
                  <w:r>
                    <w:rPr>
                      <w:rFonts w:hint="default" w:ascii="Times New Roman" w:hAnsi="Times New Roman" w:eastAsia="宋体" w:cs="Times New Roman"/>
                      <w:color w:val="000000" w:themeColor="text1"/>
                      <w:kern w:val="0"/>
                      <w:szCs w:val="21"/>
                      <w14:textFill>
                        <w14:solidFill>
                          <w14:schemeClr w14:val="tx1"/>
                        </w14:solidFill>
                      </w14:textFill>
                    </w:rPr>
                    <w:t>生活污水</w:t>
                  </w:r>
                  <w:r>
                    <w:rPr>
                      <w:rFonts w:hint="eastAsia" w:cs="Times New Roman"/>
                      <w:color w:val="000000" w:themeColor="text1"/>
                      <w:kern w:val="0"/>
                      <w:szCs w:val="21"/>
                      <w:lang w:val="en-US" w:eastAsia="zh-CN"/>
                      <w14:textFill>
                        <w14:solidFill>
                          <w14:schemeClr w14:val="tx1"/>
                        </w14:solidFill>
                      </w14:textFill>
                    </w:rPr>
                    <w:t>处理后</w:t>
                  </w:r>
                  <w:r>
                    <w:rPr>
                      <w:rFonts w:hint="default" w:ascii="Times New Roman" w:hAnsi="Times New Roman" w:eastAsia="宋体" w:cs="Times New Roman"/>
                      <w:color w:val="000000" w:themeColor="text1"/>
                      <w:kern w:val="0"/>
                      <w:szCs w:val="21"/>
                      <w14:textFill>
                        <w14:solidFill>
                          <w14:schemeClr w14:val="tx1"/>
                        </w14:solidFill>
                      </w14:textFill>
                    </w:rPr>
                    <w:t>用作农肥，不会污染周边地表水体；</w:t>
                  </w:r>
                </w:p>
                <w:p w14:paraId="0E51E212">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（二）本项目不涉及排放油类、酸液、碱液或者有毒废液；</w:t>
                  </w:r>
                </w:p>
                <w:p w14:paraId="765A8BDA">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（三）本项目不涉及在水体清洗装贮过油类或者有毒污染物的车辆和容器；</w:t>
                  </w:r>
                </w:p>
                <w:p w14:paraId="0AB416B2">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（四）本项目不涉及向水体排放、倾倒废水、含病原体的污水、放射性固体废物；</w:t>
                  </w:r>
                </w:p>
                <w:p w14:paraId="39D75EBD">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（五）本项目不涉及向水体排放、倾倒工业废渣、城镇垃圾和医疗垃圾等其他废弃物；</w:t>
                  </w:r>
                </w:p>
                <w:p w14:paraId="165A5BB8">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（六）本项目不涉及将含有汞、镉、砷、铬、铅、氰化物、黄磷等的可溶性剧毒废渣向水体排放、倾倒或者直接埋入地下；</w:t>
                  </w:r>
                </w:p>
                <w:p w14:paraId="237D5A44">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（七）本项目不涉及船舶向水体倾倒垃圾或者排放含油污水、生活污水；</w:t>
                  </w:r>
                </w:p>
                <w:p w14:paraId="1AFCB3EE">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（八）本项目不涉及设置易溶性、有毒有害废弃物和危险废物的暂存和转运场所；不涉及设置生活垃圾和工业固体废物的处置场所，生活垃圾转运站和工业固体废物暂存场所应当设置防护设施；</w:t>
                  </w:r>
                </w:p>
                <w:p w14:paraId="6B8F610A">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（九）本项目不涉及通行装载剧毒化学品或者危险废物的船舶、车辆；不涉及装载其他危险品的船舶、车辆确需驶入饮用水水源保护区内；</w:t>
                  </w:r>
                </w:p>
                <w:p w14:paraId="768AA395">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（十）本项目不涉及矿产勘查、开采等活动；</w:t>
                  </w:r>
                </w:p>
                <w:p w14:paraId="3FB27B26">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（十一）本项目禁止非更新性、非抚育性采伐和破坏饮用水水源涵养林、护岸林和其他植被。</w:t>
                  </w:r>
                </w:p>
              </w:tc>
              <w:tc>
                <w:tcPr>
                  <w:tcW w:w="340" w:type="pct"/>
                  <w:tcBorders>
                    <w:right w:val="single" w:color="auto" w:sz="4" w:space="0"/>
                  </w:tcBorders>
                  <w:vAlign w:val="center"/>
                </w:tcPr>
                <w:p w14:paraId="3D2B2990">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r w14:paraId="5641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01" w:type="pct"/>
                  <w:vMerge w:val="continue"/>
                  <w:tcBorders>
                    <w:left w:val="single" w:color="auto" w:sz="4" w:space="0"/>
                  </w:tcBorders>
                  <w:vAlign w:val="center"/>
                </w:tcPr>
                <w:p w14:paraId="0A761A5B">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322" w:type="pct"/>
                  <w:vAlign w:val="center"/>
                </w:tcPr>
                <w:p w14:paraId="6FDDDA97">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第十八条</w:t>
                  </w:r>
                </w:p>
              </w:tc>
              <w:tc>
                <w:tcPr>
                  <w:tcW w:w="2212" w:type="pct"/>
                  <w:vAlign w:val="center"/>
                </w:tcPr>
                <w:p w14:paraId="2D17C246">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地表水饮用水水源二级保护区内，除遵守本条例第十七条规定外，还应当遵守下列规定：</w:t>
                  </w:r>
                </w:p>
                <w:p w14:paraId="0384D52B">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（一）禁止新建、改建、扩建排放污染物的建设项目；已建成的排放污染物的建设项目，由县级以上地方人民政府责令拆除或者关闭；</w:t>
                  </w:r>
                </w:p>
                <w:p w14:paraId="19F28F04">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（二）禁止从事经营性取土和采石（砂）等活动；</w:t>
                  </w:r>
                </w:p>
                <w:p w14:paraId="09654F5E">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（三）禁止围水造田；</w:t>
                  </w:r>
                </w:p>
                <w:p w14:paraId="0EA2847F">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（四）禁止使用农药；禁止丢弃农药、农药包装物或者清洗施药器械；限制使用化肥；</w:t>
                  </w:r>
                </w:p>
                <w:p w14:paraId="0BC1AA39">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（五）禁止修建墓地；</w:t>
                  </w:r>
                </w:p>
                <w:p w14:paraId="1FABF505">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（六）禁止丢弃及掩埋动物尸体；</w:t>
                  </w:r>
                </w:p>
                <w:p w14:paraId="22E39005">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（七）禁止从事网箱养殖、施肥养鱼和超标准养殖等污染饮用水水体的活动；</w:t>
                  </w:r>
                </w:p>
                <w:p w14:paraId="0F18C312">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（八）从事旅游等活动的，应当按照规定采取措施，防止污染饮用水水体；</w:t>
                  </w:r>
                </w:p>
                <w:p w14:paraId="4400464E">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（九）道路、桥梁、码头及其他可能威胁饮用水水源安全的设施或者装置，应当设置独立的污染物收集、排放和处理系统及隔离设施。</w:t>
                  </w:r>
                </w:p>
              </w:tc>
              <w:tc>
                <w:tcPr>
                  <w:tcW w:w="1823" w:type="pct"/>
                  <w:vAlign w:val="center"/>
                </w:tcPr>
                <w:p w14:paraId="59960416">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（一）本项目</w:t>
                  </w:r>
                  <w:r>
                    <w:rPr>
                      <w:rFonts w:hint="eastAsia" w:cs="Times New Roman"/>
                      <w:color w:val="000000" w:themeColor="text1"/>
                      <w:kern w:val="0"/>
                      <w:szCs w:val="21"/>
                      <w:lang w:val="en-US" w:eastAsia="zh-CN"/>
                      <w14:textFill>
                        <w14:solidFill>
                          <w14:schemeClr w14:val="tx1"/>
                        </w14:solidFill>
                      </w14:textFill>
                    </w:rPr>
                    <w:t>不涉及</w:t>
                  </w:r>
                  <w:r>
                    <w:rPr>
                      <w:rFonts w:hint="default" w:ascii="Times New Roman" w:hAnsi="Times New Roman" w:eastAsia="宋体" w:cs="Times New Roman"/>
                      <w:color w:val="000000" w:themeColor="text1"/>
                      <w:kern w:val="0"/>
                      <w:szCs w:val="21"/>
                      <w14:textFill>
                        <w14:solidFill>
                          <w14:schemeClr w14:val="tx1"/>
                        </w14:solidFill>
                      </w14:textFill>
                    </w:rPr>
                    <w:t>地表水饮用水水源二级保护区，</w:t>
                  </w:r>
                  <w:r>
                    <w:rPr>
                      <w:rFonts w:hint="eastAsia" w:cs="Times New Roman"/>
                      <w:color w:val="000000" w:themeColor="text1"/>
                      <w:kern w:val="0"/>
                      <w:szCs w:val="21"/>
                      <w:lang w:val="en-US" w:eastAsia="zh-CN"/>
                      <w14:textFill>
                        <w14:solidFill>
                          <w14:schemeClr w14:val="tx1"/>
                        </w14:solidFill>
                      </w14:textFill>
                    </w:rPr>
                    <w:t>运营期</w:t>
                  </w:r>
                  <w:r>
                    <w:rPr>
                      <w:rFonts w:hint="default" w:ascii="Times New Roman" w:hAnsi="Times New Roman" w:eastAsia="宋体" w:cs="Times New Roman"/>
                      <w:color w:val="000000" w:themeColor="text1"/>
                      <w:kern w:val="0"/>
                      <w:szCs w:val="21"/>
                      <w14:textFill>
                        <w14:solidFill>
                          <w14:schemeClr w14:val="tx1"/>
                        </w14:solidFill>
                      </w14:textFill>
                    </w:rPr>
                    <w:t>不涉及</w:t>
                  </w:r>
                  <w:r>
                    <w:rPr>
                      <w:rFonts w:hint="eastAsia" w:cs="Times New Roman"/>
                      <w:color w:val="000000" w:themeColor="text1"/>
                      <w:kern w:val="0"/>
                      <w:szCs w:val="21"/>
                      <w:lang w:val="en-US" w:eastAsia="zh-CN"/>
                      <w14:textFill>
                        <w14:solidFill>
                          <w14:schemeClr w14:val="tx1"/>
                        </w14:solidFill>
                      </w14:textFill>
                    </w:rPr>
                    <w:t>水污染物</w:t>
                  </w:r>
                  <w:r>
                    <w:rPr>
                      <w:rFonts w:hint="default" w:ascii="Times New Roman" w:hAnsi="Times New Roman" w:eastAsia="宋体" w:cs="Times New Roman"/>
                      <w:color w:val="000000" w:themeColor="text1"/>
                      <w:kern w:val="0"/>
                      <w:szCs w:val="21"/>
                      <w14:textFill>
                        <w14:solidFill>
                          <w14:schemeClr w14:val="tx1"/>
                        </w14:solidFill>
                      </w14:textFill>
                    </w:rPr>
                    <w:t>排放；</w:t>
                  </w:r>
                </w:p>
                <w:p w14:paraId="6B27B374">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（二）本项目不涉及取土和采石（砂）等活动；</w:t>
                  </w:r>
                </w:p>
                <w:p w14:paraId="6D1C65D2">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（三）本项目不涉及围水造田；</w:t>
                  </w:r>
                </w:p>
                <w:p w14:paraId="757B0CB7">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（四）本项目不涉及使用农药；禁止丢弃农药、农药包装物或者清洗施药器械；限制使用化肥；</w:t>
                  </w:r>
                </w:p>
                <w:p w14:paraId="0CA3CA2F">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（五）本项目不涉及修建墓地；</w:t>
                  </w:r>
                </w:p>
                <w:p w14:paraId="029030BD">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（六）本项目不涉及丢弃及掩埋动物尸体；</w:t>
                  </w:r>
                </w:p>
                <w:p w14:paraId="70AA76F5">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（七）本项目不涉及网箱养殖、施肥养鱼和超标准养殖等污染饮用水水体的活动；</w:t>
                  </w:r>
                </w:p>
                <w:p w14:paraId="56A28CF7">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（八）本项目不涉及从事旅游等活动；</w:t>
                  </w:r>
                </w:p>
                <w:p w14:paraId="3506C928">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（九）本项目不涉及道路、桥梁、码头及其他可能威胁饮用水水源安全的设施或者装置。</w:t>
                  </w:r>
                </w:p>
              </w:tc>
              <w:tc>
                <w:tcPr>
                  <w:tcW w:w="340" w:type="pct"/>
                  <w:tcBorders>
                    <w:right w:val="single" w:color="auto" w:sz="4" w:space="0"/>
                  </w:tcBorders>
                  <w:vAlign w:val="center"/>
                </w:tcPr>
                <w:p w14:paraId="605FCCCF">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r w14:paraId="2FE2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01" w:type="pct"/>
                  <w:vMerge w:val="continue"/>
                  <w:tcBorders>
                    <w:left w:val="single" w:color="auto" w:sz="4" w:space="0"/>
                    <w:bottom w:val="single" w:color="auto" w:sz="4" w:space="0"/>
                  </w:tcBorders>
                  <w:vAlign w:val="center"/>
                </w:tcPr>
                <w:p w14:paraId="19A015A1">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322" w:type="pct"/>
                  <w:tcBorders>
                    <w:bottom w:val="single" w:color="auto" w:sz="4" w:space="0"/>
                  </w:tcBorders>
                  <w:vAlign w:val="center"/>
                </w:tcPr>
                <w:p w14:paraId="2D6A89A5">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第十九条</w:t>
                  </w:r>
                </w:p>
              </w:tc>
              <w:tc>
                <w:tcPr>
                  <w:tcW w:w="2212" w:type="pct"/>
                  <w:tcBorders>
                    <w:bottom w:val="single" w:color="auto" w:sz="4" w:space="0"/>
                  </w:tcBorders>
                  <w:vAlign w:val="center"/>
                </w:tcPr>
                <w:p w14:paraId="6B2F55B5">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地表水饮用水水源一级保护区内，除遵守本条例第十七条和第十八条规定外，还应当遵守下列规定：</w:t>
                  </w:r>
                </w:p>
                <w:p w14:paraId="11F7E7A2">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（一）禁止新建、改建、扩建与供水设施和保护水源无关的建设项目；已建成的与供水设施和保护水源无关的建设项目，由县级以上地方人民政府责令拆除或者关闭；</w:t>
                  </w:r>
                </w:p>
                <w:p w14:paraId="6E7DF476">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（二）禁止使用化肥；</w:t>
                  </w:r>
                </w:p>
                <w:p w14:paraId="71183F10">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（三）禁止设置畜禽养殖场；</w:t>
                  </w:r>
                </w:p>
                <w:p w14:paraId="4A382DBE">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（四）禁止与保护水源无关的船舶停靠、装卸；</w:t>
                  </w:r>
                </w:p>
                <w:p w14:paraId="683F9F46">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（五）禁止在水体清洗机动车辆；</w:t>
                  </w:r>
                </w:p>
                <w:p w14:paraId="6BCE24AE">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（六）禁止从事旅游、游泳、垂钓或者其他污染饮用水水体的活动。</w:t>
                  </w:r>
                </w:p>
              </w:tc>
              <w:tc>
                <w:tcPr>
                  <w:tcW w:w="1823" w:type="pct"/>
                  <w:tcBorders>
                    <w:bottom w:val="single" w:color="auto" w:sz="4" w:space="0"/>
                  </w:tcBorders>
                  <w:vAlign w:val="center"/>
                </w:tcPr>
                <w:p w14:paraId="5E6228C3">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（一）本项目为自来水生产项目，属于供水设施；</w:t>
                  </w:r>
                </w:p>
                <w:p w14:paraId="76C29CEC">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（二）本项目不涉及使用化肥；</w:t>
                  </w:r>
                </w:p>
                <w:p w14:paraId="230B1301">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（三）本项目不属于畜禽养殖场；</w:t>
                  </w:r>
                </w:p>
                <w:p w14:paraId="7AE4DE35">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（四）本项目不涉及与保护水源无关的船舶停靠、装卸；</w:t>
                  </w:r>
                </w:p>
                <w:p w14:paraId="392D9715">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（五）本项目不涉及在水体清洗机动车辆；</w:t>
                  </w:r>
                </w:p>
                <w:p w14:paraId="2509D5F9">
                  <w:pPr>
                    <w:pStyle w:val="47"/>
                    <w:spacing w:after="0" w:line="276"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（六）本项目不涉及从事旅游、游泳、垂钓或者其他污染饮用水水体的活动。</w:t>
                  </w:r>
                </w:p>
              </w:tc>
              <w:tc>
                <w:tcPr>
                  <w:tcW w:w="340" w:type="pct"/>
                  <w:tcBorders>
                    <w:bottom w:val="single" w:color="auto" w:sz="4" w:space="0"/>
                    <w:right w:val="single" w:color="auto" w:sz="4" w:space="0"/>
                  </w:tcBorders>
                  <w:vAlign w:val="center"/>
                </w:tcPr>
                <w:p w14:paraId="05628707">
                  <w:pPr>
                    <w:pStyle w:val="47"/>
                    <w:spacing w:after="0" w:line="276"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bl>
          <w:p w14:paraId="4977C9D1">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10</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、与《中华人民共和国长江保护法》符合性分析</w:t>
            </w:r>
          </w:p>
          <w:p w14:paraId="72BE90D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本项目与《中华人民共和国长江保护法》符合性分析详见下表。</w:t>
            </w:r>
          </w:p>
          <w:p w14:paraId="64B03BBB">
            <w:pPr>
              <w:pStyle w:val="166"/>
              <w:numPr>
                <w:ilvl w:val="0"/>
                <w:numId w:val="7"/>
              </w:numPr>
              <w:spacing w:line="360" w:lineRule="auto"/>
              <w:ind w:left="0" w:right="0" w:rightChars="0" w:firstLine="0"/>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本项目与《中华人民共和国长江保护法》符合性分析一览表</w:t>
            </w:r>
          </w:p>
          <w:tbl>
            <w:tblPr>
              <w:tblStyle w:val="56"/>
              <w:tblW w:w="814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1"/>
              <w:gridCol w:w="5809"/>
              <w:gridCol w:w="1183"/>
              <w:gridCol w:w="782"/>
            </w:tblGrid>
            <w:tr w14:paraId="03711E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8" w:type="pct"/>
                  <w:tcBorders>
                    <w:top w:val="single" w:color="auto" w:sz="4" w:space="0"/>
                    <w:left w:val="single" w:color="auto" w:sz="0" w:space="0"/>
                  </w:tcBorders>
                  <w:shd w:val="clear" w:color="auto" w:fill="DCE6F2"/>
                  <w:noWrap w:val="0"/>
                  <w:vAlign w:val="center"/>
                </w:tcPr>
                <w:p w14:paraId="40F2C1E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序号</w:t>
                  </w:r>
                </w:p>
              </w:tc>
              <w:tc>
                <w:tcPr>
                  <w:tcW w:w="3565" w:type="pct"/>
                  <w:tcBorders>
                    <w:top w:val="single" w:color="auto" w:sz="4" w:space="0"/>
                  </w:tcBorders>
                  <w:shd w:val="clear" w:color="auto" w:fill="DCE6F2"/>
                  <w:noWrap w:val="0"/>
                  <w:vAlign w:val="center"/>
                </w:tcPr>
                <w:p w14:paraId="42F02F3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文件要求</w:t>
                  </w:r>
                </w:p>
              </w:tc>
              <w:tc>
                <w:tcPr>
                  <w:tcW w:w="726" w:type="pct"/>
                  <w:tcBorders>
                    <w:top w:val="single" w:color="auto" w:sz="4" w:space="0"/>
                  </w:tcBorders>
                  <w:shd w:val="clear" w:color="auto" w:fill="DCE6F2"/>
                  <w:noWrap w:val="0"/>
                  <w:vAlign w:val="center"/>
                </w:tcPr>
                <w:p w14:paraId="096B587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本项目情况</w:t>
                  </w:r>
                </w:p>
              </w:tc>
              <w:tc>
                <w:tcPr>
                  <w:tcW w:w="480" w:type="pct"/>
                  <w:tcBorders>
                    <w:top w:val="single" w:color="auto" w:sz="4" w:space="0"/>
                    <w:right w:val="single" w:color="auto" w:sz="4" w:space="0"/>
                  </w:tcBorders>
                  <w:shd w:val="clear" w:color="auto" w:fill="DCE6F2"/>
                  <w:noWrap w:val="0"/>
                  <w:vAlign w:val="center"/>
                </w:tcPr>
                <w:p w14:paraId="70389C5A">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符合性</w:t>
                  </w:r>
                </w:p>
              </w:tc>
            </w:tr>
            <w:tr w14:paraId="64E65B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8" w:type="pct"/>
                  <w:tcBorders>
                    <w:left w:val="single" w:color="auto" w:sz="4" w:space="0"/>
                  </w:tcBorders>
                  <w:noWrap w:val="0"/>
                  <w:vAlign w:val="center"/>
                </w:tcPr>
                <w:p w14:paraId="360BB88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1</w:t>
                  </w:r>
                </w:p>
              </w:tc>
              <w:tc>
                <w:tcPr>
                  <w:tcW w:w="3565" w:type="pct"/>
                  <w:noWrap w:val="0"/>
                  <w:vAlign w:val="center"/>
                </w:tcPr>
                <w:p w14:paraId="0F29F1B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二十六条：国家对长江流域河湖岸线实施特殊管制。国家长江流域协调机制统筹协调国务院自然资源、水行政、生态环境、住房和城乡建设、农业农村、交通运输、林业和草原等部门和长江流域省级人民政府划定河湖岸线保护范围，制定河湖岸线保护规划，严格控制岸线开发建设，促进岸线合理高效利用。</w:t>
                  </w:r>
                </w:p>
                <w:p w14:paraId="05795BF0">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禁止在长江干支流岸线一公里范围内新建、扩建化工园区和化工项目。</w:t>
                  </w:r>
                </w:p>
                <w:p w14:paraId="5C7FB72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禁止在长江干流岸线三公里范围内和重要支流岸线一公里范围内新建、改建、扩建尾矿库；但是以提升安全、生态环境保护水平为目的的改建除外。</w:t>
                  </w:r>
                </w:p>
              </w:tc>
              <w:tc>
                <w:tcPr>
                  <w:tcW w:w="726" w:type="pct"/>
                  <w:noWrap w:val="0"/>
                  <w:vAlign w:val="center"/>
                </w:tcPr>
                <w:p w14:paraId="1AD7FA0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本项目不属于化工项目，不属于尾矿库项目</w:t>
                  </w:r>
                </w:p>
              </w:tc>
              <w:tc>
                <w:tcPr>
                  <w:tcW w:w="480" w:type="pct"/>
                  <w:tcBorders>
                    <w:right w:val="single" w:color="auto" w:sz="4" w:space="0"/>
                  </w:tcBorders>
                  <w:noWrap w:val="0"/>
                  <w:vAlign w:val="center"/>
                </w:tcPr>
                <w:p w14:paraId="22E1F48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27BF0C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8" w:type="pct"/>
                  <w:tcBorders>
                    <w:left w:val="single" w:color="auto" w:sz="4" w:space="0"/>
                    <w:bottom w:val="single" w:color="auto" w:sz="4" w:space="0"/>
                  </w:tcBorders>
                  <w:noWrap w:val="0"/>
                  <w:vAlign w:val="center"/>
                </w:tcPr>
                <w:p w14:paraId="02C67C2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2</w:t>
                  </w:r>
                </w:p>
              </w:tc>
              <w:tc>
                <w:tcPr>
                  <w:tcW w:w="3565" w:type="pct"/>
                  <w:tcBorders>
                    <w:bottom w:val="single" w:color="auto" w:sz="4" w:space="0"/>
                  </w:tcBorders>
                  <w:noWrap w:val="0"/>
                  <w:vAlign w:val="center"/>
                </w:tcPr>
                <w:p w14:paraId="557AEB9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五十五条：国家长江流域协调机制统筹协调国务院自然资源、水行政、生态环境、住房和城乡建设、农业农村、交通运输、林业和草原等部门和长江流域省级人民政府制定长江流域河湖岸线修复规范，确定岸线修复指标。</w:t>
                  </w:r>
                </w:p>
                <w:p w14:paraId="5E69349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长江流域县级以上地方人民政府按照长江流域河湖岸线保护规划、修复规范和指标要求，制定并组织实施河湖岸线修复计划，保障自然岸线比例，恢复河湖岸线生态功能。</w:t>
                  </w:r>
                </w:p>
                <w:p w14:paraId="3C5B971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禁止违法利用、占用长江流域河湖岸线。</w:t>
                  </w:r>
                </w:p>
              </w:tc>
              <w:tc>
                <w:tcPr>
                  <w:tcW w:w="726" w:type="pct"/>
                  <w:tcBorders>
                    <w:bottom w:val="single" w:color="auto" w:sz="4" w:space="0"/>
                  </w:tcBorders>
                  <w:noWrap w:val="0"/>
                  <w:vAlign w:val="center"/>
                </w:tcPr>
                <w:p w14:paraId="1F6ABDF0">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本项目不涉及违法利用、不占用长江流域河湖岸线。</w:t>
                  </w:r>
                </w:p>
              </w:tc>
              <w:tc>
                <w:tcPr>
                  <w:tcW w:w="480" w:type="pct"/>
                  <w:tcBorders>
                    <w:bottom w:val="single" w:color="auto" w:sz="4" w:space="0"/>
                    <w:right w:val="single" w:color="auto" w:sz="4" w:space="0"/>
                  </w:tcBorders>
                  <w:noWrap w:val="0"/>
                  <w:vAlign w:val="center"/>
                </w:tcPr>
                <w:p w14:paraId="799E1C9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bl>
          <w:p w14:paraId="67668D45">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综上，本项目与《中华人民共和国长江保护法》相符。</w:t>
            </w:r>
          </w:p>
          <w:p w14:paraId="5615B6D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、与《中华人民共和国河道管理条例》</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（2026年修订）</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符合性分析</w:t>
            </w:r>
          </w:p>
          <w:p w14:paraId="5DF3EDD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本项目与《中华人民共和国河道管理条例》符合性分析详见下表。</w:t>
            </w:r>
          </w:p>
          <w:p w14:paraId="7CFF2C88">
            <w:pPr>
              <w:pStyle w:val="166"/>
              <w:numPr>
                <w:ilvl w:val="0"/>
                <w:numId w:val="7"/>
              </w:numPr>
              <w:spacing w:line="240" w:lineRule="auto"/>
              <w:ind w:left="0" w:right="0" w:rightChars="0" w:firstLine="0"/>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与《中华人民共和国河道管理条例》符合性分析一览表</w:t>
            </w:r>
          </w:p>
          <w:tbl>
            <w:tblPr>
              <w:tblStyle w:val="5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3"/>
              <w:gridCol w:w="4599"/>
              <w:gridCol w:w="2076"/>
              <w:gridCol w:w="886"/>
            </w:tblGrid>
            <w:tr w14:paraId="5CC99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tcBorders>
                    <w:top w:val="single" w:color="auto" w:sz="4" w:space="0"/>
                    <w:left w:val="single" w:color="auto" w:sz="0" w:space="0"/>
                  </w:tcBorders>
                  <w:shd w:val="clear" w:color="auto" w:fill="DCE6F2"/>
                  <w:noWrap w:val="0"/>
                  <w:vAlign w:val="center"/>
                </w:tcPr>
                <w:p w14:paraId="42C4F3A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序号</w:t>
                  </w:r>
                </w:p>
              </w:tc>
              <w:tc>
                <w:tcPr>
                  <w:tcW w:w="2795" w:type="pct"/>
                  <w:tcBorders>
                    <w:top w:val="single" w:color="auto" w:sz="4" w:space="0"/>
                  </w:tcBorders>
                  <w:shd w:val="clear" w:color="auto" w:fill="DCE6F2"/>
                  <w:noWrap w:val="0"/>
                  <w:vAlign w:val="center"/>
                </w:tcPr>
                <w:p w14:paraId="70BD731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文件要求</w:t>
                  </w:r>
                </w:p>
              </w:tc>
              <w:tc>
                <w:tcPr>
                  <w:tcW w:w="1262" w:type="pct"/>
                  <w:tcBorders>
                    <w:top w:val="single" w:color="auto" w:sz="4" w:space="0"/>
                  </w:tcBorders>
                  <w:shd w:val="clear" w:color="auto" w:fill="DCE6F2"/>
                  <w:noWrap w:val="0"/>
                  <w:vAlign w:val="center"/>
                </w:tcPr>
                <w:p w14:paraId="443B828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本项目情况</w:t>
                  </w:r>
                </w:p>
              </w:tc>
              <w:tc>
                <w:tcPr>
                  <w:tcW w:w="538" w:type="pct"/>
                  <w:tcBorders>
                    <w:top w:val="single" w:color="auto" w:sz="4" w:space="0"/>
                    <w:right w:val="single" w:color="auto" w:sz="4" w:space="0"/>
                  </w:tcBorders>
                  <w:shd w:val="clear" w:color="auto" w:fill="DCE6F2"/>
                  <w:noWrap w:val="0"/>
                  <w:vAlign w:val="center"/>
                </w:tcPr>
                <w:p w14:paraId="7345A15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符合性</w:t>
                  </w:r>
                </w:p>
              </w:tc>
            </w:tr>
            <w:tr w14:paraId="159710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403" w:type="pct"/>
                  <w:tcBorders>
                    <w:left w:val="single" w:color="auto" w:sz="4" w:space="0"/>
                  </w:tcBorders>
                  <w:noWrap w:val="0"/>
                  <w:vAlign w:val="center"/>
                </w:tcPr>
                <w:p w14:paraId="117BCD0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1</w:t>
                  </w:r>
                </w:p>
              </w:tc>
              <w:tc>
                <w:tcPr>
                  <w:tcW w:w="2795" w:type="pct"/>
                  <w:noWrap w:val="0"/>
                  <w:vAlign w:val="center"/>
                </w:tcPr>
                <w:p w14:paraId="7B47BA22">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第十条：河道的整治与建设，应当服从流域综合规划，符合国家规定的防洪标准、通航标准和其他有关技术要求，维护堤防安全，保持河势稳定和行洪、航运通畅</w:t>
                  </w:r>
                  <w:r>
                    <w:rPr>
                      <w:rFonts w:hint="eastAsia"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t>。</w:t>
                  </w:r>
                </w:p>
              </w:tc>
              <w:tc>
                <w:tcPr>
                  <w:tcW w:w="1262" w:type="pct"/>
                  <w:noWrap w:val="0"/>
                  <w:vAlign w:val="center"/>
                </w:tcPr>
                <w:p w14:paraId="6E0468B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本项目符合国家规定的防洪标准，保持河势稳定，不影响航运。</w:t>
                  </w:r>
                </w:p>
              </w:tc>
              <w:tc>
                <w:tcPr>
                  <w:tcW w:w="538" w:type="pct"/>
                  <w:tcBorders>
                    <w:right w:val="single" w:color="auto" w:sz="4" w:space="0"/>
                  </w:tcBorders>
                  <w:noWrap w:val="0"/>
                  <w:vAlign w:val="center"/>
                </w:tcPr>
                <w:p w14:paraId="37ABA88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32BA4E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tcBorders>
                    <w:left w:val="single" w:color="auto" w:sz="4" w:space="0"/>
                    <w:bottom w:val="single" w:color="auto" w:sz="4" w:space="0"/>
                  </w:tcBorders>
                  <w:noWrap w:val="0"/>
                  <w:vAlign w:val="center"/>
                </w:tcPr>
                <w:p w14:paraId="356A4A4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2</w:t>
                  </w:r>
                </w:p>
              </w:tc>
              <w:tc>
                <w:tcPr>
                  <w:tcW w:w="2795" w:type="pct"/>
                  <w:tcBorders>
                    <w:bottom w:val="single" w:color="auto" w:sz="4" w:space="0"/>
                  </w:tcBorders>
                  <w:noWrap w:val="0"/>
                  <w:vAlign w:val="center"/>
                </w:tcPr>
                <w:p w14:paraId="21E4CC48">
                  <w:pPr>
                    <w:keepNext w:val="0"/>
                    <w:keepLines w:val="0"/>
                    <w:pageBreakBefore w:val="0"/>
                    <w:widowControl w:val="0"/>
                    <w:kinsoku/>
                    <w:wordWrap/>
                    <w:overflowPunct/>
                    <w:topLinePunct w:val="0"/>
                    <w:autoSpaceDE w:val="0"/>
                    <w:autoSpaceDN w:val="0"/>
                    <w:bidi w:val="0"/>
                    <w:adjustRightInd w:val="0"/>
                    <w:snapToGrid w:val="0"/>
                    <w:spacing w:line="280" w:lineRule="exact"/>
                    <w:jc w:val="left"/>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w:t>
                  </w:r>
                  <w:r>
                    <w:rPr>
                      <w:rFonts w:hint="eastAsia"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二十五</w:t>
                  </w: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条：在河道管理范围内进行下列活动，必须报经河道主管机关批准；涉及其他部门的，由河道主管机关会同有关部门批准：</w:t>
                  </w:r>
                </w:p>
                <w:p w14:paraId="6892DBE0">
                  <w:pPr>
                    <w:keepNext w:val="0"/>
                    <w:keepLines w:val="0"/>
                    <w:pageBreakBefore w:val="0"/>
                    <w:widowControl w:val="0"/>
                    <w:kinsoku/>
                    <w:wordWrap/>
                    <w:overflowPunct/>
                    <w:topLinePunct w:val="0"/>
                    <w:autoSpaceDE w:val="0"/>
                    <w:autoSpaceDN w:val="0"/>
                    <w:bidi w:val="0"/>
                    <w:adjustRightInd w:val="0"/>
                    <w:snapToGrid w:val="0"/>
                    <w:spacing w:line="280" w:lineRule="exact"/>
                    <w:jc w:val="left"/>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（一）采砂、取土、淘金、弃置砂石或者淤泥；</w:t>
                  </w:r>
                </w:p>
                <w:p w14:paraId="4EB01C33">
                  <w:pPr>
                    <w:keepNext w:val="0"/>
                    <w:keepLines w:val="0"/>
                    <w:pageBreakBefore w:val="0"/>
                    <w:widowControl w:val="0"/>
                    <w:kinsoku/>
                    <w:wordWrap/>
                    <w:overflowPunct/>
                    <w:topLinePunct w:val="0"/>
                    <w:autoSpaceDE w:val="0"/>
                    <w:autoSpaceDN w:val="0"/>
                    <w:bidi w:val="0"/>
                    <w:adjustRightInd w:val="0"/>
                    <w:snapToGrid w:val="0"/>
                    <w:spacing w:line="280" w:lineRule="exact"/>
                    <w:jc w:val="left"/>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（二）爆破、钻探、挖筑鱼塘；</w:t>
                  </w:r>
                </w:p>
                <w:p w14:paraId="7553F542">
                  <w:pPr>
                    <w:keepNext w:val="0"/>
                    <w:keepLines w:val="0"/>
                    <w:pageBreakBefore w:val="0"/>
                    <w:widowControl w:val="0"/>
                    <w:kinsoku/>
                    <w:wordWrap/>
                    <w:overflowPunct/>
                    <w:topLinePunct w:val="0"/>
                    <w:autoSpaceDE w:val="0"/>
                    <w:autoSpaceDN w:val="0"/>
                    <w:bidi w:val="0"/>
                    <w:adjustRightInd w:val="0"/>
                    <w:snapToGrid w:val="0"/>
                    <w:spacing w:line="280" w:lineRule="exact"/>
                    <w:jc w:val="left"/>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（三）在河道滩地存放物料、修建厂房或者其他建筑设施；</w:t>
                  </w:r>
                </w:p>
                <w:p w14:paraId="3C1878F7">
                  <w:pPr>
                    <w:keepNext w:val="0"/>
                    <w:keepLines w:val="0"/>
                    <w:pageBreakBefore w:val="0"/>
                    <w:widowControl w:val="0"/>
                    <w:kinsoku/>
                    <w:wordWrap/>
                    <w:overflowPunct/>
                    <w:topLinePunct w:val="0"/>
                    <w:autoSpaceDE w:val="0"/>
                    <w:autoSpaceDN w:val="0"/>
                    <w:bidi w:val="0"/>
                    <w:adjustRightInd w:val="0"/>
                    <w:snapToGrid w:val="0"/>
                    <w:spacing w:line="280" w:lineRule="exact"/>
                    <w:jc w:val="left"/>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（四）在河道滩地开采地下资源及进行考古发掘。</w:t>
                  </w:r>
                </w:p>
              </w:tc>
              <w:tc>
                <w:tcPr>
                  <w:tcW w:w="1262" w:type="pct"/>
                  <w:tcBorders>
                    <w:bottom w:val="single" w:color="auto" w:sz="4" w:space="0"/>
                  </w:tcBorders>
                  <w:noWrap w:val="0"/>
                  <w:vAlign w:val="center"/>
                </w:tcPr>
                <w:p w14:paraId="7A3A6A0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w:t>
                  </w:r>
                  <w:r>
                    <w:rPr>
                      <w:rFonts w:hint="eastAsia" w:ascii="Times New Roman" w:hAnsi="Times New Roman" w:cs="Times New Roman"/>
                      <w:b w:val="0"/>
                      <w:bCs w:val="0"/>
                      <w:color w:val="000000" w:themeColor="text1"/>
                      <w:kern w:val="0"/>
                      <w:sz w:val="21"/>
                      <w:szCs w:val="21"/>
                      <w:vertAlign w:val="baseline"/>
                      <w:lang w:val="en-US" w:eastAsia="zh-CN" w:bidi="ar-SA"/>
                      <w14:textFill>
                        <w14:solidFill>
                          <w14:schemeClr w14:val="tx1"/>
                        </w14:solidFill>
                      </w14:textFill>
                    </w:rPr>
                    <w:t>已取得河道主管机关批准</w:t>
                  </w: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w:t>
                  </w:r>
                </w:p>
              </w:tc>
              <w:tc>
                <w:tcPr>
                  <w:tcW w:w="538" w:type="pct"/>
                  <w:tcBorders>
                    <w:bottom w:val="single" w:color="auto" w:sz="4" w:space="0"/>
                    <w:right w:val="single" w:color="auto" w:sz="4" w:space="0"/>
                  </w:tcBorders>
                  <w:noWrap w:val="0"/>
                  <w:vAlign w:val="center"/>
                </w:tcPr>
                <w:p w14:paraId="447E8A16">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bl>
          <w:p w14:paraId="6B51F9A7">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综上，本项目与《中华人民共和国河道管理条例》相符。</w:t>
            </w:r>
          </w:p>
          <w:p w14:paraId="0EC3AC3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1</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与《中华人民共和国野生动物保护法》（2022年12月30日第二次修订）符合性分析</w:t>
            </w:r>
          </w:p>
          <w:p w14:paraId="3ED7942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本项目与《中华人民共和国野生动物保护法》（2022年12月30日第二次修订）符合性分析详见下表。</w:t>
            </w:r>
          </w:p>
          <w:p w14:paraId="5871477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2A6E086E">
            <w:pPr>
              <w:pStyle w:val="166"/>
              <w:numPr>
                <w:ilvl w:val="0"/>
                <w:numId w:val="7"/>
              </w:numPr>
              <w:spacing w:line="360" w:lineRule="auto"/>
              <w:ind w:left="0" w:right="0" w:rightChars="0" w:firstLine="0"/>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与《中华人民共和国野生动物保护法》符合性分析一览表</w:t>
            </w:r>
          </w:p>
          <w:tbl>
            <w:tblPr>
              <w:tblStyle w:val="56"/>
              <w:tblW w:w="83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6"/>
              <w:gridCol w:w="3507"/>
              <w:gridCol w:w="3195"/>
              <w:gridCol w:w="959"/>
            </w:tblGrid>
            <w:tr w14:paraId="3C3E45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tcBorders>
                    <w:top w:val="single" w:color="auto" w:sz="4" w:space="0"/>
                    <w:left w:val="single" w:color="auto" w:sz="0" w:space="0"/>
                  </w:tcBorders>
                  <w:shd w:val="clear" w:color="auto" w:fill="DCE6F2"/>
                  <w:noWrap w:val="0"/>
                  <w:vAlign w:val="center"/>
                </w:tcPr>
                <w:p w14:paraId="1B527E16">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序号</w:t>
                  </w:r>
                </w:p>
              </w:tc>
              <w:tc>
                <w:tcPr>
                  <w:tcW w:w="2088" w:type="pct"/>
                  <w:tcBorders>
                    <w:top w:val="single" w:color="auto" w:sz="4" w:space="0"/>
                  </w:tcBorders>
                  <w:shd w:val="clear" w:color="auto" w:fill="DCE6F2"/>
                  <w:noWrap w:val="0"/>
                  <w:vAlign w:val="center"/>
                </w:tcPr>
                <w:p w14:paraId="718CDFE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文件要求</w:t>
                  </w:r>
                </w:p>
              </w:tc>
              <w:tc>
                <w:tcPr>
                  <w:tcW w:w="1902" w:type="pct"/>
                  <w:tcBorders>
                    <w:top w:val="single" w:color="auto" w:sz="4" w:space="0"/>
                  </w:tcBorders>
                  <w:shd w:val="clear" w:color="auto" w:fill="DCE6F2"/>
                  <w:noWrap w:val="0"/>
                  <w:vAlign w:val="center"/>
                </w:tcPr>
                <w:p w14:paraId="7F562DA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本项目情况</w:t>
                  </w:r>
                </w:p>
              </w:tc>
              <w:tc>
                <w:tcPr>
                  <w:tcW w:w="571" w:type="pct"/>
                  <w:tcBorders>
                    <w:top w:val="single" w:color="auto" w:sz="4" w:space="0"/>
                    <w:right w:val="single" w:color="auto" w:sz="4" w:space="0"/>
                  </w:tcBorders>
                  <w:shd w:val="clear" w:color="auto" w:fill="DCE6F2"/>
                  <w:noWrap w:val="0"/>
                  <w:vAlign w:val="center"/>
                </w:tcPr>
                <w:p w14:paraId="371EC8FD">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0"/>
                      <w:sz w:val="21"/>
                      <w:szCs w:val="21"/>
                      <w:vertAlign w:val="baseline"/>
                      <w:lang w:val="en-US" w:eastAsia="zh-CN" w:bidi="ar-SA"/>
                      <w14:textFill>
                        <w14:solidFill>
                          <w14:schemeClr w14:val="tx1"/>
                        </w14:solidFill>
                      </w14:textFill>
                    </w:rPr>
                    <w:t>符合性</w:t>
                  </w:r>
                </w:p>
              </w:tc>
            </w:tr>
            <w:tr w14:paraId="023DFE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tcBorders>
                    <w:left w:val="single" w:color="auto" w:sz="4" w:space="0"/>
                  </w:tcBorders>
                  <w:noWrap w:val="0"/>
                  <w:vAlign w:val="center"/>
                </w:tcPr>
                <w:p w14:paraId="3BC89240">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1</w:t>
                  </w:r>
                </w:p>
              </w:tc>
              <w:tc>
                <w:tcPr>
                  <w:tcW w:w="2088" w:type="pct"/>
                  <w:noWrap w:val="0"/>
                  <w:vAlign w:val="center"/>
                </w:tcPr>
                <w:p w14:paraId="648363B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第六条任何组织和个人有保护野生动物及其栖息地的义务。禁止违法猎捕、运输、交易野生动物，禁止破坏野生动物栖息地</w:t>
                  </w:r>
                </w:p>
              </w:tc>
              <w:tc>
                <w:tcPr>
                  <w:tcW w:w="1902" w:type="pct"/>
                  <w:noWrap w:val="0"/>
                  <w:vAlign w:val="center"/>
                </w:tcPr>
                <w:p w14:paraId="6F43BC3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本项目施工期及运营期将加强宣传、管理，禁止猎捕、运输、交易野生动物，优化施工布局，减少施工期对野生动物栖息地的影响</w:t>
                  </w:r>
                </w:p>
              </w:tc>
              <w:tc>
                <w:tcPr>
                  <w:tcW w:w="571" w:type="pct"/>
                  <w:tcBorders>
                    <w:right w:val="single" w:color="auto" w:sz="4" w:space="0"/>
                  </w:tcBorders>
                  <w:noWrap w:val="0"/>
                  <w:vAlign w:val="center"/>
                </w:tcPr>
                <w:p w14:paraId="47264DB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bookmarkStart w:id="5" w:name="OLE_LINK7"/>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bookmarkEnd w:id="5"/>
                </w:p>
              </w:tc>
            </w:tr>
            <w:tr w14:paraId="6674B3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tcBorders>
                    <w:left w:val="single" w:color="auto" w:sz="4" w:space="0"/>
                  </w:tcBorders>
                  <w:noWrap w:val="0"/>
                  <w:vAlign w:val="center"/>
                </w:tcPr>
                <w:p w14:paraId="0A31F0FF">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2</w:t>
                  </w:r>
                </w:p>
              </w:tc>
              <w:tc>
                <w:tcPr>
                  <w:tcW w:w="2088" w:type="pct"/>
                  <w:noWrap w:val="0"/>
                  <w:vAlign w:val="center"/>
                </w:tcPr>
                <w:p w14:paraId="4F699FF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第十二条禁止或者限制在自然保护地内引入外来物种、营造单一纯林、过量施洒农药等人为干扰、威胁野生动物生息繁衍的行为</w:t>
                  </w:r>
                </w:p>
              </w:tc>
              <w:tc>
                <w:tcPr>
                  <w:tcW w:w="1902" w:type="pct"/>
                  <w:noWrap w:val="0"/>
                  <w:vAlign w:val="center"/>
                </w:tcPr>
                <w:p w14:paraId="7D59912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本项目施工期迹地恢复采用本地物种，并尽量进行原样恢复，同时，要求运营期绿化应谨慎选择、使用物种，防止外来物种入侵且不涉及使用施洒农药</w:t>
                  </w:r>
                </w:p>
              </w:tc>
              <w:tc>
                <w:tcPr>
                  <w:tcW w:w="571" w:type="pct"/>
                  <w:tcBorders>
                    <w:right w:val="single" w:color="auto" w:sz="4" w:space="0"/>
                  </w:tcBorders>
                  <w:noWrap w:val="0"/>
                  <w:vAlign w:val="center"/>
                </w:tcPr>
                <w:p w14:paraId="23CBA2E6">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63EBB7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tcBorders>
                    <w:left w:val="single" w:color="auto" w:sz="4" w:space="0"/>
                  </w:tcBorders>
                  <w:noWrap w:val="0"/>
                  <w:vAlign w:val="center"/>
                </w:tcPr>
                <w:p w14:paraId="4FB426F9">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3</w:t>
                  </w:r>
                </w:p>
              </w:tc>
              <w:tc>
                <w:tcPr>
                  <w:tcW w:w="2088" w:type="pct"/>
                  <w:noWrap w:val="0"/>
                  <w:vAlign w:val="center"/>
                </w:tcPr>
                <w:p w14:paraId="3D0186C6">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十三条禁止在自然保护地建设法律法规规定不得建设的项目。机场、铁路、公路、航道、水利水电、风电、光伏发电、围堰、围填海等建设项目的选址选线，应当避让自然保护地以及其他野生动物重要栖息地、迁徙洄游通道；确实无法避让的，应当采取修建野生动物通道、过鱼设施等措施，消除或者减少对野生动物的不利影响</w:t>
                  </w:r>
                </w:p>
              </w:tc>
              <w:tc>
                <w:tcPr>
                  <w:tcW w:w="1902" w:type="pct"/>
                  <w:noWrap w:val="0"/>
                  <w:vAlign w:val="center"/>
                </w:tcPr>
                <w:p w14:paraId="302DAB87">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本项目不属于机场、铁路、公路、航道、水利水电、风电、光伏发电、围堰、围填海等建设项目，且本项目不涉及自然保护地</w:t>
                  </w:r>
                </w:p>
              </w:tc>
              <w:tc>
                <w:tcPr>
                  <w:tcW w:w="571" w:type="pct"/>
                  <w:tcBorders>
                    <w:right w:val="single" w:color="auto" w:sz="4" w:space="0"/>
                  </w:tcBorders>
                  <w:noWrap w:val="0"/>
                  <w:vAlign w:val="center"/>
                </w:tcPr>
                <w:p w14:paraId="61C9B02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7169DB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tcBorders>
                    <w:left w:val="single" w:color="auto" w:sz="4" w:space="0"/>
                  </w:tcBorders>
                  <w:noWrap w:val="0"/>
                  <w:vAlign w:val="center"/>
                </w:tcPr>
                <w:p w14:paraId="33A630F5">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4</w:t>
                  </w:r>
                </w:p>
              </w:tc>
              <w:tc>
                <w:tcPr>
                  <w:tcW w:w="2088" w:type="pct"/>
                  <w:noWrap w:val="0"/>
                  <w:vAlign w:val="center"/>
                </w:tcPr>
                <w:p w14:paraId="3A4598AE">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第二十一条禁止猎捕、杀害国家重点保护野生动物</w:t>
                  </w:r>
                </w:p>
              </w:tc>
              <w:tc>
                <w:tcPr>
                  <w:tcW w:w="1902" w:type="pct"/>
                  <w:vMerge w:val="restart"/>
                  <w:noWrap w:val="0"/>
                  <w:vAlign w:val="center"/>
                </w:tcPr>
                <w:p w14:paraId="3EFF4D71">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本项目施工期及运营期加强宣传、管理，禁止猎捕、食用、贩卖野生动物</w:t>
                  </w:r>
                </w:p>
              </w:tc>
              <w:tc>
                <w:tcPr>
                  <w:tcW w:w="571" w:type="pct"/>
                  <w:tcBorders>
                    <w:right w:val="single" w:color="auto" w:sz="4" w:space="0"/>
                  </w:tcBorders>
                  <w:noWrap w:val="0"/>
                  <w:vAlign w:val="center"/>
                </w:tcPr>
                <w:p w14:paraId="5EDDB92B">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r w14:paraId="39F514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8" w:type="pct"/>
                  <w:tcBorders>
                    <w:left w:val="single" w:color="auto" w:sz="4" w:space="0"/>
                    <w:bottom w:val="single" w:color="auto" w:sz="4" w:space="0"/>
                  </w:tcBorders>
                  <w:noWrap w:val="0"/>
                  <w:vAlign w:val="center"/>
                </w:tcPr>
                <w:p w14:paraId="28819463">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5</w:t>
                  </w:r>
                </w:p>
              </w:tc>
              <w:tc>
                <w:tcPr>
                  <w:tcW w:w="2088" w:type="pct"/>
                  <w:tcBorders>
                    <w:bottom w:val="single" w:color="auto" w:sz="4" w:space="0"/>
                  </w:tcBorders>
                  <w:noWrap w:val="0"/>
                  <w:vAlign w:val="center"/>
                </w:tcPr>
                <w:p w14:paraId="19722C3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第二十八条禁止出售、购买、利用国家重点保护野生动物及其制品</w:t>
                  </w:r>
                </w:p>
              </w:tc>
              <w:tc>
                <w:tcPr>
                  <w:tcW w:w="1902" w:type="pct"/>
                  <w:vMerge w:val="continue"/>
                  <w:tcBorders>
                    <w:bottom w:val="single" w:color="auto" w:sz="4" w:space="0"/>
                  </w:tcBorders>
                  <w:noWrap w:val="0"/>
                  <w:vAlign w:val="center"/>
                </w:tcPr>
                <w:p w14:paraId="62255604">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p>
              </w:tc>
              <w:tc>
                <w:tcPr>
                  <w:tcW w:w="571" w:type="pct"/>
                  <w:tcBorders>
                    <w:bottom w:val="single" w:color="auto" w:sz="4" w:space="0"/>
                    <w:right w:val="single" w:color="auto" w:sz="4" w:space="0"/>
                  </w:tcBorders>
                  <w:noWrap w:val="0"/>
                  <w:vAlign w:val="center"/>
                </w:tcPr>
                <w:p w14:paraId="2EF9C768">
                  <w:pPr>
                    <w:keepNext w:val="0"/>
                    <w:keepLines w:val="0"/>
                    <w:pageBreakBefore w:val="0"/>
                    <w:widowControl w:val="0"/>
                    <w:kinsoku/>
                    <w:wordWrap/>
                    <w:overflowPunct/>
                    <w:topLinePunct w:val="0"/>
                    <w:autoSpaceDE w:val="0"/>
                    <w:autoSpaceDN w:val="0"/>
                    <w:bidi w:val="0"/>
                    <w:adjustRightInd w:val="0"/>
                    <w:snapToGrid w:val="0"/>
                    <w:spacing w:line="280" w:lineRule="exact"/>
                    <w:jc w:val="center"/>
                    <w:textAlignment w:val="auto"/>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1"/>
                      <w:szCs w:val="21"/>
                      <w:vertAlign w:val="baseline"/>
                      <w:lang w:val="en-US" w:eastAsia="zh-CN" w:bidi="ar-SA"/>
                      <w14:textFill>
                        <w14:solidFill>
                          <w14:schemeClr w14:val="tx1"/>
                        </w14:solidFill>
                      </w14:textFill>
                    </w:rPr>
                    <w:t>符合</w:t>
                  </w:r>
                </w:p>
              </w:tc>
            </w:tr>
          </w:tbl>
          <w:p w14:paraId="09BE1D03">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0" w:firstLineChars="200"/>
              <w:jc w:val="both"/>
              <w:textAlignment w:val="auto"/>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综上，本项目《中华人民共和国野生动物保护法》（2022年12月30日第二次修订）相符。</w:t>
            </w:r>
          </w:p>
          <w:p w14:paraId="43413E95">
            <w:pPr>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1</w:t>
            </w:r>
            <w:r>
              <w:rPr>
                <w:rFonts w:hint="eastAsia" w:ascii="Times New Roman" w:hAnsi="Times New Roman" w:cs="Times New Roman"/>
                <w:b/>
                <w:bCs/>
                <w:color w:val="000000" w:themeColor="text1"/>
                <w:sz w:val="24"/>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14:textFill>
                  <w14:solidFill>
                    <w14:schemeClr w14:val="tx1"/>
                  </w14:solidFill>
                </w14:textFill>
              </w:rPr>
              <w:t>、与《四川省自然公园管理办法（试行）》符合性分析</w:t>
            </w:r>
          </w:p>
          <w:p w14:paraId="390AB218">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本项目与《四川省自然公园管理办法（试行）》（川林规发〔2024〕4号）的符合性分析如下。</w:t>
            </w:r>
          </w:p>
          <w:p w14:paraId="6A5F25FF">
            <w:pPr>
              <w:pStyle w:val="166"/>
              <w:numPr>
                <w:ilvl w:val="0"/>
                <w:numId w:val="7"/>
              </w:numPr>
              <w:spacing w:line="36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项目与《四川省自然公园管理办法（试行）》符合性分析</w:t>
            </w:r>
          </w:p>
          <w:tbl>
            <w:tblPr>
              <w:tblStyle w:val="5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96"/>
              <w:gridCol w:w="288"/>
              <w:gridCol w:w="4004"/>
              <w:gridCol w:w="2893"/>
              <w:gridCol w:w="533"/>
            </w:tblGrid>
            <w:tr w14:paraId="115F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1" w:hRule="atLeast"/>
              </w:trPr>
              <w:tc>
                <w:tcPr>
                  <w:tcW w:w="477" w:type="pct"/>
                  <w:gridSpan w:val="2"/>
                  <w:vAlign w:val="center"/>
                </w:tcPr>
                <w:p w14:paraId="5F419B53">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相关</w:t>
                  </w:r>
                </w:p>
                <w:p w14:paraId="72F0AA5F">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文件</w:t>
                  </w:r>
                </w:p>
              </w:tc>
              <w:tc>
                <w:tcPr>
                  <w:tcW w:w="2436" w:type="pct"/>
                  <w:vAlign w:val="center"/>
                </w:tcPr>
                <w:p w14:paraId="15C4FBF2">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要求</w:t>
                  </w:r>
                </w:p>
              </w:tc>
              <w:tc>
                <w:tcPr>
                  <w:tcW w:w="1760" w:type="pct"/>
                  <w:vAlign w:val="center"/>
                </w:tcPr>
                <w:p w14:paraId="41022916">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本项目</w:t>
                  </w:r>
                </w:p>
              </w:tc>
              <w:tc>
                <w:tcPr>
                  <w:tcW w:w="324" w:type="pct"/>
                  <w:vAlign w:val="center"/>
                </w:tcPr>
                <w:p w14:paraId="0AEF1759">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符合性</w:t>
                  </w:r>
                </w:p>
              </w:tc>
            </w:tr>
            <w:tr w14:paraId="7FCA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02" w:type="pct"/>
                  <w:vMerge w:val="restart"/>
                  <w:vAlign w:val="center"/>
                </w:tcPr>
                <w:p w14:paraId="145D62DB">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四川省自然公园管理办法（试行）（川</w:t>
                  </w:r>
                </w:p>
                <w:p w14:paraId="5DA62B9F">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林</w:t>
                  </w:r>
                </w:p>
                <w:p w14:paraId="4AE45837">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规</w:t>
                  </w:r>
                </w:p>
                <w:p w14:paraId="35190D93">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发〔20</w:t>
                  </w:r>
                </w:p>
                <w:p w14:paraId="1D2A80D8">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24〕4号）</w:t>
                  </w:r>
                </w:p>
              </w:tc>
              <w:tc>
                <w:tcPr>
                  <w:tcW w:w="174" w:type="pct"/>
                  <w:vAlign w:val="center"/>
                </w:tcPr>
                <w:p w14:paraId="029D9A0A">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第十九条</w:t>
                  </w:r>
                </w:p>
              </w:tc>
              <w:tc>
                <w:tcPr>
                  <w:tcW w:w="2436" w:type="pct"/>
                  <w:vAlign w:val="center"/>
                </w:tcPr>
                <w:p w14:paraId="732B349E">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严格保护自然公园内的森林、草原、湿地、荒漠、水域、生物等珍贵自然资源，以及自然遗迹、自然景观和文物古迹等人文景观。在自然公园内开展相关活动和设施建设，不得擅自改变其自然状态和历史风貌。</w:t>
                  </w:r>
                </w:p>
                <w:p w14:paraId="5B8E7A13">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禁止在自然公园内从事采矿、房地产、开发区、高尔夫球场、风力光伏电场等不符合管控要求的开发活动。禁止违规侵占自然公园，排放不符合水污染物排放标准的工业废水、生活污水及其他的废水、污水，倾倒、堆放、丢弃、遗撒固体废物等污染生态环境的行为。</w:t>
                  </w:r>
                </w:p>
              </w:tc>
              <w:tc>
                <w:tcPr>
                  <w:tcW w:w="1760" w:type="pct"/>
                  <w:vMerge w:val="restart"/>
                  <w:vAlign w:val="center"/>
                </w:tcPr>
                <w:p w14:paraId="03EE123C">
                  <w:pPr>
                    <w:pStyle w:val="47"/>
                    <w:spacing w:after="0" w:line="240" w:lineRule="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本项目涉及</w:t>
                  </w:r>
                  <w:r>
                    <w:rPr>
                      <w:rFonts w:hint="default" w:ascii="Times New Roman" w:hAnsi="Times New Roman" w:eastAsia="宋体" w:cs="Times New Roman"/>
                      <w:color w:val="000000" w:themeColor="text1"/>
                      <w:lang w:val="en-US" w:eastAsia="zh-CN"/>
                      <w14:textFill>
                        <w14:solidFill>
                          <w14:schemeClr w14:val="tx1"/>
                        </w14:solidFill>
                      </w14:textFill>
                    </w:rPr>
                    <w:t>大熊猫</w:t>
                  </w:r>
                  <w:r>
                    <w:rPr>
                      <w:rFonts w:hint="default" w:ascii="Times New Roman" w:hAnsi="Times New Roman" w:eastAsia="宋体" w:cs="Times New Roman"/>
                      <w:color w:val="000000" w:themeColor="text1"/>
                      <w14:textFill>
                        <w14:solidFill>
                          <w14:schemeClr w14:val="tx1"/>
                        </w14:solidFill>
                      </w14:textFill>
                    </w:rPr>
                    <w:t>世界地质公园</w:t>
                  </w:r>
                  <w:r>
                    <w:rPr>
                      <w:rFonts w:hint="default" w:ascii="Times New Roman" w:hAnsi="Times New Roman" w:eastAsia="宋体" w:cs="Times New Roman"/>
                      <w:color w:val="000000" w:themeColor="text1"/>
                      <w:lang w:val="en-US" w:eastAsia="zh-CN"/>
                      <w14:textFill>
                        <w14:solidFill>
                          <w14:schemeClr w14:val="tx1"/>
                        </w14:solidFill>
                      </w14:textFill>
                    </w:rPr>
                    <w:t>缓冲区</w:t>
                  </w:r>
                  <w:r>
                    <w:rPr>
                      <w:rFonts w:hint="default" w:ascii="Times New Roman" w:hAnsi="Times New Roman" w:eastAsia="宋体" w:cs="Times New Roman"/>
                      <w:color w:val="000000" w:themeColor="text1"/>
                      <w14:textFill>
                        <w14:solidFill>
                          <w14:schemeClr w14:val="tx1"/>
                        </w14:solidFill>
                      </w14:textFill>
                    </w:rPr>
                    <w:t>。</w:t>
                  </w:r>
                  <w:r>
                    <w:rPr>
                      <w:rFonts w:hint="default" w:ascii="Times New Roman" w:hAnsi="Times New Roman" w:eastAsia="宋体" w:cs="Times New Roman"/>
                      <w:color w:val="000000" w:themeColor="text1"/>
                      <w:kern w:val="0"/>
                      <w:szCs w:val="21"/>
                      <w14:textFill>
                        <w14:solidFill>
                          <w14:schemeClr w14:val="tx1"/>
                        </w14:solidFill>
                      </w14:textFill>
                    </w:rPr>
                    <w:t>项目</w:t>
                  </w:r>
                  <w:r>
                    <w:rPr>
                      <w:rFonts w:hint="default" w:ascii="Times New Roman" w:hAnsi="Times New Roman" w:eastAsia="宋体" w:cs="Times New Roman"/>
                      <w:color w:val="000000" w:themeColor="text1"/>
                      <w14:textFill>
                        <w14:solidFill>
                          <w14:schemeClr w14:val="tx1"/>
                        </w14:solidFill>
                      </w14:textFill>
                    </w:rPr>
                    <w:t>不涉及穿越</w:t>
                  </w:r>
                  <w:r>
                    <w:rPr>
                      <w:rFonts w:hint="default" w:ascii="Times New Roman" w:hAnsi="Times New Roman" w:eastAsia="宋体" w:cs="Times New Roman"/>
                      <w:color w:val="000000" w:themeColor="text1"/>
                      <w:lang w:val="en-US" w:eastAsia="zh-CN"/>
                      <w14:textFill>
                        <w14:solidFill>
                          <w14:schemeClr w14:val="tx1"/>
                        </w14:solidFill>
                      </w14:textFill>
                    </w:rPr>
                    <w:t>核心区和实验区</w:t>
                  </w:r>
                  <w:r>
                    <w:rPr>
                      <w:rFonts w:hint="default" w:ascii="Times New Roman" w:hAnsi="Times New Roman" w:eastAsia="宋体" w:cs="Times New Roman"/>
                      <w:color w:val="000000" w:themeColor="text1"/>
                      <w14:textFill>
                        <w14:solidFill>
                          <w14:schemeClr w14:val="tx1"/>
                        </w14:solidFill>
                      </w14:textFill>
                    </w:rPr>
                    <w:t>，</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本项目取得《泸定县林业和草原局关于同意泸定县城区自来水厂备用水源取水工程新建项目进入四川大熊猫栖息地世界自然遗产缓冲区的审核意见》（泸林护审字[2025]02号）</w:t>
                  </w:r>
                  <w:r>
                    <w:rPr>
                      <w:rFonts w:hint="default" w:ascii="Times New Roman" w:hAnsi="Times New Roman" w:eastAsia="宋体" w:cs="Times New Roman"/>
                      <w:b w:val="0"/>
                      <w:color w:val="000000" w:themeColor="text1"/>
                      <w:sz w:val="21"/>
                      <w:szCs w:val="21"/>
                      <w14:textFill>
                        <w14:solidFill>
                          <w14:schemeClr w14:val="tx1"/>
                        </w14:solidFill>
                      </w14:textFill>
                    </w:rPr>
                    <w:t>。</w:t>
                  </w:r>
                  <w:r>
                    <w:rPr>
                      <w:rFonts w:hint="default" w:ascii="Times New Roman" w:hAnsi="Times New Roman" w:eastAsia="宋体" w:cs="Times New Roman"/>
                      <w:b w:val="0"/>
                      <w:color w:val="000000" w:themeColor="text1"/>
                      <w:sz w:val="21"/>
                      <w:szCs w:val="21"/>
                      <w:lang w:val="en-US" w:eastAsia="zh-CN"/>
                      <w14:textFill>
                        <w14:solidFill>
                          <w14:schemeClr w14:val="tx1"/>
                        </w14:solidFill>
                      </w14:textFill>
                    </w:rPr>
                    <w:t>本项目工程规模较小</w:t>
                  </w:r>
                  <w:r>
                    <w:rPr>
                      <w:rFonts w:hint="default" w:ascii="Times New Roman" w:hAnsi="Times New Roman" w:eastAsia="宋体" w:cs="Times New Roman"/>
                      <w:color w:val="000000" w:themeColor="text1"/>
                      <w14:textFill>
                        <w14:solidFill>
                          <w14:schemeClr w14:val="tx1"/>
                        </w14:solidFill>
                      </w14:textFill>
                    </w:rPr>
                    <w:t>，不会对自然生态系统进行成片破坏，施工完毕后对施工迹地进行生态修复和复垦，对自然生态区的影响可以降到最低。</w:t>
                  </w:r>
                </w:p>
                <w:p w14:paraId="5F3E276A">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项目不属于</w:t>
                  </w:r>
                  <w:r>
                    <w:rPr>
                      <w:rFonts w:hint="default" w:ascii="Times New Roman" w:hAnsi="Times New Roman" w:eastAsia="宋体" w:cs="Times New Roman"/>
                      <w:color w:val="000000" w:themeColor="text1"/>
                      <w:kern w:val="0"/>
                      <w:szCs w:val="21"/>
                      <w14:textFill>
                        <w14:solidFill>
                          <w14:schemeClr w14:val="tx1"/>
                        </w14:solidFill>
                      </w14:textFill>
                    </w:rPr>
                    <w:t>采矿、房地产、开发区、高尔夫球场、风力光伏电场等不符合管控要求的开发活动。施工期无废水、固废外排。</w:t>
                  </w:r>
                </w:p>
              </w:tc>
              <w:tc>
                <w:tcPr>
                  <w:tcW w:w="324" w:type="pct"/>
                  <w:vAlign w:val="center"/>
                </w:tcPr>
                <w:p w14:paraId="6E7B005F">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r w14:paraId="7B46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302" w:type="pct"/>
                  <w:vMerge w:val="continue"/>
                  <w:vAlign w:val="center"/>
                </w:tcPr>
                <w:p w14:paraId="09660E3D">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p>
              </w:tc>
              <w:tc>
                <w:tcPr>
                  <w:tcW w:w="174" w:type="pct"/>
                  <w:vAlign w:val="center"/>
                </w:tcPr>
                <w:p w14:paraId="2B3CEC24">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第二十条</w:t>
                  </w:r>
                </w:p>
              </w:tc>
              <w:tc>
                <w:tcPr>
                  <w:tcW w:w="2436" w:type="pct"/>
                  <w:vAlign w:val="center"/>
                </w:tcPr>
                <w:p w14:paraId="5B3BDA79">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自然公园范围内除国家和省重大项目外，仅允许开展对生态功能不造成破坏的有限人为活动：</w:t>
                  </w:r>
                </w:p>
                <w:p w14:paraId="2239330B">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（一）自然公园内居民和其他合法权益主体依法依规开展的生产生活活动及相关设施建设；</w:t>
                  </w:r>
                </w:p>
                <w:p w14:paraId="0767F3BB">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（二）符合自然公园保护管理要求的文化、体育活动和必要的配套设施建设；</w:t>
                  </w:r>
                </w:p>
                <w:p w14:paraId="39FE1265">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（三）符合生态保护红线管控要求的其他活动和设施建设；</w:t>
                  </w:r>
                </w:p>
                <w:p w14:paraId="63146EC7">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（四）法律法规和国家政策允许在自然公园内开展的其他活动。</w:t>
                  </w:r>
                </w:p>
              </w:tc>
              <w:tc>
                <w:tcPr>
                  <w:tcW w:w="1760" w:type="pct"/>
                  <w:vMerge w:val="continue"/>
                  <w:vAlign w:val="center"/>
                </w:tcPr>
                <w:p w14:paraId="21EAAA14">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p>
              </w:tc>
              <w:tc>
                <w:tcPr>
                  <w:tcW w:w="324" w:type="pct"/>
                  <w:vAlign w:val="center"/>
                </w:tcPr>
                <w:p w14:paraId="428B7651">
                  <w:pPr>
                    <w:pStyle w:val="47"/>
                    <w:spacing w:after="0" w:line="240" w:lineRule="auto"/>
                    <w:jc w:val="center"/>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bl>
          <w:p w14:paraId="7D10F2CE">
            <w:pPr>
              <w:spacing w:line="360" w:lineRule="auto"/>
              <w:ind w:firstLine="482" w:firstLineChars="200"/>
              <w:rPr>
                <w:rFonts w:hint="default" w:ascii="Times New Roman" w:hAnsi="Times New Roman" w:cs="Times New Roman"/>
                <w:b/>
                <w:bCs/>
                <w:color w:val="000000" w:themeColor="text1"/>
                <w:sz w:val="24"/>
                <w:lang w:val="en-US" w:eastAsia="zh-CN"/>
                <w14:textFill>
                  <w14:solidFill>
                    <w14:schemeClr w14:val="tx1"/>
                  </w14:solidFill>
                </w14:textFill>
              </w:rPr>
            </w:pPr>
            <w:r>
              <w:rPr>
                <w:rFonts w:hint="eastAsia" w:ascii="Times New Roman" w:hAnsi="Times New Roman" w:cs="Times New Roman"/>
                <w:b/>
                <w:bCs/>
                <w:color w:val="000000" w:themeColor="text1"/>
                <w:sz w:val="24"/>
                <w:lang w:val="en-US" w:eastAsia="zh-CN"/>
                <w14:textFill>
                  <w14:solidFill>
                    <w14:schemeClr w14:val="tx1"/>
                  </w14:solidFill>
                </w14:textFill>
              </w:rPr>
              <w:t>14、四川省大熊猫栖息地世界遗产地相关符合性分析</w:t>
            </w:r>
          </w:p>
          <w:p w14:paraId="22EFF738">
            <w:pPr>
              <w:spacing w:line="360" w:lineRule="auto"/>
              <w:ind w:firstLine="482" w:firstLineChars="200"/>
              <w:rPr>
                <w:rFonts w:hint="default" w:ascii="Times New Roman" w:hAnsi="Times New Roman" w:cs="Times New Roman"/>
                <w:b/>
                <w:bCs/>
                <w:color w:val="000000" w:themeColor="text1"/>
                <w:sz w:val="24"/>
                <w:lang w:val="en-US" w:eastAsia="zh-CN"/>
                <w14:textFill>
                  <w14:solidFill>
                    <w14:schemeClr w14:val="tx1"/>
                  </w14:solidFill>
                </w14:textFill>
              </w:rPr>
            </w:pPr>
            <w:r>
              <w:rPr>
                <w:rFonts w:hint="eastAsia" w:ascii="Times New Roman" w:hAnsi="Times New Roman" w:cs="Times New Roman"/>
                <w:b/>
                <w:bCs/>
                <w:color w:val="000000" w:themeColor="text1"/>
                <w:sz w:val="24"/>
                <w:lang w:val="en-US" w:eastAsia="zh-CN"/>
                <w14:textFill>
                  <w14:solidFill>
                    <w14:schemeClr w14:val="tx1"/>
                  </w14:solidFill>
                </w14:textFill>
              </w:rPr>
              <w:t>（1）与</w:t>
            </w:r>
            <w:r>
              <w:rPr>
                <w:rFonts w:hint="eastAsia" w:ascii="Times New Roman" w:hAnsi="Times New Roman" w:eastAsia="宋体" w:cs="Times New Roman"/>
                <w:b/>
                <w:bCs/>
                <w:color w:val="000000" w:themeColor="text1"/>
                <w:sz w:val="24"/>
                <w:lang w:val="en-US" w:eastAsia="zh-CN"/>
                <w14:textFill>
                  <w14:solidFill>
                    <w14:schemeClr w14:val="tx1"/>
                  </w14:solidFill>
                </w14:textFill>
              </w:rPr>
              <w:t>《四川省世界遗产保护条例》</w:t>
            </w:r>
            <w:r>
              <w:rPr>
                <w:rFonts w:hint="eastAsia" w:ascii="Times New Roman" w:hAnsi="Times New Roman" w:cs="Times New Roman"/>
                <w:b/>
                <w:bCs/>
                <w:color w:val="000000" w:themeColor="text1"/>
                <w:sz w:val="24"/>
                <w:lang w:val="en-US" w:eastAsia="zh-CN"/>
                <w14:textFill>
                  <w14:solidFill>
                    <w14:schemeClr w14:val="tx1"/>
                  </w14:solidFill>
                </w14:textFill>
              </w:rPr>
              <w:t>符合性分析</w:t>
            </w:r>
          </w:p>
          <w:p w14:paraId="476476FD">
            <w:pPr>
              <w:pStyle w:val="166"/>
              <w:numPr>
                <w:ilvl w:val="0"/>
                <w:numId w:val="7"/>
              </w:numPr>
              <w:spacing w:line="36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w:t>
            </w:r>
            <w:r>
              <w:rPr>
                <w:rFonts w:hint="eastAsia" w:ascii="Times New Roman" w:hAnsi="Times New Roman" w:eastAsia="宋体" w:cs="Times New Roman"/>
                <w:b/>
                <w:bCs/>
                <w:color w:val="000000" w:themeColor="text1"/>
                <w:sz w:val="24"/>
                <w:lang w:val="en-US" w:eastAsia="zh-CN"/>
                <w14:textFill>
                  <w14:solidFill>
                    <w14:schemeClr w14:val="tx1"/>
                  </w14:solidFill>
                </w14:textFill>
              </w:rPr>
              <w:t>《四川省世界遗产保护条例》</w:t>
            </w:r>
            <w:r>
              <w:rPr>
                <w:rFonts w:hint="default" w:ascii="Times New Roman" w:hAnsi="Times New Roman" w:eastAsia="宋体" w:cs="Times New Roman"/>
                <w:b/>
                <w:bCs/>
                <w:color w:val="000000" w:themeColor="text1"/>
                <w:sz w:val="21"/>
                <w:szCs w:val="21"/>
                <w14:textFill>
                  <w14:solidFill>
                    <w14:schemeClr w14:val="tx1"/>
                  </w14:solidFill>
                </w14:textFill>
              </w:rPr>
              <w:t>符合性分析</w:t>
            </w:r>
          </w:p>
          <w:tbl>
            <w:tblPr>
              <w:tblStyle w:val="5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59"/>
              <w:gridCol w:w="281"/>
              <w:gridCol w:w="4333"/>
              <w:gridCol w:w="2454"/>
              <w:gridCol w:w="487"/>
            </w:tblGrid>
            <w:tr w14:paraId="1B54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1" w:hRule="atLeast"/>
              </w:trPr>
              <w:tc>
                <w:tcPr>
                  <w:tcW w:w="572" w:type="pct"/>
                  <w:gridSpan w:val="2"/>
                  <w:vAlign w:val="center"/>
                </w:tcPr>
                <w:p w14:paraId="17635095">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相关</w:t>
                  </w:r>
                </w:p>
                <w:p w14:paraId="7FE1E60C">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文件</w:t>
                  </w:r>
                </w:p>
              </w:tc>
              <w:tc>
                <w:tcPr>
                  <w:tcW w:w="2636" w:type="pct"/>
                  <w:vAlign w:val="center"/>
                </w:tcPr>
                <w:p w14:paraId="6A20A595">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要求</w:t>
                  </w:r>
                </w:p>
              </w:tc>
              <w:tc>
                <w:tcPr>
                  <w:tcW w:w="1493" w:type="pct"/>
                  <w:vAlign w:val="center"/>
                </w:tcPr>
                <w:p w14:paraId="2B4E4FC8">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本项目</w:t>
                  </w:r>
                </w:p>
              </w:tc>
              <w:tc>
                <w:tcPr>
                  <w:tcW w:w="296" w:type="pct"/>
                  <w:vAlign w:val="center"/>
                </w:tcPr>
                <w:p w14:paraId="69F7995F">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符合性</w:t>
                  </w:r>
                </w:p>
              </w:tc>
            </w:tr>
            <w:tr w14:paraId="4694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401" w:type="pct"/>
                  <w:vMerge w:val="restart"/>
                  <w:vAlign w:val="center"/>
                </w:tcPr>
                <w:p w14:paraId="5E4F040F">
                  <w:pPr>
                    <w:pStyle w:val="47"/>
                    <w:spacing w:after="0" w:line="240" w:lineRule="auto"/>
                    <w:rPr>
                      <w:rFonts w:hint="default" w:ascii="Times New Roman" w:hAnsi="Times New Roman" w:eastAsia="宋体" w:cs="Times New Roman"/>
                      <w:color w:val="000000" w:themeColor="text1"/>
                      <w:kern w:val="0"/>
                      <w:szCs w:val="21"/>
                      <w:lang w:val="en-US"/>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《四川省世界遗产保护条例》（2024年修订）</w:t>
                  </w:r>
                </w:p>
              </w:tc>
              <w:tc>
                <w:tcPr>
                  <w:tcW w:w="171" w:type="pct"/>
                  <w:vAlign w:val="center"/>
                </w:tcPr>
                <w:p w14:paraId="56EF2638">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第</w:t>
                  </w: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二十六</w:t>
                  </w:r>
                  <w:r>
                    <w:rPr>
                      <w:rFonts w:hint="default" w:ascii="Times New Roman" w:hAnsi="Times New Roman" w:eastAsia="宋体" w:cs="Times New Roman"/>
                      <w:color w:val="000000" w:themeColor="text1"/>
                      <w:kern w:val="0"/>
                      <w:szCs w:val="21"/>
                      <w14:textFill>
                        <w14:solidFill>
                          <w14:schemeClr w14:val="tx1"/>
                        </w14:solidFill>
                      </w14:textFill>
                    </w:rPr>
                    <w:t>条</w:t>
                  </w:r>
                </w:p>
              </w:tc>
              <w:tc>
                <w:tcPr>
                  <w:tcW w:w="2636" w:type="pct"/>
                  <w:vAlign w:val="center"/>
                </w:tcPr>
                <w:p w14:paraId="41EEC39F">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在世界遗产地开展高速公路、铁路、港口码头、输气管线、输电线路、大型水库、缆车、索道、风电、水电以及其他对世界遗产突出普遍价值可能造成较大影响的重大建设项目，应当编制建设项目对世界遗产的影响评估报告，由省人民政府世界遗产主管部门组织相关部门和专家进行论证后，出具审核意见。</w:t>
                  </w:r>
                </w:p>
                <w:p w14:paraId="7ADAFDDE">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在世界遗产地开展除本条第一款规定外的建设项目，应当编制建设项目对世界遗产的影响评估报告，由市（州）人民政府世界遗产主管部门组织相关部门和专家进行论证后，出具审核意见。</w:t>
                  </w:r>
                </w:p>
                <w:p w14:paraId="64649E07">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在世界遗产缓冲区开展建设项目，应当编制建设项目对世界遗产的影响评估报告，由其所在地县（市、区）人民政府世界遗产主管部门组织相关部门和专家进行论证后，出具审核意见。</w:t>
                  </w:r>
                </w:p>
              </w:tc>
              <w:tc>
                <w:tcPr>
                  <w:tcW w:w="1493" w:type="pct"/>
                  <w:vMerge w:val="restart"/>
                  <w:vAlign w:val="center"/>
                </w:tcPr>
                <w:p w14:paraId="2853DBFF">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本项目涉及</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大熊猫</w:t>
                  </w:r>
                  <w:r>
                    <w:rPr>
                      <w:rFonts w:hint="default" w:ascii="Times New Roman" w:hAnsi="Times New Roman" w:eastAsia="宋体" w:cs="Times New Roman"/>
                      <w:color w:val="000000" w:themeColor="text1"/>
                      <w:kern w:val="0"/>
                      <w:szCs w:val="21"/>
                      <w14:textFill>
                        <w14:solidFill>
                          <w14:schemeClr w14:val="tx1"/>
                        </w14:solidFill>
                      </w14:textFill>
                    </w:rPr>
                    <w:t>世界地质公园</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缓冲区</w:t>
                  </w:r>
                  <w:r>
                    <w:rPr>
                      <w:rFonts w:hint="default" w:ascii="Times New Roman" w:hAnsi="Times New Roman" w:eastAsia="宋体" w:cs="Times New Roman"/>
                      <w:color w:val="000000" w:themeColor="text1"/>
                      <w:kern w:val="0"/>
                      <w:szCs w:val="21"/>
                      <w14:textFill>
                        <w14:solidFill>
                          <w14:schemeClr w14:val="tx1"/>
                        </w14:solidFill>
                      </w14:textFill>
                    </w:rPr>
                    <w:t>。项目不涉及穿越</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核心区和实验区</w:t>
                  </w:r>
                  <w:r>
                    <w:rPr>
                      <w:rFonts w:hint="default" w:ascii="Times New Roman" w:hAnsi="Times New Roman" w:eastAsia="宋体" w:cs="Times New Roman"/>
                      <w:color w:val="000000" w:themeColor="text1"/>
                      <w:kern w:val="0"/>
                      <w:szCs w:val="21"/>
                      <w14:textFill>
                        <w14:solidFill>
                          <w14:schemeClr w14:val="tx1"/>
                        </w14:solidFill>
                      </w14:textFill>
                    </w:rPr>
                    <w:t>，</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本项目取得《泸定县林业和草原局关于同意泸定县城区自来水厂备用水源取水工程新建项目进入四川大熊猫栖息地世界自然遗产缓冲区的审核意见》（泸林护审字[2025]02号）</w:t>
                  </w:r>
                  <w:r>
                    <w:rPr>
                      <w:rFonts w:hint="default" w:ascii="Times New Roman" w:hAnsi="Times New Roman" w:eastAsia="宋体" w:cs="Times New Roman"/>
                      <w:color w:val="000000" w:themeColor="text1"/>
                      <w:kern w:val="0"/>
                      <w:szCs w:val="21"/>
                      <w14:textFill>
                        <w14:solidFill>
                          <w14:schemeClr w14:val="tx1"/>
                        </w14:solidFill>
                      </w14:textFill>
                    </w:rPr>
                    <w:t>。</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本项目工程规模较小</w:t>
                  </w:r>
                  <w:r>
                    <w:rPr>
                      <w:rFonts w:hint="default" w:ascii="Times New Roman" w:hAnsi="Times New Roman" w:eastAsia="宋体" w:cs="Times New Roman"/>
                      <w:color w:val="000000" w:themeColor="text1"/>
                      <w:kern w:val="0"/>
                      <w:szCs w:val="21"/>
                      <w14:textFill>
                        <w14:solidFill>
                          <w14:schemeClr w14:val="tx1"/>
                        </w14:solidFill>
                      </w14:textFill>
                    </w:rPr>
                    <w:t>，不会对自然生态系统进行成片破坏，施工完毕后对施工迹地进行生态修复和复垦，对自然生态区的影响可以降到最低。</w:t>
                  </w:r>
                </w:p>
                <w:p w14:paraId="2F4F33FB">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项目不属于开山、采石、垦荒、取土、采沙</w:t>
                  </w:r>
                  <w:r>
                    <w:rPr>
                      <w:rFonts w:hint="eastAsia" w:cs="Times New Roman"/>
                      <w:color w:val="000000" w:themeColor="text1"/>
                      <w:kern w:val="0"/>
                      <w:szCs w:val="21"/>
                      <w:lang w:eastAsia="zh-CN"/>
                      <w14:textFill>
                        <w14:solidFill>
                          <w14:schemeClr w14:val="tx1"/>
                        </w14:solidFill>
                      </w14:textFill>
                    </w:rPr>
                    <w:t>、</w:t>
                  </w:r>
                  <w:r>
                    <w:rPr>
                      <w:rFonts w:hint="default" w:ascii="Times New Roman" w:hAnsi="Times New Roman" w:eastAsia="宋体" w:cs="Times New Roman"/>
                      <w:color w:val="000000" w:themeColor="text1"/>
                      <w:kern w:val="0"/>
                      <w:szCs w:val="21"/>
                      <w14:textFill>
                        <w14:solidFill>
                          <w14:schemeClr w14:val="tx1"/>
                        </w14:solidFill>
                      </w14:textFill>
                    </w:rPr>
                    <w:t>建设各类开发区、度假区</w:t>
                  </w:r>
                  <w:r>
                    <w:rPr>
                      <w:rFonts w:hint="eastAsia" w:cs="Times New Roman"/>
                      <w:color w:val="000000" w:themeColor="text1"/>
                      <w:kern w:val="0"/>
                      <w:szCs w:val="21"/>
                      <w:lang w:eastAsia="zh-CN"/>
                      <w14:textFill>
                        <w14:solidFill>
                          <w14:schemeClr w14:val="tx1"/>
                        </w14:solidFill>
                      </w14:textFill>
                    </w:rPr>
                    <w:t>等不符合</w:t>
                  </w:r>
                  <w:r>
                    <w:rPr>
                      <w:rFonts w:hint="default" w:ascii="Times New Roman" w:hAnsi="Times New Roman" w:eastAsia="宋体" w:cs="Times New Roman"/>
                      <w:color w:val="000000" w:themeColor="text1"/>
                      <w:kern w:val="0"/>
                      <w:szCs w:val="21"/>
                      <w14:textFill>
                        <w14:solidFill>
                          <w14:schemeClr w14:val="tx1"/>
                        </w14:solidFill>
                      </w14:textFill>
                    </w:rPr>
                    <w:t>管控要求的开发活动。施工期无废水、固废外排。</w:t>
                  </w:r>
                </w:p>
              </w:tc>
              <w:tc>
                <w:tcPr>
                  <w:tcW w:w="296" w:type="pct"/>
                  <w:vAlign w:val="center"/>
                </w:tcPr>
                <w:p w14:paraId="5152F43E">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r w14:paraId="7A26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401" w:type="pct"/>
                  <w:vMerge w:val="continue"/>
                  <w:vAlign w:val="center"/>
                </w:tcPr>
                <w:p w14:paraId="43467F9B">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p>
              </w:tc>
              <w:tc>
                <w:tcPr>
                  <w:tcW w:w="171" w:type="pct"/>
                  <w:vAlign w:val="center"/>
                </w:tcPr>
                <w:p w14:paraId="0078122D">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第</w:t>
                  </w:r>
                  <w:r>
                    <w:rPr>
                      <w:rFonts w:hint="eastAsia" w:cs="Times New Roman"/>
                      <w:color w:val="000000" w:themeColor="text1"/>
                      <w:kern w:val="0"/>
                      <w:szCs w:val="21"/>
                      <w:lang w:val="en-US" w:eastAsia="zh-CN"/>
                      <w14:textFill>
                        <w14:solidFill>
                          <w14:schemeClr w14:val="tx1"/>
                        </w14:solidFill>
                      </w14:textFill>
                    </w:rPr>
                    <w:t>三十二</w:t>
                  </w:r>
                  <w:r>
                    <w:rPr>
                      <w:rFonts w:hint="default" w:ascii="Times New Roman" w:hAnsi="Times New Roman" w:eastAsia="宋体" w:cs="Times New Roman"/>
                      <w:color w:val="000000" w:themeColor="text1"/>
                      <w:kern w:val="0"/>
                      <w:szCs w:val="21"/>
                      <w14:textFill>
                        <w14:solidFill>
                          <w14:schemeClr w14:val="tx1"/>
                        </w14:solidFill>
                      </w14:textFill>
                    </w:rPr>
                    <w:t>条</w:t>
                  </w:r>
                </w:p>
              </w:tc>
              <w:tc>
                <w:tcPr>
                  <w:tcW w:w="2636" w:type="pct"/>
                  <w:vAlign w:val="center"/>
                </w:tcPr>
                <w:p w14:paraId="14016BB0">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世界遗产地禁止实施以下行为：</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（一）污染环境，破坏生物多样性、地质遗迹、自然景观以及文物的；</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（二）非法采伐林木、采挖野生植物，损坏古树名木和珍贵树木的；</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（三）非法猎捕、运输、交易野生动物，破坏野生动物栖息地的；</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（四）擅自拆除、移动、损坏世界遗产保护范围和管控分区界线标识及徽志的；</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（五）开山、采石、垦荒、取土、采沙等破坏地表、地貌活动的；</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（六）建设各类开发区、度假区的；</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（七）开发房地产项目，修建别墅、私人会所、高尔夫球场等建筑物、构筑物和其他设施的；</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（八）建设规模化畜禽和水产养殖场的；</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（九）建设储存爆炸性、易燃性、放射性、毒害性、腐蚀性等物品设施的，但是满足公共需求的加油站、加气站、天然气管道所需的设施除外；</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（十）勘查、开采矿业资源的，但是符合法律法规和国家政策规定且依法经批准的矿业资源勘查和开采活动除外；</w:t>
                  </w:r>
                  <w:r>
                    <w:rPr>
                      <w:rFonts w:hint="eastAsia" w:ascii="Times New Roman" w:hAnsi="Times New Roman" w:eastAsia="宋体" w:cs="Times New Roman"/>
                      <w:color w:val="000000" w:themeColor="text1"/>
                      <w:kern w:val="0"/>
                      <w:szCs w:val="21"/>
                      <w14:textFill>
                        <w14:solidFill>
                          <w14:schemeClr w14:val="tx1"/>
                        </w14:solidFill>
                      </w14:textFill>
                    </w:rPr>
                    <w:br w:type="textWrapping"/>
                  </w:r>
                  <w:r>
                    <w:rPr>
                      <w:rFonts w:hint="eastAsia" w:ascii="Times New Roman" w:hAnsi="Times New Roman" w:eastAsia="宋体" w:cs="Times New Roman"/>
                      <w:color w:val="000000" w:themeColor="text1"/>
                      <w:kern w:val="0"/>
                      <w:szCs w:val="21"/>
                      <w14:textFill>
                        <w14:solidFill>
                          <w14:schemeClr w14:val="tx1"/>
                        </w14:solidFill>
                      </w14:textFill>
                    </w:rPr>
                    <w:t>　　（十一）法律、行政法规规定的其他损害或者破坏世界遗产突出普遍价值的行为。</w:t>
                  </w:r>
                </w:p>
              </w:tc>
              <w:tc>
                <w:tcPr>
                  <w:tcW w:w="1493" w:type="pct"/>
                  <w:vMerge w:val="continue"/>
                  <w:vAlign w:val="center"/>
                </w:tcPr>
                <w:p w14:paraId="719036AC">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p>
              </w:tc>
              <w:tc>
                <w:tcPr>
                  <w:tcW w:w="296" w:type="pct"/>
                  <w:vAlign w:val="center"/>
                </w:tcPr>
                <w:p w14:paraId="520A45C0">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bl>
          <w:p w14:paraId="1687AAAF">
            <w:pPr>
              <w:spacing w:line="360" w:lineRule="auto"/>
              <w:ind w:firstLine="482" w:firstLineChars="200"/>
              <w:rPr>
                <w:rFonts w:hint="default" w:ascii="Times New Roman" w:hAnsi="Times New Roman" w:cs="Times New Roman"/>
                <w:b/>
                <w:bCs/>
                <w:color w:val="000000" w:themeColor="text1"/>
                <w:sz w:val="24"/>
                <w:lang w:val="en-US" w:eastAsia="zh-CN"/>
                <w14:textFill>
                  <w14:solidFill>
                    <w14:schemeClr w14:val="tx1"/>
                  </w14:solidFill>
                </w14:textFill>
              </w:rPr>
            </w:pPr>
            <w:r>
              <w:rPr>
                <w:rFonts w:hint="eastAsia" w:ascii="Times New Roman" w:hAnsi="Times New Roman" w:cs="Times New Roman"/>
                <w:b/>
                <w:bCs/>
                <w:color w:val="000000" w:themeColor="text1"/>
                <w:sz w:val="24"/>
                <w:lang w:val="en-US" w:eastAsia="zh-CN"/>
                <w14:textFill>
                  <w14:solidFill>
                    <w14:schemeClr w14:val="tx1"/>
                  </w14:solidFill>
                </w14:textFill>
              </w:rPr>
              <w:t>（1）与</w:t>
            </w:r>
            <w:r>
              <w:rPr>
                <w:rFonts w:hint="eastAsia" w:ascii="Times New Roman" w:hAnsi="Times New Roman" w:eastAsia="宋体" w:cs="Times New Roman"/>
                <w:b/>
                <w:bCs/>
                <w:color w:val="000000" w:themeColor="text1"/>
                <w:sz w:val="24"/>
                <w:lang w:val="en-US" w:eastAsia="zh-CN"/>
                <w14:textFill>
                  <w14:solidFill>
                    <w14:schemeClr w14:val="tx1"/>
                  </w14:solidFill>
                </w14:textFill>
              </w:rPr>
              <w:t>甘孜藏族自治州人民政府关于《四川省大熊猫栖息地世界自然遗产甘孜片区缓冲区建设项目负面清单》的通告</w:t>
            </w:r>
            <w:r>
              <w:rPr>
                <w:rFonts w:hint="eastAsia" w:ascii="Times New Roman" w:hAnsi="Times New Roman" w:cs="Times New Roman"/>
                <w:b/>
                <w:bCs/>
                <w:color w:val="000000" w:themeColor="text1"/>
                <w:sz w:val="24"/>
                <w:lang w:val="en-US" w:eastAsia="zh-CN"/>
                <w14:textFill>
                  <w14:solidFill>
                    <w14:schemeClr w14:val="tx1"/>
                  </w14:solidFill>
                </w14:textFill>
              </w:rPr>
              <w:t>符合性分析</w:t>
            </w:r>
          </w:p>
          <w:p w14:paraId="4085165A">
            <w:pPr>
              <w:pStyle w:val="166"/>
              <w:numPr>
                <w:ilvl w:val="0"/>
                <w:numId w:val="7"/>
              </w:numPr>
              <w:spacing w:line="360" w:lineRule="auto"/>
              <w:ind w:left="0" w:right="0" w:rightChars="0" w:firstLine="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项目与</w:t>
            </w:r>
            <w:r>
              <w:rPr>
                <w:rFonts w:hint="eastAsia" w:ascii="Times New Roman" w:hAnsi="Times New Roman" w:eastAsia="宋体" w:cs="Times New Roman"/>
                <w:b/>
                <w:bCs/>
                <w:color w:val="000000" w:themeColor="text1"/>
                <w:sz w:val="24"/>
                <w:lang w:val="en-US" w:eastAsia="zh-CN"/>
                <w14:textFill>
                  <w14:solidFill>
                    <w14:schemeClr w14:val="tx1"/>
                  </w14:solidFill>
                </w14:textFill>
              </w:rPr>
              <w:t>《四川省大熊猫栖息地世界自然遗产甘孜片区缓冲区建设项目负面清单》</w:t>
            </w:r>
            <w:r>
              <w:rPr>
                <w:rFonts w:hint="default" w:ascii="Times New Roman" w:hAnsi="Times New Roman" w:eastAsia="宋体" w:cs="Times New Roman"/>
                <w:b/>
                <w:bCs/>
                <w:color w:val="000000" w:themeColor="text1"/>
                <w:sz w:val="21"/>
                <w:szCs w:val="21"/>
                <w14:textFill>
                  <w14:solidFill>
                    <w14:schemeClr w14:val="tx1"/>
                  </w14:solidFill>
                </w14:textFill>
              </w:rPr>
              <w:t>符合性分析</w:t>
            </w:r>
          </w:p>
          <w:tbl>
            <w:tblPr>
              <w:tblStyle w:val="5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28"/>
              <w:gridCol w:w="4261"/>
              <w:gridCol w:w="2638"/>
              <w:gridCol w:w="487"/>
            </w:tblGrid>
            <w:tr w14:paraId="40491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1" w:hRule="atLeast"/>
              </w:trPr>
              <w:tc>
                <w:tcPr>
                  <w:tcW w:w="504" w:type="pct"/>
                  <w:vAlign w:val="center"/>
                </w:tcPr>
                <w:p w14:paraId="77F30AE7">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相关</w:t>
                  </w:r>
                </w:p>
                <w:p w14:paraId="67F40D52">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文件</w:t>
                  </w:r>
                </w:p>
              </w:tc>
              <w:tc>
                <w:tcPr>
                  <w:tcW w:w="2593" w:type="pct"/>
                  <w:vAlign w:val="center"/>
                </w:tcPr>
                <w:p w14:paraId="64E1FFE2">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要求</w:t>
                  </w:r>
                </w:p>
              </w:tc>
              <w:tc>
                <w:tcPr>
                  <w:tcW w:w="1605" w:type="pct"/>
                  <w:vAlign w:val="center"/>
                </w:tcPr>
                <w:p w14:paraId="1A2093DD">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本项目</w:t>
                  </w:r>
                </w:p>
              </w:tc>
              <w:tc>
                <w:tcPr>
                  <w:tcW w:w="296" w:type="pct"/>
                  <w:vAlign w:val="center"/>
                </w:tcPr>
                <w:p w14:paraId="1B7C6AE3">
                  <w:pPr>
                    <w:pStyle w:val="47"/>
                    <w:spacing w:after="0" w:line="240" w:lineRule="auto"/>
                    <w:jc w:val="center"/>
                    <w:rPr>
                      <w:rFonts w:hint="default" w:ascii="Times New Roman" w:hAnsi="Times New Roman" w:eastAsia="宋体" w:cs="Times New Roman"/>
                      <w:b/>
                      <w:bCs/>
                      <w:color w:val="000000" w:themeColor="text1"/>
                      <w:kern w:val="0"/>
                      <w:szCs w:val="21"/>
                      <w14:textFill>
                        <w14:solidFill>
                          <w14:schemeClr w14:val="tx1"/>
                        </w14:solidFill>
                      </w14:textFill>
                    </w:rPr>
                  </w:pPr>
                  <w:r>
                    <w:rPr>
                      <w:rFonts w:hint="default" w:ascii="Times New Roman" w:hAnsi="Times New Roman" w:eastAsia="宋体" w:cs="Times New Roman"/>
                      <w:b/>
                      <w:bCs/>
                      <w:color w:val="000000" w:themeColor="text1"/>
                      <w:kern w:val="0"/>
                      <w:szCs w:val="21"/>
                      <w14:textFill>
                        <w14:solidFill>
                          <w14:schemeClr w14:val="tx1"/>
                        </w14:solidFill>
                      </w14:textFill>
                    </w:rPr>
                    <w:t>符合性</w:t>
                  </w:r>
                </w:p>
              </w:tc>
            </w:tr>
            <w:tr w14:paraId="0AF4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504" w:type="pct"/>
                  <w:vAlign w:val="center"/>
                </w:tcPr>
                <w:p w14:paraId="3640FC7B">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lang w:val="en-US" w:eastAsia="zh-CN"/>
                      <w14:textFill>
                        <w14:solidFill>
                          <w14:schemeClr w14:val="tx1"/>
                        </w14:solidFill>
                      </w14:textFill>
                    </w:rPr>
                    <w:t>《四川省大熊猫栖息地世界自然遗产甘孜片区缓冲区建设项目负面清单》</w:t>
                  </w:r>
                </w:p>
              </w:tc>
              <w:tc>
                <w:tcPr>
                  <w:tcW w:w="2593" w:type="pct"/>
                  <w:vAlign w:val="center"/>
                </w:tcPr>
                <w:p w14:paraId="75D2EE68">
                  <w:pPr>
                    <w:pStyle w:val="47"/>
                    <w:spacing w:after="0" w:line="240" w:lineRule="auto"/>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第四条 四川大熊猫栖息地世界自然遗产甘孜片区缓冲区内禁止规划建设以下项目:</w:t>
                  </w:r>
                </w:p>
                <w:p w14:paraId="2611C778">
                  <w:pPr>
                    <w:pStyle w:val="47"/>
                    <w:spacing w:after="0" w:line="240" w:lineRule="auto"/>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（一）新规划建设储存爆炸性、易燃性、放射性、毒害性、腐蚀性等物品的设施项目,但满足公共需求的通讯基站、加油站、加气站、输气（油）管道、充电站（桩）、制氢加氢站等民生基础设施除外。</w:t>
                  </w:r>
                </w:p>
                <w:p w14:paraId="35506A1C">
                  <w:pPr>
                    <w:pStyle w:val="47"/>
                    <w:spacing w:after="0" w:line="240" w:lineRule="auto"/>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（二）新规划建设化工、火力与核能发电、冶金及建材制造、工业制浆造纸、工业印染以及垃圾填埋场、焚烧场等严重污染环境的项目。</w:t>
                  </w:r>
                </w:p>
                <w:p w14:paraId="6A2613E2">
                  <w:pPr>
                    <w:pStyle w:val="47"/>
                    <w:spacing w:after="0" w:line="240" w:lineRule="auto"/>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三）新规划建设对世界自然遗产突出普遍价值有较大负面影响的建设项目，但是应急抢险、防灾减灾、符合世界遗产保护相关国际公约以及世界遗产保护管理规划管控要求并履行征求意见程序的重点建设项目、符合国家政策规定且依法经批准的矿产资源勘查和开采项目，以及满足生态保护要求的地热、矿泉水开采项目除外。</w:t>
                  </w:r>
                </w:p>
                <w:p w14:paraId="4096855B">
                  <w:pPr>
                    <w:pStyle w:val="47"/>
                    <w:spacing w:after="0" w:line="240" w:lineRule="auto"/>
                    <w:rPr>
                      <w:rFonts w:hint="eastAsia"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（四）在依法批准的城镇开发边界外,新规划城镇集中建设，新规划建设别墅类房地产、私人会所、高尔夫球场。</w:t>
                  </w:r>
                </w:p>
                <w:p w14:paraId="015FBEE8">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themeColor="text1"/>
                      <w:kern w:val="0"/>
                      <w:szCs w:val="21"/>
                      <w14:textFill>
                        <w14:solidFill>
                          <w14:schemeClr w14:val="tx1"/>
                        </w14:solidFill>
                      </w14:textFill>
                    </w:rPr>
                    <w:t>（五）相关法律法规明确规定其他禁止规划建设的项目。</w:t>
                  </w:r>
                </w:p>
              </w:tc>
              <w:tc>
                <w:tcPr>
                  <w:tcW w:w="1605" w:type="pct"/>
                  <w:vAlign w:val="center"/>
                </w:tcPr>
                <w:p w14:paraId="48C7D161">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本项目涉及</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大熊猫</w:t>
                  </w:r>
                  <w:r>
                    <w:rPr>
                      <w:rFonts w:hint="default" w:ascii="Times New Roman" w:hAnsi="Times New Roman" w:eastAsia="宋体" w:cs="Times New Roman"/>
                      <w:color w:val="000000" w:themeColor="text1"/>
                      <w:kern w:val="0"/>
                      <w:szCs w:val="21"/>
                      <w14:textFill>
                        <w14:solidFill>
                          <w14:schemeClr w14:val="tx1"/>
                        </w14:solidFill>
                      </w14:textFill>
                    </w:rPr>
                    <w:t>世界地质公园</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缓冲区</w:t>
                  </w:r>
                  <w:r>
                    <w:rPr>
                      <w:rFonts w:hint="default" w:ascii="Times New Roman" w:hAnsi="Times New Roman" w:eastAsia="宋体" w:cs="Times New Roman"/>
                      <w:color w:val="000000" w:themeColor="text1"/>
                      <w:kern w:val="0"/>
                      <w:szCs w:val="21"/>
                      <w14:textFill>
                        <w14:solidFill>
                          <w14:schemeClr w14:val="tx1"/>
                        </w14:solidFill>
                      </w14:textFill>
                    </w:rPr>
                    <w:t>。项目不涉及穿越</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核心区和实验区</w:t>
                  </w:r>
                  <w:r>
                    <w:rPr>
                      <w:rFonts w:hint="default" w:ascii="Times New Roman" w:hAnsi="Times New Roman" w:eastAsia="宋体" w:cs="Times New Roman"/>
                      <w:color w:val="000000" w:themeColor="text1"/>
                      <w:kern w:val="0"/>
                      <w:szCs w:val="21"/>
                      <w14:textFill>
                        <w14:solidFill>
                          <w14:schemeClr w14:val="tx1"/>
                        </w14:solidFill>
                      </w14:textFill>
                    </w:rPr>
                    <w:t>，</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本项目取得《泸定县林业和草原局关于同意泸定县城区自来水厂备用水源取水工程新建项目进入四川大熊猫栖息地世界自然遗产缓冲区的审核意见》（泸林护审字[2025]02号）</w:t>
                  </w:r>
                  <w:r>
                    <w:rPr>
                      <w:rFonts w:hint="default" w:ascii="Times New Roman" w:hAnsi="Times New Roman" w:eastAsia="宋体" w:cs="Times New Roman"/>
                      <w:color w:val="000000" w:themeColor="text1"/>
                      <w:kern w:val="0"/>
                      <w:szCs w:val="21"/>
                      <w14:textFill>
                        <w14:solidFill>
                          <w14:schemeClr w14:val="tx1"/>
                        </w14:solidFill>
                      </w14:textFill>
                    </w:rPr>
                    <w:t>。</w:t>
                  </w:r>
                  <w:r>
                    <w:rPr>
                      <w:rFonts w:hint="default" w:ascii="Times New Roman" w:hAnsi="Times New Roman" w:eastAsia="宋体" w:cs="Times New Roman"/>
                      <w:color w:val="000000" w:themeColor="text1"/>
                      <w:kern w:val="0"/>
                      <w:szCs w:val="21"/>
                      <w:lang w:val="en-US" w:eastAsia="zh-CN"/>
                      <w14:textFill>
                        <w14:solidFill>
                          <w14:schemeClr w14:val="tx1"/>
                        </w14:solidFill>
                      </w14:textFill>
                    </w:rPr>
                    <w:t>本项目工程规模较小</w:t>
                  </w:r>
                  <w:r>
                    <w:rPr>
                      <w:rFonts w:hint="default" w:ascii="Times New Roman" w:hAnsi="Times New Roman" w:eastAsia="宋体" w:cs="Times New Roman"/>
                      <w:color w:val="000000" w:themeColor="text1"/>
                      <w:kern w:val="0"/>
                      <w:szCs w:val="21"/>
                      <w14:textFill>
                        <w14:solidFill>
                          <w14:schemeClr w14:val="tx1"/>
                        </w14:solidFill>
                      </w14:textFill>
                    </w:rPr>
                    <w:t>，不会对自然生态系统进行成片破坏，施工完毕后对施工迹地进行生态修复和复垦，对自然生态区的影响可以降到最低。</w:t>
                  </w:r>
                </w:p>
                <w:p w14:paraId="519EBAB2">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项目不属于储存爆炸性、易燃性、放射性、毒害性、腐蚀性等物品的设施项目</w:t>
                  </w:r>
                  <w:r>
                    <w:rPr>
                      <w:rFonts w:hint="eastAsia" w:cs="Times New Roman"/>
                      <w:color w:val="000000" w:themeColor="text1"/>
                      <w:kern w:val="0"/>
                      <w:szCs w:val="21"/>
                      <w:lang w:eastAsia="zh-CN"/>
                      <w14:textFill>
                        <w14:solidFill>
                          <w14:schemeClr w14:val="tx1"/>
                        </w14:solidFill>
                      </w14:textFill>
                    </w:rPr>
                    <w:t>；</w:t>
                  </w:r>
                  <w:r>
                    <w:rPr>
                      <w:rFonts w:hint="eastAsia" w:cs="Times New Roman"/>
                      <w:color w:val="000000" w:themeColor="text1"/>
                      <w:kern w:val="0"/>
                      <w:szCs w:val="21"/>
                      <w:lang w:val="en-US" w:eastAsia="zh-CN"/>
                      <w14:textFill>
                        <w14:solidFill>
                          <w14:schemeClr w14:val="tx1"/>
                        </w14:solidFill>
                      </w14:textFill>
                    </w:rPr>
                    <w:t>也不属于</w:t>
                  </w:r>
                  <w:r>
                    <w:rPr>
                      <w:rFonts w:hint="default" w:ascii="Times New Roman" w:hAnsi="Times New Roman" w:eastAsia="宋体" w:cs="Times New Roman"/>
                      <w:color w:val="000000" w:themeColor="text1"/>
                      <w:kern w:val="0"/>
                      <w:szCs w:val="21"/>
                      <w14:textFill>
                        <w14:solidFill>
                          <w14:schemeClr w14:val="tx1"/>
                        </w14:solidFill>
                      </w14:textFill>
                    </w:rPr>
                    <w:t>化工、火力与核能发电、冶金及建材制造、工业制浆造纸、工业印染以及垃圾填埋场、焚烧场等严重污染环境的项目。</w:t>
                  </w:r>
                </w:p>
              </w:tc>
              <w:tc>
                <w:tcPr>
                  <w:tcW w:w="296" w:type="pct"/>
                  <w:vAlign w:val="center"/>
                </w:tcPr>
                <w:p w14:paraId="0E295BFA">
                  <w:pPr>
                    <w:pStyle w:val="47"/>
                    <w:spacing w:after="0" w:line="240" w:lineRule="auto"/>
                    <w:rPr>
                      <w:rFonts w:hint="default" w:ascii="Times New Roman" w:hAnsi="Times New Roman" w:eastAsia="宋体" w:cs="Times New Roman"/>
                      <w:color w:val="000000" w:themeColor="text1"/>
                      <w:kern w:val="0"/>
                      <w:szCs w:val="21"/>
                      <w14:textFill>
                        <w14:solidFill>
                          <w14:schemeClr w14:val="tx1"/>
                        </w14:solidFill>
                      </w14:textFill>
                    </w:rPr>
                  </w:pPr>
                  <w:r>
                    <w:rPr>
                      <w:rFonts w:hint="default" w:ascii="Times New Roman" w:hAnsi="Times New Roman" w:eastAsia="宋体" w:cs="Times New Roman"/>
                      <w:color w:val="000000" w:themeColor="text1"/>
                      <w:kern w:val="0"/>
                      <w:szCs w:val="21"/>
                      <w14:textFill>
                        <w14:solidFill>
                          <w14:schemeClr w14:val="tx1"/>
                        </w14:solidFill>
                      </w14:textFill>
                    </w:rPr>
                    <w:t>符合</w:t>
                  </w:r>
                </w:p>
              </w:tc>
            </w:tr>
          </w:tbl>
          <w:p w14:paraId="660C2BC1">
            <w:pPr>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1</w:t>
            </w:r>
            <w:r>
              <w:rPr>
                <w:rFonts w:hint="eastAsia" w:ascii="Times New Roman" w:hAnsi="Times New Roman" w:cs="Times New Roman"/>
                <w:b/>
                <w:bCs/>
                <w:color w:val="000000" w:themeColor="text1"/>
                <w:sz w:val="24"/>
                <w:lang w:val="en-US" w:eastAsia="zh-CN"/>
                <w14:textFill>
                  <w14:solidFill>
                    <w14:schemeClr w14:val="tx1"/>
                  </w14:solidFill>
                </w14:textFill>
              </w:rPr>
              <w:t>5</w:t>
            </w:r>
            <w:r>
              <w:rPr>
                <w:rFonts w:hint="default" w:ascii="Times New Roman" w:hAnsi="Times New Roman" w:eastAsia="宋体" w:cs="Times New Roman"/>
                <w:b/>
                <w:bCs/>
                <w:color w:val="000000" w:themeColor="text1"/>
                <w:sz w:val="24"/>
                <w14:textFill>
                  <w14:solidFill>
                    <w14:schemeClr w14:val="tx1"/>
                  </w14:solidFill>
                </w14:textFill>
              </w:rPr>
              <w:t>、外环境相容性分析</w:t>
            </w:r>
          </w:p>
          <w:p w14:paraId="58236CF5">
            <w:pPr>
              <w:spacing w:line="360" w:lineRule="auto"/>
              <w:ind w:firstLine="480" w:firstLineChars="200"/>
              <w:rPr>
                <w:rFonts w:hint="default" w:ascii="Times New Roman" w:hAnsi="Times New Roman" w:eastAsia="宋体" w:cs="Times New Roman"/>
                <w:bCs/>
                <w:iCs/>
                <w:color w:val="000000" w:themeColor="text1"/>
                <w:sz w:val="24"/>
                <w:szCs w:val="22"/>
                <w14:textFill>
                  <w14:solidFill>
                    <w14:schemeClr w14:val="tx1"/>
                  </w14:solidFill>
                </w14:textFill>
              </w:rPr>
            </w:pPr>
            <w:r>
              <w:rPr>
                <w:rFonts w:hint="default" w:ascii="Times New Roman" w:hAnsi="Times New Roman" w:eastAsia="宋体" w:cs="Times New Roman"/>
                <w:bCs/>
                <w:iCs/>
                <w:color w:val="000000" w:themeColor="text1"/>
                <w:sz w:val="24"/>
                <w:szCs w:val="22"/>
                <w14:textFill>
                  <w14:solidFill>
                    <w14:schemeClr w14:val="tx1"/>
                  </w14:solidFill>
                </w14:textFill>
              </w:rPr>
              <w:t>（1）</w:t>
            </w:r>
            <w:r>
              <w:rPr>
                <w:rFonts w:hint="default" w:ascii="Times New Roman" w:hAnsi="Times New Roman" w:eastAsia="宋体" w:cs="Times New Roman"/>
                <w:bCs/>
                <w:iCs/>
                <w:color w:val="000000" w:themeColor="text1"/>
                <w:sz w:val="24"/>
                <w:szCs w:val="22"/>
                <w:lang w:val="en-US" w:eastAsia="zh-CN"/>
                <w14:textFill>
                  <w14:solidFill>
                    <w14:schemeClr w14:val="tx1"/>
                  </w14:solidFill>
                </w14:textFill>
              </w:rPr>
              <w:t>水源地</w:t>
            </w:r>
            <w:r>
              <w:rPr>
                <w:rFonts w:hint="default" w:ascii="Times New Roman" w:hAnsi="Times New Roman" w:eastAsia="宋体" w:cs="Times New Roman"/>
                <w:bCs/>
                <w:iCs/>
                <w:color w:val="000000" w:themeColor="text1"/>
                <w:sz w:val="24"/>
                <w:szCs w:val="22"/>
                <w14:textFill>
                  <w14:solidFill>
                    <w14:schemeClr w14:val="tx1"/>
                  </w14:solidFill>
                </w14:textFill>
              </w:rPr>
              <w:t>选址合理性分析</w:t>
            </w:r>
          </w:p>
          <w:p w14:paraId="4AA42ABF">
            <w:pPr>
              <w:spacing w:line="360" w:lineRule="auto"/>
              <w:ind w:firstLine="480" w:firstLineChars="200"/>
              <w:rPr>
                <w:rFonts w:hint="default" w:ascii="Times New Roman" w:hAnsi="Times New Roman" w:eastAsia="宋体" w:cs="Times New Roman"/>
                <w:bCs/>
                <w:iCs/>
                <w:color w:val="000000" w:themeColor="text1"/>
                <w:sz w:val="24"/>
                <w:szCs w:val="22"/>
                <w:lang w:val="en-US" w:eastAsia="zh-CN"/>
                <w14:textFill>
                  <w14:solidFill>
                    <w14:schemeClr w14:val="tx1"/>
                  </w14:solidFill>
                </w14:textFill>
              </w:rPr>
            </w:pPr>
            <w:r>
              <w:rPr>
                <w:rFonts w:ascii="Times New Roman" w:hAnsi="Times New Roman"/>
                <w:bCs/>
                <w:iCs/>
                <w:color w:val="000000" w:themeColor="text1"/>
                <w:sz w:val="24"/>
                <w:szCs w:val="22"/>
                <w14:textFill>
                  <w14:solidFill>
                    <w14:schemeClr w14:val="tx1"/>
                  </w14:solidFill>
                </w14:textFill>
              </w:rPr>
              <w:t>项目拟选址水源地水质较好，</w:t>
            </w:r>
            <w:r>
              <w:rPr>
                <w:rFonts w:hint="eastAsia" w:ascii="Times New Roman" w:hAnsi="Times New Roman"/>
                <w:bCs/>
                <w:iCs/>
                <w:color w:val="000000" w:themeColor="text1"/>
                <w:sz w:val="24"/>
                <w:szCs w:val="22"/>
                <w:lang w:val="en-US" w:eastAsia="zh-CN"/>
                <w14:textFill>
                  <w14:solidFill>
                    <w14:schemeClr w14:val="tx1"/>
                  </w14:solidFill>
                </w14:textFill>
              </w:rPr>
              <w:t>五里沟水质</w:t>
            </w:r>
            <w:r>
              <w:rPr>
                <w:rFonts w:ascii="Times New Roman" w:hAnsi="Times New Roman"/>
                <w:bCs/>
                <w:iCs/>
                <w:color w:val="000000" w:themeColor="text1"/>
                <w:sz w:val="24"/>
                <w:szCs w:val="22"/>
                <w14:textFill>
                  <w14:solidFill>
                    <w14:schemeClr w14:val="tx1"/>
                  </w14:solidFill>
                </w14:textFill>
              </w:rPr>
              <w:t>根据监测结果</w:t>
            </w:r>
            <w:r>
              <w:rPr>
                <w:rFonts w:hint="eastAsia" w:ascii="Times New Roman" w:hAnsi="Times New Roman"/>
                <w:bCs/>
                <w:iCs/>
                <w:color w:val="000000" w:themeColor="text1"/>
                <w:sz w:val="24"/>
                <w:szCs w:val="22"/>
                <w:lang w:eastAsia="zh-CN"/>
                <w14:textFill>
                  <w14:solidFill>
                    <w14:schemeClr w14:val="tx1"/>
                  </w14:solidFill>
                </w14:textFill>
              </w:rPr>
              <w:t>，</w:t>
            </w:r>
            <w:r>
              <w:rPr>
                <w:rFonts w:ascii="Times New Roman" w:hAnsi="Times New Roman"/>
                <w:bCs/>
                <w:iCs/>
                <w:color w:val="000000" w:themeColor="text1"/>
                <w:sz w:val="24"/>
                <w:szCs w:val="22"/>
                <w14:textFill>
                  <w14:solidFill>
                    <w14:schemeClr w14:val="tx1"/>
                  </w14:solidFill>
                </w14:textFill>
              </w:rPr>
              <w:t>可满足Ⅲ类水质标准，</w:t>
            </w:r>
            <w:r>
              <w:rPr>
                <w:rFonts w:hint="eastAsia" w:ascii="Times New Roman" w:hAnsi="Times New Roman"/>
                <w:bCs/>
                <w:iCs/>
                <w:color w:val="000000" w:themeColor="text1"/>
                <w:sz w:val="24"/>
                <w:szCs w:val="22"/>
                <w:lang w:val="en-US" w:eastAsia="zh-CN"/>
                <w14:textFill>
                  <w14:solidFill>
                    <w14:schemeClr w14:val="tx1"/>
                  </w14:solidFill>
                </w14:textFill>
              </w:rPr>
              <w:t>水质</w:t>
            </w:r>
            <w:r>
              <w:rPr>
                <w:rFonts w:ascii="Times New Roman" w:hAnsi="Times New Roman"/>
                <w:bCs/>
                <w:iCs/>
                <w:color w:val="000000" w:themeColor="text1"/>
                <w:sz w:val="24"/>
                <w:szCs w:val="22"/>
                <w14:textFill>
                  <w14:solidFill>
                    <w14:schemeClr w14:val="tx1"/>
                  </w14:solidFill>
                </w14:textFill>
              </w:rPr>
              <w:t>满足供水要求，且</w:t>
            </w:r>
            <w:r>
              <w:rPr>
                <w:rFonts w:hint="eastAsia" w:ascii="Times New Roman" w:hAnsi="Times New Roman"/>
                <w:bCs/>
                <w:iCs/>
                <w:color w:val="000000" w:themeColor="text1"/>
                <w:sz w:val="24"/>
                <w:szCs w:val="22"/>
                <w:lang w:val="en-US" w:eastAsia="zh-CN"/>
                <w14:textFill>
                  <w14:solidFill>
                    <w14:schemeClr w14:val="tx1"/>
                  </w14:solidFill>
                </w14:textFill>
              </w:rPr>
              <w:t>拟选择</w:t>
            </w:r>
            <w:r>
              <w:rPr>
                <w:rFonts w:ascii="Times New Roman" w:hAnsi="Times New Roman"/>
                <w:bCs/>
                <w:iCs/>
                <w:color w:val="000000" w:themeColor="text1"/>
                <w:sz w:val="24"/>
                <w:szCs w:val="22"/>
                <w14:textFill>
                  <w14:solidFill>
                    <w14:schemeClr w14:val="tx1"/>
                  </w14:solidFill>
                </w14:textFill>
              </w:rPr>
              <w:t>水源地位于五里沟上游，</w:t>
            </w:r>
            <w:r>
              <w:rPr>
                <w:rFonts w:hint="eastAsia" w:ascii="Times New Roman" w:hAnsi="Times New Roman"/>
                <w:bCs/>
                <w:iCs/>
                <w:color w:val="000000" w:themeColor="text1"/>
                <w:sz w:val="24"/>
                <w:szCs w:val="22"/>
                <w:lang w:val="en-US" w:eastAsia="zh-CN"/>
                <w14:textFill>
                  <w14:solidFill>
                    <w14:schemeClr w14:val="tx1"/>
                  </w14:solidFill>
                </w14:textFill>
              </w:rPr>
              <w:t>拟选址水源地</w:t>
            </w:r>
            <w:r>
              <w:rPr>
                <w:rFonts w:hint="default" w:ascii="Times New Roman" w:hAnsi="Times New Roman" w:eastAsia="宋体" w:cs="Times New Roman"/>
                <w:bCs/>
                <w:iCs/>
                <w:color w:val="000000" w:themeColor="text1"/>
                <w:sz w:val="24"/>
                <w:szCs w:val="22"/>
                <w:lang w:val="en-US" w:eastAsia="zh-CN"/>
                <w14:textFill>
                  <w14:solidFill>
                    <w14:schemeClr w14:val="tx1"/>
                  </w14:solidFill>
                </w14:textFill>
              </w:rPr>
              <w:t>上游无工业企业污染源</w:t>
            </w:r>
            <w:r>
              <w:rPr>
                <w:rFonts w:hint="eastAsia" w:ascii="Times New Roman" w:hAnsi="Times New Roman" w:cs="Times New Roman"/>
                <w:bCs/>
                <w:iCs/>
                <w:color w:val="000000" w:themeColor="text1"/>
                <w:sz w:val="24"/>
                <w:szCs w:val="22"/>
                <w:lang w:val="en-US" w:eastAsia="zh-CN"/>
                <w14:textFill>
                  <w14:solidFill>
                    <w14:schemeClr w14:val="tx1"/>
                  </w14:solidFill>
                </w14:textFill>
              </w:rPr>
              <w:t>，也没有散居农户</w:t>
            </w:r>
            <w:r>
              <w:rPr>
                <w:rFonts w:hint="default" w:ascii="Times New Roman" w:hAnsi="Times New Roman" w:eastAsia="宋体" w:cs="Times New Roman"/>
                <w:bCs/>
                <w:iCs/>
                <w:color w:val="000000" w:themeColor="text1"/>
                <w:sz w:val="24"/>
                <w:szCs w:val="22"/>
                <w:lang w:val="en-US" w:eastAsia="zh-CN"/>
                <w14:textFill>
                  <w14:solidFill>
                    <w14:schemeClr w14:val="tx1"/>
                  </w14:solidFill>
                </w14:textFill>
              </w:rPr>
              <w:t>，主要以农业面源污染为主，水源地</w:t>
            </w:r>
            <w:r>
              <w:rPr>
                <w:rFonts w:hint="eastAsia" w:ascii="Times New Roman" w:hAnsi="Times New Roman" w:cs="Times New Roman"/>
                <w:bCs/>
                <w:iCs/>
                <w:color w:val="000000" w:themeColor="text1"/>
                <w:sz w:val="24"/>
                <w:szCs w:val="22"/>
                <w:lang w:val="en-US" w:eastAsia="zh-CN"/>
                <w14:textFill>
                  <w14:solidFill>
                    <w14:schemeClr w14:val="tx1"/>
                  </w14:solidFill>
                </w14:textFill>
              </w:rPr>
              <w:t>的划分和</w:t>
            </w:r>
            <w:r>
              <w:rPr>
                <w:rFonts w:hint="default" w:ascii="Times New Roman" w:hAnsi="Times New Roman" w:eastAsia="宋体" w:cs="Times New Roman"/>
                <w:bCs/>
                <w:iCs/>
                <w:color w:val="000000" w:themeColor="text1"/>
                <w:sz w:val="24"/>
                <w:szCs w:val="22"/>
                <w:lang w:val="en-US" w:eastAsia="zh-CN"/>
                <w14:textFill>
                  <w14:solidFill>
                    <w14:schemeClr w14:val="tx1"/>
                  </w14:solidFill>
                </w14:textFill>
              </w:rPr>
              <w:t>保护难度较小。</w:t>
            </w:r>
            <w:r>
              <w:rPr>
                <w:rFonts w:hint="eastAsia" w:ascii="Times New Roman" w:hAnsi="Times New Roman" w:cs="Times New Roman"/>
                <w:bCs/>
                <w:iCs/>
                <w:color w:val="000000" w:themeColor="text1"/>
                <w:sz w:val="24"/>
                <w:szCs w:val="22"/>
                <w:lang w:val="en-US" w:eastAsia="zh-CN"/>
                <w14:textFill>
                  <w14:solidFill>
                    <w14:schemeClr w14:val="tx1"/>
                  </w14:solidFill>
                </w14:textFill>
              </w:rPr>
              <w:t>同时，项目已取得《甘孜州水利局关于泸定县城区自来水厂水资源论证报告书取水申请的批复》（甘水审〔2026〕56号），拟选择水源地水源充足，能够保证供水。</w:t>
            </w:r>
          </w:p>
          <w:p w14:paraId="10A2CDCF">
            <w:pPr>
              <w:spacing w:line="360" w:lineRule="auto"/>
              <w:ind w:firstLine="480" w:firstLineChars="200"/>
              <w:rPr>
                <w:rFonts w:hint="default" w:ascii="Times New Roman" w:hAnsi="Times New Roman" w:eastAsia="宋体" w:cs="Times New Roman"/>
                <w:bCs/>
                <w:iCs/>
                <w:color w:val="000000" w:themeColor="text1"/>
                <w:sz w:val="24"/>
                <w:szCs w:val="22"/>
                <w14:textFill>
                  <w14:solidFill>
                    <w14:schemeClr w14:val="tx1"/>
                  </w14:solidFill>
                </w14:textFill>
              </w:rPr>
            </w:pPr>
            <w:r>
              <w:rPr>
                <w:rFonts w:hint="default" w:ascii="Times New Roman" w:hAnsi="Times New Roman" w:eastAsia="宋体" w:cs="Times New Roman"/>
                <w:bCs/>
                <w:iCs/>
                <w:color w:val="000000" w:themeColor="text1"/>
                <w:sz w:val="24"/>
                <w:szCs w:val="22"/>
                <w:lang w:val="en-US" w:eastAsia="zh-CN"/>
                <w14:textFill>
                  <w14:solidFill>
                    <w14:schemeClr w14:val="tx1"/>
                  </w14:solidFill>
                </w14:textFill>
              </w:rPr>
              <w:t>总体上，从环境合理性角度分析，水源地选址不存在重大环境制约因素，选址基本合理。本项目已取得泸定县水利局关于对《泸定县城区自来水厂备用水源取水工程新建项目行洪论证与河势稳定评价报告》的批复（泸水函(2025)56号），项目选址不受洪涝灾害威胁；有良好的工程地质条件；有良好的卫生环境，并便于设立防护地带；选址满足标准要求，且不占用自然保护区、永久基本农田、生态保护红线等环境敏感区。</w:t>
            </w:r>
          </w:p>
          <w:p w14:paraId="591F48FA">
            <w:pPr>
              <w:spacing w:line="360" w:lineRule="auto"/>
              <w:ind w:firstLine="480" w:firstLineChars="200"/>
              <w:rPr>
                <w:rFonts w:hint="default" w:ascii="Times New Roman" w:hAnsi="Times New Roman" w:eastAsia="宋体" w:cs="Times New Roman"/>
                <w:bCs/>
                <w:iCs/>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项目所在区域大气环境、声环境以及地表水环境质量良好，</w:t>
            </w:r>
            <w:r>
              <w:rPr>
                <w:rFonts w:hint="default" w:ascii="Times New Roman" w:hAnsi="Times New Roman" w:eastAsia="宋体" w:cs="Times New Roman"/>
                <w:color w:val="000000" w:themeColor="text1"/>
                <w:sz w:val="24"/>
                <w:lang w:val="en-US" w:eastAsia="zh-CN"/>
                <w14:textFill>
                  <w14:solidFill>
                    <w14:schemeClr w14:val="tx1"/>
                  </w14:solidFill>
                </w14:textFill>
              </w:rPr>
              <w:t>且外环境对本项目水源地影响较小，水源地选址基本合理</w:t>
            </w:r>
            <w:r>
              <w:rPr>
                <w:rFonts w:hint="default" w:ascii="Times New Roman" w:hAnsi="Times New Roman" w:eastAsia="宋体" w:cs="Times New Roman"/>
                <w:bCs/>
                <w:iCs/>
                <w:color w:val="000000" w:themeColor="text1"/>
                <w:sz w:val="24"/>
                <w:szCs w:val="22"/>
                <w14:textFill>
                  <w14:solidFill>
                    <w14:schemeClr w14:val="tx1"/>
                  </w14:solidFill>
                </w14:textFill>
              </w:rPr>
              <w:t>。</w:t>
            </w:r>
          </w:p>
          <w:p w14:paraId="6774F59B">
            <w:pPr>
              <w:spacing w:line="360" w:lineRule="auto"/>
              <w:ind w:firstLine="480" w:firstLineChars="200"/>
              <w:rPr>
                <w:rFonts w:hint="default" w:ascii="Times New Roman" w:hAnsi="Times New Roman" w:eastAsia="宋体" w:cs="Times New Roman"/>
                <w:bCs/>
                <w:iCs/>
                <w:color w:val="000000" w:themeColor="text1"/>
                <w:sz w:val="24"/>
                <w:szCs w:val="22"/>
                <w:lang w:val="en-US" w:eastAsia="zh-CN"/>
                <w14:textFill>
                  <w14:solidFill>
                    <w14:schemeClr w14:val="tx1"/>
                  </w14:solidFill>
                </w14:textFill>
              </w:rPr>
            </w:pPr>
            <w:r>
              <w:rPr>
                <w:rFonts w:hint="default" w:ascii="Times New Roman" w:hAnsi="Times New Roman" w:eastAsia="宋体" w:cs="Times New Roman"/>
                <w:bCs/>
                <w:iCs/>
                <w:color w:val="000000" w:themeColor="text1"/>
                <w:sz w:val="24"/>
                <w:szCs w:val="22"/>
                <w:lang w:eastAsia="zh-CN"/>
                <w14:textFill>
                  <w14:solidFill>
                    <w14:schemeClr w14:val="tx1"/>
                  </w14:solidFill>
                </w14:textFill>
              </w:rPr>
              <w:t>（</w:t>
            </w:r>
            <w:r>
              <w:rPr>
                <w:rFonts w:hint="default" w:ascii="Times New Roman" w:hAnsi="Times New Roman" w:eastAsia="宋体" w:cs="Times New Roman"/>
                <w:bCs/>
                <w:iCs/>
                <w:color w:val="000000" w:themeColor="text1"/>
                <w:sz w:val="24"/>
                <w:szCs w:val="22"/>
                <w:lang w:val="en-US" w:eastAsia="zh-CN"/>
                <w14:textFill>
                  <w14:solidFill>
                    <w14:schemeClr w14:val="tx1"/>
                  </w14:solidFill>
                </w14:textFill>
              </w:rPr>
              <w:t>2）管线选址合理性分析</w:t>
            </w:r>
          </w:p>
          <w:p w14:paraId="42B5362B">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szCs w:val="22"/>
                <w:lang w:val="en-US" w:eastAsia="zh-CN"/>
                <w14:textFill>
                  <w14:solidFill>
                    <w14:schemeClr w14:val="tx1"/>
                  </w14:solidFill>
                </w14:textFill>
              </w:rPr>
              <w:t>本项目管线不涉及</w:t>
            </w:r>
            <w:r>
              <w:rPr>
                <w:rFonts w:hint="default" w:ascii="Times New Roman" w:hAnsi="Times New Roman" w:eastAsia="宋体" w:cs="Times New Roman"/>
                <w:color w:val="000000" w:themeColor="text1"/>
                <w:sz w:val="24"/>
                <w:szCs w:val="22"/>
                <w14:textFill>
                  <w14:solidFill>
                    <w14:schemeClr w14:val="tx1"/>
                  </w14:solidFill>
                </w14:textFill>
              </w:rPr>
              <w:t>永久占用基本农田、风景名胜区、饮用水源保护区</w:t>
            </w:r>
            <w:r>
              <w:rPr>
                <w:rFonts w:hint="default" w:ascii="Times New Roman" w:hAnsi="Times New Roman" w:eastAsia="宋体"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生态保护红线</w:t>
            </w:r>
            <w:r>
              <w:rPr>
                <w:rFonts w:hint="default" w:ascii="Times New Roman" w:hAnsi="Times New Roman" w:eastAsia="宋体" w:cs="Times New Roman"/>
                <w:color w:val="000000" w:themeColor="text1"/>
                <w:sz w:val="24"/>
                <w:szCs w:val="22"/>
                <w14:textFill>
                  <w14:solidFill>
                    <w14:schemeClr w14:val="tx1"/>
                  </w14:solidFill>
                </w14:textFill>
              </w:rPr>
              <w:t>，无珍稀濒危野生动植物和文物古迹等环境敏感目标。</w:t>
            </w:r>
            <w:r>
              <w:rPr>
                <w:rFonts w:hint="eastAsia" w:ascii="Times New Roman" w:hAnsi="Times New Roman" w:cs="Times New Roman"/>
                <w:color w:val="000000" w:themeColor="text1"/>
                <w:sz w:val="24"/>
                <w:szCs w:val="22"/>
                <w:lang w:val="en-US" w:eastAsia="zh-CN"/>
                <w14:textFill>
                  <w14:solidFill>
                    <w14:schemeClr w14:val="tx1"/>
                  </w14:solidFill>
                </w14:textFill>
              </w:rPr>
              <w:t>对于本项目的制约因素主要是</w:t>
            </w:r>
            <w:r>
              <w:rPr>
                <w:rFonts w:hint="eastAsia" w:ascii="Times New Roman" w:hAnsi="Times New Roman"/>
                <w:color w:val="000000" w:themeColor="text1"/>
                <w:sz w:val="24"/>
                <w:lang w:val="en-US" w:eastAsia="zh-CN"/>
                <w14:textFill>
                  <w14:solidFill>
                    <w14:schemeClr w14:val="tx1"/>
                  </w14:solidFill>
                </w14:textFill>
              </w:rPr>
              <w:t>四川大熊猫栖息地世界自然遗产缓冲区。项目已取得泸定县自然资源和规划局《关于泸定县城区自来水厂备用水源取水工程新建项目用地预审与选址意见书的复函》（泸自然资规函[2024]124），项目已取得《四川省林业和草原局关于准予泸定县城区自来水厂备用水源取水工程新建项目占用林地的行政许可决定》（川林资许准(甘)(2026)24号）、《泸定县林业和草原局关于同意泸定县城区自来水厂备用水源取水工程新建项目进入四川大熊猫栖息地世界自然遗产缓冲区的审核意见》泸林护审字(2025)02号，</w:t>
            </w:r>
            <w:r>
              <w:rPr>
                <w:rFonts w:hint="default" w:ascii="Times New Roman" w:hAnsi="Times New Roman" w:eastAsia="宋体" w:cs="Times New Roman"/>
                <w:color w:val="000000" w:themeColor="text1"/>
                <w:sz w:val="24"/>
                <w14:textFill>
                  <w14:solidFill>
                    <w14:schemeClr w14:val="tx1"/>
                  </w14:solidFill>
                </w14:textFill>
              </w:rPr>
              <w:t>建设单位</w:t>
            </w:r>
            <w:r>
              <w:rPr>
                <w:rFonts w:hint="default" w:ascii="Times New Roman" w:hAnsi="Times New Roman" w:eastAsia="宋体" w:cs="Times New Roman"/>
                <w:color w:val="000000" w:themeColor="text1"/>
                <w:sz w:val="24"/>
                <w:lang w:val="en-US" w:eastAsia="zh-CN"/>
                <w14:textFill>
                  <w14:solidFill>
                    <w14:schemeClr w14:val="tx1"/>
                  </w14:solidFill>
                </w14:textFill>
              </w:rPr>
              <w:t>已</w:t>
            </w:r>
            <w:r>
              <w:rPr>
                <w:rFonts w:hint="default" w:ascii="Times New Roman" w:hAnsi="Times New Roman" w:eastAsia="宋体" w:cs="Times New Roman"/>
                <w:color w:val="000000" w:themeColor="text1"/>
                <w:sz w:val="24"/>
                <w14:textFill>
                  <w14:solidFill>
                    <w14:schemeClr w14:val="tx1"/>
                  </w14:solidFill>
                </w14:textFill>
              </w:rPr>
              <w:t>办理相应的用地手续，按照要求取得相关部门许可。</w:t>
            </w:r>
          </w:p>
          <w:p w14:paraId="2DCE1BFC">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根据现场踏勘，项目</w:t>
            </w:r>
            <w:r>
              <w:rPr>
                <w:rFonts w:hint="eastAsia" w:ascii="Times New Roman" w:hAnsi="Times New Roman" w:cs="Times New Roman"/>
                <w:color w:val="000000" w:themeColor="text1"/>
                <w:sz w:val="24"/>
                <w:szCs w:val="22"/>
                <w:lang w:val="en-US" w:eastAsia="zh-CN"/>
                <w14:textFill>
                  <w14:solidFill>
                    <w14:schemeClr w14:val="tx1"/>
                  </w14:solidFill>
                </w14:textFill>
              </w:rPr>
              <w:t>地交通便利，本工程不新建施工便道，可以利用沿河旧有道路，满足施工及车辆进出要求。取水口以下道路均位于十年一遇洪水位线外，施工不占用河道管理范围。取水口以下道路均位于十年一遇洪水位线外，施工不占用河道管理范围</w:t>
            </w:r>
            <w:r>
              <w:rPr>
                <w:rFonts w:hint="default" w:ascii="Times New Roman" w:hAnsi="Times New Roman" w:eastAsia="宋体" w:cs="Times New Roman"/>
                <w:color w:val="000000" w:themeColor="text1"/>
                <w:sz w:val="24"/>
                <w:szCs w:val="22"/>
                <w14:textFill>
                  <w14:solidFill>
                    <w14:schemeClr w14:val="tx1"/>
                  </w14:solidFill>
                </w14:textFill>
              </w:rPr>
              <w:t>。</w:t>
            </w:r>
            <w:r>
              <w:rPr>
                <w:rFonts w:hint="eastAsia" w:ascii="Times New Roman" w:hAnsi="Times New Roman" w:cs="Times New Roman"/>
                <w:color w:val="000000" w:themeColor="text1"/>
                <w:sz w:val="24"/>
                <w:szCs w:val="22"/>
                <w:lang w:val="en-US" w:eastAsia="zh-CN"/>
                <w14:textFill>
                  <w14:solidFill>
                    <w14:schemeClr w14:val="tx1"/>
                  </w14:solidFill>
                </w14:textFill>
              </w:rPr>
              <w:t>项目</w:t>
            </w:r>
            <w:r>
              <w:rPr>
                <w:rFonts w:hint="default" w:ascii="Times New Roman" w:hAnsi="Times New Roman" w:eastAsia="宋体" w:cs="Times New Roman"/>
                <w:color w:val="000000" w:themeColor="text1"/>
                <w:sz w:val="24"/>
                <w:szCs w:val="22"/>
                <w14:textFill>
                  <w14:solidFill>
                    <w14:schemeClr w14:val="tx1"/>
                  </w14:solidFill>
                </w14:textFill>
              </w:rPr>
              <w:t>租用当地民房用于生活和办公，无须设置专门的生活用房和办公用房。</w:t>
            </w:r>
          </w:p>
          <w:p w14:paraId="0B4FDB8E">
            <w:pPr>
              <w:spacing w:line="360" w:lineRule="auto"/>
              <w:ind w:firstLine="480" w:firstLineChars="200"/>
              <w:rPr>
                <w:rFonts w:hint="eastAsia" w:ascii="Times New Roman" w:hAnsi="Times New Roman" w:cs="Times New Roman"/>
                <w:color w:val="000000" w:themeColor="text1"/>
                <w:sz w:val="24"/>
                <w:szCs w:val="22"/>
                <w:lang w:val="en-US" w:eastAsia="zh-CN"/>
                <w14:textFill>
                  <w14:solidFill>
                    <w14:schemeClr w14:val="tx1"/>
                  </w14:solidFill>
                </w14:textFill>
              </w:rPr>
            </w:pPr>
            <w:r>
              <w:rPr>
                <w:rFonts w:hint="eastAsia" w:ascii="Times New Roman" w:hAnsi="Times New Roman" w:cs="Times New Roman"/>
                <w:color w:val="000000" w:themeColor="text1"/>
                <w:sz w:val="24"/>
                <w:szCs w:val="22"/>
                <w:lang w:val="en-US" w:eastAsia="zh-CN"/>
                <w14:textFill>
                  <w14:solidFill>
                    <w14:schemeClr w14:val="tx1"/>
                  </w14:solidFill>
                </w14:textFill>
              </w:rPr>
              <w:t>项目起点、终点已确定，路线沿河道和现有道路进行敷设，输水管网总体路线走向已受限，具有唯一性，故没有总体比选方案。</w:t>
            </w:r>
          </w:p>
          <w:p w14:paraId="74364A78">
            <w:pPr>
              <w:spacing w:line="360" w:lineRule="auto"/>
              <w:ind w:firstLine="480" w:firstLineChars="200"/>
              <w:rPr>
                <w:rFonts w:hint="default" w:ascii="Times New Roman" w:hAnsi="Times New Roman" w:cs="Times New Roman"/>
                <w:color w:val="000000" w:themeColor="text1"/>
                <w:sz w:val="24"/>
                <w:szCs w:val="22"/>
                <w:lang w:val="en-US" w:eastAsia="zh-CN"/>
                <w14:textFill>
                  <w14:solidFill>
                    <w14:schemeClr w14:val="tx1"/>
                  </w14:solidFill>
                </w14:textFill>
              </w:rPr>
            </w:pPr>
            <w:r>
              <w:rPr>
                <w:rFonts w:hint="eastAsia" w:ascii="Times New Roman" w:hAnsi="Times New Roman" w:cs="Times New Roman"/>
                <w:color w:val="000000" w:themeColor="text1"/>
                <w:sz w:val="24"/>
                <w:szCs w:val="22"/>
                <w:lang w:val="en-US" w:eastAsia="zh-CN"/>
                <w14:textFill>
                  <w14:solidFill>
                    <w14:schemeClr w14:val="tx1"/>
                  </w14:solidFill>
                </w14:textFill>
              </w:rPr>
              <w:t>初步设计方案路线长度10.588km，可研阶段推荐长度10.8km，二者路线基本一致，初步设计优化了部分路线，由部分沿路改为沿既有施工隧道进行敷设，减少了输水管道长度和工程投资，初步设计方案比可研阶段减少了在</w:t>
            </w:r>
            <w:r>
              <w:rPr>
                <w:rFonts w:hint="eastAsia" w:ascii="Times New Roman" w:hAnsi="Times New Roman"/>
                <w:color w:val="000000" w:themeColor="text1"/>
                <w:sz w:val="24"/>
                <w:lang w:val="en-US" w:eastAsia="zh-CN"/>
                <w14:textFill>
                  <w14:solidFill>
                    <w14:schemeClr w14:val="tx1"/>
                  </w14:solidFill>
                </w14:textFill>
              </w:rPr>
              <w:t>四川大熊猫栖息地世界自然遗产内的占地规模，可以</w:t>
            </w:r>
            <w:r>
              <w:rPr>
                <w:rFonts w:hint="eastAsia" w:ascii="Times New Roman" w:hAnsi="Times New Roman" w:cs="Times New Roman"/>
                <w:color w:val="000000" w:themeColor="text1"/>
                <w:sz w:val="24"/>
                <w:szCs w:val="22"/>
                <w:lang w:val="en-US" w:eastAsia="zh-CN"/>
                <w14:textFill>
                  <w14:solidFill>
                    <w14:schemeClr w14:val="tx1"/>
                  </w14:solidFill>
                </w14:textFill>
              </w:rPr>
              <w:t>减少了地表扰动，同时减少对植被的破坏，对环境的影响更小，故推荐初步设计方案的选线。</w:t>
            </w:r>
          </w:p>
          <w:p w14:paraId="2FAC6275">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本次环评要求：项目施工期采取了一系列绿色施工、加强对扬尘源头管理等措施，严格按照文明施工（扬尘污染防治）管理技术标准施工，确保施工期间做到文明施工、不扰民、少污染。同时项目施工期施工场地选用低噪声施工机具，合理布局，四周设置围挡；合理安排作业时间，不在夜间施工；噪声防治严格按照国家《</w:t>
            </w:r>
            <w:r>
              <w:rPr>
                <w:rFonts w:hint="eastAsia" w:ascii="Times New Roman" w:hAnsi="Times New Roman" w:cs="Times New Roman"/>
                <w:color w:val="000000" w:themeColor="text1"/>
                <w:sz w:val="24"/>
                <w:szCs w:val="22"/>
                <w:lang w:eastAsia="zh-CN"/>
                <w14:textFill>
                  <w14:solidFill>
                    <w14:schemeClr w14:val="tx1"/>
                  </w14:solidFill>
                </w14:textFill>
              </w:rPr>
              <w:t>建筑施工噪声排放标准</w:t>
            </w:r>
            <w:r>
              <w:rPr>
                <w:rFonts w:hint="default" w:ascii="Times New Roman" w:hAnsi="Times New Roman" w:eastAsia="宋体" w:cs="Times New Roman"/>
                <w:color w:val="000000" w:themeColor="text1"/>
                <w:sz w:val="24"/>
                <w:szCs w:val="22"/>
                <w14:textFill>
                  <w14:solidFill>
                    <w14:schemeClr w14:val="tx1"/>
                  </w14:solidFill>
                </w14:textFill>
              </w:rPr>
              <w:t>》（</w:t>
            </w:r>
            <w:r>
              <w:rPr>
                <w:rFonts w:hint="default" w:ascii="Times New Roman" w:hAnsi="Times New Roman" w:eastAsia="宋体" w:cs="Times New Roman"/>
                <w:color w:val="000000" w:themeColor="text1"/>
                <w:sz w:val="24"/>
                <w:szCs w:val="22"/>
                <w:lang w:eastAsia="zh-CN"/>
                <w14:textFill>
                  <w14:solidFill>
                    <w14:schemeClr w14:val="tx1"/>
                  </w14:solidFill>
                </w14:textFill>
              </w:rPr>
              <w:t>GB12523-2025</w:t>
            </w:r>
            <w:r>
              <w:rPr>
                <w:rFonts w:hint="default" w:ascii="Times New Roman" w:hAnsi="Times New Roman" w:eastAsia="宋体" w:cs="Times New Roman"/>
                <w:color w:val="000000" w:themeColor="text1"/>
                <w:sz w:val="24"/>
                <w:szCs w:val="22"/>
                <w14:textFill>
                  <w14:solidFill>
                    <w14:schemeClr w14:val="tx1"/>
                  </w14:solidFill>
                </w14:textFill>
              </w:rPr>
              <w:t>）规定（昼间噪声值低于70dB(A)）执行。</w:t>
            </w:r>
          </w:p>
          <w:p w14:paraId="21931F8D">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kern w:val="0"/>
                <w:sz w:val="24"/>
                <w:lang w:bidi="ar"/>
                <w14:textFill>
                  <w14:solidFill>
                    <w14:schemeClr w14:val="tx1"/>
                  </w14:solidFill>
                </w14:textFill>
              </w:rPr>
              <w:t>针对</w:t>
            </w:r>
            <w:r>
              <w:rPr>
                <w:rFonts w:hint="default" w:ascii="Times New Roman" w:hAnsi="Times New Roman" w:eastAsia="宋体" w:cs="Times New Roman"/>
                <w:color w:val="000000" w:themeColor="text1"/>
                <w:sz w:val="24"/>
                <w:szCs w:val="22"/>
                <w14:textFill>
                  <w14:solidFill>
                    <w14:schemeClr w14:val="tx1"/>
                  </w14:solidFill>
                </w14:textFill>
              </w:rPr>
              <w:t>施工道路、临时堆土区，</w:t>
            </w:r>
            <w:r>
              <w:rPr>
                <w:rFonts w:hint="default" w:ascii="Times New Roman" w:hAnsi="Times New Roman" w:eastAsia="宋体" w:cs="Times New Roman"/>
                <w:color w:val="000000" w:themeColor="text1"/>
                <w:kern w:val="0"/>
                <w:sz w:val="24"/>
                <w:lang w:bidi="ar"/>
                <w14:textFill>
                  <w14:solidFill>
                    <w14:schemeClr w14:val="tx1"/>
                  </w14:solidFill>
                </w14:textFill>
              </w:rPr>
              <w:t>项目在施工过程中将严格控制占地范围和控制施工作业带范围，</w:t>
            </w:r>
            <w:r>
              <w:rPr>
                <w:rFonts w:hint="default" w:ascii="Times New Roman" w:hAnsi="Times New Roman" w:eastAsia="宋体" w:cs="Times New Roman"/>
                <w:color w:val="000000" w:themeColor="text1"/>
                <w:sz w:val="24"/>
                <w14:textFill>
                  <w14:solidFill>
                    <w14:schemeClr w14:val="tx1"/>
                  </w14:solidFill>
                </w14:textFill>
              </w:rPr>
              <w:t>采取保存表土在各工段施工结束后将表土用作绿化，对施工临时用地进行清理、迹地恢复和植被绿化、复垦，恢复原有用地性质，减轻对占地范围内的植被和土地资源利用产生影响。</w:t>
            </w:r>
          </w:p>
          <w:p w14:paraId="00600576">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项目施工工期较短，项目完工后占地将进行迹地恢复，相应施工期影响也会消除，因此，项目施工期环境影响程度较轻。</w:t>
            </w:r>
          </w:p>
          <w:p w14:paraId="19C8F201">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p>
          <w:p w14:paraId="02ADA430">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p>
          <w:p w14:paraId="5C4AF6FA">
            <w:pPr>
              <w:rPr>
                <w:rFonts w:hint="default" w:ascii="Times New Roman" w:hAnsi="Times New Roman" w:eastAsia="宋体" w:cs="Times New Roman"/>
                <w:color w:val="000000" w:themeColor="text1"/>
                <w14:textFill>
                  <w14:solidFill>
                    <w14:schemeClr w14:val="tx1"/>
                  </w14:solidFill>
                </w14:textFill>
              </w:rPr>
            </w:pPr>
          </w:p>
        </w:tc>
      </w:tr>
    </w:tbl>
    <w:p w14:paraId="6B2C7998">
      <w:pPr>
        <w:spacing w:line="360" w:lineRule="auto"/>
        <w:ind w:firstLine="420" w:firstLineChars="200"/>
        <w:rPr>
          <w:rFonts w:hint="default" w:ascii="Times New Roman" w:hAnsi="Times New Roman" w:eastAsia="宋体" w:cs="Times New Roman"/>
          <w:color w:val="000000" w:themeColor="text1"/>
          <w14:textFill>
            <w14:solidFill>
              <w14:schemeClr w14:val="tx1"/>
            </w14:solidFill>
          </w14:textFill>
        </w:rPr>
        <w:sectPr>
          <w:pgSz w:w="11906" w:h="16838"/>
          <w:pgMar w:top="1418" w:right="1531" w:bottom="1418" w:left="1644" w:header="851" w:footer="851" w:gutter="0"/>
          <w:pgBorders>
            <w:top w:val="none" w:sz="0" w:space="0"/>
            <w:left w:val="none" w:sz="0" w:space="0"/>
            <w:bottom w:val="none" w:sz="0" w:space="0"/>
            <w:right w:val="none" w:sz="0" w:space="0"/>
          </w:pgBorders>
          <w:cols w:space="720" w:num="1"/>
          <w:docGrid w:type="lines" w:linePitch="312" w:charSpace="0"/>
        </w:sectPr>
      </w:pPr>
    </w:p>
    <w:p w14:paraId="32F49F4D">
      <w:pPr>
        <w:pStyle w:val="3"/>
        <w:keepLines/>
        <w:overflowPunct/>
        <w:snapToGrid/>
        <w:spacing w:before="0" w:after="0" w:line="360" w:lineRule="auto"/>
        <w:ind w:left="0" w:firstLine="0"/>
        <w:jc w:val="center"/>
        <w:rPr>
          <w:rFonts w:hint="default" w:ascii="Times New Roman" w:hAnsi="Times New Roman" w:eastAsia="宋体" w:cs="Times New Roman"/>
          <w:b/>
          <w:bCs w:val="0"/>
          <w:snapToGrid w:val="0"/>
          <w:color w:val="000000" w:themeColor="text1"/>
          <w:kern w:val="21"/>
          <w:sz w:val="30"/>
          <w:szCs w:val="30"/>
          <w14:textFill>
            <w14:solidFill>
              <w14:schemeClr w14:val="tx1"/>
            </w14:solidFill>
          </w14:textFill>
        </w:rPr>
      </w:pPr>
      <w:r>
        <w:rPr>
          <w:rFonts w:hint="default" w:ascii="Times New Roman" w:hAnsi="Times New Roman" w:eastAsia="宋体" w:cs="Times New Roman"/>
          <w:b/>
          <w:bCs w:val="0"/>
          <w:snapToGrid w:val="0"/>
          <w:color w:val="000000" w:themeColor="text1"/>
          <w:kern w:val="21"/>
          <w:sz w:val="30"/>
          <w:szCs w:val="30"/>
          <w14:textFill>
            <w14:solidFill>
              <w14:schemeClr w14:val="tx1"/>
            </w14:solidFill>
          </w14:textFill>
        </w:rPr>
        <w:t>二、建设项目工程分析</w:t>
      </w:r>
    </w:p>
    <w:tbl>
      <w:tblPr>
        <w:tblStyle w:val="5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85" w:type="dxa"/>
          <w:bottom w:w="0" w:type="dxa"/>
          <w:right w:w="85" w:type="dxa"/>
        </w:tblCellMar>
      </w:tblPr>
      <w:tblGrid>
        <w:gridCol w:w="462"/>
        <w:gridCol w:w="8362"/>
      </w:tblGrid>
      <w:tr w14:paraId="5FB116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7" w:hRule="atLeast"/>
        </w:trPr>
        <w:tc>
          <w:tcPr>
            <w:tcW w:w="261" w:type="pct"/>
            <w:vAlign w:val="center"/>
          </w:tcPr>
          <w:p w14:paraId="6D901F9E">
            <w:pPr>
              <w:spacing w:line="360" w:lineRule="auto"/>
              <w:jc w:val="left"/>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建设</w:t>
            </w:r>
          </w:p>
          <w:p w14:paraId="4D19D7A6">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内容</w:t>
            </w:r>
          </w:p>
        </w:tc>
        <w:tc>
          <w:tcPr>
            <w:tcW w:w="4738" w:type="pct"/>
            <w:vAlign w:val="center"/>
          </w:tcPr>
          <w:p w14:paraId="7372E0D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color w:val="000000" w:themeColor="text1"/>
                <w:sz w:val="24"/>
                <w:szCs w:val="20"/>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1、</w:t>
            </w:r>
            <w:r>
              <w:rPr>
                <w:rFonts w:hint="default" w:ascii="Times New Roman" w:hAnsi="Times New Roman" w:eastAsia="宋体" w:cs="Times New Roman"/>
                <w:b/>
                <w:color w:val="000000" w:themeColor="text1"/>
                <w:sz w:val="24"/>
                <w:szCs w:val="20"/>
                <w14:textFill>
                  <w14:solidFill>
                    <w14:schemeClr w14:val="tx1"/>
                  </w14:solidFill>
                </w14:textFill>
              </w:rPr>
              <w:t>建设项目背景和由来</w:t>
            </w:r>
          </w:p>
          <w:p w14:paraId="192829F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1.1项目由来</w:t>
            </w:r>
          </w:p>
          <w:p w14:paraId="23DF60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2022年以来，泸定县地震频发，2022年9月5日12时52分，发生6.8级地震，震源深度16千米；2022年10月22日13时17分，发生5.0级地震，震源深度12千米；2023年1月26日发生5.6级地震，震源深度11千米，泸定县城区自来水厂取水水源</w:t>
            </w:r>
            <w:r>
              <w:rPr>
                <w:rFonts w:hint="default" w:ascii="Times New Roman" w:hAnsi="Times New Roman" w:eastAsia="宋体" w:cs="Times New Roman"/>
                <w:color w:val="000000" w:themeColor="text1"/>
                <w:sz w:val="24"/>
                <w:szCs w:val="24"/>
                <w:lang w:eastAsia="zh-CN"/>
                <w14:textFill>
                  <w14:solidFill>
                    <w14:schemeClr w14:val="tx1"/>
                  </w14:solidFill>
                </w14:textFill>
              </w:rPr>
              <w:t>羊圈沟</w:t>
            </w:r>
            <w:r>
              <w:rPr>
                <w:rFonts w:hint="default" w:ascii="Times New Roman" w:hAnsi="Times New Roman" w:eastAsia="宋体" w:cs="Times New Roman"/>
                <w:color w:val="000000" w:themeColor="text1"/>
                <w:sz w:val="24"/>
                <w:szCs w:val="24"/>
                <w14:textFill>
                  <w14:solidFill>
                    <w14:schemeClr w14:val="tx1"/>
                  </w14:solidFill>
                </w14:textFill>
              </w:rPr>
              <w:t>也受到了地震的影响，可供水量减少，可供水量远小于泸定县城区自来水厂需水量，根据水厂工作人员对水厂数据的监控反映，泸定县城区自来水厂（设计供水规模1万m³/d），水量缺口可达3000m³/d，以下为水厂所提供</w:t>
            </w:r>
            <w:r>
              <w:rPr>
                <w:rFonts w:hint="eastAsia" w:ascii="Times New Roman" w:hAnsi="Times New Roman" w:cs="Times New Roman"/>
                <w:color w:val="000000" w:themeColor="text1"/>
                <w:sz w:val="24"/>
                <w:szCs w:val="24"/>
                <w:lang w:val="en-US" w:eastAsia="zh-CN"/>
                <w14:textFill>
                  <w14:solidFill>
                    <w14:schemeClr w14:val="tx1"/>
                  </w14:solidFill>
                </w14:textFill>
              </w:rPr>
              <w:t>历年</w:t>
            </w:r>
            <w:r>
              <w:rPr>
                <w:rFonts w:hint="default" w:ascii="Times New Roman" w:hAnsi="Times New Roman" w:eastAsia="宋体" w:cs="Times New Roman"/>
                <w:color w:val="000000" w:themeColor="text1"/>
                <w:sz w:val="24"/>
                <w:szCs w:val="24"/>
                <w14:textFill>
                  <w14:solidFill>
                    <w14:schemeClr w14:val="tx1"/>
                  </w14:solidFill>
                </w14:textFill>
              </w:rPr>
              <w:t>监测</w:t>
            </w:r>
            <w:r>
              <w:rPr>
                <w:rFonts w:hint="eastAsia" w:ascii="Times New Roman" w:hAnsi="Times New Roman" w:cs="Times New Roman"/>
                <w:color w:val="000000" w:themeColor="text1"/>
                <w:sz w:val="24"/>
                <w:szCs w:val="24"/>
                <w:lang w:val="en-US" w:eastAsia="zh-CN"/>
                <w14:textFill>
                  <w14:solidFill>
                    <w14:schemeClr w14:val="tx1"/>
                  </w14:solidFill>
                </w14:textFill>
              </w:rPr>
              <w:t>取水</w:t>
            </w:r>
            <w:r>
              <w:rPr>
                <w:rFonts w:hint="default" w:ascii="Times New Roman" w:hAnsi="Times New Roman" w:eastAsia="宋体" w:cs="Times New Roman"/>
                <w:color w:val="000000" w:themeColor="text1"/>
                <w:sz w:val="24"/>
                <w:szCs w:val="24"/>
                <w14:textFill>
                  <w14:solidFill>
                    <w14:schemeClr w14:val="tx1"/>
                  </w14:solidFill>
                </w14:textFill>
              </w:rPr>
              <w:t>数据表</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14:paraId="7B1B3F98">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bookmarkStart w:id="6" w:name="表1.1.1  水厂近年监测数据表"/>
            <w:bookmarkEnd w:id="6"/>
            <w:r>
              <w:rPr>
                <w:rFonts w:hint="default" w:ascii="Times New Roman" w:hAnsi="Times New Roman" w:eastAsia="宋体" w:cs="Times New Roman"/>
                <w:b/>
                <w:color w:val="000000" w:themeColor="text1"/>
                <w:szCs w:val="21"/>
                <w:lang w:val="en-US" w:eastAsia="zh-CN"/>
                <w14:textFill>
                  <w14:solidFill>
                    <w14:schemeClr w14:val="tx1"/>
                  </w14:solidFill>
                </w14:textFill>
              </w:rPr>
              <w:t>水厂近年监测数据表</w:t>
            </w:r>
          </w:p>
          <w:tbl>
            <w:tblPr>
              <w:tblStyle w:val="55"/>
              <w:tblW w:w="4999"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74"/>
              <w:gridCol w:w="2784"/>
              <w:gridCol w:w="2722"/>
            </w:tblGrid>
            <w:tr w14:paraId="24356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trPr>
              <w:tc>
                <w:tcPr>
                  <w:tcW w:w="1634" w:type="pct"/>
                  <w:tcBorders>
                    <w:tl2br w:val="nil"/>
                    <w:tr2bl w:val="nil"/>
                  </w:tcBorders>
                  <w:noWrap w:val="0"/>
                  <w:vAlign w:val="center"/>
                </w:tcPr>
                <w:p w14:paraId="49E171D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eastAsia="zh-CN"/>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所属时段</w:t>
                  </w:r>
                </w:p>
              </w:tc>
              <w:tc>
                <w:tcPr>
                  <w:tcW w:w="1701" w:type="pct"/>
                  <w:tcBorders>
                    <w:tl2br w:val="nil"/>
                    <w:tr2bl w:val="nil"/>
                  </w:tcBorders>
                  <w:noWrap w:val="0"/>
                  <w:vAlign w:val="center"/>
                </w:tcPr>
                <w:p w14:paraId="2E707EE8">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eastAsia="zh-CN"/>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监测数据（</w:t>
                  </w:r>
                  <w:r>
                    <w:rPr>
                      <w:rFonts w:hint="eastAsia" w:ascii="Times New Roman" w:hAnsi="Times New Roman" w:cs="Times New Roman"/>
                      <w:color w:val="000000" w:themeColor="text1"/>
                      <w:sz w:val="21"/>
                      <w:szCs w:val="32"/>
                      <w:lang w:eastAsia="zh-CN"/>
                      <w14:textFill>
                        <w14:solidFill>
                          <w14:schemeClr w14:val="tx1"/>
                        </w14:solidFill>
                      </w14:textFill>
                    </w:rPr>
                    <w:t>m</w:t>
                  </w:r>
                  <w:r>
                    <w:rPr>
                      <w:rFonts w:hint="eastAsia" w:ascii="Times New Roman" w:hAnsi="Times New Roman" w:cs="Times New Roman"/>
                      <w:color w:val="000000" w:themeColor="text1"/>
                      <w:sz w:val="21"/>
                      <w:szCs w:val="32"/>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1"/>
                      <w:szCs w:val="32"/>
                      <w14:textFill>
                        <w14:solidFill>
                          <w14:schemeClr w14:val="tx1"/>
                        </w14:solidFill>
                      </w14:textFill>
                    </w:rPr>
                    <w:t>）</w:t>
                  </w:r>
                </w:p>
              </w:tc>
              <w:tc>
                <w:tcPr>
                  <w:tcW w:w="1663" w:type="pct"/>
                  <w:tcBorders>
                    <w:tl2br w:val="nil"/>
                    <w:tr2bl w:val="nil"/>
                  </w:tcBorders>
                  <w:noWrap w:val="0"/>
                  <w:vAlign w:val="center"/>
                </w:tcPr>
                <w:p w14:paraId="3DB5F8F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eastAsia="zh-CN"/>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计划取水量（</w:t>
                  </w:r>
                  <w:r>
                    <w:rPr>
                      <w:rFonts w:hint="eastAsia" w:ascii="Times New Roman" w:hAnsi="Times New Roman" w:cs="Times New Roman"/>
                      <w:color w:val="000000" w:themeColor="text1"/>
                      <w:sz w:val="21"/>
                      <w:szCs w:val="32"/>
                      <w:lang w:eastAsia="zh-CN"/>
                      <w14:textFill>
                        <w14:solidFill>
                          <w14:schemeClr w14:val="tx1"/>
                        </w14:solidFill>
                      </w14:textFill>
                    </w:rPr>
                    <w:t>m</w:t>
                  </w:r>
                  <w:r>
                    <w:rPr>
                      <w:rFonts w:hint="eastAsia" w:ascii="Times New Roman" w:hAnsi="Times New Roman" w:cs="Times New Roman"/>
                      <w:color w:val="000000" w:themeColor="text1"/>
                      <w:sz w:val="21"/>
                      <w:szCs w:val="32"/>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1"/>
                      <w:szCs w:val="32"/>
                      <w14:textFill>
                        <w14:solidFill>
                          <w14:schemeClr w14:val="tx1"/>
                        </w14:solidFill>
                      </w14:textFill>
                    </w:rPr>
                    <w:t>）</w:t>
                  </w:r>
                </w:p>
              </w:tc>
            </w:tr>
            <w:tr w14:paraId="432B3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634" w:type="pct"/>
                  <w:tcBorders>
                    <w:tl2br w:val="nil"/>
                    <w:tr2bl w:val="nil"/>
                  </w:tcBorders>
                  <w:noWrap w:val="0"/>
                  <w:vAlign w:val="center"/>
                </w:tcPr>
                <w:p w14:paraId="29DA43B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2021</w:t>
                  </w:r>
                </w:p>
              </w:tc>
              <w:tc>
                <w:tcPr>
                  <w:tcW w:w="1701" w:type="pct"/>
                  <w:tcBorders>
                    <w:tl2br w:val="nil"/>
                    <w:tr2bl w:val="nil"/>
                  </w:tcBorders>
                  <w:noWrap w:val="0"/>
                  <w:vAlign w:val="center"/>
                </w:tcPr>
                <w:p w14:paraId="05EDB012">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2773196.3</w:t>
                  </w:r>
                </w:p>
              </w:tc>
              <w:tc>
                <w:tcPr>
                  <w:tcW w:w="1663" w:type="pct"/>
                  <w:tcBorders>
                    <w:tl2br w:val="nil"/>
                    <w:tr2bl w:val="nil"/>
                  </w:tcBorders>
                  <w:noWrap w:val="0"/>
                  <w:vAlign w:val="center"/>
                </w:tcPr>
                <w:p w14:paraId="4462FD4A">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2970000</w:t>
                  </w:r>
                </w:p>
              </w:tc>
            </w:tr>
            <w:tr w14:paraId="7C9F5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634" w:type="pct"/>
                  <w:tcBorders>
                    <w:tl2br w:val="nil"/>
                    <w:tr2bl w:val="nil"/>
                  </w:tcBorders>
                  <w:noWrap w:val="0"/>
                  <w:vAlign w:val="center"/>
                </w:tcPr>
                <w:p w14:paraId="17A35C43">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2022</w:t>
                  </w:r>
                </w:p>
              </w:tc>
              <w:tc>
                <w:tcPr>
                  <w:tcW w:w="1701" w:type="pct"/>
                  <w:tcBorders>
                    <w:tl2br w:val="nil"/>
                    <w:tr2bl w:val="nil"/>
                  </w:tcBorders>
                  <w:noWrap w:val="0"/>
                  <w:vAlign w:val="center"/>
                </w:tcPr>
                <w:p w14:paraId="61403864">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2478362</w:t>
                  </w:r>
                </w:p>
              </w:tc>
              <w:tc>
                <w:tcPr>
                  <w:tcW w:w="1663" w:type="pct"/>
                  <w:tcBorders>
                    <w:tl2br w:val="nil"/>
                    <w:tr2bl w:val="nil"/>
                  </w:tcBorders>
                  <w:noWrap w:val="0"/>
                  <w:vAlign w:val="center"/>
                </w:tcPr>
                <w:p w14:paraId="6EAD409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2560000</w:t>
                  </w:r>
                </w:p>
              </w:tc>
            </w:tr>
            <w:tr w14:paraId="38189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634" w:type="pct"/>
                  <w:tcBorders>
                    <w:tl2br w:val="nil"/>
                    <w:tr2bl w:val="nil"/>
                  </w:tcBorders>
                  <w:noWrap w:val="0"/>
                  <w:vAlign w:val="center"/>
                </w:tcPr>
                <w:p w14:paraId="07453B63">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2023</w:t>
                  </w:r>
                </w:p>
              </w:tc>
              <w:tc>
                <w:tcPr>
                  <w:tcW w:w="1701" w:type="pct"/>
                  <w:tcBorders>
                    <w:tl2br w:val="nil"/>
                    <w:tr2bl w:val="nil"/>
                  </w:tcBorders>
                  <w:noWrap w:val="0"/>
                  <w:vAlign w:val="center"/>
                </w:tcPr>
                <w:p w14:paraId="7DD05C82">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1864803</w:t>
                  </w:r>
                </w:p>
              </w:tc>
              <w:tc>
                <w:tcPr>
                  <w:tcW w:w="1663" w:type="pct"/>
                  <w:tcBorders>
                    <w:tl2br w:val="nil"/>
                    <w:tr2bl w:val="nil"/>
                  </w:tcBorders>
                  <w:noWrap w:val="0"/>
                  <w:vAlign w:val="center"/>
                </w:tcPr>
                <w:p w14:paraId="25676E52">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2410000</w:t>
                  </w:r>
                </w:p>
              </w:tc>
            </w:tr>
            <w:tr w14:paraId="58CBD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634" w:type="pct"/>
                  <w:tcBorders>
                    <w:tl2br w:val="nil"/>
                    <w:tr2bl w:val="nil"/>
                  </w:tcBorders>
                  <w:noWrap w:val="0"/>
                  <w:vAlign w:val="center"/>
                </w:tcPr>
                <w:p w14:paraId="2DC2F52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2024</w:t>
                  </w:r>
                </w:p>
              </w:tc>
              <w:tc>
                <w:tcPr>
                  <w:tcW w:w="1701" w:type="pct"/>
                  <w:tcBorders>
                    <w:tl2br w:val="nil"/>
                    <w:tr2bl w:val="nil"/>
                  </w:tcBorders>
                  <w:noWrap w:val="0"/>
                  <w:vAlign w:val="center"/>
                </w:tcPr>
                <w:p w14:paraId="56CD04DD">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1351012.7</w:t>
                  </w:r>
                </w:p>
              </w:tc>
              <w:tc>
                <w:tcPr>
                  <w:tcW w:w="1663" w:type="pct"/>
                  <w:tcBorders>
                    <w:tl2br w:val="nil"/>
                    <w:tr2bl w:val="nil"/>
                  </w:tcBorders>
                  <w:noWrap w:val="0"/>
                  <w:vAlign w:val="center"/>
                </w:tcPr>
                <w:p w14:paraId="1A99A704">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2580000</w:t>
                  </w:r>
                </w:p>
              </w:tc>
            </w:tr>
            <w:tr w14:paraId="1193E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634" w:type="pct"/>
                  <w:tcBorders>
                    <w:tl2br w:val="nil"/>
                    <w:tr2bl w:val="nil"/>
                  </w:tcBorders>
                  <w:noWrap w:val="0"/>
                  <w:vAlign w:val="center"/>
                </w:tcPr>
                <w:p w14:paraId="66672C88">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2025</w:t>
                  </w:r>
                </w:p>
              </w:tc>
              <w:tc>
                <w:tcPr>
                  <w:tcW w:w="1701" w:type="pct"/>
                  <w:tcBorders>
                    <w:tl2br w:val="nil"/>
                    <w:tr2bl w:val="nil"/>
                  </w:tcBorders>
                  <w:noWrap w:val="0"/>
                  <w:vAlign w:val="center"/>
                </w:tcPr>
                <w:p w14:paraId="0FA92832">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175211.4</w:t>
                  </w:r>
                </w:p>
              </w:tc>
              <w:tc>
                <w:tcPr>
                  <w:tcW w:w="1663" w:type="pct"/>
                  <w:tcBorders>
                    <w:tl2br w:val="nil"/>
                    <w:tr2bl w:val="nil"/>
                  </w:tcBorders>
                  <w:noWrap w:val="0"/>
                  <w:vAlign w:val="center"/>
                </w:tcPr>
                <w:p w14:paraId="1166BCF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14:textFill>
                        <w14:solidFill>
                          <w14:schemeClr w14:val="tx1"/>
                        </w14:solidFill>
                      </w14:textFill>
                    </w:rPr>
                  </w:pPr>
                  <w:r>
                    <w:rPr>
                      <w:rFonts w:hint="default" w:ascii="Times New Roman" w:hAnsi="Times New Roman" w:eastAsia="宋体" w:cs="Times New Roman"/>
                      <w:color w:val="000000" w:themeColor="text1"/>
                      <w:sz w:val="21"/>
                      <w:szCs w:val="32"/>
                      <w14:textFill>
                        <w14:solidFill>
                          <w14:schemeClr w14:val="tx1"/>
                        </w14:solidFill>
                      </w14:textFill>
                    </w:rPr>
                    <w:t>2450000</w:t>
                  </w:r>
                </w:p>
              </w:tc>
            </w:tr>
          </w:tbl>
          <w:p w14:paraId="68343E88">
            <w:pPr>
              <w:spacing w:line="360" w:lineRule="auto"/>
              <w:ind w:firstLine="480" w:firstLineChars="200"/>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现状供水情况：泸定县城区自来水厂经《泸定县城市供水改扩建工程》对项目取水口及供配水管网进行改扩建后，取水点位于泸桥镇羊圈沟，坐标（东经102°14′40.08"，北纬29°54′28.46"），水厂位于甘孜州泸定县泸桥镇，地理坐标（东经102°14′4.86"，北纬29°54′39.78"）水厂设计供水规模10000m³/d，水厂占地7.6亩，已于2023年4月取得甘孜州水利局下发的取水许可证，年取水296.04万</w:t>
            </w:r>
            <w:r>
              <w:rPr>
                <w:rFonts w:hint="eastAsia" w:ascii="Times New Roman" w:hAnsi="Times New Roman" w:cs="Times New Roman"/>
                <w:color w:val="000000" w:themeColor="text1"/>
                <w:sz w:val="24"/>
                <w:szCs w:val="24"/>
                <w:lang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w:t>
            </w:r>
          </w:p>
          <w:p w14:paraId="1CC2381A">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因受地震的影响导致水厂取水点供水规模不足以满足供水区的需水量，</w:t>
            </w:r>
            <w:r>
              <w:rPr>
                <w:rFonts w:hint="eastAsia" w:ascii="Times New Roman" w:hAnsi="Times New Roman" w:cs="Times New Roman"/>
                <w:color w:val="000000" w:themeColor="text1"/>
                <w:sz w:val="24"/>
                <w:szCs w:val="24"/>
                <w:lang w:val="en-US" w:eastAsia="zh-CN"/>
                <w14:textFill>
                  <w14:solidFill>
                    <w14:schemeClr w14:val="tx1"/>
                  </w14:solidFill>
                </w14:textFill>
              </w:rPr>
              <w:t>根据2023年至2025年统计的</w:t>
            </w:r>
            <w:r>
              <w:rPr>
                <w:rFonts w:hint="default" w:ascii="Times New Roman" w:hAnsi="Times New Roman" w:eastAsia="宋体" w:cs="Times New Roman"/>
                <w:color w:val="000000" w:themeColor="text1"/>
                <w:sz w:val="24"/>
                <w:szCs w:val="24"/>
                <w14:textFill>
                  <w14:solidFill>
                    <w14:schemeClr w14:val="tx1"/>
                  </w14:solidFill>
                </w14:textFill>
              </w:rPr>
              <w:t>缺水量</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可</w:t>
            </w:r>
            <w:r>
              <w:rPr>
                <w:rFonts w:hint="default" w:ascii="Times New Roman" w:hAnsi="Times New Roman" w:eastAsia="宋体" w:cs="Times New Roman"/>
                <w:color w:val="000000" w:themeColor="text1"/>
                <w:sz w:val="24"/>
                <w:szCs w:val="24"/>
                <w14:textFill>
                  <w14:solidFill>
                    <w14:schemeClr w14:val="tx1"/>
                  </w14:solidFill>
                </w14:textFill>
              </w:rPr>
              <w:t>达3000m³/d，故于五里沟新建取水头部一座作为备用水源，补充羊圈沟取水点的供水缺口。</w:t>
            </w:r>
          </w:p>
          <w:p w14:paraId="39F5ECB2">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为了提高</w:t>
            </w:r>
            <w:r>
              <w:rPr>
                <w:rFonts w:hint="default" w:ascii="Times New Roman" w:hAnsi="Times New Roman" w:eastAsia="宋体" w:cs="Times New Roman"/>
                <w:color w:val="000000" w:themeColor="text1"/>
                <w:sz w:val="24"/>
                <w:szCs w:val="24"/>
                <w:lang w:eastAsia="zh-CN"/>
                <w14:textFill>
                  <w14:solidFill>
                    <w14:schemeClr w14:val="tx1"/>
                  </w14:solidFill>
                </w14:textFill>
              </w:rPr>
              <w:t>泸定县</w:t>
            </w:r>
            <w:r>
              <w:rPr>
                <w:rFonts w:hint="default" w:ascii="Times New Roman" w:hAnsi="Times New Roman" w:eastAsia="宋体" w:cs="Times New Roman"/>
                <w:color w:val="000000" w:themeColor="text1"/>
                <w:sz w:val="24"/>
                <w:szCs w:val="24"/>
                <w14:textFill>
                  <w14:solidFill>
                    <w14:schemeClr w14:val="tx1"/>
                  </w14:solidFill>
                </w14:textFill>
              </w:rPr>
              <w:t>水源水质水量保证率，保障人民饮水安全问题，</w:t>
            </w:r>
            <w:r>
              <w:rPr>
                <w:rFonts w:hint="default" w:ascii="Times New Roman" w:hAnsi="Times New Roman" w:eastAsia="宋体" w:cs="Times New Roman"/>
                <w:color w:val="000000" w:themeColor="text1"/>
                <w:sz w:val="24"/>
                <w:szCs w:val="24"/>
                <w:lang w:eastAsia="zh-CN"/>
                <w14:textFill>
                  <w14:solidFill>
                    <w14:schemeClr w14:val="tx1"/>
                  </w14:solidFill>
                </w14:textFill>
              </w:rPr>
              <w:t>泸定县住房和城乡建设局</w:t>
            </w:r>
            <w:r>
              <w:rPr>
                <w:rFonts w:hint="default" w:ascii="Times New Roman" w:hAnsi="Times New Roman" w:eastAsia="宋体" w:cs="Times New Roman"/>
                <w:color w:val="000000" w:themeColor="text1"/>
                <w:sz w:val="24"/>
                <w:szCs w:val="24"/>
                <w14:textFill>
                  <w14:solidFill>
                    <w14:schemeClr w14:val="tx1"/>
                  </w14:solidFill>
                </w14:textFill>
              </w:rPr>
              <w:t>启动“</w:t>
            </w:r>
            <w:r>
              <w:rPr>
                <w:rFonts w:hint="default" w:ascii="Times New Roman" w:hAnsi="Times New Roman" w:eastAsia="宋体" w:cs="Times New Roman"/>
                <w:color w:val="000000" w:themeColor="text1"/>
                <w:sz w:val="24"/>
                <w:szCs w:val="24"/>
                <w:lang w:eastAsia="zh-CN"/>
                <w14:textFill>
                  <w14:solidFill>
                    <w14:schemeClr w14:val="tx1"/>
                  </w14:solidFill>
                </w14:textFill>
              </w:rPr>
              <w:t>泸定县城区自来水厂备用水源取水工程新建项目</w:t>
            </w:r>
            <w:r>
              <w:rPr>
                <w:rFonts w:hint="default" w:ascii="Times New Roman" w:hAnsi="Times New Roman" w:eastAsia="宋体" w:cs="Times New Roman"/>
                <w:color w:val="000000" w:themeColor="text1"/>
                <w:sz w:val="24"/>
                <w:szCs w:val="24"/>
                <w14:textFill>
                  <w14:solidFill>
                    <w14:schemeClr w14:val="tx1"/>
                  </w14:solidFill>
                </w14:textFill>
              </w:rPr>
              <w:t>”（以下简称“本项目”）。</w:t>
            </w:r>
          </w:p>
          <w:p w14:paraId="45A55F80">
            <w:pPr>
              <w:pStyle w:val="311"/>
              <w:spacing w:before="0" w:beforeLines="0" w:after="0" w:afterLines="0" w:line="360" w:lineRule="auto"/>
              <w:ind w:firstLine="482"/>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本项目取水口位置在频率为95%条件下来水量为</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2466.34</w:t>
            </w:r>
            <w:r>
              <w:rPr>
                <w:rFonts w:hint="default" w:ascii="Times New Roman" w:hAnsi="Times New Roman" w:eastAsia="宋体" w:cs="Times New Roman"/>
                <w:b w:val="0"/>
                <w:color w:val="000000" w:themeColor="text1"/>
                <w:kern w:val="2"/>
                <w:sz w:val="24"/>
                <w:szCs w:val="24"/>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14:textFill>
                  <w14:solidFill>
                    <w14:schemeClr w14:val="tx1"/>
                  </w14:solidFill>
                </w14:textFill>
              </w:rPr>
              <w:t>/a，现状水平年条件下，项目取水口位置来水量在满足各类取用水户的用水需求后，剩余可供水量为</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2151.81</w:t>
            </w:r>
            <w:r>
              <w:rPr>
                <w:rFonts w:hint="default" w:ascii="Times New Roman" w:hAnsi="Times New Roman" w:eastAsia="宋体" w:cs="Times New Roman"/>
                <w:b w:val="0"/>
                <w:color w:val="000000" w:themeColor="text1"/>
                <w:kern w:val="2"/>
                <w:sz w:val="24"/>
                <w:szCs w:val="24"/>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14:textFill>
                  <w14:solidFill>
                    <w14:schemeClr w14:val="tx1"/>
                  </w14:solidFill>
                </w14:textFill>
              </w:rPr>
              <w:t>/a，完全能够满足本项目的取用水需求。本项目取水量为</w:t>
            </w:r>
            <w:r>
              <w:rPr>
                <w:rFonts w:hint="eastAsia" w:ascii="Times New Roman" w:hAnsi="Times New Roman" w:cs="Times New Roman"/>
                <w:b w:val="0"/>
                <w:color w:val="000000" w:themeColor="text1"/>
                <w:kern w:val="2"/>
                <w:sz w:val="24"/>
                <w:szCs w:val="24"/>
                <w:lang w:val="en-US" w:eastAsia="zh-CN"/>
                <w14:textFill>
                  <w14:solidFill>
                    <w14:schemeClr w14:val="tx1"/>
                  </w14:solidFill>
                </w14:textFill>
              </w:rPr>
              <w:t>131.4</w:t>
            </w:r>
            <w:r>
              <w:rPr>
                <w:rFonts w:hint="default" w:ascii="Times New Roman" w:hAnsi="Times New Roman" w:eastAsia="宋体" w:cs="Times New Roman"/>
                <w:b w:val="0"/>
                <w:color w:val="000000" w:themeColor="text1"/>
                <w:kern w:val="2"/>
                <w:sz w:val="24"/>
                <w:szCs w:val="24"/>
                <w14:textFill>
                  <w14:solidFill>
                    <w14:schemeClr w14:val="tx1"/>
                  </w14:solidFill>
                </w14:textFill>
              </w:rPr>
              <w:t>万m³/a，本项目取水量占河道来水量的</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5.37</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w:t>
            </w:r>
            <w:r>
              <w:rPr>
                <w:rFonts w:hint="default" w:ascii="Times New Roman" w:hAnsi="Times New Roman" w:eastAsia="宋体" w:cs="Times New Roman"/>
                <w:b w:val="0"/>
                <w:color w:val="000000" w:themeColor="text1"/>
                <w:kern w:val="2"/>
                <w:sz w:val="24"/>
                <w:szCs w:val="24"/>
                <w14:textFill>
                  <w14:solidFill>
                    <w14:schemeClr w14:val="tx1"/>
                  </w14:solidFill>
                </w14:textFill>
              </w:rPr>
              <w:t>，本项目取水占来水量的比例很小，对区域水资源可利用量影响较小。</w:t>
            </w:r>
          </w:p>
          <w:p w14:paraId="36A0B5CE">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五里沟取水口可供水量能满足水厂取水需求。</w:t>
            </w:r>
          </w:p>
          <w:p w14:paraId="655EFBD1">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本项目为城镇供水工程，根据水源水质监测报告，五里沟水源水质符合《地表水环境质量标准》(GB3838-2002)Ⅲ类标准。</w:t>
            </w:r>
          </w:p>
          <w:p w14:paraId="19FFBDDB">
            <w:pPr>
              <w:keepNext w:val="0"/>
              <w:keepLines w:val="0"/>
              <w:pageBreakBefore w:val="0"/>
              <w:tabs>
                <w:tab w:val="left" w:pos="0"/>
              </w:tabs>
              <w:wordWrap/>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项目</w:t>
            </w:r>
            <w:r>
              <w:rPr>
                <w:rFonts w:hint="default" w:ascii="Times New Roman" w:hAnsi="Times New Roman" w:eastAsia="宋体" w:cs="Times New Roman"/>
                <w:color w:val="000000" w:themeColor="text1"/>
                <w:sz w:val="24"/>
                <w:lang w:val="en-US" w:eastAsia="zh-CN"/>
                <w14:textFill>
                  <w14:solidFill>
                    <w14:schemeClr w14:val="tx1"/>
                  </w14:solidFill>
                </w14:textFill>
              </w:rPr>
              <w:t>已</w:t>
            </w:r>
            <w:r>
              <w:rPr>
                <w:rFonts w:hint="default" w:ascii="Times New Roman" w:hAnsi="Times New Roman" w:eastAsia="宋体" w:cs="Times New Roman"/>
                <w:color w:val="000000" w:themeColor="text1"/>
                <w:sz w:val="24"/>
                <w14:textFill>
                  <w14:solidFill>
                    <w14:schemeClr w14:val="tx1"/>
                  </w14:solidFill>
                </w14:textFill>
              </w:rPr>
              <w:t>取得了《</w:t>
            </w:r>
            <w:r>
              <w:rPr>
                <w:rFonts w:hint="default" w:ascii="Times New Roman" w:hAnsi="Times New Roman" w:eastAsia="宋体" w:cs="Times New Roman"/>
                <w:color w:val="000000" w:themeColor="text1"/>
                <w:sz w:val="24"/>
                <w:lang w:eastAsia="zh-CN"/>
                <w14:textFill>
                  <w14:solidFill>
                    <w14:schemeClr w14:val="tx1"/>
                  </w14:solidFill>
                </w14:textFill>
              </w:rPr>
              <w:t>泸定县</w:t>
            </w:r>
            <w:r>
              <w:rPr>
                <w:rFonts w:hint="default" w:ascii="Times New Roman" w:hAnsi="Times New Roman" w:eastAsia="宋体" w:cs="Times New Roman"/>
                <w:color w:val="000000" w:themeColor="text1"/>
                <w:sz w:val="24"/>
                <w14:textFill>
                  <w14:solidFill>
                    <w14:schemeClr w14:val="tx1"/>
                  </w14:solidFill>
                </w14:textFill>
              </w:rPr>
              <w:t>水利局关于&lt;</w:t>
            </w:r>
            <w:r>
              <w:rPr>
                <w:rFonts w:hint="default" w:ascii="Times New Roman" w:hAnsi="Times New Roman" w:eastAsia="宋体" w:cs="Times New Roman"/>
                <w:color w:val="000000" w:themeColor="text1"/>
                <w:sz w:val="24"/>
                <w:lang w:eastAsia="zh-CN"/>
                <w14:textFill>
                  <w14:solidFill>
                    <w14:schemeClr w14:val="tx1"/>
                  </w14:solidFill>
                </w14:textFill>
              </w:rPr>
              <w:t>泸定县城区自来水厂备用水源取水工程新建项目</w:t>
            </w:r>
            <w:r>
              <w:rPr>
                <w:rFonts w:hint="default" w:ascii="Times New Roman" w:hAnsi="Times New Roman" w:eastAsia="宋体" w:cs="Times New Roman"/>
                <w:color w:val="000000" w:themeColor="text1"/>
                <w:sz w:val="24"/>
                <w14:textFill>
                  <w14:solidFill>
                    <w14:schemeClr w14:val="tx1"/>
                  </w14:solidFill>
                </w14:textFill>
              </w:rPr>
              <w:t>水资源论证报告书&gt;的批复》。</w:t>
            </w:r>
            <w:r>
              <w:rPr>
                <w:rFonts w:hint="eastAsia" w:ascii="Times New Roman" w:hAnsi="Times New Roman" w:cs="Times New Roman"/>
                <w:color w:val="000000" w:themeColor="text1"/>
                <w:sz w:val="24"/>
                <w:lang w:val="en-US" w:eastAsia="zh-CN"/>
                <w14:textFill>
                  <w14:solidFill>
                    <w14:schemeClr w14:val="tx1"/>
                  </w14:solidFill>
                </w14:textFill>
              </w:rPr>
              <w:t>根据现场调查，取水口上游为大熊猫栖息地不存在工业污染源和生活污染源、下游100m范围内居民（1户）已无人居住（已是危房，现在无人居住），也不存在工业污染源和生活污染源，可以合理划定饮用水源保护区。</w:t>
            </w:r>
          </w:p>
          <w:p w14:paraId="10F66A2C">
            <w:pPr>
              <w:keepNext w:val="0"/>
              <w:keepLines w:val="0"/>
              <w:pageBreakBefore w:val="0"/>
              <w:tabs>
                <w:tab w:val="left" w:pos="0"/>
              </w:tabs>
              <w:wordWrap/>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2023年9月，鉴远工程咨询有限公司编制完成了《泸定县城区自来水厂备用水源取水工程新建项目可行性研究报告》。</w:t>
            </w:r>
          </w:p>
          <w:p w14:paraId="0EB95E09">
            <w:pPr>
              <w:keepNext w:val="0"/>
              <w:keepLines w:val="0"/>
              <w:pageBreakBefore w:val="0"/>
              <w:tabs>
                <w:tab w:val="left" w:pos="0"/>
              </w:tabs>
              <w:wordWrap/>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2023年11月8日，泸定县发展和改革局下发了《关于对泸定县城区自来水厂备用水源取水工程新建项目可行性研究报告的批复》（泸发改(2023)348号）批准了该项目。批复同意项目新建取水头部1座（设计规模3</w:t>
            </w:r>
            <w:r>
              <w:rPr>
                <w:rFonts w:hint="eastAsia"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00立方米/天）及配套管网工程DN400输水管道</w:t>
            </w:r>
            <w:r>
              <w:rPr>
                <w:rFonts w:hint="eastAsia" w:ascii="Times New Roman" w:hAnsi="Times New Roman" w:cs="Times New Roman"/>
                <w:color w:val="000000" w:themeColor="text1"/>
                <w:sz w:val="24"/>
                <w:szCs w:val="24"/>
                <w:lang w:eastAsia="zh-CN"/>
                <w14:textFill>
                  <w14:solidFill>
                    <w14:schemeClr w14:val="tx1"/>
                  </w14:solidFill>
                </w14:textFill>
              </w:rPr>
              <w:t>10</w:t>
            </w:r>
            <w:r>
              <w:rPr>
                <w:rFonts w:hint="eastAsia" w:ascii="Times New Roman" w:hAnsi="Times New Roman" w:cs="Times New Roman"/>
                <w:color w:val="000000" w:themeColor="text1"/>
                <w:sz w:val="24"/>
                <w:szCs w:val="24"/>
                <w:lang w:val="en-US" w:eastAsia="zh-CN"/>
                <w14:textFill>
                  <w14:solidFill>
                    <w14:schemeClr w14:val="tx1"/>
                  </w14:solidFill>
                </w14:textFill>
              </w:rPr>
              <w:t>800</w:t>
            </w:r>
            <w:r>
              <w:rPr>
                <w:rFonts w:hint="eastAsia" w:ascii="Times New Roman" w:hAnsi="Times New Roman" w:cs="Times New Roman"/>
                <w:color w:val="000000" w:themeColor="text1"/>
                <w:sz w:val="24"/>
                <w:szCs w:val="24"/>
                <w:lang w:eastAsia="zh-CN"/>
                <w14:textFill>
                  <w14:solidFill>
                    <w14:schemeClr w14:val="tx1"/>
                  </w14:solidFill>
                </w14:textFill>
              </w:rPr>
              <w:t>m</w:t>
            </w:r>
            <w:r>
              <w:rPr>
                <w:rFonts w:hint="default" w:ascii="Times New Roman" w:hAnsi="Times New Roman" w:eastAsia="宋体" w:cs="Times New Roman"/>
                <w:color w:val="000000" w:themeColor="text1"/>
                <w:sz w:val="24"/>
                <w:szCs w:val="24"/>
                <w14:textFill>
                  <w14:solidFill>
                    <w14:schemeClr w14:val="tx1"/>
                  </w14:solidFill>
                </w14:textFill>
              </w:rPr>
              <w:t>及阀门井、</w:t>
            </w:r>
            <w:r>
              <w:rPr>
                <w:rFonts w:hint="default" w:ascii="Times New Roman" w:hAnsi="Times New Roman" w:eastAsia="宋体" w:cs="Times New Roman"/>
                <w:color w:val="000000" w:themeColor="text1"/>
                <w:sz w:val="24"/>
                <w:szCs w:val="24"/>
                <w:lang w:eastAsia="zh-CN"/>
                <w14:textFill>
                  <w14:solidFill>
                    <w14:schemeClr w14:val="tx1"/>
                  </w14:solidFill>
                </w14:textFill>
              </w:rPr>
              <w:t>排气阀井</w:t>
            </w:r>
            <w:r>
              <w:rPr>
                <w:rFonts w:hint="default" w:ascii="Times New Roman" w:hAnsi="Times New Roman" w:eastAsia="宋体" w:cs="Times New Roman"/>
                <w:color w:val="000000" w:themeColor="text1"/>
                <w:sz w:val="24"/>
                <w:szCs w:val="24"/>
                <w14:textFill>
                  <w14:solidFill>
                    <w14:schemeClr w14:val="tx1"/>
                  </w14:solidFill>
                </w14:textFill>
              </w:rPr>
              <w:t>、排泥井、消火栓等配套设施。</w:t>
            </w:r>
          </w:p>
          <w:p w14:paraId="5A3EE5C3">
            <w:pPr>
              <w:spacing w:line="360" w:lineRule="auto"/>
              <w:ind w:firstLine="480" w:firstLineChars="200"/>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2024年9月，中鸿新域项目管理有限公司编制完成了《泸定县城区自来水厂备用水源取水工程新建项目初步设计方案及投资概算》。</w:t>
            </w:r>
          </w:p>
          <w:p w14:paraId="7978DD83">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2024年10月31日，泸定县发展和改革局下发了《关于对泸定县城区自来水厂备用水源取水工程新建项目初步设计方案及投资概算批复》（泸发改(2024)280号）。</w:t>
            </w:r>
          </w:p>
          <w:p w14:paraId="50C4569A">
            <w:pPr>
              <w:spacing w:line="360" w:lineRule="auto"/>
              <w:ind w:firstLine="480" w:firstLineChars="200"/>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2026年6月29日，</w:t>
            </w:r>
            <w:r>
              <w:rPr>
                <w:rFonts w:hint="default" w:ascii="Times New Roman" w:hAnsi="Times New Roman" w:eastAsia="宋体" w:cs="Times New Roman"/>
                <w:color w:val="000000" w:themeColor="text1"/>
                <w:sz w:val="24"/>
                <w:szCs w:val="24"/>
                <w:lang w:eastAsia="zh-CN"/>
                <w14:textFill>
                  <w14:solidFill>
                    <w14:schemeClr w14:val="tx1"/>
                  </w14:solidFill>
                </w14:textFill>
              </w:rPr>
              <w:t>甘孜藏族自治州水利局</w:t>
            </w:r>
            <w:r>
              <w:rPr>
                <w:rFonts w:hint="eastAsia" w:ascii="Times New Roman" w:hAnsi="Times New Roman" w:cs="Times New Roman"/>
                <w:color w:val="000000" w:themeColor="text1"/>
                <w:sz w:val="24"/>
                <w:szCs w:val="24"/>
                <w:lang w:val="en-US" w:eastAsia="zh-CN"/>
                <w14:textFill>
                  <w14:solidFill>
                    <w14:schemeClr w14:val="tx1"/>
                  </w14:solidFill>
                </w14:textFill>
              </w:rPr>
              <w:t>出具了</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eastAsia="zh-CN"/>
                <w14:textFill>
                  <w14:solidFill>
                    <w14:schemeClr w14:val="tx1"/>
                  </w14:solidFill>
                </w14:textFill>
              </w:rPr>
              <w:t>甘孜州水利局关于泸定县城区自来水厂水资源论证报告书取水申请的批复</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eastAsia="zh-CN"/>
                <w14:textFill>
                  <w14:solidFill>
                    <w14:schemeClr w14:val="tx1"/>
                  </w14:solidFill>
                </w14:textFill>
              </w:rPr>
              <w:t>甘水审[2026]56号</w:t>
            </w:r>
            <w:r>
              <w:rPr>
                <w:rFonts w:hint="eastAsia" w:ascii="Times New Roman" w:hAnsi="Times New Roman" w:cs="Times New Roman"/>
                <w:color w:val="000000" w:themeColor="text1"/>
                <w:sz w:val="24"/>
                <w:szCs w:val="24"/>
                <w:lang w:eastAsia="zh-CN"/>
                <w14:textFill>
                  <w14:solidFill>
                    <w14:schemeClr w14:val="tx1"/>
                  </w14:solidFill>
                </w14:textFill>
              </w:rPr>
              <w:t>）。</w:t>
            </w:r>
          </w:p>
          <w:p w14:paraId="15987291">
            <w:pPr>
              <w:spacing w:line="360" w:lineRule="auto"/>
              <w:ind w:firstLine="480" w:firstLineChars="200"/>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项目取水供水服务范围为泸定县县城元帅街、将军街、遵义路、成武路、开湘路、延安路、一号路、二号路、三号路、瑞金路、四号路、五号路、六号路，取水水源类型为地表水。</w:t>
            </w:r>
            <w:r>
              <w:rPr>
                <w:rFonts w:hint="eastAsia" w:ascii="Times New Roman" w:hAnsi="Times New Roman" w:cs="Times New Roman"/>
                <w:color w:val="000000" w:themeColor="text1"/>
                <w:sz w:val="24"/>
                <w:szCs w:val="24"/>
                <w:lang w:val="en-US" w:eastAsia="zh-CN"/>
                <w14:textFill>
                  <w14:solidFill>
                    <w14:schemeClr w14:val="tx1"/>
                  </w14:solidFill>
                </w14:textFill>
              </w:rPr>
              <w:t>项目建成后，仅作为备用水源，补充羊圈沟取水口缺水的需求，羊圈沟取水口依然作为主要取水水源。</w:t>
            </w:r>
          </w:p>
          <w:p w14:paraId="502BCB8D">
            <w:pPr>
              <w:spacing w:line="360" w:lineRule="auto"/>
              <w:ind w:firstLine="480" w:firstLineChars="200"/>
              <w:rPr>
                <w:rFonts w:hint="eastAsia" w:ascii="Times New Roman" w:hAnsi="Times New Roman" w:cs="Times New Roman"/>
                <w:color w:val="000000" w:themeColor="text1"/>
                <w:sz w:val="24"/>
                <w:szCs w:val="24"/>
                <w:lang w:val="en-US" w:eastAsia="zh-CN"/>
                <w14:textFill>
                  <w14:solidFill>
                    <w14:schemeClr w14:val="tx1"/>
                  </w14:solidFill>
                </w14:textFill>
              </w:rPr>
            </w:pPr>
          </w:p>
          <w:p w14:paraId="0A335B24">
            <w:pPr>
              <w:pStyle w:val="155"/>
              <w:numPr>
                <w:ilvl w:val="0"/>
                <w:numId w:val="0"/>
              </w:numPr>
              <w:spacing w:line="240" w:lineRule="auto"/>
              <w:ind w:leftChars="0"/>
              <w:jc w:val="both"/>
              <w:rPr>
                <w:rFonts w:hint="default" w:ascii="Times New Roman" w:hAnsi="Times New Roman" w:eastAsia="宋体" w:cs="Times New Roman"/>
                <w:b/>
                <w:color w:val="000000" w:themeColor="text1"/>
                <w:szCs w:val="21"/>
                <w:lang w:val="en-US" w:eastAsia="zh-CN"/>
                <w14:textFill>
                  <w14:solidFill>
                    <w14:schemeClr w14:val="tx1"/>
                  </w14:solidFill>
                </w14:textFill>
              </w:rPr>
            </w:pPr>
          </w:p>
          <w:p w14:paraId="4F572EC5">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default" w:ascii="Times New Roman" w:hAnsi="Times New Roman" w:eastAsia="宋体" w:cs="Times New Roman"/>
                <w:b/>
                <w:color w:val="000000" w:themeColor="text1"/>
                <w:szCs w:val="21"/>
                <w:lang w:val="en-US" w:eastAsia="zh-CN"/>
                <w14:textFill>
                  <w14:solidFill>
                    <w14:schemeClr w14:val="tx1"/>
                  </w14:solidFill>
                </w14:textFill>
              </w:rPr>
              <w:t>项目建设内容变更情况一览表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023"/>
              <w:gridCol w:w="3578"/>
              <w:gridCol w:w="3578"/>
            </w:tblGrid>
            <w:tr w14:paraId="16FF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25" w:type="pct"/>
                  <w:vAlign w:val="center"/>
                </w:tcPr>
                <w:p w14:paraId="5EAA0E83">
                  <w:pPr>
                    <w:overflowPunct w:val="0"/>
                    <w:topLinePunct/>
                    <w:spacing w:line="240" w:lineRule="auto"/>
                    <w:jc w:val="center"/>
                    <w:rPr>
                      <w:rFonts w:hint="default" w:ascii="Times New Roman" w:hAnsi="Times New Roman" w:eastAsia="宋体" w:cs="Times New Roman"/>
                      <w:b/>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序号</w:t>
                  </w:r>
                </w:p>
              </w:tc>
              <w:tc>
                <w:tcPr>
                  <w:tcW w:w="2187" w:type="pct"/>
                  <w:vAlign w:val="center"/>
                </w:tcPr>
                <w:p w14:paraId="3CFB945A">
                  <w:pPr>
                    <w:overflowPunct w:val="0"/>
                    <w:topLinePunct/>
                    <w:spacing w:line="240" w:lineRule="auto"/>
                    <w:jc w:val="center"/>
                    <w:rPr>
                      <w:rFonts w:hint="default" w:ascii="Times New Roman" w:hAnsi="Times New Roman" w:eastAsia="宋体" w:cs="Times New Roman"/>
                      <w:b/>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可研</w:t>
                  </w: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》建设内容</w:t>
                  </w:r>
                </w:p>
              </w:tc>
              <w:tc>
                <w:tcPr>
                  <w:tcW w:w="2187" w:type="pct"/>
                  <w:vAlign w:val="center"/>
                </w:tcPr>
                <w:p w14:paraId="1A771597">
                  <w:pPr>
                    <w:overflowPunct w:val="0"/>
                    <w:topLinePunct/>
                    <w:spacing w:line="240" w:lineRule="auto"/>
                    <w:jc w:val="center"/>
                    <w:rPr>
                      <w:rFonts w:hint="default" w:ascii="Times New Roman" w:hAnsi="Times New Roman" w:eastAsia="宋体" w:cs="Times New Roman"/>
                      <w:b/>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初设</w:t>
                  </w: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》建设内容</w:t>
                  </w:r>
                </w:p>
              </w:tc>
            </w:tr>
            <w:tr w14:paraId="4C03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25" w:type="pct"/>
                  <w:vAlign w:val="center"/>
                </w:tcPr>
                <w:p w14:paraId="47065B85">
                  <w:pPr>
                    <w:overflowPunct w:val="0"/>
                    <w:topLinePunct/>
                    <w:spacing w:line="240" w:lineRule="auto"/>
                    <w:jc w:val="cente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名称</w:t>
                  </w:r>
                </w:p>
              </w:tc>
              <w:tc>
                <w:tcPr>
                  <w:tcW w:w="4374" w:type="pct"/>
                  <w:gridSpan w:val="2"/>
                  <w:vAlign w:val="center"/>
                </w:tcPr>
                <w:p w14:paraId="116ABB31">
                  <w:pPr>
                    <w:overflowPunct w:val="0"/>
                    <w:topLinePunct/>
                    <w:spacing w:line="240" w:lineRule="auto"/>
                    <w:jc w:val="center"/>
                    <w:rPr>
                      <w:rFonts w:hint="default" w:ascii="Times New Roman" w:hAnsi="Times New Roman" w:eastAsia="宋体" w:cs="Times New Roman"/>
                      <w:b/>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泸定县城区自来水厂备用水源取水工程新建项目</w:t>
                  </w:r>
                </w:p>
              </w:tc>
            </w:tr>
            <w:tr w14:paraId="5E14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3" w:hRule="atLeast"/>
                <w:jc w:val="center"/>
              </w:trPr>
              <w:tc>
                <w:tcPr>
                  <w:tcW w:w="625" w:type="pct"/>
                  <w:vAlign w:val="center"/>
                </w:tcPr>
                <w:p w14:paraId="40D7656E">
                  <w:pPr>
                    <w:overflowPunct w:val="0"/>
                    <w:topLinePunct/>
                    <w:spacing w:line="240" w:lineRule="auto"/>
                    <w:jc w:val="center"/>
                    <w:rPr>
                      <w:rFonts w:hint="default" w:ascii="Times New Roman" w:hAnsi="Times New Roman" w:eastAsia="宋体" w:cs="Times New Roman"/>
                      <w:b/>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性质</w:t>
                  </w:r>
                </w:p>
              </w:tc>
              <w:tc>
                <w:tcPr>
                  <w:tcW w:w="2187" w:type="pct"/>
                  <w:vAlign w:val="center"/>
                </w:tcPr>
                <w:p w14:paraId="225B0CCC">
                  <w:pPr>
                    <w:overflowPunct w:val="0"/>
                    <w:topLinePunct/>
                    <w:spacing w:line="240" w:lineRule="auto"/>
                    <w:jc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新建</w:t>
                  </w:r>
                </w:p>
              </w:tc>
              <w:tc>
                <w:tcPr>
                  <w:tcW w:w="2187" w:type="pct"/>
                  <w:vAlign w:val="center"/>
                </w:tcPr>
                <w:p w14:paraId="1A06ADCD">
                  <w:pPr>
                    <w:overflowPunct w:val="0"/>
                    <w:topLinePunct/>
                    <w:spacing w:line="240" w:lineRule="auto"/>
                    <w:jc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新建</w:t>
                  </w:r>
                </w:p>
              </w:tc>
            </w:tr>
            <w:tr w14:paraId="2453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25" w:type="pct"/>
                  <w:vAlign w:val="center"/>
                </w:tcPr>
                <w:p w14:paraId="56C4A494">
                  <w:pPr>
                    <w:overflowPunct w:val="0"/>
                    <w:topLinePunct/>
                    <w:spacing w:line="240" w:lineRule="auto"/>
                    <w:jc w:val="center"/>
                    <w:rPr>
                      <w:rFonts w:hint="default" w:ascii="Times New Roman" w:hAnsi="Times New Roman" w:eastAsia="宋体" w:cs="Times New Roman"/>
                      <w:b/>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批复建设内容</w:t>
                  </w:r>
                </w:p>
              </w:tc>
              <w:tc>
                <w:tcPr>
                  <w:tcW w:w="2187" w:type="pct"/>
                  <w:vAlign w:val="center"/>
                </w:tcPr>
                <w:p w14:paraId="50EAB54E">
                  <w:pPr>
                    <w:overflowPunct w:val="0"/>
                    <w:topLinePunct/>
                    <w:spacing w:line="240" w:lineRule="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新建取水头部一座(设计规模3600立方米/天);DN400输水管道</w:t>
                  </w:r>
                  <w:r>
                    <w:rPr>
                      <w:rFonts w:hint="eastAsia" w:ascii="Times New Roman" w:hAnsi="Times New Roman" w:cs="Times New Roman"/>
                      <w:color w:val="000000" w:themeColor="text1"/>
                      <w:kern w:val="0"/>
                      <w:sz w:val="21"/>
                      <w:szCs w:val="21"/>
                      <w:lang w:eastAsia="zh-CN" w:bidi="ar"/>
                      <w14:textFill>
                        <w14:solidFill>
                          <w14:schemeClr w14:val="tx1"/>
                        </w14:solidFill>
                      </w14:textFill>
                    </w:rPr>
                    <w:t>10800m</w:t>
                  </w:r>
                  <w:r>
                    <w:rPr>
                      <w:rFonts w:hint="default" w:ascii="Times New Roman" w:hAnsi="Times New Roman" w:eastAsia="宋体" w:cs="Times New Roman"/>
                      <w:color w:val="000000" w:themeColor="text1"/>
                      <w:kern w:val="0"/>
                      <w:sz w:val="21"/>
                      <w:szCs w:val="21"/>
                      <w:lang w:bidi="ar"/>
                      <w14:textFill>
                        <w14:solidFill>
                          <w14:schemeClr w14:val="tx1"/>
                        </w14:solidFill>
                      </w14:textFill>
                    </w:rPr>
                    <w:t>及阀门井、排气阀井、排泥井、消火栓等配套设施。</w:t>
                  </w:r>
                </w:p>
              </w:tc>
              <w:tc>
                <w:tcPr>
                  <w:tcW w:w="2187" w:type="pct"/>
                  <w:vAlign w:val="center"/>
                </w:tcPr>
                <w:p w14:paraId="573A4E9F">
                  <w:pPr>
                    <w:overflowPunct w:val="0"/>
                    <w:topLinePunct/>
                    <w:spacing w:line="240" w:lineRule="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新建取水头部一座(设计规模3600立方米/天);输水管道</w:t>
                  </w:r>
                  <w:r>
                    <w:rPr>
                      <w:rFonts w:hint="eastAsia" w:ascii="Times New Roman" w:hAnsi="Times New Roman" w:cs="Times New Roman"/>
                      <w:color w:val="000000" w:themeColor="text1"/>
                      <w:kern w:val="0"/>
                      <w:sz w:val="21"/>
                      <w:szCs w:val="21"/>
                      <w:lang w:eastAsia="zh-CN" w:bidi="ar"/>
                      <w14:textFill>
                        <w14:solidFill>
                          <w14:schemeClr w14:val="tx1"/>
                        </w14:solidFill>
                      </w14:textFill>
                    </w:rPr>
                    <w:t>10588m</w:t>
                  </w:r>
                  <w:r>
                    <w:rPr>
                      <w:rFonts w:hint="default" w:ascii="Times New Roman" w:hAnsi="Times New Roman" w:eastAsia="宋体" w:cs="Times New Roman"/>
                      <w:color w:val="000000" w:themeColor="text1"/>
                      <w:kern w:val="0"/>
                      <w:sz w:val="21"/>
                      <w:szCs w:val="21"/>
                      <w:lang w:bidi="ar"/>
                      <w14:textFill>
                        <w14:solidFill>
                          <w14:schemeClr w14:val="tx1"/>
                        </w14:solidFill>
                      </w14:textFill>
                    </w:rPr>
                    <w:t>及阀门井、排气阀井、排泥井、消火栓等配套设施。</w:t>
                  </w:r>
                </w:p>
              </w:tc>
            </w:tr>
            <w:tr w14:paraId="4DDD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25" w:type="pct"/>
                  <w:vAlign w:val="center"/>
                </w:tcPr>
                <w:p w14:paraId="3ED944E2">
                  <w:pPr>
                    <w:overflowPunct w:val="0"/>
                    <w:topLinePunct/>
                    <w:spacing w:line="240" w:lineRule="auto"/>
                    <w:jc w:val="center"/>
                    <w:rPr>
                      <w:rFonts w:hint="default" w:ascii="Times New Roman" w:hAnsi="Times New Roman" w:eastAsia="宋体" w:cs="Times New Roman"/>
                      <w:b/>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投资</w:t>
                  </w:r>
                </w:p>
              </w:tc>
              <w:tc>
                <w:tcPr>
                  <w:tcW w:w="2187" w:type="pct"/>
                  <w:vAlign w:val="center"/>
                </w:tcPr>
                <w:p w14:paraId="30345C48">
                  <w:pPr>
                    <w:overflowPunct w:val="0"/>
                    <w:topLinePunct/>
                    <w:spacing w:line="240" w:lineRule="auto"/>
                    <w:jc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1788</w:t>
                  </w:r>
                  <w:r>
                    <w:rPr>
                      <w:rFonts w:hint="default" w:ascii="Times New Roman" w:hAnsi="Times New Roman" w:eastAsia="宋体" w:cs="Times New Roman"/>
                      <w:color w:val="000000" w:themeColor="text1"/>
                      <w:kern w:val="0"/>
                      <w:sz w:val="21"/>
                      <w:szCs w:val="21"/>
                      <w:lang w:bidi="ar"/>
                      <w14:textFill>
                        <w14:solidFill>
                          <w14:schemeClr w14:val="tx1"/>
                        </w14:solidFill>
                      </w14:textFill>
                    </w:rPr>
                    <w:t>万元</w:t>
                  </w:r>
                </w:p>
              </w:tc>
              <w:tc>
                <w:tcPr>
                  <w:tcW w:w="2187" w:type="pct"/>
                  <w:vAlign w:val="center"/>
                </w:tcPr>
                <w:p w14:paraId="63C50940">
                  <w:pPr>
                    <w:overflowPunct w:val="0"/>
                    <w:topLinePunct/>
                    <w:spacing w:line="240" w:lineRule="auto"/>
                    <w:jc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t>1787.64</w:t>
                  </w:r>
                  <w:r>
                    <w:rPr>
                      <w:rFonts w:hint="default" w:ascii="Times New Roman" w:hAnsi="Times New Roman" w:eastAsia="宋体" w:cs="Times New Roman"/>
                      <w:color w:val="000000" w:themeColor="text1"/>
                      <w:kern w:val="0"/>
                      <w:sz w:val="21"/>
                      <w:szCs w:val="21"/>
                      <w:lang w:bidi="ar"/>
                      <w14:textFill>
                        <w14:solidFill>
                          <w14:schemeClr w14:val="tx1"/>
                        </w14:solidFill>
                      </w14:textFill>
                    </w:rPr>
                    <w:t>万元</w:t>
                  </w:r>
                </w:p>
              </w:tc>
            </w:tr>
          </w:tbl>
          <w:p w14:paraId="37DE9155">
            <w:pPr>
              <w:pStyle w:val="310"/>
              <w:rPr>
                <w:rFonts w:hint="default" w:ascii="Times New Roman" w:hAnsi="Times New Roman" w:eastAsia="宋体" w:cs="Times New Roman"/>
                <w:color w:val="000000" w:themeColor="text1"/>
                <w:kern w:val="0"/>
                <w:highlight w:val="none"/>
                <w14:textFill>
                  <w14:solidFill>
                    <w14:schemeClr w14:val="tx1"/>
                  </w14:solidFill>
                </w14:textFill>
              </w:rPr>
            </w:pPr>
            <w:bookmarkStart w:id="7" w:name="_Hlk208389705"/>
            <w:r>
              <w:rPr>
                <w:rFonts w:hint="default" w:ascii="Times New Roman" w:hAnsi="Times New Roman" w:eastAsia="宋体" w:cs="Times New Roman"/>
                <w:color w:val="000000" w:themeColor="text1"/>
                <w:kern w:val="0"/>
                <w:highlight w:val="none"/>
                <w14:textFill>
                  <w14:solidFill>
                    <w14:schemeClr w14:val="tx1"/>
                  </w14:solidFill>
                </w14:textFill>
              </w:rPr>
              <w:t>本次报告按《</w:t>
            </w:r>
            <w:r>
              <w:rPr>
                <w:rFonts w:hint="default" w:ascii="Times New Roman" w:hAnsi="Times New Roman" w:eastAsia="宋体" w:cs="Times New Roman"/>
                <w:color w:val="000000" w:themeColor="text1"/>
                <w:highlight w:val="none"/>
                <w:lang w:eastAsia="zh-CN"/>
                <w14:textFill>
                  <w14:solidFill>
                    <w14:schemeClr w14:val="tx1"/>
                  </w14:solidFill>
                </w14:textFill>
              </w:rPr>
              <w:t>泸定县城区自来水厂备用水源取水工程新建项目</w:t>
            </w:r>
            <w:r>
              <w:rPr>
                <w:rFonts w:hint="default" w:ascii="Times New Roman" w:hAnsi="Times New Roman" w:eastAsia="宋体" w:cs="Times New Roman"/>
                <w:color w:val="000000" w:themeColor="text1"/>
                <w:highlight w:val="none"/>
                <w14:textFill>
                  <w14:solidFill>
                    <w14:schemeClr w14:val="tx1"/>
                  </w14:solidFill>
                </w14:textFill>
              </w:rPr>
              <w:t>初步设计报告</w:t>
            </w:r>
            <w:r>
              <w:rPr>
                <w:rFonts w:hint="default" w:ascii="Times New Roman" w:hAnsi="Times New Roman" w:eastAsia="宋体" w:cs="Times New Roman"/>
                <w:color w:val="000000" w:themeColor="text1"/>
                <w:kern w:val="0"/>
                <w:highlight w:val="none"/>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批文号：</w:t>
            </w:r>
            <w:r>
              <w:rPr>
                <w:rFonts w:hint="default" w:ascii="Times New Roman" w:hAnsi="Times New Roman" w:eastAsia="宋体" w:cs="Times New Roman"/>
                <w:color w:val="000000" w:themeColor="text1"/>
                <w:highlight w:val="none"/>
                <w:lang w:eastAsia="zh-CN"/>
                <w14:textFill>
                  <w14:solidFill>
                    <w14:schemeClr w14:val="tx1"/>
                  </w14:solidFill>
                </w14:textFill>
              </w:rPr>
              <w:t>泸发改</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2024</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280号</w:t>
            </w:r>
            <w:r>
              <w:rPr>
                <w:rFonts w:hint="default" w:ascii="Times New Roman" w:hAnsi="Times New Roman" w:eastAsia="宋体" w:cs="Times New Roman"/>
                <w:color w:val="000000" w:themeColor="text1"/>
                <w:kern w:val="0"/>
                <w:highlight w:val="none"/>
                <w14:textFill>
                  <w14:solidFill>
                    <w14:schemeClr w14:val="tx1"/>
                  </w14:solidFill>
                </w14:textFill>
              </w:rPr>
              <w:t>）中项目工程内容进行评价，</w:t>
            </w:r>
            <w:r>
              <w:rPr>
                <w:rFonts w:hint="default" w:ascii="Times New Roman" w:hAnsi="Times New Roman" w:eastAsia="宋体" w:cs="Times New Roman"/>
                <w:color w:val="000000" w:themeColor="text1"/>
                <w:highlight w:val="none"/>
                <w14:textFill>
                  <w14:solidFill>
                    <w14:schemeClr w14:val="tx1"/>
                  </w14:solidFill>
                </w14:textFill>
              </w:rPr>
              <w:t>包含</w:t>
            </w:r>
            <w:r>
              <w:rPr>
                <w:rFonts w:hint="default" w:ascii="Times New Roman" w:hAnsi="Times New Roman" w:eastAsia="宋体" w:cs="Times New Roman"/>
                <w:color w:val="000000" w:themeColor="text1"/>
                <w:highlight w:val="none"/>
                <w:lang w:val="en-US" w:eastAsia="zh-CN"/>
                <w14:textFill>
                  <w14:solidFill>
                    <w14:schemeClr w14:val="tx1"/>
                  </w14:solidFill>
                </w14:textFill>
              </w:rPr>
              <w:t>工程的全部建设内容</w:t>
            </w:r>
            <w:r>
              <w:rPr>
                <w:rFonts w:hint="default" w:ascii="Times New Roman" w:hAnsi="Times New Roman" w:eastAsia="宋体" w:cs="Times New Roman"/>
                <w:color w:val="000000" w:themeColor="text1"/>
                <w:kern w:val="0"/>
                <w:highlight w:val="none"/>
                <w14:textFill>
                  <w14:solidFill>
                    <w14:schemeClr w14:val="tx1"/>
                  </w14:solidFill>
                </w14:textFill>
              </w:rPr>
              <w:t>。</w:t>
            </w:r>
          </w:p>
          <w:bookmarkEnd w:id="7"/>
          <w:p w14:paraId="6AD7B9F5">
            <w:pPr>
              <w:spacing w:line="360" w:lineRule="auto"/>
              <w:ind w:firstLine="482" w:firstLineChars="200"/>
              <w:rPr>
                <w:rFonts w:hint="eastAsia" w:ascii="Times New Roman" w:hAnsi="Times New Roman" w:cs="Times New Roman"/>
                <w:b/>
                <w:bCs/>
                <w:color w:val="000000" w:themeColor="text1"/>
                <w:sz w:val="24"/>
                <w:lang w:val="en-US" w:eastAsia="zh-CN"/>
                <w14:textFill>
                  <w14:solidFill>
                    <w14:schemeClr w14:val="tx1"/>
                  </w14:solidFill>
                </w14:textFill>
              </w:rPr>
            </w:pPr>
            <w:r>
              <w:rPr>
                <w:rFonts w:hint="eastAsia" w:ascii="Times New Roman" w:hAnsi="Times New Roman" w:cs="Times New Roman"/>
                <w:b/>
                <w:bCs/>
                <w:color w:val="000000" w:themeColor="text1"/>
                <w:sz w:val="24"/>
                <w:lang w:val="en-US" w:eastAsia="zh-CN"/>
                <w14:textFill>
                  <w14:solidFill>
                    <w14:schemeClr w14:val="tx1"/>
                  </w14:solidFill>
                </w14:textFill>
              </w:rPr>
              <w:t>1.2建设项目的必要性和紧迫性</w:t>
            </w:r>
          </w:p>
          <w:p w14:paraId="6B2C5701">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1、现状</w:t>
            </w:r>
            <w:r>
              <w:rPr>
                <w:rFonts w:hint="eastAsia" w:ascii="Times New Roman" w:hAnsi="Times New Roman" w:eastAsia="宋体" w:cs="Times New Roman"/>
                <w:b/>
                <w:bCs/>
                <w:color w:val="000000" w:themeColor="text1"/>
                <w:sz w:val="24"/>
                <w:szCs w:val="24"/>
                <w14:textFill>
                  <w14:solidFill>
                    <w14:schemeClr w14:val="tx1"/>
                  </w14:solidFill>
                </w14:textFill>
              </w:rPr>
              <w:t>供区存在的问题</w:t>
            </w:r>
          </w:p>
          <w:p w14:paraId="618D230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羊圈沟山溪水水源处于地壳隆起地带，岩层明显受到东西向的挤压，容易受到地震的影响。2022年以来，泸定县地震频发，2022年9月5日12时52分，发生6</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8级地震，震源深度16千米；2022年10月22日13时17分，发生5</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0级地震，震源深度12千米；2023年1月26日发生5</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14:textFill>
                  <w14:solidFill>
                    <w14:schemeClr w14:val="tx1"/>
                  </w14:solidFill>
                </w14:textFill>
              </w:rPr>
              <w:t>6级地震，震源深度11千米。受近年来地震的影响，</w:t>
            </w:r>
            <w:r>
              <w:rPr>
                <w:rFonts w:hint="eastAsia" w:ascii="Times New Roman" w:hAnsi="Times New Roman" w:cs="Times New Roman"/>
                <w:color w:val="000000" w:themeColor="text1"/>
                <w:sz w:val="24"/>
                <w:szCs w:val="24"/>
                <w:lang w:eastAsia="zh-CN"/>
                <w14:textFill>
                  <w14:solidFill>
                    <w14:schemeClr w14:val="tx1"/>
                  </w14:solidFill>
                </w14:textFill>
              </w:rPr>
              <w:t>羊圈沟</w:t>
            </w:r>
            <w:r>
              <w:rPr>
                <w:rFonts w:hint="eastAsia" w:ascii="Times New Roman" w:hAnsi="Times New Roman" w:eastAsia="宋体" w:cs="Times New Roman"/>
                <w:color w:val="000000" w:themeColor="text1"/>
                <w:sz w:val="24"/>
                <w:szCs w:val="24"/>
                <w14:textFill>
                  <w14:solidFill>
                    <w14:schemeClr w14:val="tx1"/>
                  </w14:solidFill>
                </w14:textFill>
              </w:rPr>
              <w:t>水源地蓄水量逐步减少。</w:t>
            </w:r>
            <w:r>
              <w:rPr>
                <w:rFonts w:hint="eastAsia" w:ascii="Times New Roman" w:hAnsi="Times New Roman" w:cs="Times New Roman"/>
                <w:color w:val="000000" w:themeColor="text1"/>
                <w:sz w:val="24"/>
                <w:szCs w:val="24"/>
                <w:lang w:eastAsia="zh-CN"/>
                <w14:textFill>
                  <w14:solidFill>
                    <w14:schemeClr w14:val="tx1"/>
                  </w14:solidFill>
                </w14:textFill>
              </w:rPr>
              <w:t>羊圈沟</w:t>
            </w:r>
            <w:r>
              <w:rPr>
                <w:rFonts w:hint="eastAsia" w:ascii="Times New Roman" w:hAnsi="Times New Roman" w:eastAsia="宋体" w:cs="Times New Roman"/>
                <w:color w:val="000000" w:themeColor="text1"/>
                <w:sz w:val="24"/>
                <w:szCs w:val="24"/>
                <w14:textFill>
                  <w14:solidFill>
                    <w14:schemeClr w14:val="tx1"/>
                  </w14:solidFill>
                </w14:textFill>
              </w:rPr>
              <w:t>水源地的可供水量远远小于泸定县城区自来水厂可需水量。根据水厂工作人员的对水厂数据的监控反映，泸定县城区自来水厂（设计供水规模1万m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14:textFill>
                  <w14:solidFill>
                    <w14:schemeClr w14:val="tx1"/>
                  </w14:solidFill>
                </w14:textFill>
              </w:rPr>
              <w:t>/d），水量缺口可达3000m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4"/>
                <w:szCs w:val="24"/>
                <w14:textFill>
                  <w14:solidFill>
                    <w14:schemeClr w14:val="tx1"/>
                  </w14:solidFill>
                </w14:textFill>
              </w:rPr>
              <w:t>/d。</w:t>
            </w:r>
          </w:p>
          <w:p w14:paraId="239D7AD5">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2、</w:t>
            </w:r>
            <w:r>
              <w:rPr>
                <w:rFonts w:hint="eastAsia" w:ascii="Times New Roman" w:hAnsi="Times New Roman" w:eastAsia="宋体" w:cs="Times New Roman"/>
                <w:b/>
                <w:bCs/>
                <w:color w:val="000000" w:themeColor="text1"/>
                <w:sz w:val="24"/>
                <w:szCs w:val="24"/>
                <w14:textFill>
                  <w14:solidFill>
                    <w14:schemeClr w14:val="tx1"/>
                  </w14:solidFill>
                </w14:textFill>
              </w:rPr>
              <w:t>改善供水条件、提高人民生活水平的要求</w:t>
            </w:r>
          </w:p>
          <w:p w14:paraId="2FF3C34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泸定县城区自来水厂受地质灾害的影响，供水水量不能满足居民用水需求。市政供水工程作为城市重要基础设施，山于受各种条件和因素的影响，一直跟不上经济社会的发展，成为制约城区经济社会发展的瓶颈。</w:t>
            </w:r>
          </w:p>
          <w:p w14:paraId="4FAF1D1C">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3、</w:t>
            </w:r>
            <w:r>
              <w:rPr>
                <w:rFonts w:hint="eastAsia" w:ascii="Times New Roman" w:hAnsi="Times New Roman" w:eastAsia="宋体" w:cs="Times New Roman"/>
                <w:b/>
                <w:bCs/>
                <w:color w:val="000000" w:themeColor="text1"/>
                <w:sz w:val="24"/>
                <w:szCs w:val="24"/>
                <w14:textFill>
                  <w14:solidFill>
                    <w14:schemeClr w14:val="tx1"/>
                  </w14:solidFill>
                </w14:textFill>
              </w:rPr>
              <w:t>升全域生态环境质量，进一步助推乡村振兴的要求</w:t>
            </w:r>
          </w:p>
          <w:p w14:paraId="6F4F8349">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为落实国家和省、州生态文明建设工作部署，加快国家生态文明建设示范县创建步伐，提升全域生态环境质量，进一步助推乡村振兴，坚持生态优先、保护为主、合理开发、从严监管，遵循“强农优工大旅游”产业发展思路，着力推进绿色、循环、低碳发展，培育壮大生态产业，助推二次产业深度融合发展，将生态优势转化为经济优势。因此建设本工程是乡村振兴的要求。</w:t>
            </w:r>
          </w:p>
          <w:p w14:paraId="3E1EE7DF">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4、</w:t>
            </w:r>
            <w:r>
              <w:rPr>
                <w:rFonts w:hint="eastAsia" w:ascii="Times New Roman" w:hAnsi="Times New Roman" w:eastAsia="宋体" w:cs="Times New Roman"/>
                <w:b/>
                <w:bCs/>
                <w:color w:val="000000" w:themeColor="text1"/>
                <w:sz w:val="24"/>
                <w:szCs w:val="24"/>
                <w14:textFill>
                  <w14:solidFill>
                    <w14:schemeClr w14:val="tx1"/>
                  </w14:solidFill>
                </w14:textFill>
              </w:rPr>
              <w:t>推进“康泸新”一体化协同发展的需要</w:t>
            </w:r>
          </w:p>
          <w:p w14:paraId="1DB7FCAD">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响应甘孜州委、州府关于实施“康泸新”一体化协同发展战略，2019年以来，泸定县委、县府及时调整工作思路和重心，把推进“康泸新”体化协同发展作为重大中心工作之一，明晰“规划一张图、交通一张网、城镇一体化、产业一盘棋、生态一根线”的“五个一”工作思路，积极推进区域经济高速度与高质量发展并重，有序促进各项战略目标早日落实落地。因此基础设施的配套尤为重要，建设本工程是十分必要的。</w:t>
            </w:r>
          </w:p>
          <w:p w14:paraId="0DAA70D8">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5、</w:t>
            </w:r>
            <w:r>
              <w:rPr>
                <w:rFonts w:hint="eastAsia" w:ascii="Times New Roman" w:hAnsi="Times New Roman" w:eastAsia="宋体" w:cs="Times New Roman"/>
                <w:b/>
                <w:bCs/>
                <w:color w:val="000000" w:themeColor="text1"/>
                <w:sz w:val="24"/>
                <w:szCs w:val="24"/>
                <w14:textFill>
                  <w14:solidFill>
                    <w14:schemeClr w14:val="tx1"/>
                  </w14:solidFill>
                </w14:textFill>
              </w:rPr>
              <w:t>提高供水安全性可靠性</w:t>
            </w:r>
          </w:p>
          <w:p w14:paraId="25BBCD1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鉴于不论供水水量不足或水质不好均会给工业生产、人民生活和社会安定带来严重的影响，保证供水根本任务的完成显得尤为重要，第三水厂的供水量在整个泸定县内占很大的比重，一旦原水发生污染、水量不足等意外必将对社会带来不良的后果。而且在泸定县在大力发展培育“红城工匠”特色劳务品牌，对基础设施的配套要求更为迫切。本项目的建设符合泸定县的发展规划，有利于促进泸定县红色名城，甘孜东部门户，以旅游服务、商贸服务、康养休闲服务及教育功能为主的山水公园城市的目标实现，符合“康泸新”一同协同发展的规划。因此，本项目的建设是十分必要的。</w:t>
            </w:r>
          </w:p>
          <w:p w14:paraId="45403A3F">
            <w:pPr>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1.</w:t>
            </w:r>
            <w:r>
              <w:rPr>
                <w:rFonts w:hint="eastAsia" w:ascii="Times New Roman" w:hAnsi="Times New Roman" w:cs="Times New Roman"/>
                <w:b/>
                <w:bCs/>
                <w:color w:val="000000" w:themeColor="text1"/>
                <w:sz w:val="24"/>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14:textFill>
                  <w14:solidFill>
                    <w14:schemeClr w14:val="tx1"/>
                  </w14:solidFill>
                </w14:textFill>
              </w:rPr>
              <w:t>编制依据</w:t>
            </w:r>
          </w:p>
          <w:p w14:paraId="29ED9C3E">
            <w:pPr>
              <w:wordWrap w:val="0"/>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根据《中华人民共和国</w:t>
            </w:r>
            <w:r>
              <w:rPr>
                <w:rFonts w:hint="default" w:ascii="Times New Roman" w:hAnsi="Times New Roman" w:cs="Times New Roman"/>
                <w:color w:val="000000" w:themeColor="text1"/>
                <w:sz w:val="24"/>
                <w:szCs w:val="24"/>
                <w:lang w:val="en-US" w:eastAsia="zh-CN"/>
                <w14:textFill>
                  <w14:solidFill>
                    <w14:schemeClr w14:val="tx1"/>
                  </w14:solidFill>
                </w14:textFill>
              </w:rPr>
              <w:t>生态环境法典</w:t>
            </w:r>
            <w:r>
              <w:rPr>
                <w:rFonts w:hint="default" w:ascii="Times New Roman" w:hAnsi="Times New Roman" w:eastAsia="宋体" w:cs="Times New Roman"/>
                <w:color w:val="000000" w:themeColor="text1"/>
                <w:sz w:val="24"/>
                <w:szCs w:val="24"/>
                <w14:textFill>
                  <w14:solidFill>
                    <w14:schemeClr w14:val="tx1"/>
                  </w14:solidFill>
                </w14:textFill>
              </w:rPr>
              <w:t>》《建设项目环境保护管理条例》的有关要求，该项目应当进行环境影响评价。本项目是含有取水工程的自来水厂建设项目，本项目新建取水头部一座(设计规模3600立方米/天);输水管道</w:t>
            </w:r>
            <w:r>
              <w:rPr>
                <w:rFonts w:hint="eastAsia" w:ascii="Times New Roman" w:hAnsi="Times New Roman" w:cs="Times New Roman"/>
                <w:color w:val="000000" w:themeColor="text1"/>
                <w:sz w:val="24"/>
                <w:szCs w:val="24"/>
                <w:lang w:eastAsia="zh-CN"/>
                <w14:textFill>
                  <w14:solidFill>
                    <w14:schemeClr w14:val="tx1"/>
                  </w14:solidFill>
                </w14:textFill>
              </w:rPr>
              <w:t>10588m</w:t>
            </w:r>
            <w:r>
              <w:rPr>
                <w:rFonts w:hint="default" w:ascii="Times New Roman" w:hAnsi="Times New Roman" w:eastAsia="宋体" w:cs="Times New Roman"/>
                <w:color w:val="000000" w:themeColor="text1"/>
                <w:sz w:val="24"/>
                <w:szCs w:val="24"/>
                <w14:textFill>
                  <w14:solidFill>
                    <w14:schemeClr w14:val="tx1"/>
                  </w14:solidFill>
                </w14:textFill>
              </w:rPr>
              <w:t>及阀门井、排气阀井、排泥井、消火栓等配套设施。</w:t>
            </w:r>
          </w:p>
          <w:p w14:paraId="7060C62F">
            <w:pPr>
              <w:wordWrap w:val="0"/>
              <w:spacing w:line="360" w:lineRule="auto"/>
              <w:ind w:firstLine="480" w:firstLineChars="200"/>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本项目建设会涉及泸定县第一自来水厂场址处原有进水阀门改造，厂区接管出需进行改造。根据行业主管部门泸定县住建局出具关于本项目行业类别的认定意见：</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本项目</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为</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城区自来水厂备用水源取水项目，</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属于城区自来水厂的配套项目之一，因此本项目类别</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属于自来水的生产和供应</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，对照</w:t>
            </w:r>
            <w:r>
              <w:rPr>
                <w:rFonts w:hint="default" w:ascii="Times New Roman" w:hAnsi="Times New Roman" w:eastAsia="宋体" w:cs="Times New Roman"/>
                <w:b w:val="0"/>
                <w:bCs w:val="0"/>
                <w:color w:val="000000" w:themeColor="text1"/>
                <w:sz w:val="24"/>
                <w:szCs w:val="24"/>
                <w14:textFill>
                  <w14:solidFill>
                    <w14:schemeClr w14:val="tx1"/>
                  </w14:solidFill>
                </w14:textFill>
              </w:rPr>
              <w:t>《国民经济行业分类》（GB/T4754-2017）</w:t>
            </w:r>
            <w:r>
              <w:rPr>
                <w:rFonts w:hint="default" w:ascii="Times New Roman" w:hAnsi="Times New Roman" w:cs="Times New Roman"/>
                <w:b w:val="0"/>
                <w:bCs w:val="0"/>
                <w:color w:val="000000" w:themeColor="text1"/>
                <w:sz w:val="24"/>
                <w:szCs w:val="24"/>
                <w:lang w:eastAsia="zh-CN"/>
                <w14:textFill>
                  <w14:solidFill>
                    <w14:schemeClr w14:val="tx1"/>
                  </w14:solidFill>
                </w14:textFill>
              </w:rPr>
              <w:t>，</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本项目属于当</w:t>
            </w:r>
            <w:r>
              <w:rPr>
                <w:rFonts w:hint="default" w:ascii="Times New Roman" w:hAnsi="Times New Roman" w:eastAsia="宋体" w:cs="Times New Roman"/>
                <w:b w:val="0"/>
                <w:bCs w:val="0"/>
                <w:color w:val="000000" w:themeColor="text1"/>
                <w:sz w:val="24"/>
                <w:szCs w:val="24"/>
                <w14:textFill>
                  <w14:solidFill>
                    <w14:schemeClr w14:val="tx1"/>
                  </w14:solidFill>
                </w14:textFill>
              </w:rPr>
              <w:t>中“D4610自来水生产和供应”。</w:t>
            </w:r>
          </w:p>
          <w:p w14:paraId="4C9183D9">
            <w:pPr>
              <w:wordWrap w:val="0"/>
              <w:spacing w:line="360" w:lineRule="auto"/>
              <w:ind w:firstLine="480" w:firstLineChars="200"/>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根据《建设项目环境影响评价分类管理名录（2021年版）》：“四十三、水的生产和供应业，94-</w:t>
            </w:r>
            <w:r>
              <w:rPr>
                <w:rFonts w:hint="default" w:ascii="Times New Roman" w:hAnsi="Times New Roman" w:eastAsia="宋体" w:cs="Times New Roman"/>
                <w:color w:val="000000" w:themeColor="text1"/>
                <w:sz w:val="24"/>
                <w:szCs w:val="24"/>
                <w14:textFill>
                  <w14:solidFill>
                    <w14:schemeClr w14:val="tx1"/>
                  </w14:solidFill>
                </w14:textFill>
              </w:rPr>
              <w:t>自来水生产和供应 461（不含供应工程；不含村庄供应工程）</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”中全部</w:t>
            </w:r>
            <w:r>
              <w:rPr>
                <w:rFonts w:hint="default" w:ascii="Times New Roman" w:hAnsi="Times New Roman" w:eastAsia="宋体" w:cs="Times New Roman"/>
                <w:b w:val="0"/>
                <w:bCs w:val="0"/>
                <w:color w:val="000000" w:themeColor="text1"/>
                <w:sz w:val="24"/>
                <w:szCs w:val="24"/>
                <w14:textFill>
                  <w14:solidFill>
                    <w14:schemeClr w14:val="tx1"/>
                  </w14:solidFill>
                </w14:textFill>
              </w:rPr>
              <w:t>，</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属于</w:t>
            </w:r>
            <w:r>
              <w:rPr>
                <w:rFonts w:hint="default" w:ascii="Times New Roman" w:hAnsi="Times New Roman" w:eastAsia="宋体" w:cs="Times New Roman"/>
                <w:b w:val="0"/>
                <w:bCs w:val="0"/>
                <w:color w:val="000000" w:themeColor="text1"/>
                <w:sz w:val="24"/>
                <w:szCs w:val="24"/>
                <w14:textFill>
                  <w14:solidFill>
                    <w14:schemeClr w14:val="tx1"/>
                  </w14:solidFill>
                </w14:textFill>
              </w:rPr>
              <w:t>污染影响类项目</w:t>
            </w:r>
            <w:r>
              <w:rPr>
                <w:rFonts w:hint="default" w:ascii="Times New Roman" w:hAnsi="Times New Roman" w:cs="Times New Roman"/>
                <w:b w:val="0"/>
                <w:bCs w:val="0"/>
                <w:color w:val="000000" w:themeColor="text1"/>
                <w:sz w:val="24"/>
                <w:szCs w:val="24"/>
                <w:lang w:eastAsia="zh-CN"/>
                <w14:textFill>
                  <w14:solidFill>
                    <w14:schemeClr w14:val="tx1"/>
                  </w14:solidFill>
                </w14:textFill>
              </w:rPr>
              <w:t>，</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应</w:t>
            </w:r>
            <w:r>
              <w:rPr>
                <w:rFonts w:hint="default" w:ascii="Times New Roman" w:hAnsi="Times New Roman" w:eastAsia="宋体" w:cs="Times New Roman"/>
                <w:b w:val="0"/>
                <w:bCs w:val="0"/>
                <w:color w:val="000000" w:themeColor="text1"/>
                <w:sz w:val="24"/>
                <w:szCs w:val="24"/>
                <w14:textFill>
                  <w14:solidFill>
                    <w14:schemeClr w14:val="tx1"/>
                  </w14:solidFill>
                </w14:textFill>
              </w:rPr>
              <w:t>编制环境影响报告表。</w:t>
            </w:r>
          </w:p>
          <w:p w14:paraId="7F251DCF">
            <w:pPr>
              <w:spacing w:line="360" w:lineRule="auto"/>
              <w:ind w:firstLine="480" w:firstLineChars="200"/>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eastAsia="宋体" w:cs="Times New Roman"/>
                <w:b w:val="0"/>
                <w:bCs w:val="0"/>
                <w:color w:val="000000" w:themeColor="text1"/>
                <w:sz w:val="24"/>
                <w:szCs w:val="24"/>
                <w14:textFill>
                  <w14:solidFill>
                    <w14:schemeClr w14:val="tx1"/>
                  </w14:solidFill>
                </w14:textFill>
              </w:rPr>
              <w:t>为此，</w:t>
            </w:r>
            <w:r>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t>泸定县住房和城乡建设局</w:t>
            </w:r>
            <w:r>
              <w:rPr>
                <w:rFonts w:hint="default" w:ascii="Times New Roman" w:hAnsi="Times New Roman" w:eastAsia="宋体" w:cs="Times New Roman"/>
                <w:b w:val="0"/>
                <w:bCs w:val="0"/>
                <w:color w:val="000000" w:themeColor="text1"/>
                <w:sz w:val="24"/>
                <w:szCs w:val="24"/>
                <w14:textFill>
                  <w14:solidFill>
                    <w14:schemeClr w14:val="tx1"/>
                  </w14:solidFill>
                </w14:textFill>
              </w:rPr>
              <w:t>委托我公司编制本项目环境影响报告表。我单位接受委托后，即对该项目进行了现场踏勘和资料收集，在工程分析及环境影响分析基础上，依据国家有关环保法规和技术规范要求，编制了该项目的环境影响报告表，以供主管部门决策。</w:t>
            </w:r>
          </w:p>
          <w:p w14:paraId="4DF588D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2、项目名称、性质、建设地点</w:t>
            </w:r>
          </w:p>
          <w:p w14:paraId="5F9020B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lang w:eastAsia="zh-CN"/>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项目名称：</w:t>
            </w:r>
            <w:r>
              <w:rPr>
                <w:rFonts w:hint="default" w:ascii="Times New Roman" w:hAnsi="Times New Roman" w:eastAsia="宋体" w:cs="Times New Roman"/>
                <w:color w:val="000000" w:themeColor="text1"/>
                <w:sz w:val="24"/>
                <w:lang w:eastAsia="zh-CN"/>
                <w14:textFill>
                  <w14:solidFill>
                    <w14:schemeClr w14:val="tx1"/>
                  </w14:solidFill>
                </w14:textFill>
              </w:rPr>
              <w:t>泸定县城区自来水厂备用水源取水工程新建项目</w:t>
            </w:r>
          </w:p>
          <w:p w14:paraId="3744AAB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建设单位：</w:t>
            </w:r>
            <w:r>
              <w:rPr>
                <w:rFonts w:hint="default" w:ascii="Times New Roman" w:hAnsi="Times New Roman" w:eastAsia="宋体" w:cs="Times New Roman"/>
                <w:color w:val="000000" w:themeColor="text1"/>
                <w:sz w:val="24"/>
                <w:lang w:eastAsia="zh-CN"/>
                <w14:textFill>
                  <w14:solidFill>
                    <w14:schemeClr w14:val="tx1"/>
                  </w14:solidFill>
                </w14:textFill>
              </w:rPr>
              <w:t>泸定县住房和城乡建设局</w:t>
            </w:r>
          </w:p>
          <w:p w14:paraId="106B57C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建设地点：</w:t>
            </w:r>
            <w:r>
              <w:rPr>
                <w:rFonts w:hint="default" w:ascii="Times New Roman" w:hAnsi="Times New Roman" w:eastAsia="宋体" w:cs="Times New Roman"/>
                <w:color w:val="000000" w:themeColor="text1"/>
                <w:sz w:val="24"/>
                <w14:textFill>
                  <w14:solidFill>
                    <w14:schemeClr w14:val="tx1"/>
                  </w14:solidFill>
                </w14:textFill>
              </w:rPr>
              <w:t>四川省</w:t>
            </w:r>
            <w:r>
              <w:rPr>
                <w:rFonts w:hint="default" w:ascii="Times New Roman" w:hAnsi="Times New Roman" w:eastAsia="宋体" w:cs="Times New Roman"/>
                <w:color w:val="000000" w:themeColor="text1"/>
                <w:sz w:val="24"/>
                <w:lang w:eastAsia="zh-CN"/>
                <w14:textFill>
                  <w14:solidFill>
                    <w14:schemeClr w14:val="tx1"/>
                  </w14:solidFill>
                </w14:textFill>
              </w:rPr>
              <w:t>甘孜藏族自治州泸定县泸桥镇</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取水口坐标E102°15′13.900″，N29°57′6.210″，输水管道</w:t>
            </w:r>
            <w:r>
              <w:rPr>
                <w:rFonts w:hint="default" w:ascii="Times New Roman" w:hAnsi="Times New Roman" w:eastAsia="宋体" w:cs="Times New Roman"/>
                <w:color w:val="000000" w:themeColor="text1"/>
                <w:sz w:val="24"/>
                <w:lang w:val="en-US" w:eastAsia="zh-CN"/>
                <w14:textFill>
                  <w14:solidFill>
                    <w14:schemeClr w14:val="tx1"/>
                  </w14:solidFill>
                </w14:textFill>
              </w:rPr>
              <w:t>起点</w:t>
            </w: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102°15′13.362″</w:t>
            </w: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eastAsia="zh-CN"/>
                <w14:textFill>
                  <w14:solidFill>
                    <w14:schemeClr w14:val="tx1"/>
                  </w14:solidFill>
                </w14:textFill>
              </w:rPr>
              <w:t>29°57′5.022″</w:t>
            </w: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输水管道</w:t>
            </w:r>
            <w:r>
              <w:rPr>
                <w:rFonts w:hint="default" w:ascii="Times New Roman" w:hAnsi="Times New Roman" w:eastAsia="宋体" w:cs="Times New Roman"/>
                <w:bCs/>
                <w:color w:val="000000" w:themeColor="text1"/>
                <w:sz w:val="24"/>
                <w:lang w:val="en-US" w:eastAsia="zh-CN"/>
                <w14:textFill>
                  <w14:solidFill>
                    <w14:schemeClr w14:val="tx1"/>
                  </w14:solidFill>
                </w14:textFill>
              </w:rPr>
              <w:t>终点</w:t>
            </w:r>
            <w:r>
              <w:rPr>
                <w:rFonts w:hint="default" w:ascii="Times New Roman" w:hAnsi="Times New Roman" w:eastAsia="宋体" w:cs="Times New Roman"/>
                <w:bCs/>
                <w:color w:val="000000" w:themeColor="text1"/>
                <w:sz w:val="24"/>
                <w14:textFill>
                  <w14:solidFill>
                    <w14:schemeClr w14:val="tx1"/>
                  </w14:solidFill>
                </w14:textFill>
              </w:rPr>
              <w:t>（</w:t>
            </w:r>
            <w:r>
              <w:rPr>
                <w:rFonts w:hint="default" w:ascii="Times New Roman" w:hAnsi="Times New Roman" w:eastAsia="宋体" w:cs="Times New Roman"/>
                <w:bCs/>
                <w:color w:val="000000" w:themeColor="text1"/>
                <w:sz w:val="24"/>
                <w:lang w:eastAsia="zh-CN"/>
                <w14:textFill>
                  <w14:solidFill>
                    <w14:schemeClr w14:val="tx1"/>
                  </w14:solidFill>
                </w14:textFill>
              </w:rPr>
              <w:t>102°14′6.737″</w:t>
            </w:r>
            <w:r>
              <w:rPr>
                <w:rFonts w:hint="default" w:ascii="Times New Roman" w:hAnsi="Times New Roman" w:eastAsia="宋体" w:cs="Times New Roman"/>
                <w:bCs/>
                <w:color w:val="000000" w:themeColor="text1"/>
                <w:sz w:val="24"/>
                <w14:textFill>
                  <w14:solidFill>
                    <w14:schemeClr w14:val="tx1"/>
                  </w14:solidFill>
                </w14:textFill>
              </w:rPr>
              <w:t>，</w:t>
            </w:r>
            <w:r>
              <w:rPr>
                <w:rFonts w:hint="default" w:ascii="Times New Roman" w:hAnsi="Times New Roman" w:eastAsia="宋体" w:cs="Times New Roman"/>
                <w:bCs/>
                <w:color w:val="000000" w:themeColor="text1"/>
                <w:sz w:val="24"/>
                <w:lang w:eastAsia="zh-CN"/>
                <w14:textFill>
                  <w14:solidFill>
                    <w14:schemeClr w14:val="tx1"/>
                  </w14:solidFill>
                </w14:textFill>
              </w:rPr>
              <w:t>29°54′40.912″</w:t>
            </w:r>
            <w:r>
              <w:rPr>
                <w:rFonts w:hint="default" w:ascii="Times New Roman" w:hAnsi="Times New Roman" w:eastAsia="宋体" w:cs="Times New Roman"/>
                <w:bCs/>
                <w:color w:val="000000" w:themeColor="text1"/>
                <w:sz w:val="24"/>
                <w14:textFill>
                  <w14:solidFill>
                    <w14:schemeClr w14:val="tx1"/>
                  </w14:solidFill>
                </w14:textFill>
              </w:rPr>
              <w:t>）；</w:t>
            </w:r>
          </w:p>
          <w:p w14:paraId="011368B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建设性质：</w:t>
            </w:r>
            <w:r>
              <w:rPr>
                <w:rFonts w:hint="default" w:ascii="Times New Roman" w:hAnsi="Times New Roman" w:eastAsia="宋体" w:cs="Times New Roman"/>
                <w:color w:val="000000" w:themeColor="text1"/>
                <w:sz w:val="24"/>
                <w14:textFill>
                  <w14:solidFill>
                    <w14:schemeClr w14:val="tx1"/>
                  </w14:solidFill>
                </w14:textFill>
              </w:rPr>
              <w:t>新建</w:t>
            </w:r>
          </w:p>
          <w:p w14:paraId="60A47B1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总投资：</w:t>
            </w:r>
            <w:r>
              <w:rPr>
                <w:rFonts w:hint="default" w:ascii="Times New Roman" w:hAnsi="Times New Roman" w:eastAsia="宋体" w:cs="Times New Roman"/>
                <w:bCs/>
                <w:color w:val="000000" w:themeColor="text1"/>
                <w:sz w:val="24"/>
                <w14:textFill>
                  <w14:solidFill>
                    <w14:schemeClr w14:val="tx1"/>
                  </w14:solidFill>
                </w14:textFill>
              </w:rPr>
              <w:t>项目总投资</w:t>
            </w:r>
            <w:r>
              <w:rPr>
                <w:rFonts w:hint="default" w:ascii="Times New Roman" w:hAnsi="Times New Roman" w:eastAsia="宋体" w:cs="Times New Roman"/>
                <w:color w:val="000000" w:themeColor="text1"/>
                <w:sz w:val="24"/>
                <w:lang w:eastAsia="zh-CN"/>
                <w14:textFill>
                  <w14:solidFill>
                    <w14:schemeClr w14:val="tx1"/>
                  </w14:solidFill>
                </w14:textFill>
              </w:rPr>
              <w:t>17</w:t>
            </w:r>
            <w:r>
              <w:rPr>
                <w:rFonts w:hint="eastAsia" w:ascii="Times New Roman" w:hAnsi="Times New Roman" w:cs="Times New Roman"/>
                <w:color w:val="000000" w:themeColor="text1"/>
                <w:sz w:val="24"/>
                <w:lang w:val="en-US" w:eastAsia="zh-CN"/>
                <w14:textFill>
                  <w14:solidFill>
                    <w14:schemeClr w14:val="tx1"/>
                  </w14:solidFill>
                </w14:textFill>
              </w:rPr>
              <w:t>87.64</w:t>
            </w:r>
            <w:r>
              <w:rPr>
                <w:rFonts w:hint="default" w:ascii="Times New Roman" w:hAnsi="Times New Roman" w:eastAsia="宋体" w:cs="Times New Roman"/>
                <w:bCs/>
                <w:color w:val="000000" w:themeColor="text1"/>
                <w:sz w:val="24"/>
                <w14:textFill>
                  <w14:solidFill>
                    <w14:schemeClr w14:val="tx1"/>
                  </w14:solidFill>
                </w14:textFill>
              </w:rPr>
              <w:t>万元，</w:t>
            </w:r>
            <w:r>
              <w:rPr>
                <w:rFonts w:hint="default" w:ascii="Times New Roman" w:hAnsi="Times New Roman" w:eastAsia="宋体" w:cs="Times New Roman"/>
                <w:color w:val="000000" w:themeColor="text1"/>
                <w:sz w:val="24"/>
                <w14:textFill>
                  <w14:solidFill>
                    <w14:schemeClr w14:val="tx1"/>
                  </w14:solidFill>
                </w14:textFill>
              </w:rPr>
              <w:t>其中环保投资</w:t>
            </w:r>
            <w:r>
              <w:rPr>
                <w:rFonts w:hint="eastAsia" w:ascii="Times New Roman" w:hAnsi="Times New Roman" w:cs="Times New Roman"/>
                <w:color w:val="000000" w:themeColor="text1"/>
                <w:sz w:val="24"/>
                <w:lang w:val="en-US" w:eastAsia="zh-CN"/>
                <w14:textFill>
                  <w14:solidFill>
                    <w14:schemeClr w14:val="tx1"/>
                  </w14:solidFill>
                </w14:textFill>
              </w:rPr>
              <w:t>67</w:t>
            </w:r>
            <w:r>
              <w:rPr>
                <w:rFonts w:hint="eastAsia" w:ascii="Times New Roman" w:hAnsi="Times New Roman" w:cs="Times New Roman"/>
                <w:color w:val="000000" w:themeColor="text1"/>
                <w:sz w:val="24"/>
                <w:lang w:eastAsia="zh-CN"/>
                <w14:textFill>
                  <w14:solidFill>
                    <w14:schemeClr w14:val="tx1"/>
                  </w14:solidFill>
                </w14:textFill>
              </w:rPr>
              <w:t>万元</w:t>
            </w:r>
            <w:r>
              <w:rPr>
                <w:rFonts w:hint="default" w:ascii="Times New Roman" w:hAnsi="Times New Roman" w:eastAsia="宋体" w:cs="Times New Roman"/>
                <w:color w:val="000000" w:themeColor="text1"/>
                <w:sz w:val="24"/>
                <w14:textFill>
                  <w14:solidFill>
                    <w14:schemeClr w14:val="tx1"/>
                  </w14:solidFill>
                </w14:textFill>
              </w:rPr>
              <w:t>，占总投资</w:t>
            </w:r>
            <w:r>
              <w:rPr>
                <w:rFonts w:hint="eastAsia" w:ascii="Times New Roman" w:hAnsi="Times New Roman" w:cs="Times New Roman"/>
                <w:color w:val="000000" w:themeColor="text1"/>
                <w:sz w:val="24"/>
                <w:lang w:eastAsia="zh-CN"/>
                <w14:textFill>
                  <w14:solidFill>
                    <w14:schemeClr w14:val="tx1"/>
                  </w14:solidFill>
                </w14:textFill>
              </w:rPr>
              <w:t>5.31</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w:t>
            </w:r>
          </w:p>
          <w:p w14:paraId="2112CF9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劳动定员及工作制度：</w:t>
            </w:r>
            <w:r>
              <w:rPr>
                <w:rFonts w:hint="default" w:ascii="Times New Roman" w:hAnsi="Times New Roman" w:eastAsia="宋体" w:cs="Times New Roman"/>
                <w:color w:val="000000" w:themeColor="text1"/>
                <w:sz w:val="24"/>
                <w14:textFill>
                  <w14:solidFill>
                    <w14:schemeClr w14:val="tx1"/>
                  </w14:solidFill>
                </w14:textFill>
              </w:rPr>
              <w:t>项目建成后</w:t>
            </w:r>
            <w:r>
              <w:rPr>
                <w:rFonts w:hint="eastAsia" w:ascii="Times New Roman" w:hAnsi="Times New Roman" w:cs="Times New Roman"/>
                <w:color w:val="000000" w:themeColor="text1"/>
                <w:sz w:val="24"/>
                <w:lang w:val="en-US" w:eastAsia="zh-CN"/>
                <w14:textFill>
                  <w14:solidFill>
                    <w14:schemeClr w14:val="tx1"/>
                  </w14:solidFill>
                </w14:textFill>
              </w:rPr>
              <w:t>不设置巡检人员，无</w:t>
            </w:r>
            <w:r>
              <w:rPr>
                <w:rFonts w:hint="default" w:ascii="Times New Roman" w:hAnsi="Times New Roman" w:eastAsia="宋体" w:cs="Times New Roman"/>
                <w:color w:val="000000" w:themeColor="text1"/>
                <w:sz w:val="24"/>
                <w14:textFill>
                  <w14:solidFill>
                    <w14:schemeClr w14:val="tx1"/>
                  </w14:solidFill>
                </w14:textFill>
              </w:rPr>
              <w:t>劳动定员。</w:t>
            </w:r>
          </w:p>
          <w:p w14:paraId="69B2959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3、建设规模、内容及产品方案</w:t>
            </w:r>
          </w:p>
          <w:p w14:paraId="0320C0FC">
            <w:pPr>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3.1建设规模、内容</w:t>
            </w:r>
          </w:p>
          <w:p w14:paraId="1A9826D7">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本项目</w:t>
            </w:r>
            <w:bookmarkStart w:id="8" w:name="_Hlk211505000"/>
            <w:r>
              <w:rPr>
                <w:rFonts w:hint="default" w:ascii="Times New Roman" w:hAnsi="Times New Roman" w:eastAsia="宋体" w:cs="Times New Roman"/>
                <w:bCs/>
                <w:color w:val="000000" w:themeColor="text1"/>
                <w:sz w:val="24"/>
                <w14:textFill>
                  <w14:solidFill>
                    <w14:schemeClr w14:val="tx1"/>
                  </w14:solidFill>
                </w14:textFill>
              </w:rPr>
              <w:t>选址于四川省</w:t>
            </w:r>
            <w:r>
              <w:rPr>
                <w:rFonts w:hint="default" w:ascii="Times New Roman" w:hAnsi="Times New Roman" w:eastAsia="宋体" w:cs="Times New Roman"/>
                <w:bCs/>
                <w:color w:val="000000" w:themeColor="text1"/>
                <w:sz w:val="24"/>
                <w:lang w:eastAsia="zh-CN"/>
                <w14:textFill>
                  <w14:solidFill>
                    <w14:schemeClr w14:val="tx1"/>
                  </w14:solidFill>
                </w14:textFill>
              </w:rPr>
              <w:t>甘孜藏族自治州泸定县泸桥镇</w:t>
            </w:r>
            <w:r>
              <w:rPr>
                <w:rFonts w:hint="default" w:ascii="Times New Roman" w:hAnsi="Times New Roman" w:eastAsia="宋体" w:cs="Times New Roman"/>
                <w:bCs/>
                <w:color w:val="000000" w:themeColor="text1"/>
                <w:sz w:val="24"/>
                <w14:textFill>
                  <w14:solidFill>
                    <w14:schemeClr w14:val="tx1"/>
                  </w14:solidFill>
                </w14:textFill>
              </w:rPr>
              <w:t>，建设内容</w:t>
            </w:r>
            <w:bookmarkEnd w:id="8"/>
            <w:r>
              <w:rPr>
                <w:rFonts w:hint="default" w:ascii="Times New Roman" w:hAnsi="Times New Roman" w:eastAsia="宋体" w:cs="Times New Roman"/>
                <w:bCs/>
                <w:color w:val="000000" w:themeColor="text1"/>
                <w:sz w:val="24"/>
                <w14:textFill>
                  <w14:solidFill>
                    <w14:schemeClr w14:val="tx1"/>
                  </w14:solidFill>
                </w14:textFill>
              </w:rPr>
              <w:t>具体如下：</w:t>
            </w:r>
          </w:p>
          <w:p w14:paraId="501BFAAB">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新建取水头部一座(设计规模3600立方米/天);输水管道</w:t>
            </w:r>
            <w:r>
              <w:rPr>
                <w:rFonts w:hint="eastAsia" w:ascii="Times New Roman" w:hAnsi="Times New Roman" w:cs="Times New Roman"/>
                <w:bCs/>
                <w:color w:val="000000" w:themeColor="text1"/>
                <w:sz w:val="24"/>
                <w:lang w:eastAsia="zh-CN"/>
                <w14:textFill>
                  <w14:solidFill>
                    <w14:schemeClr w14:val="tx1"/>
                  </w14:solidFill>
                </w14:textFill>
              </w:rPr>
              <w:t>10588m</w:t>
            </w:r>
            <w:r>
              <w:rPr>
                <w:rFonts w:hint="default" w:ascii="Times New Roman" w:hAnsi="Times New Roman" w:eastAsia="宋体" w:cs="Times New Roman"/>
                <w:bCs/>
                <w:color w:val="000000" w:themeColor="text1"/>
                <w:sz w:val="24"/>
                <w14:textFill>
                  <w14:solidFill>
                    <w14:schemeClr w14:val="tx1"/>
                  </w14:solidFill>
                </w14:textFill>
              </w:rPr>
              <w:t>及阀门井、排气阀井、排泥井、消火栓等配套设施。</w:t>
            </w:r>
          </w:p>
          <w:p w14:paraId="5C6C4E48">
            <w:pPr>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3.2产品方案</w:t>
            </w:r>
          </w:p>
          <w:p w14:paraId="42040A08">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工程泸定县城区自来水厂的需水量3000m³/d。原水输水管道漏水量按照10%，水厂的自用水量按照10%计算，因此本工程的原水输水管道设计流量为：3000×1.2=3600m³/d，取水构筑物的设计水量为3600m³/d。采用重力供水的方式，输水至泸定县城区自来水厂配水井处。</w:t>
            </w:r>
            <w:r>
              <w:rPr>
                <w:rFonts w:hint="default" w:ascii="Times New Roman" w:hAnsi="Times New Roman" w:eastAsia="宋体" w:cs="Times New Roman"/>
                <w:color w:val="000000" w:themeColor="text1"/>
                <w:sz w:val="24"/>
                <w14:textFill>
                  <w14:solidFill>
                    <w14:schemeClr w14:val="tx1"/>
                  </w14:solidFill>
                </w14:textFill>
              </w:rPr>
              <w:t>设计供水设计保证率为95%。</w:t>
            </w:r>
          </w:p>
          <w:p w14:paraId="3001A1A2">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项目生产规模方案表</w:t>
            </w:r>
          </w:p>
          <w:tbl>
            <w:tblPr>
              <w:tblStyle w:val="5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6"/>
              <w:gridCol w:w="1089"/>
              <w:gridCol w:w="1091"/>
              <w:gridCol w:w="1091"/>
              <w:gridCol w:w="1091"/>
              <w:gridCol w:w="1393"/>
              <w:gridCol w:w="1848"/>
            </w:tblGrid>
            <w:tr w14:paraId="43CD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 w:hRule="atLeast"/>
              </w:trPr>
              <w:tc>
                <w:tcPr>
                  <w:tcW w:w="352" w:type="pct"/>
                  <w:vAlign w:val="center"/>
                </w:tcPr>
                <w:p w14:paraId="49A29DB1">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序号</w:t>
                  </w:r>
                </w:p>
              </w:tc>
              <w:tc>
                <w:tcPr>
                  <w:tcW w:w="665" w:type="pct"/>
                  <w:vAlign w:val="center"/>
                </w:tcPr>
                <w:p w14:paraId="50FD09D9">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取水</w:t>
                  </w:r>
                  <w:r>
                    <w:rPr>
                      <w:rFonts w:hint="default" w:ascii="Times New Roman" w:hAnsi="Times New Roman" w:eastAsia="宋体" w:cs="Times New Roman"/>
                      <w:b/>
                      <w:bCs/>
                      <w:color w:val="000000" w:themeColor="text1"/>
                      <w:sz w:val="21"/>
                      <w:szCs w:val="21"/>
                      <w14:textFill>
                        <w14:solidFill>
                          <w14:schemeClr w14:val="tx1"/>
                        </w14:solidFill>
                      </w14:textFill>
                    </w:rPr>
                    <w:t>设施</w:t>
                  </w:r>
                </w:p>
              </w:tc>
              <w:tc>
                <w:tcPr>
                  <w:tcW w:w="666" w:type="pct"/>
                  <w:vAlign w:val="center"/>
                </w:tcPr>
                <w:p w14:paraId="166F9823">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产品名称</w:t>
                  </w:r>
                </w:p>
              </w:tc>
              <w:tc>
                <w:tcPr>
                  <w:tcW w:w="666" w:type="pct"/>
                  <w:vAlign w:val="center"/>
                </w:tcPr>
                <w:p w14:paraId="522C2312">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取水</w:t>
                  </w:r>
                  <w:r>
                    <w:rPr>
                      <w:rFonts w:hint="default" w:ascii="Times New Roman" w:hAnsi="Times New Roman" w:eastAsia="宋体" w:cs="Times New Roman"/>
                      <w:b/>
                      <w:bCs/>
                      <w:color w:val="000000" w:themeColor="text1"/>
                      <w:sz w:val="21"/>
                      <w:szCs w:val="21"/>
                      <w14:textFill>
                        <w14:solidFill>
                          <w14:schemeClr w14:val="tx1"/>
                        </w14:solidFill>
                      </w14:textFill>
                    </w:rPr>
                    <w:t>规模</w:t>
                  </w:r>
                </w:p>
                <w:p w14:paraId="024A57C3">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eastAsia" w:ascii="Times New Roman" w:hAnsi="Times New Roman" w:cs="Times New Roman"/>
                      <w:b/>
                      <w:bCs/>
                      <w:color w:val="000000" w:themeColor="text1"/>
                      <w:sz w:val="21"/>
                      <w:szCs w:val="21"/>
                      <w:lang w:eastAsia="zh-CN"/>
                      <w14:textFill>
                        <w14:solidFill>
                          <w14:schemeClr w14:val="tx1"/>
                        </w14:solidFill>
                      </w14:textFill>
                    </w:rPr>
                    <w:t>m</w:t>
                  </w:r>
                  <w:r>
                    <w:rPr>
                      <w:rFonts w:hint="eastAsia" w:ascii="Times New Roman" w:hAnsi="Times New Roman" w:cs="Times New Roman"/>
                      <w:b/>
                      <w:bCs/>
                      <w:color w:val="000000" w:themeColor="text1"/>
                      <w:sz w:val="21"/>
                      <w:szCs w:val="21"/>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21"/>
                      <w:szCs w:val="21"/>
                      <w14:textFill>
                        <w14:solidFill>
                          <w14:schemeClr w14:val="tx1"/>
                        </w14:solidFill>
                      </w14:textFill>
                    </w:rPr>
                    <w:t>/d）</w:t>
                  </w:r>
                </w:p>
              </w:tc>
              <w:tc>
                <w:tcPr>
                  <w:tcW w:w="666" w:type="pct"/>
                  <w:vAlign w:val="center"/>
                </w:tcPr>
                <w:p w14:paraId="4B11934C">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年</w:t>
                  </w:r>
                  <w:r>
                    <w:rPr>
                      <w:rFonts w:hint="eastAsia" w:ascii="Times New Roman" w:hAnsi="Times New Roman" w:cs="Times New Roman"/>
                      <w:b/>
                      <w:bCs/>
                      <w:color w:val="000000" w:themeColor="text1"/>
                      <w:sz w:val="21"/>
                      <w:szCs w:val="21"/>
                      <w:lang w:val="en-US" w:eastAsia="zh-CN"/>
                      <w14:textFill>
                        <w14:solidFill>
                          <w14:schemeClr w14:val="tx1"/>
                        </w14:solidFill>
                      </w14:textFill>
                    </w:rPr>
                    <w:t>取水</w:t>
                  </w:r>
                  <w:r>
                    <w:rPr>
                      <w:rFonts w:hint="default" w:ascii="Times New Roman" w:hAnsi="Times New Roman" w:eastAsia="宋体" w:cs="Times New Roman"/>
                      <w:b/>
                      <w:bCs/>
                      <w:color w:val="000000" w:themeColor="text1"/>
                      <w:sz w:val="21"/>
                      <w:szCs w:val="21"/>
                      <w14:textFill>
                        <w14:solidFill>
                          <w14:schemeClr w14:val="tx1"/>
                        </w14:solidFill>
                      </w14:textFill>
                    </w:rPr>
                    <w:t>天数（d）</w:t>
                  </w:r>
                </w:p>
              </w:tc>
              <w:tc>
                <w:tcPr>
                  <w:tcW w:w="851" w:type="pct"/>
                  <w:vAlign w:val="center"/>
                </w:tcPr>
                <w:p w14:paraId="7C4CA2A6">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年</w:t>
                  </w:r>
                  <w:r>
                    <w:rPr>
                      <w:rFonts w:hint="eastAsia" w:ascii="Times New Roman" w:hAnsi="Times New Roman" w:cs="Times New Roman"/>
                      <w:b/>
                      <w:bCs/>
                      <w:color w:val="000000" w:themeColor="text1"/>
                      <w:sz w:val="21"/>
                      <w:szCs w:val="21"/>
                      <w:lang w:val="en-US" w:eastAsia="zh-CN"/>
                      <w14:textFill>
                        <w14:solidFill>
                          <w14:schemeClr w14:val="tx1"/>
                        </w14:solidFill>
                      </w14:textFill>
                    </w:rPr>
                    <w:t>取水</w:t>
                  </w:r>
                  <w:r>
                    <w:rPr>
                      <w:rFonts w:hint="default" w:ascii="Times New Roman" w:hAnsi="Times New Roman" w:eastAsia="宋体" w:cs="Times New Roman"/>
                      <w:b/>
                      <w:bCs/>
                      <w:color w:val="000000" w:themeColor="text1"/>
                      <w:sz w:val="21"/>
                      <w:szCs w:val="21"/>
                      <w14:textFill>
                        <w14:solidFill>
                          <w14:schemeClr w14:val="tx1"/>
                        </w14:solidFill>
                      </w14:textFill>
                    </w:rPr>
                    <w:t>量</w:t>
                  </w:r>
                </w:p>
                <w:p w14:paraId="2308A48E">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（万</w:t>
                  </w:r>
                  <w:r>
                    <w:rPr>
                      <w:rFonts w:hint="eastAsia" w:ascii="Times New Roman" w:hAnsi="Times New Roman" w:cs="Times New Roman"/>
                      <w:b/>
                      <w:bCs/>
                      <w:color w:val="000000" w:themeColor="text1"/>
                      <w:sz w:val="21"/>
                      <w:szCs w:val="21"/>
                      <w:lang w:eastAsia="zh-CN"/>
                      <w14:textFill>
                        <w14:solidFill>
                          <w14:schemeClr w14:val="tx1"/>
                        </w14:solidFill>
                      </w14:textFill>
                    </w:rPr>
                    <w:t>m</w:t>
                  </w:r>
                  <w:r>
                    <w:rPr>
                      <w:rFonts w:hint="eastAsia" w:ascii="Times New Roman" w:hAnsi="Times New Roman" w:cs="Times New Roman"/>
                      <w:b/>
                      <w:bCs/>
                      <w:color w:val="000000" w:themeColor="text1"/>
                      <w:sz w:val="21"/>
                      <w:szCs w:val="21"/>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21"/>
                      <w:szCs w:val="21"/>
                      <w14:textFill>
                        <w14:solidFill>
                          <w14:schemeClr w14:val="tx1"/>
                        </w14:solidFill>
                      </w14:textFill>
                    </w:rPr>
                    <w:t>/a）</w:t>
                  </w:r>
                </w:p>
              </w:tc>
              <w:tc>
                <w:tcPr>
                  <w:tcW w:w="1129" w:type="pct"/>
                  <w:vAlign w:val="center"/>
                </w:tcPr>
                <w:p w14:paraId="1D9DA4F1">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备注</w:t>
                  </w:r>
                </w:p>
              </w:tc>
            </w:tr>
            <w:tr w14:paraId="7186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52" w:type="pct"/>
                  <w:vAlign w:val="center"/>
                </w:tcPr>
                <w:p w14:paraId="3E69788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665" w:type="pct"/>
                </w:tcPr>
                <w:p w14:paraId="2BFB3282">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取水头部</w:t>
                  </w:r>
                </w:p>
              </w:tc>
              <w:tc>
                <w:tcPr>
                  <w:tcW w:w="666" w:type="pct"/>
                  <w:vAlign w:val="center"/>
                </w:tcPr>
                <w:p w14:paraId="5ECD779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自来水</w:t>
                  </w:r>
                </w:p>
              </w:tc>
              <w:tc>
                <w:tcPr>
                  <w:tcW w:w="666" w:type="pct"/>
                  <w:vAlign w:val="center"/>
                </w:tcPr>
                <w:p w14:paraId="0B710DC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36</w:t>
                  </w:r>
                  <w:r>
                    <w:rPr>
                      <w:rFonts w:hint="default" w:ascii="Times New Roman" w:hAnsi="Times New Roman" w:eastAsia="宋体" w:cs="Times New Roman"/>
                      <w:color w:val="000000" w:themeColor="text1"/>
                      <w:sz w:val="21"/>
                      <w:szCs w:val="21"/>
                      <w14:textFill>
                        <w14:solidFill>
                          <w14:schemeClr w14:val="tx1"/>
                        </w14:solidFill>
                      </w14:textFill>
                    </w:rPr>
                    <w:t>00</w:t>
                  </w:r>
                </w:p>
              </w:tc>
              <w:tc>
                <w:tcPr>
                  <w:tcW w:w="666" w:type="pct"/>
                  <w:vAlign w:val="center"/>
                </w:tcPr>
                <w:p w14:paraId="0B2A812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365</w:t>
                  </w:r>
                </w:p>
              </w:tc>
              <w:tc>
                <w:tcPr>
                  <w:tcW w:w="851" w:type="pct"/>
                  <w:vAlign w:val="center"/>
                </w:tcPr>
                <w:p w14:paraId="78A9AAA7">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131.40</w:t>
                  </w:r>
                </w:p>
              </w:tc>
              <w:tc>
                <w:tcPr>
                  <w:tcW w:w="1129" w:type="pct"/>
                  <w:vAlign w:val="center"/>
                </w:tcPr>
                <w:p w14:paraId="2004C1A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自来水生产供应</w:t>
                  </w:r>
                </w:p>
              </w:tc>
            </w:tr>
          </w:tbl>
          <w:p w14:paraId="7BC346A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4、建设项目组成及可能产生的环境问题</w:t>
            </w:r>
          </w:p>
          <w:p w14:paraId="670FC9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项目组成及主要环境问题详见下表。</w:t>
            </w:r>
          </w:p>
          <w:p w14:paraId="37B75A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p>
          <w:p w14:paraId="4A3FC6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p>
          <w:p w14:paraId="3837A65A">
            <w:pPr>
              <w:pStyle w:val="155"/>
              <w:keepNext w:val="0"/>
              <w:keepLines w:val="0"/>
              <w:pageBreakBefore w:val="0"/>
              <w:numPr>
                <w:ilvl w:val="0"/>
                <w:numId w:val="17"/>
              </w:numPr>
              <w:kinsoku/>
              <w:wordWrap/>
              <w:overflowPunct/>
              <w:topLinePunct w:val="0"/>
              <w:autoSpaceDE/>
              <w:autoSpaceDN/>
              <w:bidi w:val="0"/>
              <w:adjustRightInd w:val="0"/>
              <w:snapToGrid w:val="0"/>
              <w:spacing w:line="240" w:lineRule="auto"/>
              <w:ind w:left="440" w:leftChars="0" w:hanging="44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项目组成及主要环境问题表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20"/>
              <w:gridCol w:w="571"/>
              <w:gridCol w:w="83"/>
              <w:gridCol w:w="977"/>
              <w:gridCol w:w="4307"/>
              <w:gridCol w:w="653"/>
              <w:gridCol w:w="558"/>
              <w:gridCol w:w="513"/>
            </w:tblGrid>
            <w:tr w14:paraId="1AFE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restart"/>
                  <w:vAlign w:val="center"/>
                </w:tcPr>
                <w:p w14:paraId="26A20514">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工程类别</w:t>
                  </w:r>
                </w:p>
              </w:tc>
              <w:tc>
                <w:tcPr>
                  <w:tcW w:w="3628" w:type="pct"/>
                  <w:gridSpan w:val="4"/>
                  <w:vAlign w:val="center"/>
                </w:tcPr>
                <w:p w14:paraId="3DDACED9">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建设内容及规模</w:t>
                  </w:r>
                </w:p>
              </w:tc>
              <w:tc>
                <w:tcPr>
                  <w:tcW w:w="740" w:type="pct"/>
                  <w:gridSpan w:val="2"/>
                  <w:vAlign w:val="center"/>
                </w:tcPr>
                <w:p w14:paraId="63902743">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主要环境问题</w:t>
                  </w:r>
                </w:p>
              </w:tc>
              <w:tc>
                <w:tcPr>
                  <w:tcW w:w="313" w:type="pct"/>
                  <w:vMerge w:val="restart"/>
                  <w:vAlign w:val="center"/>
                </w:tcPr>
                <w:p w14:paraId="7CA2D824">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color w:val="000000" w:themeColor="text1"/>
                      <w:spacing w:val="-3"/>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备注</w:t>
                  </w:r>
                </w:p>
              </w:tc>
            </w:tr>
            <w:tr w14:paraId="7994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7CB65FE0">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996" w:type="pct"/>
                  <w:gridSpan w:val="3"/>
                  <w:vAlign w:val="center"/>
                </w:tcPr>
                <w:p w14:paraId="09F04311">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项目组成</w:t>
                  </w:r>
                </w:p>
              </w:tc>
              <w:tc>
                <w:tcPr>
                  <w:tcW w:w="2631" w:type="pct"/>
                </w:tcPr>
                <w:p w14:paraId="3A48D06E">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建设内容</w:t>
                  </w:r>
                </w:p>
              </w:tc>
              <w:tc>
                <w:tcPr>
                  <w:tcW w:w="399" w:type="pct"/>
                  <w:vAlign w:val="center"/>
                </w:tcPr>
                <w:p w14:paraId="06A7C075">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施工期</w:t>
                  </w:r>
                </w:p>
              </w:tc>
              <w:tc>
                <w:tcPr>
                  <w:tcW w:w="340" w:type="pct"/>
                  <w:vAlign w:val="center"/>
                </w:tcPr>
                <w:p w14:paraId="27574446">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运营期</w:t>
                  </w:r>
                </w:p>
              </w:tc>
              <w:tc>
                <w:tcPr>
                  <w:tcW w:w="313" w:type="pct"/>
                  <w:vMerge w:val="continue"/>
                </w:tcPr>
                <w:p w14:paraId="32478623">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color w:val="000000" w:themeColor="text1"/>
                      <w:spacing w:val="-3"/>
                      <w:sz w:val="21"/>
                      <w:szCs w:val="21"/>
                      <w14:textFill>
                        <w14:solidFill>
                          <w14:schemeClr w14:val="tx1"/>
                        </w14:solidFill>
                      </w14:textFill>
                    </w:rPr>
                  </w:pPr>
                </w:p>
              </w:tc>
            </w:tr>
            <w:tr w14:paraId="760A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restart"/>
                  <w:vAlign w:val="center"/>
                </w:tcPr>
                <w:p w14:paraId="49D976D1">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主体工程</w:t>
                  </w:r>
                </w:p>
              </w:tc>
              <w:tc>
                <w:tcPr>
                  <w:tcW w:w="399" w:type="pct"/>
                  <w:gridSpan w:val="2"/>
                  <w:vMerge w:val="restart"/>
                  <w:vAlign w:val="center"/>
                </w:tcPr>
                <w:p w14:paraId="726B0433">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取水头部</w:t>
                  </w:r>
                </w:p>
              </w:tc>
              <w:tc>
                <w:tcPr>
                  <w:tcW w:w="597" w:type="pct"/>
                  <w:vAlign w:val="center"/>
                </w:tcPr>
                <w:p w14:paraId="1AFED7A4">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取水设施</w:t>
                  </w:r>
                </w:p>
              </w:tc>
              <w:tc>
                <w:tcPr>
                  <w:tcW w:w="2631" w:type="pct"/>
                  <w:vAlign w:val="center"/>
                </w:tcPr>
                <w:p w14:paraId="7F33934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jc w:val="left"/>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取水方式为</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底格</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栏栅坝取水。底栏栅坝栏栅长度为2m，宽0.8m，坝高1.5m，溢流堰总长度10.0m。</w:t>
                  </w:r>
                </w:p>
              </w:tc>
              <w:tc>
                <w:tcPr>
                  <w:tcW w:w="399" w:type="pct"/>
                  <w:vMerge w:val="restart"/>
                  <w:vAlign w:val="center"/>
                </w:tcPr>
                <w:p w14:paraId="41153C78">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施工扬尘、施工废水、施工人员</w:t>
                  </w:r>
                </w:p>
                <w:p w14:paraId="6DFA5328">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生活污水、</w:t>
                  </w:r>
                </w:p>
                <w:p w14:paraId="50802FD5">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施工噪声、建筑垃圾、生活垃圾</w:t>
                  </w:r>
                </w:p>
              </w:tc>
              <w:tc>
                <w:tcPr>
                  <w:tcW w:w="340" w:type="pct"/>
                  <w:vMerge w:val="restart"/>
                  <w:vAlign w:val="center"/>
                </w:tcPr>
                <w:p w14:paraId="31813F0C">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废水</w:t>
                  </w:r>
                </w:p>
                <w:p w14:paraId="2D812572">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噪声</w:t>
                  </w:r>
                </w:p>
                <w:p w14:paraId="393177BA">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固废</w:t>
                  </w:r>
                </w:p>
              </w:tc>
              <w:tc>
                <w:tcPr>
                  <w:tcW w:w="313" w:type="pct"/>
                  <w:vAlign w:val="center"/>
                </w:tcPr>
                <w:p w14:paraId="342E2D7A">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5EA6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5ECEDFAE">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99" w:type="pct"/>
                  <w:gridSpan w:val="2"/>
                  <w:vMerge w:val="continue"/>
                  <w:vAlign w:val="center"/>
                </w:tcPr>
                <w:p w14:paraId="4C04D1F7">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597" w:type="pct"/>
                  <w:vAlign w:val="center"/>
                </w:tcPr>
                <w:p w14:paraId="5ED42888">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jc w:val="left"/>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沉砂池</w:t>
                  </w:r>
                </w:p>
              </w:tc>
              <w:tc>
                <w:tcPr>
                  <w:tcW w:w="2631" w:type="pct"/>
                  <w:vAlign w:val="center"/>
                </w:tcPr>
                <w:p w14:paraId="18A10540">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平流式沉砂池，沉淀时间45s，水平流速0.25m/s。沉砂池土建尺寸L×B=12.5×4.0m，总深3.5m，有效水深1.8m。同时设置超</w:t>
                  </w:r>
                </w:p>
                <w:p w14:paraId="7ADCF354">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越管1根，管径为</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，当沉砂池清扫或水质清澈时，可以由超越管出水至水厂。</w:t>
                  </w:r>
                </w:p>
              </w:tc>
              <w:tc>
                <w:tcPr>
                  <w:tcW w:w="399" w:type="pct"/>
                  <w:vMerge w:val="continue"/>
                  <w:vAlign w:val="center"/>
                </w:tcPr>
                <w:p w14:paraId="38F28CBC">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340" w:type="pct"/>
                  <w:vMerge w:val="continue"/>
                  <w:vAlign w:val="center"/>
                </w:tcPr>
                <w:p w14:paraId="1B8574D7">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313" w:type="pct"/>
                  <w:vAlign w:val="center"/>
                </w:tcPr>
                <w:p w14:paraId="035864FD">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799E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699C0B26">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99" w:type="pct"/>
                  <w:gridSpan w:val="2"/>
                  <w:vMerge w:val="continue"/>
                  <w:tcBorders>
                    <w:bottom w:val="single" w:color="000000" w:sz="4" w:space="0"/>
                  </w:tcBorders>
                  <w:vAlign w:val="center"/>
                </w:tcPr>
                <w:p w14:paraId="7E120AA3">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597" w:type="pct"/>
                  <w:tcBorders>
                    <w:bottom w:val="single" w:color="000000" w:sz="4" w:space="0"/>
                  </w:tcBorders>
                  <w:vAlign w:val="center"/>
                </w:tcPr>
                <w:p w14:paraId="1A65692D">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jc w:val="left"/>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消能池</w:t>
                  </w:r>
                </w:p>
              </w:tc>
              <w:tc>
                <w:tcPr>
                  <w:tcW w:w="2631" w:type="pct"/>
                  <w:vAlign w:val="center"/>
                </w:tcPr>
                <w:p w14:paraId="6DA2E14D">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jc w:val="left"/>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2座消能池，消能池土建尺寸L×B=3.5×2.4m，总深2.3m，有效水深1.5m。</w:t>
                  </w:r>
                </w:p>
              </w:tc>
              <w:tc>
                <w:tcPr>
                  <w:tcW w:w="399" w:type="pct"/>
                  <w:vMerge w:val="continue"/>
                  <w:vAlign w:val="center"/>
                </w:tcPr>
                <w:p w14:paraId="6DDB38D7">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340" w:type="pct"/>
                  <w:vMerge w:val="continue"/>
                  <w:vAlign w:val="center"/>
                </w:tcPr>
                <w:p w14:paraId="37F7741E">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313" w:type="pct"/>
                  <w:vAlign w:val="center"/>
                </w:tcPr>
                <w:p w14:paraId="1BFD19FB">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7131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750AA2F1">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996" w:type="pct"/>
                  <w:gridSpan w:val="3"/>
                  <w:vAlign w:val="center"/>
                </w:tcPr>
                <w:p w14:paraId="3F5B53A7">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输水管道工程</w:t>
                  </w:r>
                </w:p>
              </w:tc>
              <w:tc>
                <w:tcPr>
                  <w:tcW w:w="2631" w:type="pct"/>
                  <w:vAlign w:val="center"/>
                </w:tcPr>
                <w:p w14:paraId="14EE80D4">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jc w:val="left"/>
                    <w:textAlignment w:val="auto"/>
                    <w:rPr>
                      <w:rFonts w:hint="default" w:ascii="Times New Roman" w:hAnsi="Times New Roman" w:eastAsia="宋体" w:cs="Times New Roman"/>
                      <w:bCs/>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配套管网工程DN400输水管道</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10588m</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及阀门井、排气阀井、排泥井、消火栓等配套设施。采用重力流输水。</w:t>
                  </w:r>
                </w:p>
              </w:tc>
              <w:tc>
                <w:tcPr>
                  <w:tcW w:w="399" w:type="pct"/>
                  <w:vMerge w:val="continue"/>
                  <w:vAlign w:val="center"/>
                </w:tcPr>
                <w:p w14:paraId="02D5CE54">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340" w:type="pct"/>
                  <w:vAlign w:val="center"/>
                </w:tcPr>
                <w:p w14:paraId="155675E8">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73695B69">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3400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restart"/>
                  <w:vAlign w:val="center"/>
                </w:tcPr>
                <w:p w14:paraId="378C70E6">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临时工程</w:t>
                  </w:r>
                </w:p>
              </w:tc>
              <w:tc>
                <w:tcPr>
                  <w:tcW w:w="996" w:type="pct"/>
                  <w:gridSpan w:val="3"/>
                  <w:vAlign w:val="center"/>
                </w:tcPr>
                <w:p w14:paraId="50634964">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临时堆料场</w:t>
                  </w:r>
                </w:p>
              </w:tc>
              <w:tc>
                <w:tcPr>
                  <w:tcW w:w="2631" w:type="pct"/>
                  <w:vAlign w:val="center"/>
                </w:tcPr>
                <w:p w14:paraId="52AA9EF5">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default" w:ascii="Times New Roman" w:hAnsi="Times New Roman" w:eastAsia="宋体" w:cs="Times New Roman"/>
                      <w:color w:val="000000" w:themeColor="text1"/>
                      <w:sz w:val="21"/>
                      <w:szCs w:val="21"/>
                      <w14:textFill>
                        <w14:solidFill>
                          <w14:schemeClr w14:val="tx1"/>
                        </w14:solidFill>
                      </w14:textFill>
                    </w:rPr>
                  </w:pPr>
                  <w:bookmarkStart w:id="9" w:name="OLE_LINK33"/>
                  <w:r>
                    <w:rPr>
                      <w:rFonts w:hint="eastAsia"/>
                      <w:color w:val="000000" w:themeColor="text1"/>
                      <w:lang w:val="en-US" w:eastAsia="zh-CN"/>
                      <w14:textFill>
                        <w14:solidFill>
                          <w14:schemeClr w14:val="tx1"/>
                        </w14:solidFill>
                      </w14:textFill>
                    </w:rPr>
                    <w:t>不设置临时堆料场</w:t>
                  </w:r>
                  <w:r>
                    <w:rPr>
                      <w:color w:val="000000" w:themeColor="text1"/>
                      <w14:textFill>
                        <w14:solidFill>
                          <w14:schemeClr w14:val="tx1"/>
                        </w14:solidFill>
                      </w14:textFill>
                    </w:rPr>
                    <w:t>，工程开挖的土石方</w:t>
                  </w:r>
                  <w:bookmarkEnd w:id="9"/>
                  <w:r>
                    <w:rPr>
                      <w:rFonts w:hint="eastAsia"/>
                      <w:color w:val="000000" w:themeColor="text1"/>
                      <w:lang w:val="en-US" w:eastAsia="zh-CN"/>
                      <w14:textFill>
                        <w14:solidFill>
                          <w14:schemeClr w14:val="tx1"/>
                        </w14:solidFill>
                      </w14:textFill>
                    </w:rPr>
                    <w:t>运至泸定县其他项目综合利用，如其他市政项目或者道路工程等</w:t>
                  </w:r>
                  <w:r>
                    <w:rPr>
                      <w:rFonts w:hint="eastAsia"/>
                      <w:color w:val="000000" w:themeColor="text1"/>
                      <w14:textFill>
                        <w14:solidFill>
                          <w14:schemeClr w14:val="tx1"/>
                        </w14:solidFill>
                      </w14:textFill>
                    </w:rPr>
                    <w:t>。</w:t>
                  </w:r>
                </w:p>
              </w:tc>
              <w:tc>
                <w:tcPr>
                  <w:tcW w:w="399" w:type="pct"/>
                  <w:vMerge w:val="continue"/>
                  <w:vAlign w:val="center"/>
                </w:tcPr>
                <w:p w14:paraId="681E7303">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07AEE01A">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258608AF">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23D4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6974EBDD">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996" w:type="pct"/>
                  <w:gridSpan w:val="3"/>
                  <w:vAlign w:val="center"/>
                </w:tcPr>
                <w:p w14:paraId="6FBC0D50">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施工便道</w:t>
                  </w:r>
                </w:p>
              </w:tc>
              <w:tc>
                <w:tcPr>
                  <w:tcW w:w="2631" w:type="pct"/>
                  <w:vAlign w:val="center"/>
                </w:tcPr>
                <w:p w14:paraId="1F61F982">
                  <w:pPr>
                    <w:rPr>
                      <w:rFonts w:hint="default" w:ascii="Times New Roman" w:hAnsi="Times New Roman" w:eastAsia="宋体" w:cs="Times New Roman"/>
                      <w:color w:val="000000" w:themeColor="text1"/>
                      <w:sz w:val="21"/>
                      <w:szCs w:val="21"/>
                      <w14:textFill>
                        <w14:solidFill>
                          <w14:schemeClr w14:val="tx1"/>
                        </w14:solidFill>
                      </w14:textFill>
                    </w:rPr>
                  </w:pPr>
                  <w:r>
                    <w:rPr>
                      <w:color w:val="000000" w:themeColor="text1"/>
                      <w14:textFill>
                        <w14:solidFill>
                          <w14:schemeClr w14:val="tx1"/>
                        </w14:solidFill>
                      </w14:textFill>
                    </w:rPr>
                    <w:t>本工程不新建施工便道，</w:t>
                  </w:r>
                  <w:r>
                    <w:rPr>
                      <w:rFonts w:hint="eastAsia"/>
                      <w:color w:val="000000" w:themeColor="text1"/>
                      <w:lang w:val="en-US" w:eastAsia="zh-CN"/>
                      <w14:textFill>
                        <w14:solidFill>
                          <w14:schemeClr w14:val="tx1"/>
                        </w14:solidFill>
                      </w14:textFill>
                    </w:rPr>
                    <w:t>现有</w:t>
                  </w:r>
                  <w:r>
                    <w:rPr>
                      <w:color w:val="000000" w:themeColor="text1"/>
                      <w14:textFill>
                        <w14:solidFill>
                          <w14:schemeClr w14:val="tx1"/>
                        </w14:solidFill>
                      </w14:textFill>
                    </w:rPr>
                    <w:t>沿河</w:t>
                  </w:r>
                  <w:r>
                    <w:rPr>
                      <w:rFonts w:hint="eastAsia"/>
                      <w:color w:val="000000" w:themeColor="text1"/>
                      <w:lang w:val="en-US" w:eastAsia="zh-CN"/>
                      <w14:textFill>
                        <w14:solidFill>
                          <w14:schemeClr w14:val="tx1"/>
                        </w14:solidFill>
                      </w14:textFill>
                    </w:rPr>
                    <w:t>既有</w:t>
                  </w:r>
                  <w:r>
                    <w:rPr>
                      <w:color w:val="000000" w:themeColor="text1"/>
                      <w14:textFill>
                        <w14:solidFill>
                          <w14:schemeClr w14:val="tx1"/>
                        </w14:solidFill>
                      </w14:textFill>
                    </w:rPr>
                    <w:t>道路可满足施工及车辆进出要求。取水口以下道路均位于</w:t>
                  </w:r>
                  <w:r>
                    <w:rPr>
                      <w:rFonts w:hint="eastAsia"/>
                      <w:color w:val="000000" w:themeColor="text1"/>
                      <w14:textFill>
                        <w14:solidFill>
                          <w14:schemeClr w14:val="tx1"/>
                        </w14:solidFill>
                      </w14:textFill>
                    </w:rPr>
                    <w:t>十年一遇洪水位线</w:t>
                  </w:r>
                  <w:r>
                    <w:rPr>
                      <w:color w:val="000000" w:themeColor="text1"/>
                      <w14:textFill>
                        <w14:solidFill>
                          <w14:schemeClr w14:val="tx1"/>
                        </w14:solidFill>
                      </w14:textFill>
                    </w:rPr>
                    <w:t>外，施工不占用河道管理范围。</w:t>
                  </w:r>
                </w:p>
              </w:tc>
              <w:tc>
                <w:tcPr>
                  <w:tcW w:w="399" w:type="pct"/>
                  <w:vMerge w:val="continue"/>
                  <w:vAlign w:val="center"/>
                </w:tcPr>
                <w:p w14:paraId="6F1B80DB">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6C528DDE">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22F162B9">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已有</w:t>
                  </w:r>
                </w:p>
              </w:tc>
            </w:tr>
            <w:tr w14:paraId="79BE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42F09B09">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996" w:type="pct"/>
                  <w:gridSpan w:val="3"/>
                  <w:vAlign w:val="center"/>
                </w:tcPr>
                <w:p w14:paraId="4EF02D5F">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color w:val="000000" w:themeColor="text1"/>
                      <w14:textFill>
                        <w14:solidFill>
                          <w14:schemeClr w14:val="tx1"/>
                        </w14:solidFill>
                      </w14:textFill>
                    </w:rPr>
                    <w:t>施工生活区</w:t>
                  </w:r>
                </w:p>
              </w:tc>
              <w:tc>
                <w:tcPr>
                  <w:tcW w:w="2631" w:type="pct"/>
                  <w:vAlign w:val="center"/>
                </w:tcPr>
                <w:p w14:paraId="16D9350E">
                  <w:pPr>
                    <w:rPr>
                      <w:rFonts w:hint="default" w:ascii="Times New Roman" w:hAnsi="Times New Roman" w:eastAsia="宋体" w:cs="Times New Roman"/>
                      <w:color w:val="000000" w:themeColor="text1"/>
                      <w:sz w:val="21"/>
                      <w:szCs w:val="21"/>
                      <w14:textFill>
                        <w14:solidFill>
                          <w14:schemeClr w14:val="tx1"/>
                        </w14:solidFill>
                      </w14:textFill>
                    </w:rPr>
                  </w:pPr>
                  <w:r>
                    <w:rPr>
                      <w:color w:val="000000" w:themeColor="text1"/>
                      <w14:textFill>
                        <w14:solidFill>
                          <w14:schemeClr w14:val="tx1"/>
                        </w14:solidFill>
                      </w14:textFill>
                    </w:rPr>
                    <w:t>租用当地民房用于生活和办公，</w:t>
                  </w:r>
                  <w:r>
                    <w:rPr>
                      <w:rFonts w:hint="eastAsia"/>
                      <w:color w:val="000000" w:themeColor="text1"/>
                      <w14:textFill>
                        <w14:solidFill>
                          <w14:schemeClr w14:val="tx1"/>
                        </w14:solidFill>
                      </w14:textFill>
                    </w:rPr>
                    <w:t>无须设置</w:t>
                  </w:r>
                  <w:r>
                    <w:rPr>
                      <w:color w:val="000000" w:themeColor="text1"/>
                      <w14:textFill>
                        <w14:solidFill>
                          <w14:schemeClr w14:val="tx1"/>
                        </w14:solidFill>
                      </w14:textFill>
                    </w:rPr>
                    <w:t>专门的生活用房和办公用房</w:t>
                  </w:r>
                  <w:r>
                    <w:rPr>
                      <w:rFonts w:hint="eastAsia"/>
                      <w:color w:val="000000" w:themeColor="text1"/>
                      <w14:textFill>
                        <w14:solidFill>
                          <w14:schemeClr w14:val="tx1"/>
                        </w14:solidFill>
                      </w14:textFill>
                    </w:rPr>
                    <w:t>。</w:t>
                  </w:r>
                </w:p>
              </w:tc>
              <w:tc>
                <w:tcPr>
                  <w:tcW w:w="399" w:type="pct"/>
                  <w:vMerge w:val="continue"/>
                  <w:vAlign w:val="center"/>
                </w:tcPr>
                <w:p w14:paraId="057F60C7">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6669E402">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493711BA">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3046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 w:hRule="atLeast"/>
                <w:jc w:val="center"/>
              </w:trPr>
              <w:tc>
                <w:tcPr>
                  <w:tcW w:w="317" w:type="pct"/>
                  <w:vMerge w:val="restart"/>
                  <w:vAlign w:val="center"/>
                </w:tcPr>
                <w:p w14:paraId="5A247CA8">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环保工程</w:t>
                  </w:r>
                </w:p>
              </w:tc>
              <w:tc>
                <w:tcPr>
                  <w:tcW w:w="399" w:type="pct"/>
                  <w:gridSpan w:val="2"/>
                  <w:vMerge w:val="restart"/>
                  <w:vAlign w:val="center"/>
                </w:tcPr>
                <w:p w14:paraId="53DBD4C3">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废水</w:t>
                  </w:r>
                </w:p>
                <w:p w14:paraId="489C0C88">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处理</w:t>
                  </w:r>
                </w:p>
              </w:tc>
              <w:tc>
                <w:tcPr>
                  <w:tcW w:w="597" w:type="pct"/>
                  <w:vAlign w:val="center"/>
                </w:tcPr>
                <w:p w14:paraId="3119AF95">
                  <w:pPr>
                    <w:spacing w:line="240" w:lineRule="auto"/>
                    <w:jc w:val="center"/>
                    <w:rPr>
                      <w:rFonts w:hint="default" w:ascii="Times New Roman" w:hAnsi="Times New Roman" w:eastAsia="宋体" w:cs="Times New Roman"/>
                      <w:snapToGrid w:val="0"/>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施工废水</w:t>
                  </w:r>
                </w:p>
              </w:tc>
              <w:tc>
                <w:tcPr>
                  <w:tcW w:w="2631" w:type="pct"/>
                  <w:vAlign w:val="center"/>
                </w:tcPr>
                <w:p w14:paraId="0CCF1A37">
                  <w:pPr>
                    <w:pStyle w:val="111"/>
                    <w:spacing w:line="240" w:lineRule="auto"/>
                    <w:jc w:val="both"/>
                    <w:rPr>
                      <w:rFonts w:hint="default" w:ascii="Times New Roman" w:hAnsi="Times New Roman" w:eastAsia="宋体" w:cs="Times New Roman"/>
                      <w:snapToGrid w:val="0"/>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施工工区设置</w:t>
                  </w:r>
                  <w:r>
                    <w:rPr>
                      <w:rFonts w:hint="eastAsia" w:cs="Times New Roman"/>
                      <w:bCs/>
                      <w:color w:val="000000" w:themeColor="text1"/>
                      <w:sz w:val="21"/>
                      <w:szCs w:val="21"/>
                      <w:lang w:eastAsia="zh-CN"/>
                      <w14:textFill>
                        <w14:solidFill>
                          <w14:schemeClr w14:val="tx1"/>
                        </w14:solidFill>
                      </w14:textFill>
                    </w:rPr>
                    <w:t>5m</w:t>
                  </w:r>
                  <w:r>
                    <w:rPr>
                      <w:rFonts w:hint="eastAsia" w:cs="Times New Roman"/>
                      <w:bCs/>
                      <w:color w:val="000000" w:themeColor="text1"/>
                      <w:sz w:val="21"/>
                      <w:szCs w:val="21"/>
                      <w:vertAlign w:val="superscript"/>
                      <w:lang w:eastAsia="zh-CN"/>
                      <w14:textFill>
                        <w14:solidFill>
                          <w14:schemeClr w14:val="tx1"/>
                        </w14:solidFill>
                      </w14:textFill>
                    </w:rPr>
                    <w:t>3</w:t>
                  </w:r>
                  <w:r>
                    <w:rPr>
                      <w:rFonts w:hint="eastAsia" w:cs="Times New Roman"/>
                      <w:bCs/>
                      <w:color w:val="000000" w:themeColor="text1"/>
                      <w:sz w:val="21"/>
                      <w:szCs w:val="21"/>
                      <w:lang w:eastAsia="zh-CN"/>
                      <w14:textFill>
                        <w14:solidFill>
                          <w14:schemeClr w14:val="tx1"/>
                        </w14:solidFill>
                      </w14:textFill>
                    </w:rPr>
                    <w:t>隔油沉淀池</w:t>
                  </w:r>
                  <w:r>
                    <w:rPr>
                      <w:rFonts w:hint="default" w:ascii="Times New Roman" w:hAnsi="Times New Roman" w:eastAsia="宋体" w:cs="Times New Roman"/>
                      <w:bCs/>
                      <w:color w:val="000000" w:themeColor="text1"/>
                      <w:sz w:val="21"/>
                      <w:szCs w:val="21"/>
                      <w14:textFill>
                        <w14:solidFill>
                          <w14:schemeClr w14:val="tx1"/>
                        </w14:solidFill>
                      </w14:textFill>
                    </w:rPr>
                    <w:t>进行处理，施工机械和车辆冲洗冲洗废水通过隔油沉淀之后的废水回用于冲洗，不外排。</w:t>
                  </w:r>
                </w:p>
              </w:tc>
              <w:tc>
                <w:tcPr>
                  <w:tcW w:w="399" w:type="pct"/>
                  <w:vMerge w:val="continue"/>
                  <w:vAlign w:val="center"/>
                </w:tcPr>
                <w:p w14:paraId="4D73C959">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2E2817DB">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37F5C24D">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7D45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 w:hRule="atLeast"/>
                <w:jc w:val="center"/>
              </w:trPr>
              <w:tc>
                <w:tcPr>
                  <w:tcW w:w="317" w:type="pct"/>
                  <w:vMerge w:val="continue"/>
                  <w:vAlign w:val="center"/>
                </w:tcPr>
                <w:p w14:paraId="7013ACC5">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99" w:type="pct"/>
                  <w:gridSpan w:val="2"/>
                  <w:vMerge w:val="continue"/>
                  <w:vAlign w:val="center"/>
                </w:tcPr>
                <w:p w14:paraId="4B94F404">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597" w:type="pct"/>
                  <w:vAlign w:val="center"/>
                </w:tcPr>
                <w:p w14:paraId="09A411D0">
                  <w:pPr>
                    <w:spacing w:line="240" w:lineRule="auto"/>
                    <w:jc w:val="center"/>
                    <w:rPr>
                      <w:rFonts w:hint="default" w:ascii="Times New Roman" w:hAnsi="Times New Roman" w:eastAsia="宋体" w:cs="Times New Roman"/>
                      <w:snapToGrid w:val="0"/>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管道试压废水</w:t>
                  </w:r>
                </w:p>
              </w:tc>
              <w:tc>
                <w:tcPr>
                  <w:tcW w:w="2631" w:type="pct"/>
                  <w:vAlign w:val="center"/>
                </w:tcPr>
                <w:p w14:paraId="13638149">
                  <w:pPr>
                    <w:pStyle w:val="111"/>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收集沉淀后，回用于除尘。</w:t>
                  </w:r>
                </w:p>
              </w:tc>
              <w:tc>
                <w:tcPr>
                  <w:tcW w:w="399" w:type="pct"/>
                  <w:vMerge w:val="continue"/>
                  <w:vAlign w:val="center"/>
                </w:tcPr>
                <w:p w14:paraId="3564923E">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3B539323">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5820A83B">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552D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 w:hRule="atLeast"/>
                <w:jc w:val="center"/>
              </w:trPr>
              <w:tc>
                <w:tcPr>
                  <w:tcW w:w="317" w:type="pct"/>
                  <w:vMerge w:val="continue"/>
                  <w:vAlign w:val="center"/>
                </w:tcPr>
                <w:p w14:paraId="4DEFABAC">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99" w:type="pct"/>
                  <w:gridSpan w:val="2"/>
                  <w:vMerge w:val="continue"/>
                  <w:vAlign w:val="center"/>
                </w:tcPr>
                <w:p w14:paraId="797599D6">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597" w:type="pct"/>
                  <w:vAlign w:val="center"/>
                </w:tcPr>
                <w:p w14:paraId="3C7DB674">
                  <w:pPr>
                    <w:spacing w:line="240" w:lineRule="auto"/>
                    <w:jc w:val="center"/>
                    <w:rPr>
                      <w:rFonts w:hint="default" w:ascii="Times New Roman" w:hAnsi="Times New Roman" w:eastAsia="宋体" w:cs="Times New Roman"/>
                      <w:snapToGrid w:val="0"/>
                      <w:color w:val="000000" w:themeColor="text1"/>
                      <w:kern w:val="0"/>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生活污水</w:t>
                  </w:r>
                </w:p>
              </w:tc>
              <w:tc>
                <w:tcPr>
                  <w:tcW w:w="2631" w:type="pct"/>
                  <w:vAlign w:val="center"/>
                </w:tcPr>
                <w:p w14:paraId="2FF38BE3">
                  <w:pPr>
                    <w:pStyle w:val="111"/>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依托租用周边民房现有污水处理设施（化粪池）收集处理后用作农肥，不外排。</w:t>
                  </w:r>
                </w:p>
              </w:tc>
              <w:tc>
                <w:tcPr>
                  <w:tcW w:w="399" w:type="pct"/>
                  <w:vMerge w:val="continue"/>
                  <w:vAlign w:val="center"/>
                </w:tcPr>
                <w:p w14:paraId="625AFEA6">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42FA48C1">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2582BBC6">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依托</w:t>
                  </w:r>
                </w:p>
              </w:tc>
            </w:tr>
            <w:tr w14:paraId="45905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 w:hRule="atLeast"/>
                <w:jc w:val="center"/>
              </w:trPr>
              <w:tc>
                <w:tcPr>
                  <w:tcW w:w="317" w:type="pct"/>
                  <w:vMerge w:val="continue"/>
                  <w:vAlign w:val="center"/>
                </w:tcPr>
                <w:p w14:paraId="21182965">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bookmarkStart w:id="10" w:name="_Hlk201813436"/>
                </w:p>
              </w:tc>
              <w:tc>
                <w:tcPr>
                  <w:tcW w:w="399" w:type="pct"/>
                  <w:gridSpan w:val="2"/>
                  <w:vMerge w:val="restart"/>
                  <w:vAlign w:val="center"/>
                </w:tcPr>
                <w:p w14:paraId="34842191">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废气</w:t>
                  </w:r>
                </w:p>
                <w:p w14:paraId="78C75FEB">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处理</w:t>
                  </w:r>
                </w:p>
              </w:tc>
              <w:tc>
                <w:tcPr>
                  <w:tcW w:w="597" w:type="pct"/>
                  <w:vAlign w:val="center"/>
                </w:tcPr>
                <w:p w14:paraId="7F847E60">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施工扬尘</w:t>
                  </w:r>
                </w:p>
              </w:tc>
              <w:tc>
                <w:tcPr>
                  <w:tcW w:w="2631" w:type="pct"/>
                  <w:vAlign w:val="center"/>
                </w:tcPr>
                <w:p w14:paraId="1D31BF79">
                  <w:pPr>
                    <w:pStyle w:val="111"/>
                    <w:spacing w:line="240" w:lineRule="auto"/>
                    <w:jc w:val="both"/>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临近保护目标段</w:t>
                  </w:r>
                  <w:r>
                    <w:rPr>
                      <w:rFonts w:hint="default" w:ascii="Times New Roman" w:hAnsi="Times New Roman" w:eastAsia="宋体" w:cs="Times New Roman"/>
                      <w:color w:val="000000" w:themeColor="text1"/>
                      <w:sz w:val="21"/>
                      <w:szCs w:val="21"/>
                      <w14:textFill>
                        <w14:solidFill>
                          <w14:schemeClr w14:val="tx1"/>
                        </w14:solidFill>
                      </w14:textFill>
                    </w:rPr>
                    <w:t>施工现场围挡遮蔽、施工作业面临时存放的土方覆盖防尘网；采取洒水抑尘、及时清理路面、运输车辆密闭或遮盖、裸露地表和堆场加盖防雨布或防尘网等措施。</w:t>
                  </w:r>
                </w:p>
              </w:tc>
              <w:tc>
                <w:tcPr>
                  <w:tcW w:w="399" w:type="pct"/>
                  <w:vMerge w:val="continue"/>
                  <w:vAlign w:val="center"/>
                </w:tcPr>
                <w:p w14:paraId="33805048">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485896C6">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7AC1E70F">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20F4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 w:hRule="atLeast"/>
                <w:jc w:val="center"/>
              </w:trPr>
              <w:tc>
                <w:tcPr>
                  <w:tcW w:w="317" w:type="pct"/>
                  <w:vMerge w:val="continue"/>
                  <w:vAlign w:val="center"/>
                </w:tcPr>
                <w:p w14:paraId="548B8E9A">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99" w:type="pct"/>
                  <w:gridSpan w:val="2"/>
                  <w:vMerge w:val="continue"/>
                  <w:vAlign w:val="center"/>
                </w:tcPr>
                <w:p w14:paraId="6131D3DB">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597" w:type="pct"/>
                  <w:vAlign w:val="center"/>
                </w:tcPr>
                <w:p w14:paraId="05512C0A">
                  <w:pPr>
                    <w:spacing w:line="240" w:lineRule="auto"/>
                    <w:jc w:val="center"/>
                    <w:rPr>
                      <w:rFonts w:hint="default" w:ascii="Times New Roman" w:hAnsi="Times New Roman" w:eastAsia="宋体" w:cs="Times New Roman"/>
                      <w:color w:val="000000" w:themeColor="text1"/>
                      <w:spacing w:val="-5"/>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车辆运输扬尘</w:t>
                  </w:r>
                </w:p>
              </w:tc>
              <w:tc>
                <w:tcPr>
                  <w:tcW w:w="2631" w:type="pct"/>
                  <w:vAlign w:val="center"/>
                </w:tcPr>
                <w:p w14:paraId="5414C2AC">
                  <w:pPr>
                    <w:pStyle w:val="111"/>
                    <w:spacing w:line="240" w:lineRule="auto"/>
                    <w:jc w:val="both"/>
                    <w:rPr>
                      <w:rFonts w:hint="default" w:ascii="Times New Roman" w:hAnsi="Times New Roman" w:eastAsia="宋体" w:cs="Times New Roman"/>
                      <w:color w:val="000000" w:themeColor="text1"/>
                      <w:spacing w:val="-5"/>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硬化运输道路路面，定期对路面进行清扫和洒水降尘。运输车辆加盖篷布，要求控制车速，在出入口设置洗车台对车辆冲洗。</w:t>
                  </w:r>
                </w:p>
              </w:tc>
              <w:tc>
                <w:tcPr>
                  <w:tcW w:w="399" w:type="pct"/>
                  <w:vMerge w:val="continue"/>
                  <w:vAlign w:val="center"/>
                </w:tcPr>
                <w:p w14:paraId="24BA037E">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10F9EF7A">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71326B25">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032C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 w:hRule="atLeast"/>
                <w:jc w:val="center"/>
              </w:trPr>
              <w:tc>
                <w:tcPr>
                  <w:tcW w:w="317" w:type="pct"/>
                  <w:vMerge w:val="continue"/>
                  <w:vAlign w:val="center"/>
                </w:tcPr>
                <w:p w14:paraId="5DC518D6">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99" w:type="pct"/>
                  <w:gridSpan w:val="2"/>
                  <w:vMerge w:val="continue"/>
                  <w:vAlign w:val="center"/>
                </w:tcPr>
                <w:p w14:paraId="2DBE67F2">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597" w:type="pct"/>
                  <w:vAlign w:val="center"/>
                </w:tcPr>
                <w:p w14:paraId="6E36A141">
                  <w:pPr>
                    <w:spacing w:line="240" w:lineRule="auto"/>
                    <w:jc w:val="center"/>
                    <w:rPr>
                      <w:rFonts w:hint="default" w:ascii="Times New Roman" w:hAnsi="Times New Roman" w:eastAsia="宋体" w:cs="Times New Roman"/>
                      <w:color w:val="000000" w:themeColor="text1"/>
                      <w:spacing w:val="-5"/>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焊接烟尘</w:t>
                  </w:r>
                </w:p>
              </w:tc>
              <w:tc>
                <w:tcPr>
                  <w:tcW w:w="2631" w:type="pct"/>
                  <w:vAlign w:val="center"/>
                </w:tcPr>
                <w:p w14:paraId="330C14F9">
                  <w:pPr>
                    <w:pStyle w:val="111"/>
                    <w:spacing w:line="240" w:lineRule="auto"/>
                    <w:jc w:val="both"/>
                    <w:rPr>
                      <w:rFonts w:hint="default" w:ascii="Times New Roman" w:hAnsi="Times New Roman" w:eastAsia="宋体" w:cs="Times New Roman"/>
                      <w:color w:val="000000" w:themeColor="text1"/>
                      <w:spacing w:val="-5"/>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施工场地分散，排放量小、间断分散。</w:t>
                  </w:r>
                </w:p>
              </w:tc>
              <w:tc>
                <w:tcPr>
                  <w:tcW w:w="399" w:type="pct"/>
                  <w:vMerge w:val="continue"/>
                  <w:vAlign w:val="center"/>
                </w:tcPr>
                <w:p w14:paraId="47495F20">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21B6811D">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45BF2D4C">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0503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 w:hRule="atLeast"/>
                <w:jc w:val="center"/>
              </w:trPr>
              <w:tc>
                <w:tcPr>
                  <w:tcW w:w="317" w:type="pct"/>
                  <w:vMerge w:val="continue"/>
                  <w:vAlign w:val="center"/>
                </w:tcPr>
                <w:p w14:paraId="4E2A29B5">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99" w:type="pct"/>
                  <w:gridSpan w:val="2"/>
                  <w:vMerge w:val="continue"/>
                  <w:vAlign w:val="center"/>
                </w:tcPr>
                <w:p w14:paraId="5801348F">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597" w:type="pct"/>
                  <w:vAlign w:val="center"/>
                </w:tcPr>
                <w:p w14:paraId="06097CA6">
                  <w:pPr>
                    <w:spacing w:line="240" w:lineRule="auto"/>
                    <w:jc w:val="center"/>
                    <w:rPr>
                      <w:rFonts w:hint="default" w:ascii="Times New Roman" w:hAnsi="Times New Roman" w:eastAsia="宋体" w:cs="Times New Roman"/>
                      <w:color w:val="000000" w:themeColor="text1"/>
                      <w:spacing w:val="-5"/>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燃油废气</w:t>
                  </w:r>
                </w:p>
              </w:tc>
              <w:tc>
                <w:tcPr>
                  <w:tcW w:w="2631" w:type="pct"/>
                  <w:vAlign w:val="center"/>
                </w:tcPr>
                <w:p w14:paraId="2C1F25D3">
                  <w:pPr>
                    <w:pStyle w:val="111"/>
                    <w:spacing w:line="240" w:lineRule="auto"/>
                    <w:jc w:val="both"/>
                    <w:rPr>
                      <w:rFonts w:hint="default" w:ascii="Times New Roman" w:hAnsi="Times New Roman" w:eastAsia="宋体" w:cs="Times New Roman"/>
                      <w:color w:val="000000" w:themeColor="text1"/>
                      <w:spacing w:val="-5"/>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选用的低硫优质柴油作燃料</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399" w:type="pct"/>
                  <w:vMerge w:val="continue"/>
                  <w:vAlign w:val="center"/>
                </w:tcPr>
                <w:p w14:paraId="5B853E94">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7230CC6C">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3687F83F">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4F66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0" w:hRule="atLeast"/>
                <w:jc w:val="center"/>
              </w:trPr>
              <w:tc>
                <w:tcPr>
                  <w:tcW w:w="317" w:type="pct"/>
                  <w:vMerge w:val="continue"/>
                  <w:vAlign w:val="center"/>
                </w:tcPr>
                <w:p w14:paraId="18A15D2D">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99" w:type="pct"/>
                  <w:gridSpan w:val="2"/>
                  <w:vMerge w:val="continue"/>
                  <w:vAlign w:val="center"/>
                </w:tcPr>
                <w:p w14:paraId="10D609A3">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597" w:type="pct"/>
                  <w:vAlign w:val="center"/>
                </w:tcPr>
                <w:p w14:paraId="09A60516">
                  <w:pPr>
                    <w:spacing w:line="240" w:lineRule="auto"/>
                    <w:jc w:val="center"/>
                    <w:rPr>
                      <w:rFonts w:hint="default" w:ascii="Times New Roman" w:hAnsi="Times New Roman" w:eastAsia="宋体" w:cs="Times New Roman"/>
                      <w:color w:val="000000" w:themeColor="text1"/>
                      <w:spacing w:val="-5"/>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汽车尾气</w:t>
                  </w:r>
                </w:p>
              </w:tc>
              <w:tc>
                <w:tcPr>
                  <w:tcW w:w="2631" w:type="pct"/>
                  <w:vAlign w:val="center"/>
                </w:tcPr>
                <w:p w14:paraId="742AB4FD">
                  <w:pPr>
                    <w:pStyle w:val="111"/>
                    <w:spacing w:line="240" w:lineRule="auto"/>
                    <w:jc w:val="both"/>
                    <w:rPr>
                      <w:rFonts w:hint="default" w:ascii="Times New Roman" w:hAnsi="Times New Roman" w:eastAsia="宋体" w:cs="Times New Roman"/>
                      <w:color w:val="000000" w:themeColor="text1"/>
                      <w:spacing w:val="-5"/>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减少怠速行驶，降低尾气排放。</w:t>
                  </w:r>
                </w:p>
              </w:tc>
              <w:tc>
                <w:tcPr>
                  <w:tcW w:w="399" w:type="pct"/>
                  <w:vMerge w:val="continue"/>
                  <w:vAlign w:val="center"/>
                </w:tcPr>
                <w:p w14:paraId="23593DF6">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1849539D">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0B0C9239">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bookmarkEnd w:id="10"/>
            <w:tr w14:paraId="547D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0617990A">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996" w:type="pct"/>
                  <w:gridSpan w:val="3"/>
                  <w:vAlign w:val="center"/>
                </w:tcPr>
                <w:p w14:paraId="406D5EDC">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snapToGrid w:val="0"/>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噪声治理</w:t>
                  </w:r>
                </w:p>
              </w:tc>
              <w:tc>
                <w:tcPr>
                  <w:tcW w:w="2631" w:type="pct"/>
                  <w:vAlign w:val="center"/>
                </w:tcPr>
                <w:p w14:paraId="52CE78A5">
                  <w:pPr>
                    <w:keepNext w:val="0"/>
                    <w:keepLines w:val="0"/>
                    <w:pageBreakBefore w:val="0"/>
                    <w:kinsoku/>
                    <w:wordWrap/>
                    <w:overflowPunct/>
                    <w:topLinePunct w:val="0"/>
                    <w:autoSpaceDE/>
                    <w:autoSpaceDN/>
                    <w:bidi w:val="0"/>
                    <w:adjustRightInd w:val="0"/>
                    <w:snapToGrid w:val="0"/>
                    <w:spacing w:line="240" w:lineRule="auto"/>
                    <w:ind w:left="0"/>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选用低噪声设备，基础减震降噪；合理安排施工时间，禁止夜间施工，制定合理运输路线，靠近敏感目标处采取控制车速和禁鸣笛等措施，定期检修和维护机械设备；对于场内施工人员，配备个人防护措施；对于周边敏感点根据实际情况设置声障等。</w:t>
                  </w:r>
                </w:p>
              </w:tc>
              <w:tc>
                <w:tcPr>
                  <w:tcW w:w="399" w:type="pct"/>
                  <w:vMerge w:val="continue"/>
                  <w:vAlign w:val="center"/>
                </w:tcPr>
                <w:p w14:paraId="70416F1E">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19380FFD">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03E31BB6">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29BE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1FA17062">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8" w:type="pct"/>
                  <w:vMerge w:val="restart"/>
                  <w:vAlign w:val="center"/>
                </w:tcPr>
                <w:p w14:paraId="12BDA33C">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固废处置</w:t>
                  </w:r>
                </w:p>
              </w:tc>
              <w:tc>
                <w:tcPr>
                  <w:tcW w:w="647" w:type="pct"/>
                  <w:gridSpan w:val="2"/>
                  <w:vAlign w:val="center"/>
                </w:tcPr>
                <w:p w14:paraId="620AB52B">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土石方</w:t>
                  </w:r>
                </w:p>
              </w:tc>
              <w:tc>
                <w:tcPr>
                  <w:tcW w:w="2631" w:type="pct"/>
                  <w:vAlign w:val="center"/>
                </w:tcPr>
                <w:p w14:paraId="77E77FDD">
                  <w:pPr>
                    <w:pStyle w:val="111"/>
                    <w:spacing w:line="240" w:lineRule="auto"/>
                    <w:jc w:val="both"/>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项目自身不设置弃渣场</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弃方运至其他项目综合利用</w:t>
                  </w:r>
                  <w:r>
                    <w:rPr>
                      <w:rFonts w:hint="eastAsia" w:cs="Times New Roman"/>
                      <w:color w:val="000000" w:themeColor="text1"/>
                      <w:sz w:val="21"/>
                      <w:szCs w:val="21"/>
                      <w:lang w:val="en-US" w:eastAsia="zh-CN"/>
                      <w14:textFill>
                        <w14:solidFill>
                          <w14:schemeClr w14:val="tx1"/>
                        </w14:solidFill>
                      </w14:textFill>
                    </w:rPr>
                    <w:t>，如在建其他市政项目或者道路</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399" w:type="pct"/>
                  <w:vMerge w:val="continue"/>
                  <w:vAlign w:val="center"/>
                </w:tcPr>
                <w:p w14:paraId="2A9B5CD0">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58A884FC">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7EC545A0">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5DCE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6ADFBDCA">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8" w:type="pct"/>
                  <w:vMerge w:val="continue"/>
                  <w:vAlign w:val="center"/>
                </w:tcPr>
                <w:p w14:paraId="4D8C77DE">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647" w:type="pct"/>
                  <w:gridSpan w:val="2"/>
                  <w:vAlign w:val="center"/>
                </w:tcPr>
                <w:p w14:paraId="302C1E41">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建筑垃圾</w:t>
                  </w:r>
                </w:p>
              </w:tc>
              <w:tc>
                <w:tcPr>
                  <w:tcW w:w="2631" w:type="pct"/>
                  <w:vAlign w:val="center"/>
                </w:tcPr>
                <w:p w14:paraId="076E4727">
                  <w:pPr>
                    <w:pStyle w:val="111"/>
                    <w:spacing w:line="240" w:lineRule="auto"/>
                    <w:jc w:val="both"/>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对能够回收利用的建筑垃圾进行分类回收利用，不能回收利用的由建筑垃圾转运至政府指定的建筑垃圾堆放场。</w:t>
                  </w:r>
                </w:p>
              </w:tc>
              <w:tc>
                <w:tcPr>
                  <w:tcW w:w="399" w:type="pct"/>
                  <w:vMerge w:val="continue"/>
                  <w:vAlign w:val="center"/>
                </w:tcPr>
                <w:p w14:paraId="4E582916">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29874E71">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3A58314B">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77C1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35EDC239">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8" w:type="pct"/>
                  <w:vMerge w:val="continue"/>
                  <w:vAlign w:val="center"/>
                </w:tcPr>
                <w:p w14:paraId="70E8E9C9">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p>
              </w:tc>
              <w:tc>
                <w:tcPr>
                  <w:tcW w:w="647" w:type="pct"/>
                  <w:gridSpan w:val="2"/>
                  <w:vAlign w:val="center"/>
                </w:tcPr>
                <w:p w14:paraId="691ECD97">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生活垃圾</w:t>
                  </w:r>
                </w:p>
              </w:tc>
              <w:tc>
                <w:tcPr>
                  <w:tcW w:w="2631" w:type="pct"/>
                  <w:vAlign w:val="center"/>
                </w:tcPr>
                <w:p w14:paraId="0CF1F90E">
                  <w:pPr>
                    <w:pStyle w:val="111"/>
                    <w:spacing w:line="240" w:lineRule="auto"/>
                    <w:jc w:val="both"/>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收集后交由环卫部门统一清运。</w:t>
                  </w:r>
                </w:p>
              </w:tc>
              <w:tc>
                <w:tcPr>
                  <w:tcW w:w="399" w:type="pct"/>
                  <w:vMerge w:val="continue"/>
                  <w:vAlign w:val="center"/>
                </w:tcPr>
                <w:p w14:paraId="3628B56A">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00635DCC">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02ABB70C">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4433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7CBC7808">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996" w:type="pct"/>
                  <w:gridSpan w:val="3"/>
                  <w:vAlign w:val="center"/>
                </w:tcPr>
                <w:p w14:paraId="464744FC">
                  <w:pPr>
                    <w:spacing w:line="240" w:lineRule="auto"/>
                    <w:jc w:val="center"/>
                    <w:rPr>
                      <w:rFonts w:hint="default" w:ascii="Times New Roman" w:hAnsi="Times New Roman" w:eastAsia="宋体" w:cs="Times New Roman"/>
                      <w:snapToGrid w:val="0"/>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生态保护</w:t>
                  </w:r>
                </w:p>
              </w:tc>
              <w:tc>
                <w:tcPr>
                  <w:tcW w:w="2631" w:type="pct"/>
                  <w:vAlign w:val="center"/>
                </w:tcPr>
                <w:p w14:paraId="1925ADF7">
                  <w:pPr>
                    <w:pStyle w:val="111"/>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对植被的保护措施：</w:t>
                  </w:r>
                  <w:r>
                    <w:rPr>
                      <w:rFonts w:hint="default" w:ascii="Times New Roman" w:hAnsi="Times New Roman" w:eastAsia="宋体" w:cs="Times New Roman"/>
                      <w:color w:val="000000" w:themeColor="text1"/>
                      <w:sz w:val="21"/>
                      <w:szCs w:val="21"/>
                      <w14:textFill>
                        <w14:solidFill>
                          <w14:schemeClr w14:val="tx1"/>
                        </w14:solidFill>
                      </w14:textFill>
                    </w:rPr>
                    <w:t>严禁烟火、警示保护。少占禁伐。迹地恢复，种植植物。</w:t>
                  </w:r>
                </w:p>
                <w:p w14:paraId="46BD00F9">
                  <w:pPr>
                    <w:pStyle w:val="111"/>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对动物的保护措施：</w:t>
                  </w:r>
                  <w:r>
                    <w:rPr>
                      <w:rFonts w:hint="default" w:ascii="Times New Roman" w:hAnsi="Times New Roman" w:eastAsia="宋体" w:cs="Times New Roman"/>
                      <w:color w:val="000000" w:themeColor="text1"/>
                      <w:sz w:val="21"/>
                      <w:szCs w:val="21"/>
                      <w14:textFill>
                        <w14:solidFill>
                          <w14:schemeClr w14:val="tx1"/>
                        </w14:solidFill>
                      </w14:textFill>
                    </w:rPr>
                    <w:t>严控施工作业范围；提高意识、禁止狩猎。施工安排少惊扰。落实环境保护措施。防止外来物种迁入。</w:t>
                  </w:r>
                </w:p>
                <w:p w14:paraId="7D93EE71">
                  <w:pPr>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水土流失保持：</w:t>
                  </w:r>
                  <w:r>
                    <w:rPr>
                      <w:rFonts w:hint="default" w:ascii="Times New Roman" w:hAnsi="Times New Roman" w:eastAsia="宋体" w:cs="Times New Roman"/>
                      <w:color w:val="000000" w:themeColor="text1"/>
                      <w:sz w:val="21"/>
                      <w:szCs w:val="21"/>
                      <w14:textFill>
                        <w14:solidFill>
                          <w14:schemeClr w14:val="tx1"/>
                        </w14:solidFill>
                      </w14:textFill>
                    </w:rPr>
                    <w:t>施工区设置拦挡、</w:t>
                  </w:r>
                  <w:r>
                    <w:rPr>
                      <w:rFonts w:hint="eastAsia" w:ascii="Times New Roman" w:hAnsi="Times New Roman" w:cs="Times New Roman"/>
                      <w:color w:val="000000" w:themeColor="text1"/>
                      <w:sz w:val="21"/>
                      <w:szCs w:val="21"/>
                      <w:lang w:eastAsia="zh-CN"/>
                      <w14:textFill>
                        <w14:solidFill>
                          <w14:schemeClr w14:val="tx1"/>
                        </w14:solidFill>
                      </w14:textFill>
                    </w:rPr>
                    <w:t>截流</w:t>
                  </w:r>
                  <w:r>
                    <w:rPr>
                      <w:rFonts w:hint="default" w:ascii="Times New Roman" w:hAnsi="Times New Roman" w:eastAsia="宋体" w:cs="Times New Roman"/>
                      <w:color w:val="000000" w:themeColor="text1"/>
                      <w:sz w:val="21"/>
                      <w:szCs w:val="21"/>
                      <w14:textFill>
                        <w14:solidFill>
                          <w14:schemeClr w14:val="tx1"/>
                        </w14:solidFill>
                      </w14:textFill>
                    </w:rPr>
                    <w:t>沟、沉淀池等；原料堆场、临时堆土场设置防水薄膜覆盖等措施；合理安排施工时间，及时覆土绿化；减少施工周期等措施。</w:t>
                  </w:r>
                </w:p>
              </w:tc>
              <w:tc>
                <w:tcPr>
                  <w:tcW w:w="399" w:type="pct"/>
                  <w:vMerge w:val="continue"/>
                  <w:vAlign w:val="center"/>
                </w:tcPr>
                <w:p w14:paraId="60F32E74">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47691E0B">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0932827D">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r w14:paraId="234D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317" w:type="pct"/>
                  <w:vMerge w:val="continue"/>
                  <w:vAlign w:val="center"/>
                </w:tcPr>
                <w:p w14:paraId="22FA971A">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996" w:type="pct"/>
                  <w:gridSpan w:val="3"/>
                  <w:vAlign w:val="center"/>
                </w:tcPr>
                <w:p w14:paraId="2E2454D9">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环境风险</w:t>
                  </w:r>
                </w:p>
              </w:tc>
              <w:tc>
                <w:tcPr>
                  <w:tcW w:w="2631" w:type="pct"/>
                  <w:vAlign w:val="center"/>
                </w:tcPr>
                <w:p w14:paraId="07E9123B">
                  <w:pPr>
                    <w:spacing w:line="240" w:lineRule="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default" w:ascii="Times New Roman" w:hAnsi="Times New Roman" w:eastAsia="宋体" w:cs="Times New Roman"/>
                      <w:b w:val="0"/>
                      <w:bCs w:val="0"/>
                      <w:color w:val="000000" w:themeColor="text1"/>
                      <w:sz w:val="21"/>
                      <w:szCs w:val="21"/>
                      <w14:textFill>
                        <w14:solidFill>
                          <w14:schemeClr w14:val="tx1"/>
                        </w14:solidFill>
                      </w14:textFill>
                    </w:rPr>
                    <w:t>1）对水源地保护区内违法建设项目和环境风险源进行排查；</w:t>
                  </w:r>
                </w:p>
                <w:p w14:paraId="30002559">
                  <w:pPr>
                    <w:spacing w:line="240" w:lineRule="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（2）委托有资质的单位对水质进行检测，并在政府网站统一向社会公布水厂水质监测（检测、抽测）结果，为饮水安全管理工作提供科学依据；</w:t>
                  </w:r>
                </w:p>
                <w:p w14:paraId="29934071">
                  <w:pPr>
                    <w:spacing w:line="240" w:lineRule="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（3）水源保护区标志、隔离网设置；</w:t>
                  </w:r>
                </w:p>
                <w:p w14:paraId="6E64C24A">
                  <w:pPr>
                    <w:spacing w:line="24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sz w:val="21"/>
                      <w:szCs w:val="21"/>
                      <w14:textFill>
                        <w14:solidFill>
                          <w14:schemeClr w14:val="tx1"/>
                        </w14:solidFill>
                      </w14:textFill>
                    </w:rPr>
                    <w:t>编制应急预案，并进行演练。</w:t>
                  </w:r>
                </w:p>
              </w:tc>
              <w:tc>
                <w:tcPr>
                  <w:tcW w:w="399" w:type="pct"/>
                  <w:vMerge w:val="continue"/>
                  <w:vAlign w:val="center"/>
                </w:tcPr>
                <w:p w14:paraId="5C68D232">
                  <w:pPr>
                    <w:keepNext w:val="0"/>
                    <w:keepLines w:val="0"/>
                    <w:pageBreakBefore w:val="0"/>
                    <w:kinsoku/>
                    <w:wordWrap/>
                    <w:overflowPunct/>
                    <w:topLinePunct w:val="0"/>
                    <w:autoSpaceDE/>
                    <w:autoSpaceDN/>
                    <w:bidi w:val="0"/>
                    <w:adjustRightInd w:val="0"/>
                    <w:snapToGrid w:val="0"/>
                    <w:spacing w:line="240" w:lineRule="auto"/>
                    <w:ind w:left="0"/>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340" w:type="pct"/>
                  <w:vAlign w:val="center"/>
                </w:tcPr>
                <w:p w14:paraId="44DBF00D">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13" w:type="pct"/>
                  <w:vAlign w:val="center"/>
                </w:tcPr>
                <w:p w14:paraId="22EEA7D9">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新建</w:t>
                  </w:r>
                </w:p>
              </w:tc>
            </w:tr>
          </w:tbl>
          <w:p w14:paraId="373AA21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lang w:val="en-US" w:eastAsia="zh-CN"/>
                <w14:textFill>
                  <w14:solidFill>
                    <w14:schemeClr w14:val="tx1"/>
                  </w14:solidFill>
                </w14:textFill>
              </w:rPr>
            </w:pPr>
            <w:r>
              <w:rPr>
                <w:rFonts w:hint="default" w:ascii="Times New Roman" w:hAnsi="Times New Roman" w:eastAsia="宋体" w:cs="Times New Roman"/>
                <w:b/>
                <w:color w:val="000000" w:themeColor="text1"/>
                <w:sz w:val="24"/>
                <w:lang w:val="en-US" w:eastAsia="zh-CN"/>
                <w14:textFill>
                  <w14:solidFill>
                    <w14:schemeClr w14:val="tx1"/>
                  </w14:solidFill>
                </w14:textFill>
              </w:rPr>
              <w:t>5、建设情况</w:t>
            </w:r>
          </w:p>
          <w:p w14:paraId="2FC90D2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14:textFill>
                  <w14:solidFill>
                    <w14:schemeClr w14:val="tx1"/>
                  </w14:solidFill>
                </w14:textFill>
              </w:rPr>
            </w:pPr>
            <w:bookmarkStart w:id="11" w:name="_Toc179308927"/>
            <w:r>
              <w:rPr>
                <w:rFonts w:hint="default" w:ascii="Times New Roman" w:hAnsi="Times New Roman" w:eastAsia="宋体" w:cs="Times New Roman"/>
                <w:b/>
                <w:bCs w:val="0"/>
                <w:color w:val="000000" w:themeColor="text1"/>
                <w:sz w:val="24"/>
                <w:lang w:val="en-US" w:eastAsia="zh-CN"/>
                <w14:textFill>
                  <w14:solidFill>
                    <w14:schemeClr w14:val="tx1"/>
                  </w14:solidFill>
                </w14:textFill>
              </w:rPr>
              <w:t>5</w:t>
            </w:r>
            <w:r>
              <w:rPr>
                <w:rFonts w:hint="default" w:ascii="Times New Roman" w:hAnsi="Times New Roman" w:eastAsia="宋体" w:cs="Times New Roman"/>
                <w:b/>
                <w:bCs w:val="0"/>
                <w:color w:val="000000" w:themeColor="text1"/>
                <w:sz w:val="24"/>
                <w14:textFill>
                  <w14:solidFill>
                    <w14:schemeClr w14:val="tx1"/>
                  </w14:solidFill>
                </w14:textFill>
              </w:rPr>
              <w:t>.1</w:t>
            </w:r>
            <w:bookmarkEnd w:id="11"/>
            <w:bookmarkStart w:id="12" w:name="_Toc179308928"/>
            <w:bookmarkStart w:id="13" w:name="OLE_LINK11"/>
            <w:bookmarkStart w:id="14" w:name="OLE_LINK10"/>
            <w:r>
              <w:rPr>
                <w:rFonts w:hint="default" w:ascii="Times New Roman" w:hAnsi="Times New Roman" w:eastAsia="宋体" w:cs="Times New Roman"/>
                <w:b/>
                <w:bCs w:val="0"/>
                <w:color w:val="000000" w:themeColor="text1"/>
                <w:sz w:val="24"/>
                <w14:textFill>
                  <w14:solidFill>
                    <w14:schemeClr w14:val="tx1"/>
                  </w14:solidFill>
                </w14:textFill>
              </w:rPr>
              <w:t>工程规模</w:t>
            </w:r>
            <w:bookmarkEnd w:id="12"/>
          </w:p>
          <w:bookmarkEnd w:id="13"/>
          <w:bookmarkEnd w:id="14"/>
          <w:p w14:paraId="757039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bookmarkStart w:id="15" w:name="OLE_LINK13"/>
            <w:r>
              <w:rPr>
                <w:rFonts w:hint="default" w:ascii="Times New Roman" w:hAnsi="Times New Roman" w:eastAsia="宋体" w:cs="Times New Roman"/>
                <w:bCs/>
                <w:color w:val="000000" w:themeColor="text1"/>
                <w:sz w:val="24"/>
                <w14:textFill>
                  <w14:solidFill>
                    <w14:schemeClr w14:val="tx1"/>
                  </w14:solidFill>
                </w14:textFill>
              </w:rPr>
              <w:t>本工程的原水输水管道设计流量为:3000</w:t>
            </w:r>
            <w:r>
              <w:rPr>
                <w:rFonts w:hint="default" w:ascii="Times New Roman" w:hAnsi="Times New Roman" w:eastAsia="宋体" w:cs="Times New Roman"/>
                <w:bCs/>
                <w:color w:val="000000" w:themeColor="text1"/>
                <w:sz w:val="24"/>
                <w:lang w:eastAsia="zh-CN"/>
                <w14:textFill>
                  <w14:solidFill>
                    <w14:schemeClr w14:val="tx1"/>
                  </w14:solidFill>
                </w14:textFill>
              </w:rPr>
              <w:t>×</w:t>
            </w:r>
            <w:r>
              <w:rPr>
                <w:rFonts w:hint="default" w:ascii="Times New Roman" w:hAnsi="Times New Roman" w:eastAsia="宋体" w:cs="Times New Roman"/>
                <w:bCs/>
                <w:color w:val="000000" w:themeColor="text1"/>
                <w:sz w:val="24"/>
                <w14:textFill>
                  <w14:solidFill>
                    <w14:schemeClr w14:val="tx1"/>
                  </w14:solidFill>
                </w14:textFill>
              </w:rPr>
              <w:t>1.2=3600m³/d，取水构筑物的设计水量为3600m³/d</w:t>
            </w:r>
            <w:bookmarkEnd w:id="15"/>
            <w:r>
              <w:rPr>
                <w:rFonts w:hint="default" w:ascii="Times New Roman" w:hAnsi="Times New Roman" w:eastAsia="宋体" w:cs="Times New Roman"/>
                <w:bCs/>
                <w:color w:val="000000" w:themeColor="text1"/>
                <w:sz w:val="24"/>
                <w14:textFill>
                  <w14:solidFill>
                    <w14:schemeClr w14:val="tx1"/>
                  </w14:solidFill>
                </w14:textFill>
              </w:rPr>
              <w:t>。</w:t>
            </w:r>
          </w:p>
          <w:p w14:paraId="0DEBBA0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14:textFill>
                  <w14:solidFill>
                    <w14:schemeClr w14:val="tx1"/>
                  </w14:solidFill>
                </w14:textFill>
              </w:rPr>
            </w:pPr>
            <w:bookmarkStart w:id="16" w:name="_Toc179308929"/>
            <w:r>
              <w:rPr>
                <w:rFonts w:hint="default" w:ascii="Times New Roman" w:hAnsi="Times New Roman" w:eastAsia="宋体" w:cs="Times New Roman"/>
                <w:b/>
                <w:bCs w:val="0"/>
                <w:color w:val="000000" w:themeColor="text1"/>
                <w:sz w:val="24"/>
                <w:lang w:val="en-US" w:eastAsia="zh-CN"/>
                <w14:textFill>
                  <w14:solidFill>
                    <w14:schemeClr w14:val="tx1"/>
                  </w14:solidFill>
                </w14:textFill>
              </w:rPr>
              <w:t>5.2</w:t>
            </w:r>
            <w:r>
              <w:rPr>
                <w:rFonts w:hint="default" w:ascii="Times New Roman" w:hAnsi="Times New Roman" w:eastAsia="宋体" w:cs="Times New Roman"/>
                <w:b/>
                <w:bCs w:val="0"/>
                <w:color w:val="000000" w:themeColor="text1"/>
                <w:sz w:val="24"/>
                <w14:textFill>
                  <w14:solidFill>
                    <w14:schemeClr w14:val="tx1"/>
                  </w14:solidFill>
                </w14:textFill>
              </w:rPr>
              <w:t>水质和水压要求</w:t>
            </w:r>
            <w:bookmarkEnd w:id="16"/>
          </w:p>
          <w:p w14:paraId="29E5FA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bookmarkStart w:id="17" w:name="_Toc275429024"/>
            <w:bookmarkStart w:id="18" w:name="_Toc259778165"/>
            <w:bookmarkStart w:id="19" w:name="_Toc185953510"/>
            <w:bookmarkStart w:id="20" w:name="_Toc16066579"/>
            <w:bookmarkStart w:id="21" w:name="_Toc82964910"/>
            <w:bookmarkStart w:id="22" w:name="_Toc260842160"/>
            <w:bookmarkStart w:id="23" w:name="_Toc171003136"/>
            <w:bookmarkStart w:id="24" w:name="_Toc185935598"/>
            <w:bookmarkStart w:id="25" w:name="_Toc529181566"/>
            <w:r>
              <w:rPr>
                <w:rFonts w:hint="default" w:ascii="Times New Roman" w:hAnsi="Times New Roman" w:eastAsia="宋体" w:cs="Times New Roman"/>
                <w:bCs/>
                <w:color w:val="000000" w:themeColor="text1"/>
                <w:sz w:val="24"/>
                <w14:textFill>
                  <w14:solidFill>
                    <w14:schemeClr w14:val="tx1"/>
                  </w14:solidFill>
                </w14:textFill>
              </w:rPr>
              <w:t>本工程原水水质应符合国家饮用水集中供水的原水水质标准，应以《地表水环境质量标准》（GB3838-2002）中</w:t>
            </w:r>
            <w:r>
              <w:rPr>
                <w:rFonts w:hint="eastAsia" w:ascii="Times New Roman" w:hAnsi="Times New Roman" w:cs="Times New Roman"/>
                <w:bCs/>
                <w:color w:val="000000" w:themeColor="text1"/>
                <w:sz w:val="24"/>
                <w:lang w:val="en-US" w:eastAsia="zh-CN"/>
                <w14:textFill>
                  <w14:solidFill>
                    <w14:schemeClr w14:val="tx1"/>
                  </w14:solidFill>
                </w14:textFill>
              </w:rPr>
              <w:t>III</w:t>
            </w:r>
            <w:r>
              <w:rPr>
                <w:rFonts w:hint="default" w:ascii="Times New Roman" w:hAnsi="Times New Roman" w:eastAsia="宋体" w:cs="Times New Roman"/>
                <w:bCs/>
                <w:color w:val="000000" w:themeColor="text1"/>
                <w:sz w:val="24"/>
                <w14:textFill>
                  <w14:solidFill>
                    <w14:schemeClr w14:val="tx1"/>
                  </w14:solidFill>
                </w14:textFill>
              </w:rPr>
              <w:t>类要求。</w:t>
            </w:r>
          </w:p>
          <w:bookmarkEnd w:id="17"/>
          <w:bookmarkEnd w:id="18"/>
          <w:bookmarkEnd w:id="19"/>
          <w:bookmarkEnd w:id="20"/>
          <w:bookmarkEnd w:id="21"/>
          <w:bookmarkEnd w:id="22"/>
          <w:bookmarkEnd w:id="23"/>
          <w:bookmarkEnd w:id="24"/>
          <w:bookmarkEnd w:id="25"/>
          <w:p w14:paraId="3F0F2C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水压目标以满足水厂进水要求为宜。</w:t>
            </w:r>
          </w:p>
          <w:p w14:paraId="0811346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14:textFill>
                  <w14:solidFill>
                    <w14:schemeClr w14:val="tx1"/>
                  </w14:solidFill>
                </w14:textFill>
              </w:rPr>
            </w:pPr>
            <w:bookmarkStart w:id="26" w:name="_Toc113570151"/>
            <w:bookmarkStart w:id="27" w:name="_Toc179308930"/>
            <w:r>
              <w:rPr>
                <w:rFonts w:hint="default" w:ascii="Times New Roman" w:hAnsi="Times New Roman" w:eastAsia="宋体" w:cs="Times New Roman"/>
                <w:b/>
                <w:bCs w:val="0"/>
                <w:color w:val="000000" w:themeColor="text1"/>
                <w:sz w:val="24"/>
                <w:lang w:val="en-US" w:eastAsia="zh-CN"/>
                <w14:textFill>
                  <w14:solidFill>
                    <w14:schemeClr w14:val="tx1"/>
                  </w14:solidFill>
                </w14:textFill>
              </w:rPr>
              <w:t>5.3</w:t>
            </w:r>
            <w:r>
              <w:rPr>
                <w:rFonts w:hint="default" w:ascii="Times New Roman" w:hAnsi="Times New Roman" w:eastAsia="宋体" w:cs="Times New Roman"/>
                <w:b/>
                <w:bCs w:val="0"/>
                <w:color w:val="000000" w:themeColor="text1"/>
                <w:sz w:val="24"/>
                <w14:textFill>
                  <w14:solidFill>
                    <w14:schemeClr w14:val="tx1"/>
                  </w14:solidFill>
                </w14:textFill>
              </w:rPr>
              <w:t>水源选择</w:t>
            </w:r>
            <w:bookmarkEnd w:id="26"/>
            <w:bookmarkEnd w:id="27"/>
          </w:p>
          <w:p w14:paraId="00CE725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bookmarkStart w:id="28" w:name="_Toc113570152"/>
            <w:r>
              <w:rPr>
                <w:rFonts w:hint="default" w:ascii="Times New Roman" w:hAnsi="Times New Roman" w:eastAsia="宋体" w:cs="Times New Roman"/>
                <w:bCs/>
                <w:color w:val="000000" w:themeColor="text1"/>
                <w:sz w:val="24"/>
                <w14:textFill>
                  <w14:solidFill>
                    <w14:schemeClr w14:val="tx1"/>
                  </w14:solidFill>
                </w14:textFill>
              </w:rPr>
              <w:t>1、水源情况</w:t>
            </w:r>
            <w:bookmarkEnd w:id="28"/>
          </w:p>
          <w:p w14:paraId="6115E32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五里沟实际过水流量约为</w:t>
            </w:r>
            <w:r>
              <w:rPr>
                <w:rFonts w:hint="eastAsia" w:ascii="Times New Roman" w:hAnsi="Times New Roman" w:cs="Times New Roman"/>
                <w:bCs/>
                <w:color w:val="000000" w:themeColor="text1"/>
                <w:sz w:val="24"/>
                <w:lang w:val="en-US" w:eastAsia="zh-CN"/>
                <w14:textFill>
                  <w14:solidFill>
                    <w14:schemeClr w14:val="tx1"/>
                  </w14:solidFill>
                </w14:textFill>
              </w:rPr>
              <w:t>1.01</w:t>
            </w:r>
            <w:r>
              <w:rPr>
                <w:rFonts w:hint="eastAsia" w:ascii="Times New Roman" w:hAnsi="Times New Roman" w:cs="Times New Roman"/>
                <w:bCs/>
                <w:color w:val="000000" w:themeColor="text1"/>
                <w:sz w:val="24"/>
                <w:lang w:eastAsia="zh-CN"/>
                <w14:textFill>
                  <w14:solidFill>
                    <w14:schemeClr w14:val="tx1"/>
                  </w14:solidFill>
                </w14:textFill>
              </w:rPr>
              <w:t>m</w:t>
            </w:r>
            <w:r>
              <w:rPr>
                <w:rFonts w:hint="eastAsia" w:ascii="Times New Roman" w:hAnsi="Times New Roman" w:cs="Times New Roman"/>
                <w:bCs/>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14:textFill>
                  <w14:solidFill>
                    <w14:schemeClr w14:val="tx1"/>
                  </w14:solidFill>
                </w14:textFill>
              </w:rPr>
              <w:t>/s，满足本工程远期3600m³/d(0.042m³/s)取水需求，水量有保证。结合水资源论证情况，五里沟可取水量大于本工程需水量，即原水水量充足，能够得到有效保证。</w:t>
            </w:r>
          </w:p>
          <w:p w14:paraId="1A9AB3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bookmarkStart w:id="29" w:name="_Toc113570153"/>
            <w:r>
              <w:rPr>
                <w:rFonts w:hint="default" w:ascii="Times New Roman" w:hAnsi="Times New Roman" w:eastAsia="宋体" w:cs="Times New Roman"/>
                <w:bCs/>
                <w:color w:val="000000" w:themeColor="text1"/>
                <w:sz w:val="24"/>
                <w14:textFill>
                  <w14:solidFill>
                    <w14:schemeClr w14:val="tx1"/>
                  </w14:solidFill>
                </w14:textFill>
              </w:rPr>
              <w:t>2、水源水质</w:t>
            </w:r>
            <w:bookmarkEnd w:id="29"/>
          </w:p>
          <w:p w14:paraId="6BC727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根据水源有关水质检测资料显示，五里沟水质基本达到《地表水环境质量标准》（GB3838-2002）规定的</w:t>
            </w:r>
            <w:r>
              <w:rPr>
                <w:rFonts w:hint="eastAsia" w:ascii="Times New Roman" w:hAnsi="Times New Roman" w:cs="Times New Roman"/>
                <w:bCs/>
                <w:color w:val="000000" w:themeColor="text1"/>
                <w:sz w:val="24"/>
                <w:lang w:val="en-US" w:eastAsia="zh-CN"/>
                <w14:textFill>
                  <w14:solidFill>
                    <w14:schemeClr w14:val="tx1"/>
                  </w14:solidFill>
                </w14:textFill>
              </w:rPr>
              <w:t>III</w:t>
            </w:r>
            <w:r>
              <w:rPr>
                <w:rFonts w:hint="default" w:ascii="Times New Roman" w:hAnsi="Times New Roman" w:eastAsia="宋体" w:cs="Times New Roman"/>
                <w:bCs/>
                <w:color w:val="000000" w:themeColor="text1"/>
                <w:sz w:val="24"/>
                <w14:textFill>
                  <w14:solidFill>
                    <w14:schemeClr w14:val="tx1"/>
                  </w14:solidFill>
                </w14:textFill>
              </w:rPr>
              <w:t>类地表水水质标准，常规工艺处理后可作为城市用水水源。</w:t>
            </w:r>
          </w:p>
          <w:p w14:paraId="7832B8C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14:textFill>
                  <w14:solidFill>
                    <w14:schemeClr w14:val="tx1"/>
                  </w14:solidFill>
                </w14:textFill>
              </w:rPr>
            </w:pPr>
            <w:bookmarkStart w:id="30" w:name="_Toc179308931"/>
            <w:r>
              <w:rPr>
                <w:rFonts w:hint="default" w:ascii="Times New Roman" w:hAnsi="Times New Roman" w:eastAsia="宋体" w:cs="Times New Roman"/>
                <w:b/>
                <w:bCs w:val="0"/>
                <w:color w:val="000000" w:themeColor="text1"/>
                <w:sz w:val="24"/>
                <w:lang w:val="en-US" w:eastAsia="zh-CN"/>
                <w14:textFill>
                  <w14:solidFill>
                    <w14:schemeClr w14:val="tx1"/>
                  </w14:solidFill>
                </w14:textFill>
              </w:rPr>
              <w:t>5</w:t>
            </w:r>
            <w:r>
              <w:rPr>
                <w:rFonts w:hint="default" w:ascii="Times New Roman" w:hAnsi="Times New Roman" w:eastAsia="宋体" w:cs="Times New Roman"/>
                <w:b/>
                <w:bCs w:val="0"/>
                <w:color w:val="000000" w:themeColor="text1"/>
                <w:sz w:val="24"/>
                <w14:textFill>
                  <w14:solidFill>
                    <w14:schemeClr w14:val="tx1"/>
                  </w14:solidFill>
                </w14:textFill>
              </w:rPr>
              <w:t>.4取水系统</w:t>
            </w:r>
            <w:bookmarkEnd w:id="30"/>
          </w:p>
          <w:p w14:paraId="705D7F0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lang w:val="en-US" w:eastAsia="zh-CN"/>
                <w14:textFill>
                  <w14:solidFill>
                    <w14:schemeClr w14:val="tx1"/>
                  </w14:solidFill>
                </w14:textFill>
              </w:rPr>
              <w:t>1、管道走向</w:t>
            </w:r>
          </w:p>
          <w:p w14:paraId="4999A1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五里沟水源作为泸定县城自来水厂备用水源，其水质水量完全能够满足饮用水水源要求。设计取水规模3600</w:t>
            </w:r>
            <w:r>
              <w:rPr>
                <w:rFonts w:hint="eastAsia" w:ascii="Times New Roman" w:hAnsi="Times New Roman" w:cs="Times New Roman"/>
                <w:bCs/>
                <w:color w:val="000000" w:themeColor="text1"/>
                <w:sz w:val="24"/>
                <w:lang w:eastAsia="zh-CN"/>
                <w14:textFill>
                  <w14:solidFill>
                    <w14:schemeClr w14:val="tx1"/>
                  </w14:solidFill>
                </w14:textFill>
              </w:rPr>
              <w:t>m</w:t>
            </w:r>
            <w:r>
              <w:rPr>
                <w:rFonts w:hint="eastAsia" w:ascii="Times New Roman" w:hAnsi="Times New Roman" w:cs="Times New Roman"/>
                <w:bCs/>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14:textFill>
                  <w14:solidFill>
                    <w14:schemeClr w14:val="tx1"/>
                  </w14:solidFill>
                </w14:textFill>
              </w:rPr>
              <w:t>/d。</w:t>
            </w:r>
          </w:p>
          <w:p w14:paraId="08C31B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bookmarkStart w:id="31" w:name="OLE_LINK20"/>
            <w:r>
              <w:rPr>
                <w:rFonts w:hint="default" w:ascii="Times New Roman" w:hAnsi="Times New Roman" w:eastAsia="宋体" w:cs="Times New Roman"/>
                <w:bCs/>
                <w:color w:val="000000" w:themeColor="text1"/>
                <w:sz w:val="24"/>
                <w14:textFill>
                  <w14:solidFill>
                    <w14:schemeClr w14:val="tx1"/>
                  </w14:solidFill>
                </w14:textFill>
              </w:rPr>
              <w:t>通过现场踏勘调查，本工程泸定县城自来水厂新建取水口水源选定在五里沟。管道总体走向如下图</w:t>
            </w:r>
            <w:bookmarkEnd w:id="31"/>
            <w:r>
              <w:rPr>
                <w:rFonts w:hint="default" w:ascii="Times New Roman" w:hAnsi="Times New Roman" w:eastAsia="宋体" w:cs="Times New Roman"/>
                <w:bCs/>
                <w:color w:val="000000" w:themeColor="text1"/>
                <w:sz w:val="24"/>
                <w14:textFill>
                  <w14:solidFill>
                    <w14:schemeClr w14:val="tx1"/>
                  </w14:solidFill>
                </w14:textFill>
              </w:rPr>
              <w:t>：</w:t>
            </w:r>
          </w:p>
          <w:p w14:paraId="4B774D1E">
            <w:pPr>
              <w:jc w:val="center"/>
              <w:rPr>
                <w:rFonts w:hint="default" w:ascii="Times New Roman" w:hAnsi="Times New Roman" w:eastAsia="宋体" w:cs="Times New Roman"/>
                <w:bCs/>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2591435</wp:posOffset>
                      </wp:positionH>
                      <wp:positionV relativeFrom="paragraph">
                        <wp:posOffset>4239895</wp:posOffset>
                      </wp:positionV>
                      <wp:extent cx="1541780" cy="792480"/>
                      <wp:effectExtent l="382270" t="12700" r="19050" b="13970"/>
                      <wp:wrapNone/>
                      <wp:docPr id="39" name="矩形标注 39"/>
                      <wp:cNvGraphicFramePr/>
                      <a:graphic xmlns:a="http://schemas.openxmlformats.org/drawingml/2006/main">
                        <a:graphicData uri="http://schemas.microsoft.com/office/word/2010/wordprocessingShape">
                          <wps:wsp>
                            <wps:cNvSpPr/>
                            <wps:spPr>
                              <a:xfrm>
                                <a:off x="0" y="0"/>
                                <a:ext cx="1541780" cy="792480"/>
                              </a:xfrm>
                              <a:prstGeom prst="wedgeRectCallout">
                                <a:avLst>
                                  <a:gd name="adj1" fmla="val -71648"/>
                                  <a:gd name="adj2" fmla="val 39690"/>
                                </a:avLst>
                              </a:prstGeom>
                              <a:solidFill>
                                <a:srgbClr val="8DB3E2"/>
                              </a:solidFill>
                              <a:ln w="25400" cap="flat" cmpd="sng">
                                <a:solidFill>
                                  <a:srgbClr val="FF0000"/>
                                </a:solidFill>
                                <a:prstDash val="solid"/>
                                <a:miter/>
                                <a:headEnd type="none" w="med" len="med"/>
                                <a:tailEnd type="none" w="med" len="med"/>
                              </a:ln>
                            </wps:spPr>
                            <wps:txbx>
                              <w:txbxContent>
                                <w:p w14:paraId="238697A8">
                                  <w:pPr>
                                    <w:jc w:val="center"/>
                                    <w:rPr>
                                      <w:b/>
                                      <w:bCs/>
                                      <w:color w:val="FF0000"/>
                                    </w:rPr>
                                  </w:pPr>
                                  <w:r>
                                    <w:rPr>
                                      <w:rFonts w:hint="eastAsia"/>
                                      <w:b/>
                                      <w:bCs/>
                                      <w:color w:val="FF0000"/>
                                    </w:rPr>
                                    <w:t>县城自来水厂</w:t>
                                  </w:r>
                                </w:p>
                                <w:p w14:paraId="6B43F2C4">
                                  <w:pPr>
                                    <w:spacing w:line="300" w:lineRule="exact"/>
                                    <w:jc w:val="center"/>
                                    <w:rPr>
                                      <w:b/>
                                      <w:bCs/>
                                      <w:color w:val="FF0000"/>
                                    </w:rPr>
                                  </w:pPr>
                                  <w:r>
                                    <w:rPr>
                                      <w:rFonts w:hint="eastAsia"/>
                                      <w:b/>
                                      <w:bCs/>
                                      <w:color w:val="FF0000"/>
                                    </w:rPr>
                                    <w:t>规模</w:t>
                                  </w:r>
                                  <w:r>
                                    <w:rPr>
                                      <w:b/>
                                      <w:bCs/>
                                      <w:color w:val="FF0000"/>
                                    </w:rPr>
                                    <w:t>1.0</w:t>
                                  </w:r>
                                  <w:r>
                                    <w:rPr>
                                      <w:rFonts w:hint="eastAsia"/>
                                      <w:b/>
                                      <w:bCs/>
                                      <w:color w:val="FF0000"/>
                                    </w:rPr>
                                    <w:t>万m³/d</w:t>
                                  </w:r>
                                </w:p>
                                <w:p w14:paraId="3C51B23C">
                                  <w:pPr>
                                    <w:jc w:val="center"/>
                                  </w:pPr>
                                </w:p>
                              </w:txbxContent>
                            </wps:txbx>
                            <wps:bodyPr anchor="ctr" anchorCtr="0" upright="1"/>
                          </wps:wsp>
                        </a:graphicData>
                      </a:graphic>
                    </wp:anchor>
                  </w:drawing>
                </mc:Choice>
                <mc:Fallback>
                  <w:pict>
                    <v:shape id="_x0000_s1026" o:spid="_x0000_s1026" o:spt="61" type="#_x0000_t61" style="position:absolute;left:0pt;margin-left:204.05pt;margin-top:333.85pt;height:62.4pt;width:121.4pt;z-index:251661312;v-text-anchor:middle;mso-width-relative:page;mso-height-relative:page;" fillcolor="#8DB3E2" filled="t" stroked="t" coordsize="21600,21600" o:gfxdata="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l6atT1wAAAAsBAAAPAAAAAAAA&#10;AAEAIAAAACIAAABkcnMvZG93bnJldi54bWxQSwECFAAUAAAACACHTuJAl6Ll50wCAACrBAAADgAA&#10;AAAAAAABACAAAAAmAQAAZHJzL2Uyb0RvYy54bWxQSwUGAAAAAAYABgBZAQAA5AUAAAAA&#10;" adj="-4676,19373">
                      <v:fill on="t" focussize="0,0"/>
                      <v:stroke weight="2pt" color="#FF0000" joinstyle="miter"/>
                      <v:imagedata o:title=""/>
                      <o:lock v:ext="edit" aspectratio="f"/>
                      <v:textbox>
                        <w:txbxContent>
                          <w:p w14:paraId="238697A8">
                            <w:pPr>
                              <w:jc w:val="center"/>
                              <w:rPr>
                                <w:b/>
                                <w:bCs/>
                                <w:color w:val="FF0000"/>
                              </w:rPr>
                            </w:pPr>
                            <w:r>
                              <w:rPr>
                                <w:rFonts w:hint="eastAsia"/>
                                <w:b/>
                                <w:bCs/>
                                <w:color w:val="FF0000"/>
                              </w:rPr>
                              <w:t>县城自来水厂</w:t>
                            </w:r>
                          </w:p>
                          <w:p w14:paraId="6B43F2C4">
                            <w:pPr>
                              <w:spacing w:line="300" w:lineRule="exact"/>
                              <w:jc w:val="center"/>
                              <w:rPr>
                                <w:b/>
                                <w:bCs/>
                                <w:color w:val="FF0000"/>
                              </w:rPr>
                            </w:pPr>
                            <w:r>
                              <w:rPr>
                                <w:rFonts w:hint="eastAsia"/>
                                <w:b/>
                                <w:bCs/>
                                <w:color w:val="FF0000"/>
                              </w:rPr>
                              <w:t>规模</w:t>
                            </w:r>
                            <w:r>
                              <w:rPr>
                                <w:b/>
                                <w:bCs/>
                                <w:color w:val="FF0000"/>
                              </w:rPr>
                              <w:t>1.0</w:t>
                            </w:r>
                            <w:r>
                              <w:rPr>
                                <w:rFonts w:hint="eastAsia"/>
                                <w:b/>
                                <w:bCs/>
                                <w:color w:val="FF0000"/>
                              </w:rPr>
                              <w:t>万m³/d</w:t>
                            </w:r>
                          </w:p>
                          <w:p w14:paraId="3C51B23C">
                            <w:pPr>
                              <w:jc w:val="center"/>
                            </w:pPr>
                          </w:p>
                        </w:txbxContent>
                      </v:textbox>
                    </v:shape>
                  </w:pict>
                </mc:Fallback>
              </mc:AlternateContent>
            </w:r>
            <w:r>
              <w:rPr>
                <w:rFonts w:hint="default" w:ascii="Times New Roman" w:hAnsi="Times New Roman" w:eastAsia="宋体" w:cs="Times New Roman"/>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2140585</wp:posOffset>
                      </wp:positionH>
                      <wp:positionV relativeFrom="paragraph">
                        <wp:posOffset>4902200</wp:posOffset>
                      </wp:positionV>
                      <wp:extent cx="340995" cy="204470"/>
                      <wp:effectExtent l="6350" t="6350" r="14605" b="17780"/>
                      <wp:wrapNone/>
                      <wp:docPr id="36" name="矩形 36"/>
                      <wp:cNvGraphicFramePr/>
                      <a:graphic xmlns:a="http://schemas.openxmlformats.org/drawingml/2006/main">
                        <a:graphicData uri="http://schemas.microsoft.com/office/word/2010/wordprocessingShape">
                          <wps:wsp>
                            <wps:cNvSpPr/>
                            <wps:spPr>
                              <a:xfrm>
                                <a:off x="0" y="0"/>
                                <a:ext cx="340995" cy="204470"/>
                              </a:xfrm>
                              <a:prstGeom prst="rect">
                                <a:avLst/>
                              </a:prstGeom>
                              <a:noFill/>
                              <a:ln>
                                <a:solidFill>
                                  <a:srgbClr val="FF0000"/>
                                </a:solid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8.55pt;margin-top:386pt;height:16.1pt;width:26.85pt;z-index:251663360;v-text-anchor:middle;mso-width-relative:page;mso-height-relative:page;" filled="f" stroked="t" coordsize="21600,21600" o:gfxdata="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94Mx/XAAAACwEAAA8AAAAAAAAAAQAgAAAAIgAAAGRycy9kb3du&#10;cmV2LnhtbFBLAQIUABQAAAAIAIdO4kAeg+excgIAANoEAAAOAAAAAAAAAAEAIAAAACYBAABkcnMv&#10;ZTJvRG9jLnhtbFBLBQYAAAAABgAGAFkBAAAKBgAAAAA=&#10;">
                      <v:fill on="f" focussize="0,0"/>
                      <v:stroke weight="1pt" color="#FF0000 [3204]" miterlimit="8" joinstyle="miter"/>
                      <v:imagedata o:title=""/>
                      <o:lock v:ext="edit" aspectratio="f"/>
                    </v:rect>
                  </w:pict>
                </mc:Fallback>
              </mc:AlternateContent>
            </w:r>
            <w:r>
              <w:rPr>
                <w:rFonts w:hint="default" w:ascii="Times New Roman" w:hAnsi="Times New Roman" w:eastAsia="宋体" w:cs="Times New Roman"/>
                <w:color w:val="000000" w:themeColor="text1"/>
                <w14:textFill>
                  <w14:solidFill>
                    <w14:schemeClr w14:val="tx1"/>
                  </w14:solidFill>
                </w14:textFill>
              </w:rPr>
              <w:drawing>
                <wp:inline distT="0" distB="0" distL="0" distR="0">
                  <wp:extent cx="5274310" cy="5438140"/>
                  <wp:effectExtent l="0" t="0" r="2540" b="1016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13"/>
                          <a:stretch>
                            <a:fillRect/>
                          </a:stretch>
                        </pic:blipFill>
                        <pic:spPr>
                          <a:xfrm>
                            <a:off x="0" y="0"/>
                            <a:ext cx="5274310" cy="5438140"/>
                          </a:xfrm>
                          <a:prstGeom prst="rect">
                            <a:avLst/>
                          </a:prstGeom>
                        </pic:spPr>
                      </pic:pic>
                    </a:graphicData>
                  </a:graphic>
                </wp:inline>
              </w:drawing>
            </w:r>
            <w:r>
              <w:rPr>
                <w:rFonts w:hint="default" w:ascii="Times New Roman" w:hAnsi="Times New Roman" w:eastAsia="宋体" w:cs="Times New Roman"/>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2137410</wp:posOffset>
                      </wp:positionH>
                      <wp:positionV relativeFrom="paragraph">
                        <wp:posOffset>2570480</wp:posOffset>
                      </wp:positionV>
                      <wp:extent cx="1705610" cy="624840"/>
                      <wp:effectExtent l="369570" t="573405" r="20320" b="20955"/>
                      <wp:wrapNone/>
                      <wp:docPr id="35" name="矩形标注 35"/>
                      <wp:cNvGraphicFramePr/>
                      <a:graphic xmlns:a="http://schemas.openxmlformats.org/drawingml/2006/main">
                        <a:graphicData uri="http://schemas.microsoft.com/office/word/2010/wordprocessingShape">
                          <wps:wsp>
                            <wps:cNvSpPr/>
                            <wps:spPr>
                              <a:xfrm>
                                <a:off x="0" y="0"/>
                                <a:ext cx="1705610" cy="624840"/>
                              </a:xfrm>
                              <a:prstGeom prst="wedgeRectCallout">
                                <a:avLst>
                                  <a:gd name="adj1" fmla="val -66903"/>
                                  <a:gd name="adj2" fmla="val -132722"/>
                                </a:avLst>
                              </a:prstGeom>
                              <a:solidFill>
                                <a:srgbClr val="8DB3E2"/>
                              </a:solidFill>
                              <a:ln w="25400" cap="flat" cmpd="sng">
                                <a:solidFill>
                                  <a:srgbClr val="FF0000"/>
                                </a:solidFill>
                                <a:prstDash val="solid"/>
                                <a:miter/>
                                <a:headEnd type="none" w="med" len="med"/>
                                <a:tailEnd type="none" w="med" len="med"/>
                              </a:ln>
                            </wps:spPr>
                            <wps:txbx>
                              <w:txbxContent>
                                <w:p w14:paraId="029100DD">
                                  <w:pPr>
                                    <w:spacing w:line="300" w:lineRule="exact"/>
                                    <w:jc w:val="center"/>
                                    <w:rPr>
                                      <w:rFonts w:hint="eastAsia" w:eastAsia="宋体"/>
                                      <w:b/>
                                      <w:bCs/>
                                      <w:color w:val="FF0000"/>
                                      <w:lang w:eastAsia="zh-CN"/>
                                    </w:rPr>
                                  </w:pPr>
                                  <w:r>
                                    <w:rPr>
                                      <w:rFonts w:hint="eastAsia"/>
                                      <w:b/>
                                      <w:bCs/>
                                      <w:color w:val="FF0000"/>
                                    </w:rPr>
                                    <w:t>原水输水管</w:t>
                                  </w:r>
                                  <w:r>
                                    <w:rPr>
                                      <w:rFonts w:hint="eastAsia"/>
                                      <w:b/>
                                      <w:bCs/>
                                      <w:color w:val="FF0000"/>
                                      <w:lang w:eastAsia="zh-CN"/>
                                    </w:rPr>
                                    <w:t>DN400</w:t>
                                  </w:r>
                                </w:p>
                                <w:p w14:paraId="52D62F2F">
                                  <w:pPr>
                                    <w:spacing w:line="300" w:lineRule="exact"/>
                                    <w:jc w:val="center"/>
                                    <w:rPr>
                                      <w:rFonts w:hint="eastAsia" w:eastAsia="宋体"/>
                                      <w:color w:val="FF0000"/>
                                      <w:lang w:eastAsia="zh-CN"/>
                                    </w:rPr>
                                  </w:pPr>
                                  <w:r>
                                    <w:rPr>
                                      <w:rFonts w:hint="eastAsia"/>
                                      <w:b/>
                                      <w:bCs/>
                                      <w:color w:val="FF0000"/>
                                    </w:rPr>
                                    <w:t>总长度约</w:t>
                                  </w:r>
                                  <w:r>
                                    <w:rPr>
                                      <w:rFonts w:hint="eastAsia"/>
                                      <w:b/>
                                      <w:bCs/>
                                      <w:color w:val="FF0000"/>
                                      <w:lang w:eastAsia="zh-CN"/>
                                    </w:rPr>
                                    <w:t>10.588km</w:t>
                                  </w:r>
                                </w:p>
                              </w:txbxContent>
                            </wps:txbx>
                            <wps:bodyPr anchor="ctr" anchorCtr="0" upright="1"/>
                          </wps:wsp>
                        </a:graphicData>
                      </a:graphic>
                    </wp:anchor>
                  </w:drawing>
                </mc:Choice>
                <mc:Fallback>
                  <w:pict>
                    <v:shape id="_x0000_s1026" o:spid="_x0000_s1026" o:spt="61" type="#_x0000_t61" style="position:absolute;left:0pt;margin-left:168.3pt;margin-top:202.4pt;height:49.2pt;width:134.3pt;z-index:251662336;v-text-anchor:middle;mso-width-relative:page;mso-height-relative:page;" fillcolor="#8DB3E2" filled="t" stroked="t" coordsize="21600,21600" o:gfxdata="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4z+rZ2gAAAAsBAAAP&#10;AAAAAAAAAAEAIAAAACIAAABkcnMvZG93bnJldi54bWxQSwECFAAUAAAACACHTuJAXVfDcU8CAACt&#10;BAAADgAAAAAAAAABACAAAAApAQAAZHJzL2Uyb0RvYy54bWxQSwUGAAAAAAYABgBZAQAA6gUAAAAA&#10;" adj="-3651,-17868">
                      <v:fill on="t" focussize="0,0"/>
                      <v:stroke weight="2pt" color="#FF0000" joinstyle="miter"/>
                      <v:imagedata o:title=""/>
                      <o:lock v:ext="edit" aspectratio="f"/>
                      <v:textbox>
                        <w:txbxContent>
                          <w:p w14:paraId="029100DD">
                            <w:pPr>
                              <w:spacing w:line="300" w:lineRule="exact"/>
                              <w:jc w:val="center"/>
                              <w:rPr>
                                <w:rFonts w:hint="eastAsia" w:eastAsia="宋体"/>
                                <w:b/>
                                <w:bCs/>
                                <w:color w:val="FF0000"/>
                                <w:lang w:eastAsia="zh-CN"/>
                              </w:rPr>
                            </w:pPr>
                            <w:r>
                              <w:rPr>
                                <w:rFonts w:hint="eastAsia"/>
                                <w:b/>
                                <w:bCs/>
                                <w:color w:val="FF0000"/>
                              </w:rPr>
                              <w:t>原水输水管</w:t>
                            </w:r>
                            <w:r>
                              <w:rPr>
                                <w:rFonts w:hint="eastAsia"/>
                                <w:b/>
                                <w:bCs/>
                                <w:color w:val="FF0000"/>
                                <w:lang w:eastAsia="zh-CN"/>
                              </w:rPr>
                              <w:t>DN400</w:t>
                            </w:r>
                          </w:p>
                          <w:p w14:paraId="52D62F2F">
                            <w:pPr>
                              <w:spacing w:line="300" w:lineRule="exact"/>
                              <w:jc w:val="center"/>
                              <w:rPr>
                                <w:rFonts w:hint="eastAsia" w:eastAsia="宋体"/>
                                <w:color w:val="FF0000"/>
                                <w:lang w:eastAsia="zh-CN"/>
                              </w:rPr>
                            </w:pPr>
                            <w:r>
                              <w:rPr>
                                <w:rFonts w:hint="eastAsia"/>
                                <w:b/>
                                <w:bCs/>
                                <w:color w:val="FF0000"/>
                              </w:rPr>
                              <w:t>总长度约</w:t>
                            </w:r>
                            <w:r>
                              <w:rPr>
                                <w:rFonts w:hint="eastAsia"/>
                                <w:b/>
                                <w:bCs/>
                                <w:color w:val="FF0000"/>
                                <w:lang w:eastAsia="zh-CN"/>
                              </w:rPr>
                              <w:t>10.588km</w:t>
                            </w:r>
                          </w:p>
                        </w:txbxContent>
                      </v:textbox>
                    </v:shape>
                  </w:pict>
                </mc:Fallback>
              </mc:AlternateContent>
            </w:r>
            <w:r>
              <w:rPr>
                <w:rFonts w:hint="default" w:ascii="Times New Roman" w:hAnsi="Times New Roman" w:eastAsia="宋体" w:cs="Times New Roman"/>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3774440</wp:posOffset>
                      </wp:positionH>
                      <wp:positionV relativeFrom="paragraph">
                        <wp:posOffset>98425</wp:posOffset>
                      </wp:positionV>
                      <wp:extent cx="1445895" cy="680720"/>
                      <wp:effectExtent l="12700" t="12700" r="27305" b="392430"/>
                      <wp:wrapNone/>
                      <wp:docPr id="40" name="矩形标注 40"/>
                      <wp:cNvGraphicFramePr/>
                      <a:graphic xmlns:a="http://schemas.openxmlformats.org/drawingml/2006/main">
                        <a:graphicData uri="http://schemas.microsoft.com/office/word/2010/wordprocessingShape">
                          <wps:wsp>
                            <wps:cNvSpPr/>
                            <wps:spPr>
                              <a:xfrm>
                                <a:off x="0" y="0"/>
                                <a:ext cx="1445895" cy="680720"/>
                              </a:xfrm>
                              <a:prstGeom prst="wedgeRectCallout">
                                <a:avLst>
                                  <a:gd name="adj1" fmla="val -42500"/>
                                  <a:gd name="adj2" fmla="val 102370"/>
                                </a:avLst>
                              </a:prstGeom>
                              <a:solidFill>
                                <a:srgbClr val="8DB3E2"/>
                              </a:solidFill>
                              <a:ln w="25400" cap="flat" cmpd="sng">
                                <a:solidFill>
                                  <a:srgbClr val="FF0000"/>
                                </a:solidFill>
                                <a:prstDash val="solid"/>
                                <a:miter/>
                                <a:headEnd type="none" w="med" len="med"/>
                                <a:tailEnd type="none" w="med" len="med"/>
                              </a:ln>
                            </wps:spPr>
                            <wps:txbx>
                              <w:txbxContent>
                                <w:p w14:paraId="605650FD">
                                  <w:pPr>
                                    <w:spacing w:line="300" w:lineRule="exact"/>
                                    <w:jc w:val="center"/>
                                    <w:rPr>
                                      <w:b/>
                                      <w:bCs/>
                                      <w:color w:val="FF0000"/>
                                    </w:rPr>
                                  </w:pPr>
                                  <w:r>
                                    <w:rPr>
                                      <w:rFonts w:hint="eastAsia"/>
                                      <w:b/>
                                      <w:bCs/>
                                      <w:color w:val="FF0000"/>
                                    </w:rPr>
                                    <w:t>取水口</w:t>
                                  </w:r>
                                </w:p>
                                <w:p w14:paraId="44B36457">
                                  <w:pPr>
                                    <w:spacing w:line="300" w:lineRule="exact"/>
                                    <w:jc w:val="center"/>
                                    <w:rPr>
                                      <w:b/>
                                      <w:bCs/>
                                      <w:color w:val="FF0000"/>
                                    </w:rPr>
                                  </w:pPr>
                                  <w:r>
                                    <w:rPr>
                                      <w:rFonts w:hint="eastAsia"/>
                                      <w:b/>
                                      <w:bCs/>
                                      <w:color w:val="FF0000"/>
                                    </w:rPr>
                                    <w:t>规模</w:t>
                                  </w:r>
                                  <w:r>
                                    <w:rPr>
                                      <w:b/>
                                      <w:bCs/>
                                      <w:color w:val="FF0000"/>
                                    </w:rPr>
                                    <w:t>3600</w:t>
                                  </w:r>
                                  <w:r>
                                    <w:rPr>
                                      <w:rFonts w:hint="eastAsia"/>
                                      <w:b/>
                                      <w:bCs/>
                                      <w:color w:val="FF0000"/>
                                    </w:rPr>
                                    <w:t>m³/d</w:t>
                                  </w:r>
                                </w:p>
                              </w:txbxContent>
                            </wps:txbx>
                            <wps:bodyPr anchor="ctr" anchorCtr="0" upright="1"/>
                          </wps:wsp>
                        </a:graphicData>
                      </a:graphic>
                    </wp:anchor>
                  </w:drawing>
                </mc:Choice>
                <mc:Fallback>
                  <w:pict>
                    <v:shape id="_x0000_s1026" o:spid="_x0000_s1026" o:spt="61" type="#_x0000_t61" style="position:absolute;left:0pt;margin-left:297.2pt;margin-top:7.75pt;height:53.6pt;width:113.85pt;z-index:251660288;v-text-anchor:middle;mso-width-relative:page;mso-height-relative:page;" fillcolor="#8DB3E2" filled="t" stroked="t" coordsize="21600,21600" o:gfxdata="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Grgwh2QAAAAoBAAAP&#10;AAAAAAAAAAEAIAAAACIAAABkcnMvZG93bnJldi54bWxQSwECFAAUAAAACACHTuJAzYQuXFACAACs&#10;BAAADgAAAAAAAAABACAAAAAoAQAAZHJzL2Uyb0RvYy54bWxQSwUGAAAAAAYABgBZAQAA6gUAAAAA&#10;" adj="1620,32912">
                      <v:fill on="t" focussize="0,0"/>
                      <v:stroke weight="2pt" color="#FF0000" joinstyle="miter"/>
                      <v:imagedata o:title=""/>
                      <o:lock v:ext="edit" aspectratio="f"/>
                      <v:textbox>
                        <w:txbxContent>
                          <w:p w14:paraId="605650FD">
                            <w:pPr>
                              <w:spacing w:line="300" w:lineRule="exact"/>
                              <w:jc w:val="center"/>
                              <w:rPr>
                                <w:b/>
                                <w:bCs/>
                                <w:color w:val="FF0000"/>
                              </w:rPr>
                            </w:pPr>
                            <w:r>
                              <w:rPr>
                                <w:rFonts w:hint="eastAsia"/>
                                <w:b/>
                                <w:bCs/>
                                <w:color w:val="FF0000"/>
                              </w:rPr>
                              <w:t>取水口</w:t>
                            </w:r>
                          </w:p>
                          <w:p w14:paraId="44B36457">
                            <w:pPr>
                              <w:spacing w:line="300" w:lineRule="exact"/>
                              <w:jc w:val="center"/>
                              <w:rPr>
                                <w:b/>
                                <w:bCs/>
                                <w:color w:val="FF0000"/>
                              </w:rPr>
                            </w:pPr>
                            <w:r>
                              <w:rPr>
                                <w:rFonts w:hint="eastAsia"/>
                                <w:b/>
                                <w:bCs/>
                                <w:color w:val="FF0000"/>
                              </w:rPr>
                              <w:t>规模</w:t>
                            </w:r>
                            <w:r>
                              <w:rPr>
                                <w:b/>
                                <w:bCs/>
                                <w:color w:val="FF0000"/>
                              </w:rPr>
                              <w:t>3600</w:t>
                            </w:r>
                            <w:r>
                              <w:rPr>
                                <w:rFonts w:hint="eastAsia"/>
                                <w:b/>
                                <w:bCs/>
                                <w:color w:val="FF0000"/>
                              </w:rPr>
                              <w:t>m³/d</w:t>
                            </w:r>
                          </w:p>
                        </w:txbxContent>
                      </v:textbox>
                    </v:shape>
                  </w:pict>
                </mc:Fallback>
              </mc:AlternateContent>
            </w:r>
          </w:p>
          <w:p w14:paraId="3C3AA34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图2-1原水管道路线图</w:t>
            </w:r>
          </w:p>
          <w:p w14:paraId="0709C8A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lang w:val="en-US" w:eastAsia="zh-CN"/>
                <w14:textFill>
                  <w14:solidFill>
                    <w14:schemeClr w14:val="tx1"/>
                  </w14:solidFill>
                </w14:textFill>
              </w:rPr>
            </w:pPr>
            <w:bookmarkStart w:id="32" w:name="_Toc179308932"/>
            <w:bookmarkStart w:id="33" w:name="_Toc521149950"/>
            <w:bookmarkStart w:id="34" w:name="_Toc521149822"/>
            <w:bookmarkStart w:id="35" w:name="_Toc521150069"/>
            <w:bookmarkStart w:id="36" w:name="_Toc113570167"/>
            <w:r>
              <w:rPr>
                <w:rFonts w:hint="default" w:ascii="Times New Roman" w:hAnsi="Times New Roman" w:eastAsia="宋体" w:cs="Times New Roman"/>
                <w:b/>
                <w:bCs w:val="0"/>
                <w:color w:val="000000" w:themeColor="text1"/>
                <w:sz w:val="24"/>
                <w:lang w:val="en-US" w:eastAsia="zh-CN"/>
                <w14:textFill>
                  <w14:solidFill>
                    <w14:schemeClr w14:val="tx1"/>
                  </w14:solidFill>
                </w14:textFill>
              </w:rPr>
              <w:t>2.取水方式</w:t>
            </w:r>
            <w:bookmarkEnd w:id="32"/>
          </w:p>
          <w:p w14:paraId="77F1A454">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bookmarkStart w:id="37" w:name="OLE_LINK14"/>
            <w:bookmarkStart w:id="38" w:name="OLE_LINK2"/>
            <w:r>
              <w:rPr>
                <w:rFonts w:hint="default" w:ascii="Times New Roman" w:hAnsi="Times New Roman" w:eastAsia="宋体" w:cs="Times New Roman"/>
                <w:bCs/>
                <w:color w:val="000000" w:themeColor="text1"/>
                <w:sz w:val="24"/>
                <w14:textFill>
                  <w14:solidFill>
                    <w14:schemeClr w14:val="tx1"/>
                  </w14:solidFill>
                </w14:textFill>
              </w:rPr>
              <w:t>一般山区河流常用的取水构筑物形式为底栏栅取水和低坝式取水。底栏栅坝适用于山区地势较为陡峭、河床为砂卵石的山溪性河流，当水流中夹带大量的漂卵石或砂砾石时，底栏栅坝可阻挡大量砂石进入干渠，且具有结构形式简单、施工难度小和建造费用低等优点。取水枢纽由底栏栅坝、引渠、沉砂池（沉砂池末端设置有溢流堰和冲沙闸）节制闸等水工建筑物组成。</w:t>
            </w:r>
          </w:p>
          <w:p w14:paraId="5F8528BB">
            <w:pPr>
              <w:spacing w:line="360" w:lineRule="auto"/>
              <w:ind w:firstLine="480" w:firstLineChars="200"/>
              <w:rPr>
                <w:rFonts w:hint="default" w:ascii="Times New Roman" w:hAnsi="Times New Roman" w:eastAsia="宋体" w:cs="Times New Roman"/>
                <w:color w:val="000000" w:themeColor="text1"/>
                <w:kern w:val="1"/>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本工程根据取水口所在位置</w:t>
            </w:r>
            <w:r>
              <w:rPr>
                <w:rFonts w:hint="default" w:ascii="Times New Roman" w:hAnsi="Times New Roman" w:eastAsia="宋体" w:cs="Times New Roman"/>
                <w:bCs/>
                <w:color w:val="000000" w:themeColor="text1"/>
                <w:sz w:val="24"/>
                <w:lang w:eastAsia="zh-CN"/>
                <w14:textFill>
                  <w14:solidFill>
                    <w14:schemeClr w14:val="tx1"/>
                  </w14:solidFill>
                </w14:textFill>
              </w:rPr>
              <w:t>水文地质</w:t>
            </w:r>
            <w:r>
              <w:rPr>
                <w:rFonts w:hint="default" w:ascii="Times New Roman" w:hAnsi="Times New Roman" w:eastAsia="宋体" w:cs="Times New Roman"/>
                <w:bCs/>
                <w:color w:val="000000" w:themeColor="text1"/>
                <w:sz w:val="24"/>
                <w14:textFill>
                  <w14:solidFill>
                    <w14:schemeClr w14:val="tx1"/>
                  </w14:solidFill>
                </w14:textFill>
              </w:rPr>
              <w:t>条件，确定采用底栏栅坝取水</w:t>
            </w:r>
            <w:bookmarkEnd w:id="37"/>
            <w:bookmarkEnd w:id="38"/>
            <w:r>
              <w:rPr>
                <w:rFonts w:hint="default" w:ascii="Times New Roman" w:hAnsi="Times New Roman" w:eastAsia="宋体" w:cs="Times New Roman"/>
                <w:bCs/>
                <w:color w:val="000000" w:themeColor="text1"/>
                <w:sz w:val="24"/>
                <w14:textFill>
                  <w14:solidFill>
                    <w14:schemeClr w14:val="tx1"/>
                  </w14:solidFill>
                </w14:textFill>
              </w:rPr>
              <w:t>。</w:t>
            </w:r>
          </w:p>
          <w:p w14:paraId="23F06A0F">
            <w:pPr>
              <w:spacing w:line="360" w:lineRule="auto"/>
              <w:ind w:firstLine="482" w:firstLineChars="200"/>
              <w:rPr>
                <w:rFonts w:hint="default" w:ascii="Times New Roman" w:hAnsi="Times New Roman" w:eastAsia="宋体" w:cs="Times New Roman"/>
                <w:b/>
                <w:bCs w:val="0"/>
                <w:color w:val="000000" w:themeColor="text1"/>
                <w:sz w:val="24"/>
                <w14:textFill>
                  <w14:solidFill>
                    <w14:schemeClr w14:val="tx1"/>
                  </w14:solidFill>
                </w14:textFill>
              </w:rPr>
            </w:pPr>
            <w:bookmarkStart w:id="39" w:name="_Toc179308933"/>
            <w:r>
              <w:rPr>
                <w:rFonts w:hint="default" w:ascii="Times New Roman" w:hAnsi="Times New Roman" w:eastAsia="宋体" w:cs="Times New Roman"/>
                <w:b/>
                <w:bCs w:val="0"/>
                <w:color w:val="000000" w:themeColor="text1"/>
                <w:sz w:val="24"/>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4"/>
                <w14:textFill>
                  <w14:solidFill>
                    <w14:schemeClr w14:val="tx1"/>
                  </w14:solidFill>
                </w14:textFill>
              </w:rPr>
              <w:t>输水方式</w:t>
            </w:r>
            <w:bookmarkEnd w:id="39"/>
          </w:p>
          <w:p w14:paraId="2DDDB9C4">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bookmarkStart w:id="40" w:name="OLE_LINK15"/>
            <w:bookmarkStart w:id="41" w:name="OLE_LINK16"/>
            <w:r>
              <w:rPr>
                <w:rFonts w:hint="default" w:ascii="Times New Roman" w:hAnsi="Times New Roman" w:eastAsia="宋体" w:cs="Times New Roman"/>
                <w:bCs/>
                <w:color w:val="000000" w:themeColor="text1"/>
                <w:sz w:val="24"/>
                <w14:textFill>
                  <w14:solidFill>
                    <w14:schemeClr w14:val="tx1"/>
                  </w14:solidFill>
                </w14:textFill>
              </w:rPr>
              <w:t>县城自来水厂新建取水口水源选定在五里沟，距离县城自来水厂（第一水厂）约</w:t>
            </w:r>
            <w:r>
              <w:rPr>
                <w:rFonts w:hint="eastAsia" w:ascii="Times New Roman" w:hAnsi="Times New Roman" w:cs="Times New Roman"/>
                <w:bCs/>
                <w:color w:val="000000" w:themeColor="text1"/>
                <w:sz w:val="24"/>
                <w:lang w:eastAsia="zh-CN"/>
                <w14:textFill>
                  <w14:solidFill>
                    <w14:schemeClr w14:val="tx1"/>
                  </w14:solidFill>
                </w14:textFill>
              </w:rPr>
              <w:t>10.588</w:t>
            </w:r>
            <w:r>
              <w:rPr>
                <w:rFonts w:hint="default" w:ascii="Times New Roman" w:hAnsi="Times New Roman" w:eastAsia="宋体" w:cs="Times New Roman"/>
                <w:bCs/>
                <w:color w:val="000000" w:themeColor="text1"/>
                <w:sz w:val="24"/>
                <w:lang w:eastAsia="zh-CN"/>
                <w14:textFill>
                  <w14:solidFill>
                    <w14:schemeClr w14:val="tx1"/>
                  </w14:solidFill>
                </w14:textFill>
              </w:rPr>
              <w:t>km</w:t>
            </w:r>
            <w:r>
              <w:rPr>
                <w:rFonts w:hint="default" w:ascii="Times New Roman" w:hAnsi="Times New Roman" w:eastAsia="宋体" w:cs="Times New Roman"/>
                <w:bCs/>
                <w:color w:val="000000" w:themeColor="text1"/>
                <w:sz w:val="24"/>
                <w14:textFill>
                  <w14:solidFill>
                    <w14:schemeClr w14:val="tx1"/>
                  </w14:solidFill>
                </w14:textFill>
              </w:rPr>
              <w:t>，水源高程约为1642m，</w:t>
            </w:r>
            <w:r>
              <w:rPr>
                <w:rFonts w:hint="default" w:ascii="Times New Roman" w:hAnsi="Times New Roman" w:eastAsia="宋体" w:cs="Times New Roman"/>
                <w:bCs/>
                <w:color w:val="000000" w:themeColor="text1"/>
                <w:sz w:val="24"/>
                <w:lang w:eastAsia="zh-CN"/>
                <w14:textFill>
                  <w14:solidFill>
                    <w14:schemeClr w14:val="tx1"/>
                  </w14:solidFill>
                </w14:textFill>
              </w:rPr>
              <w:t>县城自来水厂配水井标高</w:t>
            </w:r>
            <w:r>
              <w:rPr>
                <w:rFonts w:hint="default" w:ascii="Times New Roman" w:hAnsi="Times New Roman" w:eastAsia="宋体" w:cs="Times New Roman"/>
                <w:bCs/>
                <w:color w:val="000000" w:themeColor="text1"/>
                <w:sz w:val="24"/>
                <w14:textFill>
                  <w14:solidFill>
                    <w14:schemeClr w14:val="tx1"/>
                  </w14:solidFill>
                </w14:textFill>
              </w:rPr>
              <w:t>约为1386.3m，总高差约255.7m，本次采用重力输水方式</w:t>
            </w:r>
            <w:bookmarkEnd w:id="40"/>
            <w:bookmarkEnd w:id="41"/>
            <w:r>
              <w:rPr>
                <w:rFonts w:hint="default" w:ascii="Times New Roman" w:hAnsi="Times New Roman" w:eastAsia="宋体" w:cs="Times New Roman"/>
                <w:bCs/>
                <w:color w:val="000000" w:themeColor="text1"/>
                <w:sz w:val="24"/>
                <w14:textFill>
                  <w14:solidFill>
                    <w14:schemeClr w14:val="tx1"/>
                  </w14:solidFill>
                </w14:textFill>
              </w:rPr>
              <w:t>。</w:t>
            </w:r>
          </w:p>
          <w:p w14:paraId="65651926">
            <w:pPr>
              <w:spacing w:line="360" w:lineRule="auto"/>
              <w:ind w:firstLine="482" w:firstLineChars="200"/>
              <w:rPr>
                <w:rFonts w:hint="default" w:ascii="Times New Roman" w:hAnsi="Times New Roman" w:eastAsia="宋体" w:cs="Times New Roman"/>
                <w:b/>
                <w:bCs w:val="0"/>
                <w:color w:val="000000" w:themeColor="text1"/>
                <w:sz w:val="24"/>
                <w14:textFill>
                  <w14:solidFill>
                    <w14:schemeClr w14:val="tx1"/>
                  </w14:solidFill>
                </w14:textFill>
              </w:rPr>
            </w:pPr>
            <w:bookmarkStart w:id="42" w:name="_Toc179308934"/>
            <w:r>
              <w:rPr>
                <w:rFonts w:hint="default" w:ascii="Times New Roman" w:hAnsi="Times New Roman" w:eastAsia="宋体" w:cs="Times New Roman"/>
                <w:b/>
                <w:bCs w:val="0"/>
                <w:color w:val="000000" w:themeColor="text1"/>
                <w:sz w:val="24"/>
                <w:lang w:val="en-US" w:eastAsia="zh-CN"/>
                <w14:textFill>
                  <w14:solidFill>
                    <w14:schemeClr w14:val="tx1"/>
                  </w14:solidFill>
                </w14:textFill>
              </w:rPr>
              <w:t>4.</w:t>
            </w:r>
            <w:r>
              <w:rPr>
                <w:rFonts w:hint="default" w:ascii="Times New Roman" w:hAnsi="Times New Roman" w:eastAsia="宋体" w:cs="Times New Roman"/>
                <w:b/>
                <w:bCs w:val="0"/>
                <w:color w:val="000000" w:themeColor="text1"/>
                <w:sz w:val="24"/>
                <w14:textFill>
                  <w14:solidFill>
                    <w14:schemeClr w14:val="tx1"/>
                  </w14:solidFill>
                </w14:textFill>
              </w:rPr>
              <w:t>消能方式</w:t>
            </w:r>
            <w:bookmarkEnd w:id="42"/>
          </w:p>
          <w:p w14:paraId="7D55C0BB">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bookmarkStart w:id="43" w:name="OLE_LINK17"/>
            <w:bookmarkStart w:id="44" w:name="_Toc113570168"/>
            <w:r>
              <w:rPr>
                <w:rFonts w:hint="default" w:ascii="Times New Roman" w:hAnsi="Times New Roman" w:eastAsia="宋体" w:cs="Times New Roman"/>
                <w:bCs/>
                <w:color w:val="000000" w:themeColor="text1"/>
                <w:sz w:val="24"/>
                <w14:textFill>
                  <w14:solidFill>
                    <w14:schemeClr w14:val="tx1"/>
                  </w14:solidFill>
                </w14:textFill>
              </w:rPr>
              <w:t>长距离有压重力输水管道通常存在静水头和水锤压力较大的问题，为保证管道及运行安全，需考虑分段消能措施</w:t>
            </w:r>
            <w:bookmarkEnd w:id="43"/>
            <w:r>
              <w:rPr>
                <w:rFonts w:hint="default" w:ascii="Times New Roman" w:hAnsi="Times New Roman" w:eastAsia="宋体" w:cs="Times New Roman"/>
                <w:bCs/>
                <w:color w:val="000000" w:themeColor="text1"/>
                <w:sz w:val="24"/>
                <w14:textFill>
                  <w14:solidFill>
                    <w14:schemeClr w14:val="tx1"/>
                  </w14:solidFill>
                </w14:textFill>
              </w:rPr>
              <w:t>。</w:t>
            </w:r>
          </w:p>
          <w:bookmarkEnd w:id="44"/>
          <w:p w14:paraId="79C324C5">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t>（</w:t>
            </w:r>
            <w:r>
              <w:rPr>
                <w:rFonts w:hint="default" w:ascii="Times New Roman" w:hAnsi="Times New Roman" w:eastAsia="宋体" w:cs="Times New Roman"/>
                <w:bCs/>
                <w:color w:val="000000" w:themeColor="text1"/>
                <w:sz w:val="24"/>
                <w:lang w:val="en-US" w:eastAsia="zh-CN"/>
                <w14:textFill>
                  <w14:solidFill>
                    <w14:schemeClr w14:val="tx1"/>
                  </w14:solidFill>
                </w14:textFill>
              </w:rPr>
              <w:t>1）</w:t>
            </w:r>
            <w:r>
              <w:rPr>
                <w:rFonts w:hint="default" w:ascii="Times New Roman" w:hAnsi="Times New Roman" w:eastAsia="宋体" w:cs="Times New Roman"/>
                <w:bCs/>
                <w:color w:val="000000" w:themeColor="text1"/>
                <w:sz w:val="24"/>
                <w14:textFill>
                  <w14:solidFill>
                    <w14:schemeClr w14:val="tx1"/>
                  </w14:solidFill>
                </w14:textFill>
              </w:rPr>
              <w:t>管道压力</w:t>
            </w:r>
          </w:p>
          <w:p w14:paraId="7390C94F">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取水口自由水头：1642m。</w:t>
            </w:r>
          </w:p>
          <w:p w14:paraId="433E42E4">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1#消能井标高：1560.2m，进水压力：55m。</w:t>
            </w:r>
          </w:p>
          <w:p w14:paraId="414974B7">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2#消能井标高：1479.9m，进水压力：67m。</w:t>
            </w:r>
          </w:p>
          <w:p w14:paraId="39441569">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水厂进水管标高：1386.3m，进水压力：4m。</w:t>
            </w:r>
          </w:p>
          <w:p w14:paraId="334B36A9">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2#消能井至水厂进水管最大静水压＜97.5m，该点位位于C段管道桩号CK3+210。</w:t>
            </w:r>
          </w:p>
          <w:p w14:paraId="187C9D13">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t>（</w:t>
            </w:r>
            <w:r>
              <w:rPr>
                <w:rFonts w:hint="default" w:ascii="Times New Roman" w:hAnsi="Times New Roman" w:eastAsia="宋体" w:cs="Times New Roman"/>
                <w:bCs/>
                <w:color w:val="000000" w:themeColor="text1"/>
                <w:sz w:val="24"/>
                <w:lang w:val="en-US" w:eastAsia="zh-CN"/>
                <w14:textFill>
                  <w14:solidFill>
                    <w14:schemeClr w14:val="tx1"/>
                  </w14:solidFill>
                </w14:textFill>
              </w:rPr>
              <w:t>2）</w:t>
            </w:r>
            <w:r>
              <w:rPr>
                <w:rFonts w:hint="default" w:ascii="Times New Roman" w:hAnsi="Times New Roman" w:eastAsia="宋体" w:cs="Times New Roman"/>
                <w:bCs/>
                <w:color w:val="000000" w:themeColor="text1"/>
                <w:sz w:val="24"/>
                <w14:textFill>
                  <w14:solidFill>
                    <w14:schemeClr w14:val="tx1"/>
                  </w14:solidFill>
                </w14:textFill>
              </w:rPr>
              <w:t>压力控制值</w:t>
            </w:r>
          </w:p>
          <w:p w14:paraId="685EE41F">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按国内工程经验，通常对于输水管道，管材为金属管道时，通常不宜超过1.0MPa。</w:t>
            </w:r>
          </w:p>
          <w:p w14:paraId="6B28CE02">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t>（</w:t>
            </w:r>
            <w:r>
              <w:rPr>
                <w:rFonts w:hint="default" w:ascii="Times New Roman" w:hAnsi="Times New Roman" w:eastAsia="宋体" w:cs="Times New Roman"/>
                <w:bCs/>
                <w:color w:val="000000" w:themeColor="text1"/>
                <w:sz w:val="24"/>
                <w:lang w:val="en-US" w:eastAsia="zh-CN"/>
                <w14:textFill>
                  <w14:solidFill>
                    <w14:schemeClr w14:val="tx1"/>
                  </w14:solidFill>
                </w14:textFill>
              </w:rPr>
              <w:t>3）</w:t>
            </w:r>
            <w:r>
              <w:rPr>
                <w:rFonts w:hint="default" w:ascii="Times New Roman" w:hAnsi="Times New Roman" w:eastAsia="宋体" w:cs="Times New Roman"/>
                <w:bCs/>
                <w:color w:val="000000" w:themeColor="text1"/>
                <w:sz w:val="24"/>
                <w14:textFill>
                  <w14:solidFill>
                    <w14:schemeClr w14:val="tx1"/>
                  </w14:solidFill>
                </w14:textFill>
              </w:rPr>
              <w:t>消能方式</w:t>
            </w:r>
          </w:p>
          <w:p w14:paraId="1BC49F47">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采取分段减压消能方式，即在管道中间设置消能设施。</w:t>
            </w:r>
          </w:p>
          <w:p w14:paraId="64A049E5">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消能池即设置一个水池，利用挡墙、跌水坎等消除多余压力，利用池内自由液面控制水池后管道压力，同时将池前后管道真正分为两段，各自承受不同的静水压力。该方式优点是投资低，能起到分段减压作用，但缺点是对大型输水工程，池容积大，最大问题是不具备调节功能，同时必须设置溢流设施。</w:t>
            </w:r>
          </w:p>
          <w:p w14:paraId="49CFDDC5">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该方式通常适用于小型输水且输水量较恒定，周边有河流、山谷等。</w:t>
            </w:r>
          </w:p>
          <w:p w14:paraId="2D3EFE89">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bookmarkStart w:id="45" w:name="OLE_LINK18"/>
            <w:r>
              <w:rPr>
                <w:rFonts w:hint="default" w:ascii="Times New Roman" w:hAnsi="Times New Roman" w:eastAsia="宋体" w:cs="Times New Roman"/>
                <w:bCs/>
                <w:color w:val="000000" w:themeColor="text1"/>
                <w:sz w:val="24"/>
                <w14:textFill>
                  <w14:solidFill>
                    <w14:schemeClr w14:val="tx1"/>
                  </w14:solidFill>
                </w14:textFill>
              </w:rPr>
              <w:t>对于本工程而言，消能池的消能方式最符合项目情况，故本工程采用消能池的消能方式</w:t>
            </w:r>
            <w:bookmarkEnd w:id="45"/>
            <w:r>
              <w:rPr>
                <w:rFonts w:hint="default" w:ascii="Times New Roman" w:hAnsi="Times New Roman" w:eastAsia="宋体" w:cs="Times New Roman"/>
                <w:bCs/>
                <w:color w:val="000000" w:themeColor="text1"/>
                <w:sz w:val="24"/>
                <w14:textFill>
                  <w14:solidFill>
                    <w14:schemeClr w14:val="tx1"/>
                  </w14:solidFill>
                </w14:textFill>
              </w:rPr>
              <w:t>。</w:t>
            </w:r>
          </w:p>
          <w:p w14:paraId="0DCE8189">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t>（</w:t>
            </w:r>
            <w:r>
              <w:rPr>
                <w:rFonts w:hint="default" w:ascii="Times New Roman" w:hAnsi="Times New Roman" w:eastAsia="宋体" w:cs="Times New Roman"/>
                <w:bCs/>
                <w:color w:val="000000" w:themeColor="text1"/>
                <w:sz w:val="24"/>
                <w:lang w:val="en-US" w:eastAsia="zh-CN"/>
                <w14:textFill>
                  <w14:solidFill>
                    <w14:schemeClr w14:val="tx1"/>
                  </w14:solidFill>
                </w14:textFill>
              </w:rPr>
              <w:t>4）</w:t>
            </w:r>
            <w:r>
              <w:rPr>
                <w:rFonts w:hint="default" w:ascii="Times New Roman" w:hAnsi="Times New Roman" w:eastAsia="宋体" w:cs="Times New Roman"/>
                <w:bCs/>
                <w:color w:val="000000" w:themeColor="text1"/>
                <w:sz w:val="24"/>
                <w14:textFill>
                  <w14:solidFill>
                    <w14:schemeClr w14:val="tx1"/>
                  </w14:solidFill>
                </w14:textFill>
              </w:rPr>
              <w:t>分段数量</w:t>
            </w:r>
          </w:p>
          <w:p w14:paraId="5F308578">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对于本项目，由于最大水位差为255.7m，分段减压控制最大工作压力1.0MPa，因此分段数采用三段，</w:t>
            </w:r>
            <w:r>
              <w:rPr>
                <w:rFonts w:hint="default" w:ascii="Times New Roman" w:hAnsi="Times New Roman" w:eastAsia="宋体" w:cs="Times New Roman"/>
                <w:bCs/>
                <w:color w:val="000000" w:themeColor="text1"/>
                <w:sz w:val="24"/>
                <w:lang w:eastAsia="zh-CN"/>
                <w14:textFill>
                  <w14:solidFill>
                    <w14:schemeClr w14:val="tx1"/>
                  </w14:solidFill>
                </w14:textFill>
              </w:rPr>
              <w:t>中间共设置2套消能设施</w:t>
            </w:r>
            <w:r>
              <w:rPr>
                <w:rFonts w:hint="default" w:ascii="Times New Roman" w:hAnsi="Times New Roman" w:eastAsia="宋体" w:cs="Times New Roman"/>
                <w:bCs/>
                <w:color w:val="000000" w:themeColor="text1"/>
                <w:sz w:val="24"/>
                <w14:textFill>
                  <w14:solidFill>
                    <w14:schemeClr w14:val="tx1"/>
                  </w14:solidFill>
                </w14:textFill>
              </w:rPr>
              <w:t>（消能井）。</w:t>
            </w:r>
          </w:p>
          <w:p w14:paraId="0C9C96C0">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lang w:val="en-US" w:eastAsia="zh-CN"/>
                <w14:textFill>
                  <w14:solidFill>
                    <w14:schemeClr w14:val="tx1"/>
                  </w14:solidFill>
                </w14:textFill>
              </w:rPr>
              <w:t>(5)</w:t>
            </w:r>
            <w:r>
              <w:rPr>
                <w:rFonts w:hint="default" w:ascii="Times New Roman" w:hAnsi="Times New Roman" w:eastAsia="宋体" w:cs="Times New Roman"/>
                <w:bCs/>
                <w:color w:val="000000" w:themeColor="text1"/>
                <w:sz w:val="24"/>
                <w14:textFill>
                  <w14:solidFill>
                    <w14:schemeClr w14:val="tx1"/>
                  </w14:solidFill>
                </w14:textFill>
              </w:rPr>
              <w:t>分段减压点</w:t>
            </w:r>
          </w:p>
          <w:p w14:paraId="006C0945">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bookmarkStart w:id="46" w:name="OLE_LINK19"/>
            <w:r>
              <w:rPr>
                <w:rFonts w:hint="default" w:ascii="Times New Roman" w:hAnsi="Times New Roman" w:eastAsia="宋体" w:cs="Times New Roman"/>
                <w:bCs/>
                <w:color w:val="000000" w:themeColor="text1"/>
                <w:sz w:val="24"/>
                <w14:textFill>
                  <w14:solidFill>
                    <w14:schemeClr w14:val="tx1"/>
                  </w14:solidFill>
                </w14:textFill>
              </w:rPr>
              <w:t>根据后续水力计算，本项目输水管道设置2个分段减压点，其中，取水口至1#消能点静水压力均低于0.60MPa，1#消能点至2#消能点静水压力低于0.70MPa，2#消能点至泸定县城水厂</w:t>
            </w:r>
            <w:bookmarkEnd w:id="46"/>
            <w:r>
              <w:rPr>
                <w:rFonts w:hint="default" w:ascii="Times New Roman" w:hAnsi="Times New Roman" w:eastAsia="宋体" w:cs="Times New Roman"/>
                <w:bCs/>
                <w:color w:val="000000" w:themeColor="text1"/>
                <w:sz w:val="24"/>
                <w:lang w:eastAsia="zh-CN"/>
                <w14:textFill>
                  <w14:solidFill>
                    <w14:schemeClr w14:val="tx1"/>
                  </w14:solidFill>
                </w14:textFill>
              </w:rPr>
              <w:t>静水压力低于1.0MPa</w:t>
            </w:r>
            <w:r>
              <w:rPr>
                <w:rFonts w:hint="default" w:ascii="Times New Roman" w:hAnsi="Times New Roman" w:eastAsia="宋体" w:cs="Times New Roman"/>
                <w:bCs/>
                <w:color w:val="000000" w:themeColor="text1"/>
                <w:sz w:val="24"/>
                <w14:textFill>
                  <w14:solidFill>
                    <w14:schemeClr w14:val="tx1"/>
                  </w14:solidFill>
                </w14:textFill>
              </w:rPr>
              <w:t>。</w:t>
            </w:r>
          </w:p>
          <w:bookmarkEnd w:id="33"/>
          <w:bookmarkEnd w:id="34"/>
          <w:bookmarkEnd w:id="35"/>
          <w:bookmarkEnd w:id="36"/>
          <w:p w14:paraId="7C2B144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lang w:val="en-US" w:eastAsia="zh-CN"/>
                <w14:textFill>
                  <w14:solidFill>
                    <w14:schemeClr w14:val="tx1"/>
                  </w14:solidFill>
                </w14:textFill>
              </w:rPr>
            </w:pPr>
            <w:bookmarkStart w:id="47" w:name="_Toc179308936"/>
            <w:r>
              <w:rPr>
                <w:rFonts w:hint="default" w:ascii="Times New Roman" w:hAnsi="Times New Roman" w:eastAsia="宋体" w:cs="Times New Roman"/>
                <w:b/>
                <w:bCs w:val="0"/>
                <w:color w:val="000000" w:themeColor="text1"/>
                <w:sz w:val="24"/>
                <w:lang w:val="en-US" w:eastAsia="zh-CN"/>
                <w14:textFill>
                  <w14:solidFill>
                    <w14:schemeClr w14:val="tx1"/>
                  </w14:solidFill>
                </w14:textFill>
              </w:rPr>
              <w:t>5.5构筑物</w:t>
            </w:r>
          </w:p>
          <w:p w14:paraId="691A889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lang w:val="en-US" w:eastAsia="zh-CN"/>
                <w14:textFill>
                  <w14:solidFill>
                    <w14:schemeClr w14:val="tx1"/>
                  </w14:solidFill>
                </w14:textFill>
              </w:rPr>
              <w:t>（1）取水构筑物设计</w:t>
            </w:r>
            <w:bookmarkEnd w:id="47"/>
          </w:p>
          <w:p w14:paraId="77FBC0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bookmarkStart w:id="48" w:name="OLE_LINK22"/>
            <w:r>
              <w:rPr>
                <w:rFonts w:hint="default" w:ascii="Times New Roman" w:hAnsi="Times New Roman" w:eastAsia="宋体" w:cs="Times New Roman"/>
                <w:bCs/>
                <w:color w:val="000000" w:themeColor="text1"/>
                <w:sz w:val="24"/>
                <w14:textFill>
                  <w14:solidFill>
                    <w14:schemeClr w14:val="tx1"/>
                  </w14:solidFill>
                </w14:textFill>
              </w:rPr>
              <w:t>本工程底栏栅设计取水规模为3600m³/d，按廊道无压状态进行设计计算。</w:t>
            </w:r>
          </w:p>
          <w:p w14:paraId="3E97C3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本工程</w:t>
            </w:r>
            <w:r>
              <w:rPr>
                <w:rFonts w:hint="default" w:ascii="Times New Roman" w:hAnsi="Times New Roman" w:eastAsia="宋体" w:cs="Times New Roman"/>
                <w:bCs/>
                <w:color w:val="000000" w:themeColor="text1"/>
                <w:sz w:val="24"/>
                <w:lang w:eastAsia="zh-CN"/>
                <w14:textFill>
                  <w14:solidFill>
                    <w14:schemeClr w14:val="tx1"/>
                  </w14:solidFill>
                </w14:textFill>
              </w:rPr>
              <w:t>底栏栅坝</w:t>
            </w:r>
            <w:r>
              <w:rPr>
                <w:rFonts w:hint="default" w:ascii="Times New Roman" w:hAnsi="Times New Roman" w:eastAsia="宋体" w:cs="Times New Roman"/>
                <w:bCs/>
                <w:color w:val="000000" w:themeColor="text1"/>
                <w:sz w:val="24"/>
                <w14:textFill>
                  <w14:solidFill>
                    <w14:schemeClr w14:val="tx1"/>
                  </w14:solidFill>
                </w14:textFill>
              </w:rPr>
              <w:t>段栅条以i=0.1倾向下游顺水流方向布置；底栏栅廊道采用矩形断面，</w:t>
            </w:r>
            <w:bookmarkEnd w:id="48"/>
            <w:bookmarkStart w:id="49" w:name="OLE_LINK27"/>
            <w:r>
              <w:rPr>
                <w:rFonts w:hint="default" w:ascii="Times New Roman" w:hAnsi="Times New Roman" w:eastAsia="宋体" w:cs="Times New Roman"/>
                <w:bCs/>
                <w:color w:val="000000" w:themeColor="text1"/>
                <w:sz w:val="24"/>
                <w14:textFill>
                  <w14:solidFill>
                    <w14:schemeClr w14:val="tx1"/>
                  </w14:solidFill>
                </w14:textFill>
              </w:rPr>
              <w:t>本次设计底栏栅坝栏栅长度为2m，宽0.8m，坝高1.5m，溢流堰总长度10.0m</w:t>
            </w:r>
            <w:bookmarkEnd w:id="49"/>
            <w:r>
              <w:rPr>
                <w:rFonts w:hint="default" w:ascii="Times New Roman" w:hAnsi="Times New Roman" w:eastAsia="宋体" w:cs="Times New Roman"/>
                <w:bCs/>
                <w:color w:val="000000" w:themeColor="text1"/>
                <w:sz w:val="24"/>
                <w14:textFill>
                  <w14:solidFill>
                    <w14:schemeClr w14:val="tx1"/>
                  </w14:solidFill>
                </w14:textFill>
              </w:rPr>
              <w:t>。</w:t>
            </w:r>
          </w:p>
          <w:p w14:paraId="2447848B">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default" w:ascii="Times New Roman" w:hAnsi="Times New Roman" w:eastAsia="宋体" w:cs="Times New Roman"/>
                <w:b/>
                <w:color w:val="000000" w:themeColor="text1"/>
                <w:szCs w:val="21"/>
                <w:lang w:val="en-US" w:eastAsia="zh-CN"/>
                <w14:textFill>
                  <w14:solidFill>
                    <w14:schemeClr w14:val="tx1"/>
                  </w14:solidFill>
                </w14:textFill>
              </w:rPr>
              <w:t>主要设备及材料表</w:t>
            </w:r>
          </w:p>
          <w:tbl>
            <w:tblPr>
              <w:tblStyle w:val="55"/>
              <w:tblW w:w="81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77"/>
              <w:gridCol w:w="1357"/>
              <w:gridCol w:w="4565"/>
              <w:gridCol w:w="799"/>
              <w:gridCol w:w="482"/>
              <w:gridCol w:w="482"/>
            </w:tblGrid>
            <w:tr w14:paraId="2480D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5" w:hRule="atLeast"/>
              </w:trPr>
              <w:tc>
                <w:tcPr>
                  <w:tcW w:w="29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F69B3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编号</w:t>
                  </w:r>
                </w:p>
              </w:tc>
              <w:tc>
                <w:tcPr>
                  <w:tcW w:w="83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FADBB8">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名称</w:t>
                  </w:r>
                </w:p>
              </w:tc>
              <w:tc>
                <w:tcPr>
                  <w:tcW w:w="27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ADD40D">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规格型号及技术参数</w:t>
                  </w:r>
                </w:p>
              </w:tc>
              <w:tc>
                <w:tcPr>
                  <w:tcW w:w="48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73EE94">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材料</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E78DF1">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数量</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13F436">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单位</w:t>
                  </w:r>
                </w:p>
              </w:tc>
            </w:tr>
            <w:tr w14:paraId="3A46F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27" w:hRule="atLeast"/>
              </w:trPr>
              <w:tc>
                <w:tcPr>
                  <w:tcW w:w="29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89F0E1">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①</w:t>
                  </w:r>
                </w:p>
              </w:tc>
              <w:tc>
                <w:tcPr>
                  <w:tcW w:w="83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FB40D3">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拦栅</w:t>
                  </w:r>
                </w:p>
              </w:tc>
              <w:tc>
                <w:tcPr>
                  <w:tcW w:w="27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9F1ACF">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L×B=5.0×0.8m栅条宽度12mm,间隙8mm</w:t>
                  </w:r>
                </w:p>
              </w:tc>
              <w:tc>
                <w:tcPr>
                  <w:tcW w:w="48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D12DE2">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组合件</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2393DC">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004F34">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r>
            <w:tr w14:paraId="56D77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0" w:hRule="atLeast"/>
              </w:trPr>
              <w:tc>
                <w:tcPr>
                  <w:tcW w:w="29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6FA17F">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②</w:t>
                  </w:r>
                </w:p>
              </w:tc>
              <w:tc>
                <w:tcPr>
                  <w:tcW w:w="83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843C6BC">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手动方闸门</w:t>
                  </w:r>
                </w:p>
              </w:tc>
              <w:tc>
                <w:tcPr>
                  <w:tcW w:w="27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7D3DE7">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B×H=0.6×0.4</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m，H</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=2.0m附壁式安装,正向受压</w:t>
                  </w:r>
                </w:p>
              </w:tc>
              <w:tc>
                <w:tcPr>
                  <w:tcW w:w="48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624A2E">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组合件</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A48699">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D24BF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r>
            <w:tr w14:paraId="553F1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trPr>
              <w:tc>
                <w:tcPr>
                  <w:tcW w:w="29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9BF4CD">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③</w:t>
                  </w:r>
                </w:p>
              </w:tc>
              <w:tc>
                <w:tcPr>
                  <w:tcW w:w="83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E2D5FE">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手动方闸门</w:t>
                  </w:r>
                </w:p>
              </w:tc>
              <w:tc>
                <w:tcPr>
                  <w:tcW w:w="27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D520C2">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B×H=0.8×0.6m</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H=2.0m附壁式安装,正反向受压各一台</w:t>
                  </w:r>
                </w:p>
              </w:tc>
              <w:tc>
                <w:tcPr>
                  <w:tcW w:w="48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D09DFB">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组合件</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72CFCF">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1A8024">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r>
            <w:tr w14:paraId="74636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5" w:hRule="atLeast"/>
              </w:trPr>
              <w:tc>
                <w:tcPr>
                  <w:tcW w:w="29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95B083">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④</w:t>
                  </w:r>
                </w:p>
              </w:tc>
              <w:tc>
                <w:tcPr>
                  <w:tcW w:w="83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21A02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手动方闸门</w:t>
                  </w:r>
                </w:p>
              </w:tc>
              <w:tc>
                <w:tcPr>
                  <w:tcW w:w="27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88FCB3">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B×H=0.6×0.4</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m，H</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=1.8m附壁式安装,正向受压</w:t>
                  </w:r>
                </w:p>
              </w:tc>
              <w:tc>
                <w:tcPr>
                  <w:tcW w:w="48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4C2DE5">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组合件</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943494">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3052A2">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r>
            <w:tr w14:paraId="36A17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20" w:hRule="atLeast"/>
              </w:trPr>
              <w:tc>
                <w:tcPr>
                  <w:tcW w:w="29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122C2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⑤</w:t>
                  </w:r>
                </w:p>
              </w:tc>
              <w:tc>
                <w:tcPr>
                  <w:tcW w:w="83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CEECE1">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手动方闸门</w:t>
                  </w:r>
                </w:p>
              </w:tc>
              <w:tc>
                <w:tcPr>
                  <w:tcW w:w="27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B9D11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B×H=0.6×0.4</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m，H</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=2.10m附壁式安装,正向受压</w:t>
                  </w:r>
                </w:p>
              </w:tc>
              <w:tc>
                <w:tcPr>
                  <w:tcW w:w="48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E4684F">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组合件</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AD799C">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FF2ED7">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r>
            <w:tr w14:paraId="6A7D9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29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82915D">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⑥</w:t>
                  </w:r>
                </w:p>
              </w:tc>
              <w:tc>
                <w:tcPr>
                  <w:tcW w:w="83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EB7AC6">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防水套管</w:t>
                  </w:r>
                </w:p>
              </w:tc>
              <w:tc>
                <w:tcPr>
                  <w:tcW w:w="27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61D031">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DN530L=300mm</w:t>
                  </w:r>
                </w:p>
              </w:tc>
              <w:tc>
                <w:tcPr>
                  <w:tcW w:w="48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D52B1A">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88794E">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DEE171">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r>
            <w:tr w14:paraId="028EF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29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A75C64">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⑦</w:t>
                  </w:r>
                </w:p>
              </w:tc>
              <w:tc>
                <w:tcPr>
                  <w:tcW w:w="83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2FA767">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钢管</w:t>
                  </w:r>
                </w:p>
              </w:tc>
              <w:tc>
                <w:tcPr>
                  <w:tcW w:w="27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42703A">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D530×9</w:t>
                  </w:r>
                </w:p>
              </w:tc>
              <w:tc>
                <w:tcPr>
                  <w:tcW w:w="48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B5DD2E">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198263">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w:t>
                  </w:r>
                </w:p>
              </w:tc>
              <w:tc>
                <w:tcPr>
                  <w:tcW w:w="29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791658">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m</w:t>
                  </w:r>
                </w:p>
              </w:tc>
            </w:tr>
          </w:tbl>
          <w:p w14:paraId="49BE6C3F">
            <w:pPr>
              <w:rPr>
                <w:rFonts w:hint="default" w:ascii="Times New Roman" w:hAnsi="Times New Roman" w:eastAsia="宋体" w:cs="Times New Roman"/>
                <w:color w:val="000000" w:themeColor="text1"/>
                <w14:textFill>
                  <w14:solidFill>
                    <w14:schemeClr w14:val="tx1"/>
                  </w14:solidFill>
                </w14:textFill>
              </w:rPr>
            </w:pPr>
          </w:p>
          <w:p w14:paraId="36811E56">
            <w:pP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drawing>
                <wp:inline distT="0" distB="0" distL="114300" distR="114300">
                  <wp:extent cx="5222240" cy="4716145"/>
                  <wp:effectExtent l="0" t="0" r="16510" b="8255"/>
                  <wp:docPr id="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pic:cNvPicPr>
                            <a:picLocks noChangeAspect="1"/>
                          </pic:cNvPicPr>
                        </pic:nvPicPr>
                        <pic:blipFill>
                          <a:blip r:embed="rId14"/>
                          <a:stretch>
                            <a:fillRect/>
                          </a:stretch>
                        </pic:blipFill>
                        <pic:spPr>
                          <a:xfrm>
                            <a:off x="0" y="0"/>
                            <a:ext cx="5222240" cy="4716145"/>
                          </a:xfrm>
                          <a:prstGeom prst="rect">
                            <a:avLst/>
                          </a:prstGeom>
                          <a:noFill/>
                          <a:ln>
                            <a:noFill/>
                          </a:ln>
                        </pic:spPr>
                      </pic:pic>
                    </a:graphicData>
                  </a:graphic>
                </wp:inline>
              </w:drawing>
            </w:r>
          </w:p>
          <w:p w14:paraId="3D09B0DA">
            <w:pPr>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图2-3取水口平面布置图</w:t>
            </w:r>
          </w:p>
          <w:p w14:paraId="39577907">
            <w:pPr>
              <w:spacing w:line="360" w:lineRule="auto"/>
              <w:ind w:firstLine="482" w:firstLineChars="200"/>
              <w:rPr>
                <w:rFonts w:hint="default" w:ascii="Times New Roman" w:hAnsi="Times New Roman" w:eastAsia="宋体" w:cs="Times New Roman"/>
                <w:b/>
                <w:bCs w:val="0"/>
                <w:color w:val="000000" w:themeColor="text1"/>
                <w:sz w:val="24"/>
                <w14:textFill>
                  <w14:solidFill>
                    <w14:schemeClr w14:val="tx1"/>
                  </w14:solidFill>
                </w14:textFill>
              </w:rPr>
            </w:pPr>
            <w:bookmarkStart w:id="50" w:name="_Toc179308937"/>
            <w:bookmarkStart w:id="51" w:name="_Toc179308938"/>
            <w:r>
              <w:rPr>
                <w:rFonts w:hint="default" w:ascii="Times New Roman" w:hAnsi="Times New Roman" w:eastAsia="宋体" w:cs="Times New Roman"/>
                <w:b/>
                <w:bCs w:val="0"/>
                <w:color w:val="000000" w:themeColor="text1"/>
                <w:sz w:val="24"/>
                <w:lang w:eastAsia="zh-CN"/>
                <w14:textFill>
                  <w14:solidFill>
                    <w14:schemeClr w14:val="tx1"/>
                  </w14:solidFill>
                </w14:textFill>
              </w:rPr>
              <w:t>（</w:t>
            </w:r>
            <w:r>
              <w:rPr>
                <w:rFonts w:hint="default" w:ascii="Times New Roman" w:hAnsi="Times New Roman" w:eastAsia="宋体" w:cs="Times New Roman"/>
                <w:b/>
                <w:bCs w:val="0"/>
                <w:color w:val="000000" w:themeColor="text1"/>
                <w:sz w:val="24"/>
                <w:lang w:val="en-US" w:eastAsia="zh-CN"/>
                <w14:textFill>
                  <w14:solidFill>
                    <w14:schemeClr w14:val="tx1"/>
                  </w14:solidFill>
                </w14:textFill>
              </w:rPr>
              <w:t>2）</w:t>
            </w:r>
            <w:r>
              <w:rPr>
                <w:rFonts w:hint="default" w:ascii="Times New Roman" w:hAnsi="Times New Roman" w:eastAsia="宋体" w:cs="Times New Roman"/>
                <w:b/>
                <w:bCs w:val="0"/>
                <w:color w:val="000000" w:themeColor="text1"/>
                <w:sz w:val="24"/>
                <w14:textFill>
                  <w14:solidFill>
                    <w14:schemeClr w14:val="tx1"/>
                  </w14:solidFill>
                </w14:textFill>
              </w:rPr>
              <w:t>沉砂池设计</w:t>
            </w:r>
          </w:p>
          <w:bookmarkEnd w:id="50"/>
          <w:p w14:paraId="4D055EB2">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bookmarkStart w:id="52" w:name="OLE_LINK29"/>
            <w:bookmarkStart w:id="53" w:name="OLE_LINK28"/>
            <w:r>
              <w:rPr>
                <w:rFonts w:hint="default" w:ascii="Times New Roman" w:hAnsi="Times New Roman" w:eastAsia="宋体" w:cs="Times New Roman"/>
                <w:bCs/>
                <w:color w:val="000000" w:themeColor="text1"/>
                <w:sz w:val="24"/>
                <w14:textFill>
                  <w14:solidFill>
                    <w14:schemeClr w14:val="tx1"/>
                  </w14:solidFill>
                </w14:textFill>
              </w:rPr>
              <w:t>本工程采用平流式沉砂池，沉淀时间45s，水平流速0.25m/s。</w:t>
            </w:r>
          </w:p>
          <w:p w14:paraId="4419E5E2">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沉砂池土建尺寸L×B=12.5×4.0m，总深3.5m，有效水深1.8m。同时设置超越管1根，管径为</w:t>
            </w:r>
            <w:r>
              <w:rPr>
                <w:rFonts w:hint="eastAsia" w:ascii="Times New Roman" w:hAnsi="Times New Roman" w:cs="Times New Roman"/>
                <w:bCs/>
                <w:color w:val="000000" w:themeColor="text1"/>
                <w:sz w:val="24"/>
                <w:lang w:eastAsia="zh-CN"/>
                <w14:textFill>
                  <w14:solidFill>
                    <w14:schemeClr w14:val="tx1"/>
                  </w14:solidFill>
                </w14:textFill>
              </w:rPr>
              <w:t>DN400</w:t>
            </w:r>
            <w:r>
              <w:rPr>
                <w:rFonts w:hint="default" w:ascii="Times New Roman" w:hAnsi="Times New Roman" w:eastAsia="宋体" w:cs="Times New Roman"/>
                <w:bCs/>
                <w:color w:val="000000" w:themeColor="text1"/>
                <w:sz w:val="24"/>
                <w14:textFill>
                  <w14:solidFill>
                    <w14:schemeClr w14:val="tx1"/>
                  </w14:solidFill>
                </w14:textFill>
              </w:rPr>
              <w:t>，当沉砂池清扫或水质清澈时，可以由超越管出水直接至净水厂</w:t>
            </w:r>
            <w:bookmarkEnd w:id="52"/>
            <w:bookmarkEnd w:id="53"/>
            <w:r>
              <w:rPr>
                <w:rFonts w:hint="default" w:ascii="Times New Roman" w:hAnsi="Times New Roman" w:eastAsia="宋体" w:cs="Times New Roman"/>
                <w:bCs/>
                <w:color w:val="000000" w:themeColor="text1"/>
                <w:sz w:val="24"/>
                <w14:textFill>
                  <w14:solidFill>
                    <w14:schemeClr w14:val="tx1"/>
                  </w14:solidFill>
                </w14:textFill>
              </w:rPr>
              <w:t>。</w:t>
            </w:r>
          </w:p>
          <w:p w14:paraId="3450A207">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主要材料一览表</w:t>
            </w:r>
          </w:p>
          <w:tbl>
            <w:tblPr>
              <w:tblStyle w:val="55"/>
              <w:tblW w:w="4998"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660"/>
              <w:gridCol w:w="1604"/>
              <w:gridCol w:w="3537"/>
              <w:gridCol w:w="1055"/>
              <w:gridCol w:w="661"/>
              <w:gridCol w:w="661"/>
            </w:tblGrid>
            <w:tr w14:paraId="7ECF39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noWrap/>
                  <w:vAlign w:val="center"/>
                </w:tcPr>
                <w:p w14:paraId="293E7B5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编号</w:t>
                  </w:r>
                </w:p>
              </w:tc>
              <w:tc>
                <w:tcPr>
                  <w:tcW w:w="980" w:type="pct"/>
                  <w:tcBorders>
                    <w:tl2br w:val="nil"/>
                    <w:tr2bl w:val="nil"/>
                  </w:tcBorders>
                  <w:shd w:val="clear" w:color="auto" w:fill="FFFFFF" w:themeFill="background1"/>
                  <w:noWrap/>
                  <w:vAlign w:val="center"/>
                </w:tcPr>
                <w:p w14:paraId="3608F4C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名称</w:t>
                  </w:r>
                </w:p>
              </w:tc>
              <w:tc>
                <w:tcPr>
                  <w:tcW w:w="2162" w:type="pct"/>
                  <w:tcBorders>
                    <w:tl2br w:val="nil"/>
                    <w:tr2bl w:val="nil"/>
                  </w:tcBorders>
                  <w:shd w:val="clear" w:color="auto" w:fill="FFFFFF" w:themeFill="background1"/>
                  <w:noWrap/>
                  <w:vAlign w:val="center"/>
                </w:tcPr>
                <w:p w14:paraId="58D7F21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规格</w:t>
                  </w:r>
                </w:p>
              </w:tc>
              <w:tc>
                <w:tcPr>
                  <w:tcW w:w="645" w:type="pct"/>
                  <w:tcBorders>
                    <w:tl2br w:val="nil"/>
                    <w:tr2bl w:val="nil"/>
                  </w:tcBorders>
                  <w:shd w:val="clear" w:color="auto" w:fill="FFFFFF" w:themeFill="background1"/>
                  <w:noWrap/>
                  <w:vAlign w:val="center"/>
                </w:tcPr>
                <w:p w14:paraId="444CBB8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材料</w:t>
                  </w:r>
                </w:p>
              </w:tc>
              <w:tc>
                <w:tcPr>
                  <w:tcW w:w="404" w:type="pct"/>
                  <w:tcBorders>
                    <w:tl2br w:val="nil"/>
                    <w:tr2bl w:val="nil"/>
                  </w:tcBorders>
                  <w:shd w:val="clear" w:color="auto" w:fill="FFFFFF" w:themeFill="background1"/>
                  <w:noWrap/>
                  <w:vAlign w:val="center"/>
                </w:tcPr>
                <w:p w14:paraId="0044008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单位</w:t>
                  </w:r>
                </w:p>
              </w:tc>
              <w:tc>
                <w:tcPr>
                  <w:tcW w:w="404" w:type="pct"/>
                  <w:tcBorders>
                    <w:tl2br w:val="nil"/>
                    <w:tr2bl w:val="nil"/>
                  </w:tcBorders>
                  <w:shd w:val="clear" w:color="auto" w:fill="FFFFFF" w:themeFill="background1"/>
                  <w:noWrap/>
                  <w:vAlign w:val="center"/>
                </w:tcPr>
                <w:p w14:paraId="0F28441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数量</w:t>
                  </w:r>
                </w:p>
              </w:tc>
            </w:tr>
            <w:tr w14:paraId="572BFC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3E1A3B8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①</w:t>
                  </w:r>
                </w:p>
              </w:tc>
              <w:tc>
                <w:tcPr>
                  <w:tcW w:w="980" w:type="pct"/>
                  <w:tcBorders>
                    <w:tl2br w:val="nil"/>
                    <w:tr2bl w:val="nil"/>
                  </w:tcBorders>
                  <w:shd w:val="clear" w:color="auto" w:fill="FFFFFF" w:themeFill="background1"/>
                  <w:vAlign w:val="center"/>
                </w:tcPr>
                <w:p w14:paraId="6B67112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低位通气管</w:t>
                  </w:r>
                </w:p>
              </w:tc>
              <w:tc>
                <w:tcPr>
                  <w:tcW w:w="2162" w:type="pct"/>
                  <w:tcBorders>
                    <w:tl2br w:val="nil"/>
                    <w:tr2bl w:val="nil"/>
                  </w:tcBorders>
                  <w:shd w:val="clear" w:color="auto" w:fill="FFFFFF" w:themeFill="background1"/>
                  <w:vAlign w:val="center"/>
                </w:tcPr>
                <w:p w14:paraId="5450F11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D219×6,H=1.89m</w:t>
                  </w:r>
                </w:p>
              </w:tc>
              <w:tc>
                <w:tcPr>
                  <w:tcW w:w="645" w:type="pct"/>
                  <w:tcBorders>
                    <w:tl2br w:val="nil"/>
                    <w:tr2bl w:val="nil"/>
                  </w:tcBorders>
                  <w:shd w:val="clear" w:color="auto" w:fill="FFFFFF" w:themeFill="background1"/>
                  <w:vAlign w:val="center"/>
                </w:tcPr>
                <w:p w14:paraId="5A46A98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0EF89AE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c>
                <w:tcPr>
                  <w:tcW w:w="404" w:type="pct"/>
                  <w:tcBorders>
                    <w:tl2br w:val="nil"/>
                    <w:tr2bl w:val="nil"/>
                  </w:tcBorders>
                  <w:shd w:val="clear" w:color="auto" w:fill="FFFFFF" w:themeFill="background1"/>
                  <w:vAlign w:val="center"/>
                </w:tcPr>
                <w:p w14:paraId="0B84393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w:t>
                  </w:r>
                </w:p>
              </w:tc>
            </w:tr>
            <w:tr w14:paraId="6AEBF5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5234BEE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②</w:t>
                  </w:r>
                </w:p>
              </w:tc>
              <w:tc>
                <w:tcPr>
                  <w:tcW w:w="980" w:type="pct"/>
                  <w:tcBorders>
                    <w:tl2br w:val="nil"/>
                    <w:tr2bl w:val="nil"/>
                  </w:tcBorders>
                  <w:shd w:val="clear" w:color="auto" w:fill="FFFFFF" w:themeFill="background1"/>
                  <w:vAlign w:val="center"/>
                </w:tcPr>
                <w:p w14:paraId="22BEA41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刚性防水套管</w:t>
                  </w:r>
                </w:p>
              </w:tc>
              <w:tc>
                <w:tcPr>
                  <w:tcW w:w="2162" w:type="pct"/>
                  <w:tcBorders>
                    <w:tl2br w:val="nil"/>
                    <w:tr2bl w:val="nil"/>
                  </w:tcBorders>
                  <w:shd w:val="clear" w:color="auto" w:fill="FFFFFF" w:themeFill="background1"/>
                  <w:vAlign w:val="center"/>
                </w:tcPr>
                <w:p w14:paraId="7AD3278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,A型,L=池壁厚</w:t>
                  </w:r>
                </w:p>
              </w:tc>
              <w:tc>
                <w:tcPr>
                  <w:tcW w:w="645" w:type="pct"/>
                  <w:tcBorders>
                    <w:tl2br w:val="nil"/>
                    <w:tr2bl w:val="nil"/>
                  </w:tcBorders>
                  <w:shd w:val="clear" w:color="auto" w:fill="FFFFFF" w:themeFill="background1"/>
                  <w:vAlign w:val="center"/>
                </w:tcPr>
                <w:p w14:paraId="05F86A5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520F8C7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c>
                <w:tcPr>
                  <w:tcW w:w="404" w:type="pct"/>
                  <w:tcBorders>
                    <w:tl2br w:val="nil"/>
                    <w:tr2bl w:val="nil"/>
                  </w:tcBorders>
                  <w:shd w:val="clear" w:color="auto" w:fill="FFFFFF" w:themeFill="background1"/>
                  <w:vAlign w:val="center"/>
                </w:tcPr>
                <w:p w14:paraId="695CAB1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2/5</w:t>
                  </w:r>
                </w:p>
              </w:tc>
            </w:tr>
            <w:tr w14:paraId="7D8B83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6A1241A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③</w:t>
                  </w:r>
                </w:p>
              </w:tc>
              <w:tc>
                <w:tcPr>
                  <w:tcW w:w="980" w:type="pct"/>
                  <w:tcBorders>
                    <w:tl2br w:val="nil"/>
                    <w:tr2bl w:val="nil"/>
                  </w:tcBorders>
                  <w:shd w:val="clear" w:color="auto" w:fill="FFFFFF" w:themeFill="background1"/>
                  <w:vAlign w:val="center"/>
                </w:tcPr>
                <w:p w14:paraId="2E671F3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钢制喇叭口</w:t>
                  </w:r>
                </w:p>
              </w:tc>
              <w:tc>
                <w:tcPr>
                  <w:tcW w:w="2162" w:type="pct"/>
                  <w:tcBorders>
                    <w:tl2br w:val="nil"/>
                    <w:tr2bl w:val="nil"/>
                  </w:tcBorders>
                  <w:shd w:val="clear" w:color="auto" w:fill="FFFFFF" w:themeFill="background1"/>
                  <w:vAlign w:val="center"/>
                </w:tcPr>
                <w:p w14:paraId="1F89289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DN250×400</w:t>
                  </w:r>
                </w:p>
              </w:tc>
              <w:tc>
                <w:tcPr>
                  <w:tcW w:w="645" w:type="pct"/>
                  <w:tcBorders>
                    <w:tl2br w:val="nil"/>
                    <w:tr2bl w:val="nil"/>
                  </w:tcBorders>
                  <w:shd w:val="clear" w:color="auto" w:fill="FFFFFF" w:themeFill="background1"/>
                  <w:vAlign w:val="center"/>
                </w:tcPr>
                <w:p w14:paraId="57A6AB2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6B7F672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c>
                <w:tcPr>
                  <w:tcW w:w="404" w:type="pct"/>
                  <w:tcBorders>
                    <w:tl2br w:val="nil"/>
                    <w:tr2bl w:val="nil"/>
                  </w:tcBorders>
                  <w:shd w:val="clear" w:color="auto" w:fill="FFFFFF" w:themeFill="background1"/>
                  <w:vAlign w:val="center"/>
                </w:tcPr>
                <w:p w14:paraId="4269839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r>
            <w:tr w14:paraId="7C572BF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2B3C7F9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④</w:t>
                  </w:r>
                </w:p>
              </w:tc>
              <w:tc>
                <w:tcPr>
                  <w:tcW w:w="980" w:type="pct"/>
                  <w:tcBorders>
                    <w:tl2br w:val="nil"/>
                    <w:tr2bl w:val="nil"/>
                  </w:tcBorders>
                  <w:shd w:val="clear" w:color="auto" w:fill="FFFFFF" w:themeFill="background1"/>
                  <w:vAlign w:val="center"/>
                </w:tcPr>
                <w:p w14:paraId="376BD8D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喇叭口吊架</w:t>
                  </w:r>
                </w:p>
              </w:tc>
              <w:tc>
                <w:tcPr>
                  <w:tcW w:w="2162" w:type="pct"/>
                  <w:tcBorders>
                    <w:tl2br w:val="nil"/>
                    <w:tr2bl w:val="nil"/>
                  </w:tcBorders>
                  <w:shd w:val="clear" w:color="auto" w:fill="FFFFFF" w:themeFill="background1"/>
                  <w:vAlign w:val="center"/>
                </w:tcPr>
                <w:p w14:paraId="7E45D0E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DN250</w:t>
                  </w:r>
                </w:p>
              </w:tc>
              <w:tc>
                <w:tcPr>
                  <w:tcW w:w="645" w:type="pct"/>
                  <w:tcBorders>
                    <w:tl2br w:val="nil"/>
                    <w:tr2bl w:val="nil"/>
                  </w:tcBorders>
                  <w:shd w:val="clear" w:color="auto" w:fill="FFFFFF" w:themeFill="background1"/>
                  <w:vAlign w:val="center"/>
                </w:tcPr>
                <w:p w14:paraId="2E9668E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641D628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副</w:t>
                  </w:r>
                </w:p>
              </w:tc>
              <w:tc>
                <w:tcPr>
                  <w:tcW w:w="404" w:type="pct"/>
                  <w:tcBorders>
                    <w:tl2br w:val="nil"/>
                    <w:tr2bl w:val="nil"/>
                  </w:tcBorders>
                  <w:shd w:val="clear" w:color="auto" w:fill="FFFFFF" w:themeFill="background1"/>
                  <w:vAlign w:val="center"/>
                </w:tcPr>
                <w:p w14:paraId="64610B2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r>
            <w:tr w14:paraId="2CD9B8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542C220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⑤</w:t>
                  </w:r>
                </w:p>
              </w:tc>
              <w:tc>
                <w:tcPr>
                  <w:tcW w:w="980" w:type="pct"/>
                  <w:tcBorders>
                    <w:tl2br w:val="nil"/>
                    <w:tr2bl w:val="nil"/>
                  </w:tcBorders>
                  <w:shd w:val="clear" w:color="auto" w:fill="FFFFFF" w:themeFill="background1"/>
                  <w:vAlign w:val="center"/>
                </w:tcPr>
                <w:p w14:paraId="510E295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90°弯头</w:t>
                  </w:r>
                </w:p>
              </w:tc>
              <w:tc>
                <w:tcPr>
                  <w:tcW w:w="2162" w:type="pct"/>
                  <w:tcBorders>
                    <w:tl2br w:val="nil"/>
                    <w:tr2bl w:val="nil"/>
                  </w:tcBorders>
                  <w:shd w:val="clear" w:color="auto" w:fill="FFFFFF" w:themeFill="background1"/>
                  <w:vAlign w:val="center"/>
                </w:tcPr>
                <w:p w14:paraId="497CEFB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DN250、</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p>
              </w:tc>
              <w:tc>
                <w:tcPr>
                  <w:tcW w:w="645" w:type="pct"/>
                  <w:tcBorders>
                    <w:tl2br w:val="nil"/>
                    <w:tr2bl w:val="nil"/>
                  </w:tcBorders>
                  <w:shd w:val="clear" w:color="auto" w:fill="FFFFFF" w:themeFill="background1"/>
                  <w:vAlign w:val="center"/>
                </w:tcPr>
                <w:p w14:paraId="12708E9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45F88CE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c>
                <w:tcPr>
                  <w:tcW w:w="404" w:type="pct"/>
                  <w:tcBorders>
                    <w:tl2br w:val="nil"/>
                    <w:tr2bl w:val="nil"/>
                  </w:tcBorders>
                  <w:shd w:val="clear" w:color="auto" w:fill="FFFFFF" w:themeFill="background1"/>
                  <w:vAlign w:val="center"/>
                </w:tcPr>
                <w:p w14:paraId="51912B2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1/5</w:t>
                  </w:r>
                </w:p>
              </w:tc>
            </w:tr>
            <w:tr w14:paraId="0796A0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29CA06E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⑥</w:t>
                  </w:r>
                </w:p>
              </w:tc>
              <w:tc>
                <w:tcPr>
                  <w:tcW w:w="980" w:type="pct"/>
                  <w:tcBorders>
                    <w:tl2br w:val="nil"/>
                    <w:tr2bl w:val="nil"/>
                  </w:tcBorders>
                  <w:shd w:val="clear" w:color="auto" w:fill="FFFFFF" w:themeFill="background1"/>
                  <w:vAlign w:val="center"/>
                </w:tcPr>
                <w:p w14:paraId="3F26466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钢梯</w:t>
                  </w:r>
                </w:p>
              </w:tc>
              <w:tc>
                <w:tcPr>
                  <w:tcW w:w="2162" w:type="pct"/>
                  <w:tcBorders>
                    <w:tl2br w:val="nil"/>
                    <w:tr2bl w:val="nil"/>
                  </w:tcBorders>
                  <w:shd w:val="clear" w:color="auto" w:fill="FFFFFF" w:themeFill="background1"/>
                  <w:vAlign w:val="center"/>
                </w:tcPr>
                <w:p w14:paraId="7B21E8F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H=4.0m</w:t>
                  </w:r>
                </w:p>
              </w:tc>
              <w:tc>
                <w:tcPr>
                  <w:tcW w:w="645" w:type="pct"/>
                  <w:tcBorders>
                    <w:tl2br w:val="nil"/>
                    <w:tr2bl w:val="nil"/>
                  </w:tcBorders>
                  <w:shd w:val="clear" w:color="auto" w:fill="FFFFFF" w:themeFill="background1"/>
                  <w:vAlign w:val="center"/>
                </w:tcPr>
                <w:p w14:paraId="181762C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不锈钢</w:t>
                  </w:r>
                </w:p>
              </w:tc>
              <w:tc>
                <w:tcPr>
                  <w:tcW w:w="404" w:type="pct"/>
                  <w:tcBorders>
                    <w:tl2br w:val="nil"/>
                    <w:tr2bl w:val="nil"/>
                  </w:tcBorders>
                  <w:shd w:val="clear" w:color="auto" w:fill="FFFFFF" w:themeFill="background1"/>
                  <w:vAlign w:val="center"/>
                </w:tcPr>
                <w:p w14:paraId="0F9D7BC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c>
                <w:tcPr>
                  <w:tcW w:w="404" w:type="pct"/>
                  <w:tcBorders>
                    <w:tl2br w:val="nil"/>
                    <w:tr2bl w:val="nil"/>
                  </w:tcBorders>
                  <w:shd w:val="clear" w:color="auto" w:fill="FFFFFF" w:themeFill="background1"/>
                  <w:vAlign w:val="center"/>
                </w:tcPr>
                <w:p w14:paraId="4808722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r>
            <w:tr w14:paraId="305F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31424B4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⑦</w:t>
                  </w:r>
                </w:p>
              </w:tc>
              <w:tc>
                <w:tcPr>
                  <w:tcW w:w="980" w:type="pct"/>
                  <w:tcBorders>
                    <w:tl2br w:val="nil"/>
                    <w:tr2bl w:val="nil"/>
                  </w:tcBorders>
                  <w:shd w:val="clear" w:color="auto" w:fill="FFFFFF" w:themeFill="background1"/>
                  <w:vAlign w:val="center"/>
                </w:tcPr>
                <w:p w14:paraId="2FEF669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进/出水管</w:t>
                  </w:r>
                </w:p>
              </w:tc>
              <w:tc>
                <w:tcPr>
                  <w:tcW w:w="2162" w:type="pct"/>
                  <w:tcBorders>
                    <w:tl2br w:val="nil"/>
                    <w:tr2bl w:val="nil"/>
                  </w:tcBorders>
                  <w:shd w:val="clear" w:color="auto" w:fill="FFFFFF" w:themeFill="background1"/>
                  <w:vAlign w:val="center"/>
                </w:tcPr>
                <w:p w14:paraId="10550F5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D325×8</w:t>
                  </w:r>
                </w:p>
              </w:tc>
              <w:tc>
                <w:tcPr>
                  <w:tcW w:w="645" w:type="pct"/>
                  <w:tcBorders>
                    <w:tl2br w:val="nil"/>
                    <w:tr2bl w:val="nil"/>
                  </w:tcBorders>
                  <w:shd w:val="clear" w:color="auto" w:fill="FFFFFF" w:themeFill="background1"/>
                  <w:vAlign w:val="center"/>
                </w:tcPr>
                <w:p w14:paraId="4C24356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2337BC1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米</w:t>
                  </w:r>
                </w:p>
              </w:tc>
              <w:tc>
                <w:tcPr>
                  <w:tcW w:w="404" w:type="pct"/>
                  <w:tcBorders>
                    <w:tl2br w:val="nil"/>
                    <w:tr2bl w:val="nil"/>
                  </w:tcBorders>
                  <w:shd w:val="clear" w:color="auto" w:fill="FFFFFF" w:themeFill="background1"/>
                  <w:vAlign w:val="center"/>
                </w:tcPr>
                <w:p w14:paraId="5919C45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6</w:t>
                  </w:r>
                </w:p>
              </w:tc>
            </w:tr>
            <w:tr w14:paraId="0C619A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31B6FEA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⑧</w:t>
                  </w:r>
                </w:p>
              </w:tc>
              <w:tc>
                <w:tcPr>
                  <w:tcW w:w="980" w:type="pct"/>
                  <w:tcBorders>
                    <w:tl2br w:val="nil"/>
                    <w:tr2bl w:val="nil"/>
                  </w:tcBorders>
                  <w:shd w:val="clear" w:color="auto" w:fill="FFFFFF" w:themeFill="background1"/>
                  <w:vAlign w:val="center"/>
                </w:tcPr>
                <w:p w14:paraId="67C0E8D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排砂管</w:t>
                  </w:r>
                </w:p>
              </w:tc>
              <w:tc>
                <w:tcPr>
                  <w:tcW w:w="2162" w:type="pct"/>
                  <w:tcBorders>
                    <w:tl2br w:val="nil"/>
                    <w:tr2bl w:val="nil"/>
                  </w:tcBorders>
                  <w:shd w:val="clear" w:color="auto" w:fill="FFFFFF" w:themeFill="background1"/>
                  <w:vAlign w:val="center"/>
                </w:tcPr>
                <w:p w14:paraId="09833EB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D219×6</w:t>
                  </w:r>
                </w:p>
              </w:tc>
              <w:tc>
                <w:tcPr>
                  <w:tcW w:w="645" w:type="pct"/>
                  <w:tcBorders>
                    <w:tl2br w:val="nil"/>
                    <w:tr2bl w:val="nil"/>
                  </w:tcBorders>
                  <w:shd w:val="clear" w:color="auto" w:fill="FFFFFF" w:themeFill="background1"/>
                  <w:vAlign w:val="center"/>
                </w:tcPr>
                <w:p w14:paraId="31195A2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Q235A</w:t>
                  </w:r>
                </w:p>
              </w:tc>
              <w:tc>
                <w:tcPr>
                  <w:tcW w:w="404" w:type="pct"/>
                  <w:tcBorders>
                    <w:tl2br w:val="nil"/>
                    <w:tr2bl w:val="nil"/>
                  </w:tcBorders>
                  <w:shd w:val="clear" w:color="auto" w:fill="FFFFFF" w:themeFill="background1"/>
                  <w:vAlign w:val="center"/>
                </w:tcPr>
                <w:p w14:paraId="6234F4E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米</w:t>
                  </w:r>
                </w:p>
              </w:tc>
              <w:tc>
                <w:tcPr>
                  <w:tcW w:w="404" w:type="pct"/>
                  <w:tcBorders>
                    <w:tl2br w:val="nil"/>
                    <w:tr2bl w:val="nil"/>
                  </w:tcBorders>
                  <w:shd w:val="clear" w:color="auto" w:fill="FFFFFF" w:themeFill="background1"/>
                  <w:vAlign w:val="center"/>
                </w:tcPr>
                <w:p w14:paraId="5AB4C31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w:t>
                  </w:r>
                </w:p>
              </w:tc>
            </w:tr>
            <w:tr w14:paraId="75B535C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609D595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⑨</w:t>
                  </w:r>
                </w:p>
              </w:tc>
              <w:tc>
                <w:tcPr>
                  <w:tcW w:w="980" w:type="pct"/>
                  <w:tcBorders>
                    <w:tl2br w:val="nil"/>
                    <w:tr2bl w:val="nil"/>
                  </w:tcBorders>
                  <w:shd w:val="clear" w:color="auto" w:fill="FFFFFF" w:themeFill="background1"/>
                  <w:vAlign w:val="center"/>
                </w:tcPr>
                <w:p w14:paraId="32035DB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溢流管</w:t>
                  </w:r>
                </w:p>
              </w:tc>
              <w:tc>
                <w:tcPr>
                  <w:tcW w:w="2162" w:type="pct"/>
                  <w:tcBorders>
                    <w:tl2br w:val="nil"/>
                    <w:tr2bl w:val="nil"/>
                  </w:tcBorders>
                  <w:shd w:val="clear" w:color="auto" w:fill="FFFFFF" w:themeFill="background1"/>
                  <w:vAlign w:val="center"/>
                </w:tcPr>
                <w:p w14:paraId="0AAF675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D273×8</w:t>
                  </w:r>
                </w:p>
              </w:tc>
              <w:tc>
                <w:tcPr>
                  <w:tcW w:w="645" w:type="pct"/>
                  <w:tcBorders>
                    <w:tl2br w:val="nil"/>
                    <w:tr2bl w:val="nil"/>
                  </w:tcBorders>
                  <w:shd w:val="clear" w:color="auto" w:fill="FFFFFF" w:themeFill="background1"/>
                  <w:vAlign w:val="center"/>
                </w:tcPr>
                <w:p w14:paraId="3ECBF55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03038E2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米</w:t>
                  </w:r>
                </w:p>
              </w:tc>
              <w:tc>
                <w:tcPr>
                  <w:tcW w:w="404" w:type="pct"/>
                  <w:tcBorders>
                    <w:tl2br w:val="nil"/>
                    <w:tr2bl w:val="nil"/>
                  </w:tcBorders>
                  <w:shd w:val="clear" w:color="auto" w:fill="FFFFFF" w:themeFill="background1"/>
                  <w:vAlign w:val="center"/>
                </w:tcPr>
                <w:p w14:paraId="2671F73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6</w:t>
                  </w:r>
                </w:p>
              </w:tc>
            </w:tr>
            <w:tr w14:paraId="57DA87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3093724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⑩</w:t>
                  </w:r>
                </w:p>
              </w:tc>
              <w:tc>
                <w:tcPr>
                  <w:tcW w:w="980" w:type="pct"/>
                  <w:tcBorders>
                    <w:tl2br w:val="nil"/>
                    <w:tr2bl w:val="nil"/>
                  </w:tcBorders>
                  <w:shd w:val="clear" w:color="auto" w:fill="FFFFFF" w:themeFill="background1"/>
                  <w:vAlign w:val="center"/>
                </w:tcPr>
                <w:p w14:paraId="11570BC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提板闸门</w:t>
                  </w:r>
                </w:p>
              </w:tc>
              <w:tc>
                <w:tcPr>
                  <w:tcW w:w="2162" w:type="pct"/>
                  <w:tcBorders>
                    <w:tl2br w:val="nil"/>
                    <w:tr2bl w:val="nil"/>
                  </w:tcBorders>
                  <w:shd w:val="clear" w:color="auto" w:fill="FFFFFF" w:themeFill="background1"/>
                  <w:vAlign w:val="center"/>
                </w:tcPr>
                <w:p w14:paraId="419EA3C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TF型</w:t>
                  </w: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p>
              </w:tc>
              <w:tc>
                <w:tcPr>
                  <w:tcW w:w="645" w:type="pct"/>
                  <w:tcBorders>
                    <w:tl2br w:val="nil"/>
                    <w:tr2bl w:val="nil"/>
                  </w:tcBorders>
                  <w:shd w:val="clear" w:color="auto" w:fill="FFFFFF" w:themeFill="background1"/>
                  <w:vAlign w:val="center"/>
                </w:tcPr>
                <w:p w14:paraId="6A96448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不锈钢</w:t>
                  </w:r>
                </w:p>
              </w:tc>
              <w:tc>
                <w:tcPr>
                  <w:tcW w:w="404" w:type="pct"/>
                  <w:tcBorders>
                    <w:tl2br w:val="nil"/>
                    <w:tr2bl w:val="nil"/>
                  </w:tcBorders>
                  <w:shd w:val="clear" w:color="auto" w:fill="FFFFFF" w:themeFill="background1"/>
                  <w:vAlign w:val="center"/>
                </w:tcPr>
                <w:p w14:paraId="2F55157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c>
                <w:tcPr>
                  <w:tcW w:w="404" w:type="pct"/>
                  <w:tcBorders>
                    <w:tl2br w:val="nil"/>
                    <w:tr2bl w:val="nil"/>
                  </w:tcBorders>
                  <w:shd w:val="clear" w:color="auto" w:fill="FFFFFF" w:themeFill="background1"/>
                  <w:vAlign w:val="center"/>
                </w:tcPr>
                <w:p w14:paraId="7C32E89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w:t>
                  </w:r>
                </w:p>
              </w:tc>
            </w:tr>
            <w:tr w14:paraId="4EB3DD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424E3A0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⑪</w:t>
                  </w:r>
                </w:p>
              </w:tc>
              <w:tc>
                <w:tcPr>
                  <w:tcW w:w="980" w:type="pct"/>
                  <w:tcBorders>
                    <w:tl2br w:val="nil"/>
                    <w:tr2bl w:val="nil"/>
                  </w:tcBorders>
                  <w:shd w:val="clear" w:color="auto" w:fill="FFFFFF" w:themeFill="background1"/>
                  <w:vAlign w:val="center"/>
                </w:tcPr>
                <w:p w14:paraId="56144DD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钢套管</w:t>
                  </w:r>
                </w:p>
              </w:tc>
              <w:tc>
                <w:tcPr>
                  <w:tcW w:w="2162" w:type="pct"/>
                  <w:tcBorders>
                    <w:tl2br w:val="nil"/>
                    <w:tr2bl w:val="nil"/>
                  </w:tcBorders>
                  <w:shd w:val="clear" w:color="auto" w:fill="FFFFFF" w:themeFill="background1"/>
                  <w:vAlign w:val="center"/>
                </w:tcPr>
                <w:p w14:paraId="449863B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D325×8L=1000mm</w:t>
                  </w:r>
                </w:p>
              </w:tc>
              <w:tc>
                <w:tcPr>
                  <w:tcW w:w="645" w:type="pct"/>
                  <w:tcBorders>
                    <w:tl2br w:val="nil"/>
                    <w:tr2bl w:val="nil"/>
                  </w:tcBorders>
                  <w:shd w:val="clear" w:color="auto" w:fill="FFFFFF" w:themeFill="background1"/>
                  <w:vAlign w:val="center"/>
                </w:tcPr>
                <w:p w14:paraId="273AD04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38E08C6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根</w:t>
                  </w:r>
                </w:p>
              </w:tc>
              <w:tc>
                <w:tcPr>
                  <w:tcW w:w="404" w:type="pct"/>
                  <w:tcBorders>
                    <w:tl2br w:val="nil"/>
                    <w:tr2bl w:val="nil"/>
                  </w:tcBorders>
                  <w:shd w:val="clear" w:color="auto" w:fill="FFFFFF" w:themeFill="background1"/>
                  <w:vAlign w:val="center"/>
                </w:tcPr>
                <w:p w14:paraId="115F708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w:t>
                  </w:r>
                </w:p>
              </w:tc>
            </w:tr>
            <w:tr w14:paraId="561ABF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16551C8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⑫</w:t>
                  </w:r>
                </w:p>
              </w:tc>
              <w:tc>
                <w:tcPr>
                  <w:tcW w:w="980" w:type="pct"/>
                  <w:tcBorders>
                    <w:tl2br w:val="nil"/>
                    <w:tr2bl w:val="nil"/>
                  </w:tcBorders>
                  <w:shd w:val="clear" w:color="auto" w:fill="FFFFFF" w:themeFill="background1"/>
                  <w:vAlign w:val="center"/>
                </w:tcPr>
                <w:p w14:paraId="6C2368E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法兰</w:t>
                  </w:r>
                </w:p>
              </w:tc>
              <w:tc>
                <w:tcPr>
                  <w:tcW w:w="2162" w:type="pct"/>
                  <w:tcBorders>
                    <w:tl2br w:val="nil"/>
                    <w:tr2bl w:val="nil"/>
                  </w:tcBorders>
                  <w:shd w:val="clear" w:color="auto" w:fill="FFFFFF" w:themeFill="background1"/>
                  <w:vAlign w:val="center"/>
                </w:tcPr>
                <w:p w14:paraId="2FE8897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p>
              </w:tc>
              <w:tc>
                <w:tcPr>
                  <w:tcW w:w="645" w:type="pct"/>
                  <w:tcBorders>
                    <w:tl2br w:val="nil"/>
                    <w:tr2bl w:val="nil"/>
                  </w:tcBorders>
                  <w:shd w:val="clear" w:color="auto" w:fill="FFFFFF" w:themeFill="background1"/>
                  <w:vAlign w:val="center"/>
                </w:tcPr>
                <w:p w14:paraId="438EAF5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1452C72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c>
                <w:tcPr>
                  <w:tcW w:w="404" w:type="pct"/>
                  <w:tcBorders>
                    <w:tl2br w:val="nil"/>
                    <w:tr2bl w:val="nil"/>
                  </w:tcBorders>
                  <w:shd w:val="clear" w:color="auto" w:fill="FFFFFF" w:themeFill="background1"/>
                  <w:vAlign w:val="center"/>
                </w:tcPr>
                <w:p w14:paraId="1D5679E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w:t>
                  </w:r>
                </w:p>
              </w:tc>
            </w:tr>
            <w:tr w14:paraId="17A728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23" w:hRule="atLeast"/>
              </w:trPr>
              <w:tc>
                <w:tcPr>
                  <w:tcW w:w="403" w:type="pct"/>
                  <w:tcBorders>
                    <w:tl2br w:val="nil"/>
                    <w:tr2bl w:val="nil"/>
                  </w:tcBorders>
                  <w:shd w:val="clear" w:color="auto" w:fill="FFFFFF" w:themeFill="background1"/>
                  <w:vAlign w:val="center"/>
                </w:tcPr>
                <w:p w14:paraId="54D4A39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⑬</w:t>
                  </w:r>
                </w:p>
              </w:tc>
              <w:tc>
                <w:tcPr>
                  <w:tcW w:w="980" w:type="pct"/>
                  <w:tcBorders>
                    <w:tl2br w:val="nil"/>
                    <w:tr2bl w:val="nil"/>
                  </w:tcBorders>
                  <w:shd w:val="clear" w:color="auto" w:fill="FFFFFF" w:themeFill="background1"/>
                  <w:vAlign w:val="center"/>
                </w:tcPr>
                <w:p w14:paraId="494578B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三通</w:t>
                  </w:r>
                </w:p>
              </w:tc>
              <w:tc>
                <w:tcPr>
                  <w:tcW w:w="2162" w:type="pct"/>
                  <w:tcBorders>
                    <w:tl2br w:val="nil"/>
                    <w:tr2bl w:val="nil"/>
                  </w:tcBorders>
                  <w:shd w:val="clear" w:color="auto" w:fill="FFFFFF" w:themeFill="background1"/>
                  <w:vAlign w:val="center"/>
                </w:tcPr>
                <w:p w14:paraId="4552134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p>
              </w:tc>
              <w:tc>
                <w:tcPr>
                  <w:tcW w:w="645" w:type="pct"/>
                  <w:tcBorders>
                    <w:tl2br w:val="nil"/>
                    <w:tr2bl w:val="nil"/>
                  </w:tcBorders>
                  <w:shd w:val="clear" w:color="auto" w:fill="FFFFFF" w:themeFill="background1"/>
                  <w:vAlign w:val="center"/>
                </w:tcPr>
                <w:p w14:paraId="1D58232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404" w:type="pct"/>
                  <w:tcBorders>
                    <w:tl2br w:val="nil"/>
                    <w:tr2bl w:val="nil"/>
                  </w:tcBorders>
                  <w:shd w:val="clear" w:color="auto" w:fill="FFFFFF" w:themeFill="background1"/>
                  <w:vAlign w:val="center"/>
                </w:tcPr>
                <w:p w14:paraId="609A637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c>
                <w:tcPr>
                  <w:tcW w:w="404" w:type="pct"/>
                  <w:tcBorders>
                    <w:tl2br w:val="nil"/>
                    <w:tr2bl w:val="nil"/>
                  </w:tcBorders>
                  <w:shd w:val="clear" w:color="auto" w:fill="FFFFFF" w:themeFill="background1"/>
                  <w:vAlign w:val="center"/>
                </w:tcPr>
                <w:p w14:paraId="646B0B9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w:t>
                  </w:r>
                </w:p>
              </w:tc>
            </w:tr>
          </w:tbl>
          <w:p w14:paraId="60C63A56">
            <w:pPr>
              <w:spacing w:line="360" w:lineRule="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drawing>
                <wp:inline distT="0" distB="0" distL="114300" distR="114300">
                  <wp:extent cx="5249545" cy="2484120"/>
                  <wp:effectExtent l="0" t="0" r="8255" b="11430"/>
                  <wp:docPr id="4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
                          <pic:cNvPicPr>
                            <a:picLocks noChangeAspect="1"/>
                          </pic:cNvPicPr>
                        </pic:nvPicPr>
                        <pic:blipFill>
                          <a:blip r:embed="rId15"/>
                          <a:stretch>
                            <a:fillRect/>
                          </a:stretch>
                        </pic:blipFill>
                        <pic:spPr>
                          <a:xfrm>
                            <a:off x="0" y="0"/>
                            <a:ext cx="5249545" cy="2484120"/>
                          </a:xfrm>
                          <a:prstGeom prst="rect">
                            <a:avLst/>
                          </a:prstGeom>
                          <a:noFill/>
                          <a:ln>
                            <a:noFill/>
                          </a:ln>
                        </pic:spPr>
                      </pic:pic>
                    </a:graphicData>
                  </a:graphic>
                </wp:inline>
              </w:drawing>
            </w:r>
          </w:p>
          <w:p w14:paraId="5E97B4ED">
            <w:pPr>
              <w:spacing w:line="360" w:lineRule="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drawing>
                <wp:inline distT="0" distB="0" distL="114300" distR="114300">
                  <wp:extent cx="5269230" cy="2663825"/>
                  <wp:effectExtent l="0" t="0" r="7620" b="3175"/>
                  <wp:docPr id="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9"/>
                          <pic:cNvPicPr>
                            <a:picLocks noChangeAspect="1"/>
                          </pic:cNvPicPr>
                        </pic:nvPicPr>
                        <pic:blipFill>
                          <a:blip r:embed="rId16"/>
                          <a:stretch>
                            <a:fillRect/>
                          </a:stretch>
                        </pic:blipFill>
                        <pic:spPr>
                          <a:xfrm>
                            <a:off x="0" y="0"/>
                            <a:ext cx="5269230" cy="2663825"/>
                          </a:xfrm>
                          <a:prstGeom prst="rect">
                            <a:avLst/>
                          </a:prstGeom>
                          <a:noFill/>
                          <a:ln>
                            <a:noFill/>
                          </a:ln>
                        </pic:spPr>
                      </pic:pic>
                    </a:graphicData>
                  </a:graphic>
                </wp:inline>
              </w:drawing>
            </w:r>
          </w:p>
          <w:p w14:paraId="18B4A9E3">
            <w:pPr>
              <w:pStyle w:val="54"/>
              <w:ind w:left="0" w:leftChars="0" w:firstLine="0" w:firstLineChars="0"/>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图2-4沉砂池平面图</w:t>
            </w:r>
          </w:p>
          <w:p w14:paraId="51AA34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lang w:eastAsia="zh-CN"/>
                <w14:textFill>
                  <w14:solidFill>
                    <w14:schemeClr w14:val="tx1"/>
                  </w14:solidFill>
                </w14:textFill>
              </w:rPr>
              <w:t>（</w:t>
            </w:r>
            <w:r>
              <w:rPr>
                <w:rFonts w:hint="default" w:ascii="Times New Roman" w:hAnsi="Times New Roman" w:eastAsia="宋体" w:cs="Times New Roman"/>
                <w:bCs/>
                <w:color w:val="000000" w:themeColor="text1"/>
                <w:sz w:val="24"/>
                <w:lang w:val="en-US" w:eastAsia="zh-CN"/>
                <w14:textFill>
                  <w14:solidFill>
                    <w14:schemeClr w14:val="tx1"/>
                  </w14:solidFill>
                </w14:textFill>
              </w:rPr>
              <w:t>3）</w:t>
            </w:r>
            <w:r>
              <w:rPr>
                <w:rFonts w:hint="default" w:ascii="Times New Roman" w:hAnsi="Times New Roman" w:eastAsia="宋体" w:cs="Times New Roman"/>
                <w:bCs/>
                <w:color w:val="000000" w:themeColor="text1"/>
                <w:sz w:val="24"/>
                <w14:textFill>
                  <w14:solidFill>
                    <w14:schemeClr w14:val="tx1"/>
                  </w14:solidFill>
                </w14:textFill>
              </w:rPr>
              <w:t>消能池设计</w:t>
            </w:r>
            <w:bookmarkEnd w:id="51"/>
          </w:p>
          <w:p w14:paraId="7D04F7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bookmarkStart w:id="54" w:name="OLE_LINK30"/>
            <w:r>
              <w:rPr>
                <w:rFonts w:hint="default" w:ascii="Times New Roman" w:hAnsi="Times New Roman" w:eastAsia="宋体" w:cs="Times New Roman"/>
                <w:bCs/>
                <w:color w:val="000000" w:themeColor="text1"/>
                <w:sz w:val="24"/>
                <w14:textFill>
                  <w14:solidFill>
                    <w14:schemeClr w14:val="tx1"/>
                  </w14:solidFill>
                </w14:textFill>
              </w:rPr>
              <w:t>本工程共采用2座消能池，消能池土建尺寸L×B=3.5×2.4m，总深2.3m，有效水深1.5m</w:t>
            </w:r>
            <w:bookmarkEnd w:id="54"/>
            <w:r>
              <w:rPr>
                <w:rFonts w:hint="default" w:ascii="Times New Roman" w:hAnsi="Times New Roman" w:eastAsia="宋体" w:cs="Times New Roman"/>
                <w:bCs/>
                <w:color w:val="000000" w:themeColor="text1"/>
                <w:sz w:val="24"/>
                <w14:textFill>
                  <w14:solidFill>
                    <w14:schemeClr w14:val="tx1"/>
                  </w14:solidFill>
                </w14:textFill>
              </w:rPr>
              <w:t>。</w:t>
            </w:r>
          </w:p>
          <w:p w14:paraId="24640971">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设备、管件一览表</w:t>
            </w:r>
          </w:p>
          <w:tbl>
            <w:tblPr>
              <w:tblStyle w:val="5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9"/>
              <w:gridCol w:w="1905"/>
              <w:gridCol w:w="2121"/>
              <w:gridCol w:w="1311"/>
              <w:gridCol w:w="1002"/>
              <w:gridCol w:w="1040"/>
            </w:tblGrid>
            <w:tr w14:paraId="10E51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9F66">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编号</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0E14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名称</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38B94">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规格与性能</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0EC6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材料</w:t>
                  </w:r>
                </w:p>
              </w:tc>
              <w:tc>
                <w:tcPr>
                  <w:tcW w:w="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6A6C2">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单位</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FF6E">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数量</w:t>
                  </w:r>
                </w:p>
              </w:tc>
            </w:tr>
            <w:tr w14:paraId="6D58C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89C9F">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①</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1B82">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溢流管</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ADF6">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D219×8</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8EFCC">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14D96">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米</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613D">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20</w:t>
                  </w:r>
                </w:p>
              </w:tc>
            </w:tr>
            <w:tr w14:paraId="7BBF3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1CAAC">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②</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35C23">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穿墙套管</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241C4">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,L=250</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6E4E">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FC9F">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F4E7">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6</w:t>
                  </w:r>
                </w:p>
              </w:tc>
            </w:tr>
            <w:tr w14:paraId="60D46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1719">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③</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4452B">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穿墙套管</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26830">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DN150,L=250</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B9B3">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19D3">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F55D7">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w:t>
                  </w:r>
                </w:p>
              </w:tc>
            </w:tr>
            <w:tr w14:paraId="14EA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56A2">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④</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DAD05">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放空管及阀门井</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26FC1">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/1300×1300</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A3BA2">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p>
              </w:tc>
              <w:tc>
                <w:tcPr>
                  <w:tcW w:w="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57906">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米/座</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446A5">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2套</w:t>
                  </w:r>
                </w:p>
              </w:tc>
            </w:tr>
            <w:tr w14:paraId="16462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4CAA">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⑤</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AAF55">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塑钢爬梯</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05CF">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p>
              </w:tc>
              <w:tc>
                <w:tcPr>
                  <w:tcW w:w="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401AA">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w:t>
                  </w:r>
                </w:p>
              </w:tc>
              <w:tc>
                <w:tcPr>
                  <w:tcW w:w="6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851A9">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副</w:t>
                  </w:r>
                </w:p>
              </w:tc>
              <w:tc>
                <w:tcPr>
                  <w:tcW w:w="6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4737">
                  <w:pPr>
                    <w:keepNext w:val="0"/>
                    <w:keepLines w:val="0"/>
                    <w:widowControl/>
                    <w:suppressLineNumbers w:val="0"/>
                    <w:jc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w:t>
                  </w:r>
                </w:p>
              </w:tc>
            </w:tr>
          </w:tbl>
          <w:p w14:paraId="19E17393">
            <w:pPr>
              <w:spacing w:line="360" w:lineRule="auto"/>
              <w:rPr>
                <w:rFonts w:hint="default" w:ascii="Times New Roman" w:hAnsi="Times New Roman" w:eastAsia="宋体" w:cs="Times New Roman"/>
                <w:color w:val="000000" w:themeColor="text1"/>
                <w14:textFill>
                  <w14:solidFill>
                    <w14:schemeClr w14:val="tx1"/>
                  </w14:solidFill>
                </w14:textFill>
              </w:rPr>
            </w:pPr>
            <w:bookmarkStart w:id="55" w:name="_Toc179308939"/>
            <w:r>
              <w:rPr>
                <w:rFonts w:hint="default" w:ascii="Times New Roman" w:hAnsi="Times New Roman" w:eastAsia="宋体" w:cs="Times New Roman"/>
                <w:color w:val="000000" w:themeColor="text1"/>
                <w14:textFill>
                  <w14:solidFill>
                    <w14:schemeClr w14:val="tx1"/>
                  </w14:solidFill>
                </w14:textFill>
              </w:rPr>
              <w:drawing>
                <wp:inline distT="0" distB="0" distL="114300" distR="114300">
                  <wp:extent cx="5259705" cy="3420110"/>
                  <wp:effectExtent l="0" t="0" r="17145" b="8890"/>
                  <wp:docPr id="4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0"/>
                          <pic:cNvPicPr>
                            <a:picLocks noChangeAspect="1"/>
                          </pic:cNvPicPr>
                        </pic:nvPicPr>
                        <pic:blipFill>
                          <a:blip r:embed="rId17"/>
                          <a:stretch>
                            <a:fillRect/>
                          </a:stretch>
                        </pic:blipFill>
                        <pic:spPr>
                          <a:xfrm>
                            <a:off x="0" y="0"/>
                            <a:ext cx="5259705" cy="3420110"/>
                          </a:xfrm>
                          <a:prstGeom prst="rect">
                            <a:avLst/>
                          </a:prstGeom>
                          <a:noFill/>
                          <a:ln>
                            <a:noFill/>
                          </a:ln>
                        </pic:spPr>
                      </pic:pic>
                    </a:graphicData>
                  </a:graphic>
                </wp:inline>
              </w:drawing>
            </w:r>
          </w:p>
          <w:p w14:paraId="45F9F410">
            <w:pPr>
              <w:spacing w:line="240" w:lineRule="auto"/>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图2-5消能池平面图</w:t>
            </w:r>
          </w:p>
          <w:p w14:paraId="2407E2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bCs/>
                <w:color w:val="000000" w:themeColor="text1"/>
                <w:sz w:val="24"/>
                <w:szCs w:val="24"/>
                <w14:textFill>
                  <w14:solidFill>
                    <w14:schemeClr w14:val="tx1"/>
                  </w14:solidFill>
                </w14:textFill>
              </w:rPr>
              <w:t>输水管道设计</w:t>
            </w:r>
            <w:bookmarkEnd w:id="55"/>
          </w:p>
          <w:p w14:paraId="202C0B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本次取水口取水规模为3600m³/d，原水输水管道设计规模为3600m³/d，原水管道总长度约为</w:t>
            </w:r>
            <w:r>
              <w:rPr>
                <w:rFonts w:hint="eastAsia" w:ascii="Times New Roman" w:hAnsi="Times New Roman" w:cs="Times New Roman"/>
                <w:bCs/>
                <w:color w:val="000000" w:themeColor="text1"/>
                <w:sz w:val="24"/>
                <w:szCs w:val="24"/>
                <w:lang w:eastAsia="zh-CN"/>
                <w14:textFill>
                  <w14:solidFill>
                    <w14:schemeClr w14:val="tx1"/>
                  </w14:solidFill>
                </w14:textFill>
              </w:rPr>
              <w:t>10.588</w:t>
            </w:r>
            <w:r>
              <w:rPr>
                <w:rFonts w:hint="default" w:ascii="Times New Roman" w:hAnsi="Times New Roman" w:eastAsia="宋体" w:cs="Times New Roman"/>
                <w:bCs/>
                <w:color w:val="000000" w:themeColor="text1"/>
                <w:sz w:val="24"/>
                <w:szCs w:val="24"/>
                <w:lang w:eastAsia="zh-CN"/>
                <w14:textFill>
                  <w14:solidFill>
                    <w14:schemeClr w14:val="tx1"/>
                  </w14:solidFill>
                </w14:textFill>
              </w:rPr>
              <w:t>km</w:t>
            </w:r>
            <w:r>
              <w:rPr>
                <w:rFonts w:hint="default" w:ascii="Times New Roman" w:hAnsi="Times New Roman" w:eastAsia="宋体" w:cs="Times New Roman"/>
                <w:bCs/>
                <w:color w:val="000000" w:themeColor="text1"/>
                <w:sz w:val="24"/>
                <w:szCs w:val="24"/>
                <w14:textFill>
                  <w14:solidFill>
                    <w14:schemeClr w14:val="tx1"/>
                  </w14:solidFill>
                </w14:textFill>
              </w:rPr>
              <w:t>，配套建设沉砂池及管道附属构筑物。</w:t>
            </w:r>
          </w:p>
          <w:p w14:paraId="024AC4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bookmarkStart w:id="56" w:name="OLE_LINK39"/>
            <w:bookmarkStart w:id="57" w:name="OLE_LINK38"/>
            <w:r>
              <w:rPr>
                <w:rFonts w:hint="default" w:ascii="Times New Roman" w:hAnsi="Times New Roman" w:eastAsia="宋体" w:cs="Times New Roman"/>
                <w:bCs/>
                <w:color w:val="000000" w:themeColor="text1"/>
                <w:sz w:val="24"/>
                <w:szCs w:val="24"/>
                <w14:textFill>
                  <w14:solidFill>
                    <w14:schemeClr w14:val="tx1"/>
                  </w14:solidFill>
                </w14:textFill>
              </w:rPr>
              <w:t>确认本次输水管道采用管径为</w:t>
            </w:r>
            <w:r>
              <w:rPr>
                <w:rFonts w:hint="eastAsia" w:ascii="Times New Roman" w:hAnsi="Times New Roman" w:cs="Times New Roman"/>
                <w:bCs/>
                <w:color w:val="000000" w:themeColor="text1"/>
                <w:sz w:val="24"/>
                <w:szCs w:val="24"/>
                <w:lang w:eastAsia="zh-CN"/>
                <w14:textFill>
                  <w14:solidFill>
                    <w14:schemeClr w14:val="tx1"/>
                  </w14:solidFill>
                </w14:textFill>
              </w:rPr>
              <w:t>DN400</w:t>
            </w:r>
            <w:r>
              <w:rPr>
                <w:rFonts w:hint="default" w:ascii="Times New Roman" w:hAnsi="Times New Roman" w:eastAsia="宋体" w:cs="Times New Roman"/>
                <w:bCs/>
                <w:color w:val="000000" w:themeColor="text1"/>
                <w:sz w:val="24"/>
                <w:szCs w:val="24"/>
                <w14:textFill>
                  <w14:solidFill>
                    <w14:schemeClr w14:val="tx1"/>
                  </w14:solidFill>
                </w14:textFill>
              </w:rPr>
              <w:t>。</w:t>
            </w:r>
            <w:bookmarkEnd w:id="56"/>
            <w:bookmarkEnd w:id="57"/>
          </w:p>
          <w:p w14:paraId="5C1AA08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bookmarkStart w:id="58" w:name="_Toc179308942"/>
            <w:r>
              <w:rPr>
                <w:rFonts w:hint="default" w:ascii="Times New Roman" w:hAnsi="Times New Roman" w:eastAsia="宋体" w:cs="Times New Roman"/>
                <w:bCs/>
                <w:color w:val="000000" w:themeColor="text1"/>
                <w:sz w:val="24"/>
                <w:szCs w:val="24"/>
                <w14:textFill>
                  <w14:solidFill>
                    <w14:schemeClr w14:val="tx1"/>
                  </w14:solidFill>
                </w14:textFill>
              </w:rPr>
              <w:t>①平面布置</w:t>
            </w:r>
            <w:bookmarkEnd w:id="58"/>
          </w:p>
          <w:p w14:paraId="08F32F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本工程原水输水管道线路拟在五里沟取水头部沿现有的道路至泸定收费站，沿雅高速下方道路布置至泸定县水电站大坝临时隧洞内，出隧道后沿泸荣隧道至延安路，遵义路敷设到泸定县城区自来水厂配水井原水进水管。管道长度约为</w:t>
            </w:r>
            <w:r>
              <w:rPr>
                <w:rFonts w:hint="eastAsia" w:ascii="Times New Roman" w:hAnsi="Times New Roman" w:cs="Times New Roman"/>
                <w:bCs/>
                <w:color w:val="000000" w:themeColor="text1"/>
                <w:sz w:val="24"/>
                <w:szCs w:val="24"/>
                <w:lang w:eastAsia="zh-CN"/>
                <w14:textFill>
                  <w14:solidFill>
                    <w14:schemeClr w14:val="tx1"/>
                  </w14:solidFill>
                </w14:textFill>
              </w:rPr>
              <w:t>10.588</w:t>
            </w:r>
            <w:r>
              <w:rPr>
                <w:rFonts w:hint="default" w:ascii="Times New Roman" w:hAnsi="Times New Roman" w:eastAsia="宋体" w:cs="Times New Roman"/>
                <w:bCs/>
                <w:color w:val="000000" w:themeColor="text1"/>
                <w:sz w:val="24"/>
                <w:szCs w:val="24"/>
                <w:lang w:eastAsia="zh-CN"/>
                <w14:textFill>
                  <w14:solidFill>
                    <w14:schemeClr w14:val="tx1"/>
                  </w14:solidFill>
                </w14:textFill>
              </w:rPr>
              <w:t>km</w:t>
            </w:r>
            <w:r>
              <w:rPr>
                <w:rFonts w:hint="default" w:ascii="Times New Roman" w:hAnsi="Times New Roman" w:eastAsia="宋体" w:cs="Times New Roman"/>
                <w:bCs/>
                <w:color w:val="000000" w:themeColor="text1"/>
                <w:sz w:val="24"/>
                <w:szCs w:val="24"/>
                <w14:textFill>
                  <w14:solidFill>
                    <w14:schemeClr w14:val="tx1"/>
                  </w14:solidFill>
                </w14:textFill>
              </w:rPr>
              <w:t>。</w:t>
            </w:r>
          </w:p>
          <w:p w14:paraId="7E419BC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bookmarkStart w:id="59" w:name="_Toc179308943"/>
            <w:r>
              <w:rPr>
                <w:rFonts w:hint="default" w:ascii="Times New Roman" w:hAnsi="Times New Roman" w:eastAsia="宋体" w:cs="Times New Roman"/>
                <w:bCs/>
                <w:color w:val="000000" w:themeColor="text1"/>
                <w:sz w:val="24"/>
                <w:szCs w:val="24"/>
                <w14:textFill>
                  <w14:solidFill>
                    <w14:schemeClr w14:val="tx1"/>
                  </w14:solidFill>
                </w14:textFill>
              </w:rPr>
              <w:t>②管材选择</w:t>
            </w:r>
            <w:bookmarkEnd w:id="59"/>
          </w:p>
          <w:p w14:paraId="2EC268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在输水管道管径较大或输水压力较高时,采用刚性管材无论是经济性还是安全性都更好，当管道管径较小时，采用塑料管经济性和施工便捷性更好，耐腐蚀性能更好。</w:t>
            </w:r>
          </w:p>
          <w:p w14:paraId="3E9F7D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本工程管道总长约</w:t>
            </w:r>
            <w:r>
              <w:rPr>
                <w:rFonts w:hint="eastAsia" w:ascii="Times New Roman" w:hAnsi="Times New Roman" w:cs="Times New Roman"/>
                <w:bCs/>
                <w:color w:val="000000" w:themeColor="text1"/>
                <w:sz w:val="24"/>
                <w:szCs w:val="24"/>
                <w:lang w:eastAsia="zh-CN"/>
                <w14:textFill>
                  <w14:solidFill>
                    <w14:schemeClr w14:val="tx1"/>
                  </w14:solidFill>
                </w14:textFill>
              </w:rPr>
              <w:t>10.588</w:t>
            </w:r>
            <w:r>
              <w:rPr>
                <w:rFonts w:hint="default" w:ascii="Times New Roman" w:hAnsi="Times New Roman" w:eastAsia="宋体" w:cs="Times New Roman"/>
                <w:bCs/>
                <w:color w:val="000000" w:themeColor="text1"/>
                <w:sz w:val="24"/>
                <w:szCs w:val="24"/>
                <w:lang w:eastAsia="zh-CN"/>
                <w14:textFill>
                  <w14:solidFill>
                    <w14:schemeClr w14:val="tx1"/>
                  </w14:solidFill>
                </w14:textFill>
              </w:rPr>
              <w:t>km</w:t>
            </w:r>
            <w:r>
              <w:rPr>
                <w:rFonts w:hint="default" w:ascii="Times New Roman" w:hAnsi="Times New Roman" w:eastAsia="宋体" w:cs="Times New Roman"/>
                <w:bCs/>
                <w:color w:val="000000" w:themeColor="text1"/>
                <w:sz w:val="24"/>
                <w:szCs w:val="24"/>
                <w14:textFill>
                  <w14:solidFill>
                    <w14:schemeClr w14:val="tx1"/>
                  </w14:solidFill>
                </w14:textFill>
              </w:rPr>
              <w:t>，管径为</w:t>
            </w:r>
            <w:r>
              <w:rPr>
                <w:rFonts w:hint="eastAsia" w:ascii="Times New Roman" w:hAnsi="Times New Roman" w:cs="Times New Roman"/>
                <w:bCs/>
                <w:color w:val="000000" w:themeColor="text1"/>
                <w:sz w:val="24"/>
                <w:szCs w:val="24"/>
                <w:lang w:eastAsia="zh-CN"/>
                <w14:textFill>
                  <w14:solidFill>
                    <w14:schemeClr w14:val="tx1"/>
                  </w14:solidFill>
                </w14:textFill>
              </w:rPr>
              <w:t>DN400</w:t>
            </w:r>
            <w:r>
              <w:rPr>
                <w:rFonts w:hint="default" w:ascii="Times New Roman" w:hAnsi="Times New Roman" w:eastAsia="宋体" w:cs="Times New Roman"/>
                <w:bCs/>
                <w:color w:val="000000" w:themeColor="text1"/>
                <w:sz w:val="24"/>
                <w:szCs w:val="24"/>
                <w14:textFill>
                  <w14:solidFill>
                    <w14:schemeClr w14:val="tx1"/>
                  </w14:solidFill>
                </w14:textFill>
              </w:rPr>
              <w:t>，且输水压力较高、土壤及地下水腐蚀性不强、沿线地质条件复杂、输水安全性要求高。</w:t>
            </w:r>
          </w:p>
          <w:p w14:paraId="775B8A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经综合考虑，确定本次建设原水管道采用钢管，以保证输水安全性。</w:t>
            </w:r>
          </w:p>
          <w:p w14:paraId="255CF5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bookmarkStart w:id="60" w:name="_Toc136364468"/>
            <w:bookmarkStart w:id="61" w:name="_Toc179308944"/>
            <w:r>
              <w:rPr>
                <w:rFonts w:hint="default" w:ascii="Times New Roman" w:hAnsi="Times New Roman" w:eastAsia="宋体" w:cs="Times New Roman"/>
                <w:bCs/>
                <w:color w:val="000000" w:themeColor="text1"/>
                <w:sz w:val="24"/>
                <w:szCs w:val="24"/>
                <w14:textFill>
                  <w14:solidFill>
                    <w14:schemeClr w14:val="tx1"/>
                  </w14:solidFill>
                </w14:textFill>
              </w:rPr>
              <w:t>③管道埋深</w:t>
            </w:r>
            <w:bookmarkEnd w:id="60"/>
            <w:bookmarkEnd w:id="61"/>
          </w:p>
          <w:p w14:paraId="7CF15D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根据管径及在道路上所处位置的不同，管顶覆土深度为按1.0-1.5米，</w:t>
            </w:r>
            <w:bookmarkStart w:id="62" w:name="OLE_LINK40"/>
            <w:r>
              <w:rPr>
                <w:rFonts w:hint="default" w:ascii="Times New Roman" w:hAnsi="Times New Roman" w:eastAsia="宋体" w:cs="Times New Roman"/>
                <w:bCs/>
                <w:color w:val="000000" w:themeColor="text1"/>
                <w:sz w:val="24"/>
                <w:szCs w:val="24"/>
                <w14:textFill>
                  <w14:solidFill>
                    <w14:schemeClr w14:val="tx1"/>
                  </w14:solidFill>
                </w14:textFill>
              </w:rPr>
              <w:t>车道下管顶覆土考虑应≥1.0米，野外及人行道下管顶覆土考虑为0.7米</w:t>
            </w:r>
            <w:bookmarkEnd w:id="62"/>
            <w:r>
              <w:rPr>
                <w:rFonts w:hint="default" w:ascii="Times New Roman" w:hAnsi="Times New Roman" w:eastAsia="宋体" w:cs="Times New Roman"/>
                <w:bCs/>
                <w:color w:val="000000" w:themeColor="text1"/>
                <w:sz w:val="24"/>
                <w:szCs w:val="24"/>
                <w14:textFill>
                  <w14:solidFill>
                    <w14:schemeClr w14:val="tx1"/>
                  </w14:solidFill>
                </w14:textFill>
              </w:rPr>
              <w:t>。因部分特殊地形而无法埋地敷设的管道采用局部混凝土包封措施。</w:t>
            </w:r>
          </w:p>
          <w:p w14:paraId="6DCD5B2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bookmarkStart w:id="63" w:name="_Toc179308945"/>
            <w:bookmarkStart w:id="64" w:name="_Toc136364469"/>
            <w:bookmarkStart w:id="65" w:name="_Toc109635249"/>
            <w:bookmarkStart w:id="66" w:name="_Toc108453116"/>
            <w:r>
              <w:rPr>
                <w:rFonts w:hint="default" w:ascii="Times New Roman" w:hAnsi="Times New Roman" w:eastAsia="宋体" w:cs="Times New Roman"/>
                <w:bCs/>
                <w:color w:val="000000" w:themeColor="text1"/>
                <w:sz w:val="24"/>
                <w:szCs w:val="24"/>
                <w14:textFill>
                  <w14:solidFill>
                    <w14:schemeClr w14:val="tx1"/>
                  </w14:solidFill>
                </w14:textFill>
              </w:rPr>
              <w:fldChar w:fldCharType="begin"/>
            </w:r>
            <w:r>
              <w:rPr>
                <w:rFonts w:hint="default" w:ascii="Times New Roman" w:hAnsi="Times New Roman" w:eastAsia="宋体" w:cs="Times New Roman"/>
                <w:bCs/>
                <w:color w:val="000000" w:themeColor="text1"/>
                <w:sz w:val="24"/>
                <w:szCs w:val="24"/>
                <w14:textFill>
                  <w14:solidFill>
                    <w14:schemeClr w14:val="tx1"/>
                  </w14:solidFill>
                </w14:textFill>
              </w:rPr>
              <w:instrText xml:space="preserve"> = 4 \* GB3 \* MERGEFORMAT </w:instrText>
            </w:r>
            <w:r>
              <w:rPr>
                <w:rFonts w:hint="default" w:ascii="Times New Roman" w:hAnsi="Times New Roman" w:eastAsia="宋体" w:cs="Times New Roman"/>
                <w:bCs/>
                <w:color w:val="000000" w:themeColor="text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④</w:t>
            </w:r>
            <w:r>
              <w:rPr>
                <w:rFonts w:hint="default" w:ascii="Times New Roman" w:hAnsi="Times New Roman" w:eastAsia="宋体" w:cs="Times New Roman"/>
                <w:bCs/>
                <w:color w:val="000000" w:themeColor="text1"/>
                <w:sz w:val="24"/>
                <w:szCs w:val="24"/>
                <w14:textFill>
                  <w14:solidFill>
                    <w14:schemeClr w14:val="tx1"/>
                  </w14:solidFill>
                </w14:textFill>
              </w:rPr>
              <w:fldChar w:fldCharType="end"/>
            </w:r>
            <w:r>
              <w:rPr>
                <w:rFonts w:hint="default" w:ascii="Times New Roman" w:hAnsi="Times New Roman" w:eastAsia="宋体" w:cs="Times New Roman"/>
                <w:bCs/>
                <w:color w:val="000000" w:themeColor="text1"/>
                <w:sz w:val="24"/>
                <w:szCs w:val="24"/>
                <w14:textFill>
                  <w14:solidFill>
                    <w14:schemeClr w14:val="tx1"/>
                  </w14:solidFill>
                </w14:textFill>
              </w:rPr>
              <w:t>管道基础</w:t>
            </w:r>
            <w:bookmarkEnd w:id="63"/>
            <w:bookmarkEnd w:id="64"/>
            <w:bookmarkEnd w:id="65"/>
            <w:bookmarkEnd w:id="66"/>
          </w:p>
          <w:p w14:paraId="31DDFD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本项目管道敷设于野外及道路下，</w:t>
            </w:r>
            <w:bookmarkStart w:id="67" w:name="OLE_LINK41"/>
            <w:r>
              <w:rPr>
                <w:rFonts w:hint="default" w:ascii="Times New Roman" w:hAnsi="Times New Roman" w:eastAsia="宋体" w:cs="Times New Roman"/>
                <w:bCs/>
                <w:color w:val="000000" w:themeColor="text1"/>
                <w:sz w:val="24"/>
                <w:szCs w:val="24"/>
                <w14:textFill>
                  <w14:solidFill>
                    <w14:schemeClr w14:val="tx1"/>
                  </w14:solidFill>
                </w14:textFill>
              </w:rPr>
              <w:t>敷设于车行道下管道采用混凝土满包基础，敷设于人行道下采用砂垫层基础，其厚度按150~200mm</w:t>
            </w:r>
            <w:bookmarkEnd w:id="67"/>
            <w:r>
              <w:rPr>
                <w:rFonts w:hint="default" w:ascii="Times New Roman" w:hAnsi="Times New Roman" w:eastAsia="宋体" w:cs="Times New Roman"/>
                <w:bCs/>
                <w:color w:val="000000" w:themeColor="text1"/>
                <w:sz w:val="24"/>
                <w:szCs w:val="24"/>
                <w14:textFill>
                  <w14:solidFill>
                    <w14:schemeClr w14:val="tx1"/>
                  </w14:solidFill>
                </w14:textFill>
              </w:rPr>
              <w:t>。</w:t>
            </w:r>
          </w:p>
          <w:p w14:paraId="6F6F9C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管道要求地基承载力fak≥100Kpa，开挖时应避免超挖或扰动，当地下水位高于沟槽底面时，需做降水（明排、井点降水）处理，待地下水位低于沟槽底面0.5m后方可进行管道基础施工。</w:t>
            </w:r>
          </w:p>
          <w:p w14:paraId="1916A6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bookmarkStart w:id="68" w:name="_Toc136364470"/>
            <w:bookmarkStart w:id="69" w:name="_Toc109635250"/>
            <w:bookmarkStart w:id="70" w:name="_Toc179308946"/>
            <w:bookmarkStart w:id="71" w:name="_Toc92269446"/>
            <w:bookmarkStart w:id="72" w:name="_Toc426621973"/>
            <w:bookmarkStart w:id="73" w:name="_Toc92274274"/>
            <w:bookmarkStart w:id="74" w:name="_Toc108453117"/>
            <w:bookmarkStart w:id="75" w:name="_Toc92124401"/>
            <w:r>
              <w:rPr>
                <w:rFonts w:hint="default" w:ascii="Times New Roman" w:hAnsi="Times New Roman" w:eastAsia="宋体" w:cs="Times New Roman"/>
                <w:bCs/>
                <w:color w:val="000000" w:themeColor="text1"/>
                <w:sz w:val="24"/>
                <w:szCs w:val="24"/>
                <w14:textFill>
                  <w14:solidFill>
                    <w14:schemeClr w14:val="tx1"/>
                  </w14:solidFill>
                </w14:textFill>
              </w:rPr>
              <w:fldChar w:fldCharType="begin"/>
            </w:r>
            <w:r>
              <w:rPr>
                <w:rFonts w:hint="default" w:ascii="Times New Roman" w:hAnsi="Times New Roman" w:eastAsia="宋体" w:cs="Times New Roman"/>
                <w:bCs/>
                <w:color w:val="000000" w:themeColor="text1"/>
                <w:sz w:val="24"/>
                <w:szCs w:val="24"/>
                <w14:textFill>
                  <w14:solidFill>
                    <w14:schemeClr w14:val="tx1"/>
                  </w14:solidFill>
                </w14:textFill>
              </w:rPr>
              <w:instrText xml:space="preserve"> = 5 \* GB3 \* MERGEFORMAT </w:instrText>
            </w:r>
            <w:r>
              <w:rPr>
                <w:rFonts w:hint="default" w:ascii="Times New Roman" w:hAnsi="Times New Roman" w:eastAsia="宋体" w:cs="Times New Roman"/>
                <w:bCs/>
                <w:color w:val="000000" w:themeColor="text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⑤</w:t>
            </w:r>
            <w:r>
              <w:rPr>
                <w:rFonts w:hint="default" w:ascii="Times New Roman" w:hAnsi="Times New Roman" w:eastAsia="宋体" w:cs="Times New Roman"/>
                <w:bCs/>
                <w:color w:val="000000" w:themeColor="text1"/>
                <w:sz w:val="24"/>
                <w:szCs w:val="24"/>
                <w14:textFill>
                  <w14:solidFill>
                    <w14:schemeClr w14:val="tx1"/>
                  </w14:solidFill>
                </w14:textFill>
              </w:rPr>
              <w:fldChar w:fldCharType="end"/>
            </w:r>
            <w:r>
              <w:rPr>
                <w:rFonts w:hint="default" w:ascii="Times New Roman" w:hAnsi="Times New Roman" w:eastAsia="宋体" w:cs="Times New Roman"/>
                <w:bCs/>
                <w:color w:val="000000" w:themeColor="text1"/>
                <w:sz w:val="24"/>
                <w:szCs w:val="24"/>
                <w14:textFill>
                  <w14:solidFill>
                    <w14:schemeClr w14:val="tx1"/>
                  </w14:solidFill>
                </w14:textFill>
              </w:rPr>
              <w:t>管道压力、接口形式及支墩</w:t>
            </w:r>
            <w:bookmarkEnd w:id="68"/>
            <w:bookmarkEnd w:id="69"/>
            <w:bookmarkEnd w:id="70"/>
            <w:bookmarkEnd w:id="71"/>
            <w:bookmarkEnd w:id="72"/>
            <w:bookmarkEnd w:id="73"/>
            <w:bookmarkEnd w:id="74"/>
            <w:bookmarkEnd w:id="75"/>
          </w:p>
          <w:p w14:paraId="5FC27E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bookmarkStart w:id="76" w:name="OLE_LINK42"/>
            <w:bookmarkStart w:id="77" w:name="OLE_LINK43"/>
            <w:r>
              <w:rPr>
                <w:rFonts w:hint="default" w:ascii="Times New Roman" w:hAnsi="Times New Roman" w:eastAsia="宋体" w:cs="Times New Roman"/>
                <w:bCs/>
                <w:color w:val="000000" w:themeColor="text1"/>
                <w:sz w:val="24"/>
                <w:szCs w:val="24"/>
                <w14:textFill>
                  <w14:solidFill>
                    <w14:schemeClr w14:val="tx1"/>
                  </w14:solidFill>
                </w14:textFill>
              </w:rPr>
              <w:t>本项目输水钢管最大工作压力为1.0MPa，采用焊接。</w:t>
            </w:r>
          </w:p>
          <w:bookmarkEnd w:id="76"/>
          <w:bookmarkEnd w:id="77"/>
          <w:p w14:paraId="18BC31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bookmarkStart w:id="78" w:name="_Toc109635253"/>
            <w:bookmarkStart w:id="79" w:name="_Toc108453120"/>
            <w:bookmarkStart w:id="80" w:name="_Toc136364472"/>
            <w:bookmarkStart w:id="81" w:name="_Toc179308948"/>
            <w:r>
              <w:rPr>
                <w:rFonts w:hint="default" w:ascii="Times New Roman" w:hAnsi="Times New Roman" w:eastAsia="宋体" w:cs="Times New Roman"/>
                <w:bCs/>
                <w:color w:val="000000" w:themeColor="text1"/>
                <w:sz w:val="24"/>
                <w:szCs w:val="24"/>
                <w14:textFill>
                  <w14:solidFill>
                    <w14:schemeClr w14:val="tx1"/>
                  </w14:solidFill>
                </w14:textFill>
              </w:rPr>
              <w:fldChar w:fldCharType="begin"/>
            </w:r>
            <w:r>
              <w:rPr>
                <w:rFonts w:hint="default" w:ascii="Times New Roman" w:hAnsi="Times New Roman" w:eastAsia="宋体" w:cs="Times New Roman"/>
                <w:bCs/>
                <w:color w:val="000000" w:themeColor="text1"/>
                <w:sz w:val="24"/>
                <w:szCs w:val="24"/>
                <w14:textFill>
                  <w14:solidFill>
                    <w14:schemeClr w14:val="tx1"/>
                  </w14:solidFill>
                </w14:textFill>
              </w:rPr>
              <w:instrText xml:space="preserve"> = 6 \* GB3 \* MERGEFORMAT </w:instrText>
            </w:r>
            <w:r>
              <w:rPr>
                <w:rFonts w:hint="default" w:ascii="Times New Roman" w:hAnsi="Times New Roman" w:eastAsia="宋体" w:cs="Times New Roman"/>
                <w:bCs/>
                <w:color w:val="000000" w:themeColor="text1"/>
                <w:sz w:val="24"/>
                <w:szCs w:val="24"/>
                <w14:textFill>
                  <w14:solidFill>
                    <w14:schemeClr w14:val="tx1"/>
                  </w14:solidFill>
                </w14:textFill>
              </w:rPr>
              <w:fldChar w:fldCharType="separate"/>
            </w:r>
            <w:r>
              <w:rPr>
                <w:rFonts w:hint="default" w:ascii="Times New Roman" w:hAnsi="Times New Roman" w:eastAsia="宋体" w:cs="Times New Roman"/>
                <w:color w:val="000000" w:themeColor="text1"/>
                <w:sz w:val="24"/>
                <w:szCs w:val="24"/>
                <w14:textFill>
                  <w14:solidFill>
                    <w14:schemeClr w14:val="tx1"/>
                  </w14:solidFill>
                </w14:textFill>
              </w:rPr>
              <w:t>⑥</w:t>
            </w:r>
            <w:r>
              <w:rPr>
                <w:rFonts w:hint="default" w:ascii="Times New Roman" w:hAnsi="Times New Roman" w:eastAsia="宋体" w:cs="Times New Roman"/>
                <w:bCs/>
                <w:color w:val="000000" w:themeColor="text1"/>
                <w:sz w:val="24"/>
                <w:szCs w:val="24"/>
                <w14:textFill>
                  <w14:solidFill>
                    <w14:schemeClr w14:val="tx1"/>
                  </w14:solidFill>
                </w14:textFill>
              </w:rPr>
              <w:fldChar w:fldCharType="end"/>
            </w:r>
            <w:r>
              <w:rPr>
                <w:rFonts w:hint="default" w:ascii="Times New Roman" w:hAnsi="Times New Roman" w:eastAsia="宋体" w:cs="Times New Roman"/>
                <w:bCs/>
                <w:color w:val="000000" w:themeColor="text1"/>
                <w:sz w:val="24"/>
                <w:szCs w:val="24"/>
                <w14:textFill>
                  <w14:solidFill>
                    <w14:schemeClr w14:val="tx1"/>
                  </w14:solidFill>
                </w14:textFill>
              </w:rPr>
              <w:t>管道附属设施</w:t>
            </w:r>
            <w:bookmarkEnd w:id="78"/>
            <w:bookmarkEnd w:id="79"/>
            <w:bookmarkEnd w:id="80"/>
            <w:bookmarkEnd w:id="81"/>
          </w:p>
          <w:p w14:paraId="565A19B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a</w:t>
            </w:r>
            <w:r>
              <w:rPr>
                <w:rFonts w:hint="default" w:ascii="Times New Roman" w:hAnsi="Times New Roman" w:eastAsia="宋体" w:cs="Times New Roman"/>
                <w:bCs/>
                <w:color w:val="000000" w:themeColor="text1"/>
                <w:sz w:val="24"/>
                <w:szCs w:val="24"/>
                <w14:textFill>
                  <w14:solidFill>
                    <w14:schemeClr w14:val="tx1"/>
                  </w14:solidFill>
                </w14:textFill>
              </w:rPr>
              <w:t>、控制阀门</w:t>
            </w:r>
          </w:p>
          <w:p w14:paraId="0BF0F0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在输水管长度＜3km时，每隔1～1.5km设1个控制蝶阀；</w:t>
            </w:r>
          </w:p>
          <w:p w14:paraId="7D1A5E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在输水管长度10～20km时，每隔3～4km设1个控制蝶阀。</w:t>
            </w:r>
          </w:p>
          <w:p w14:paraId="3E1F32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配水管道上两个阀门之间独立管段内消火栓的数量不宜超过5个。</w:t>
            </w:r>
          </w:p>
          <w:p w14:paraId="03CF06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b</w:t>
            </w:r>
            <w:r>
              <w:rPr>
                <w:rFonts w:hint="default" w:ascii="Times New Roman" w:hAnsi="Times New Roman" w:eastAsia="宋体" w:cs="Times New Roman"/>
                <w:bCs/>
                <w:color w:val="000000" w:themeColor="text1"/>
                <w:sz w:val="24"/>
                <w:szCs w:val="24"/>
                <w14:textFill>
                  <w14:solidFill>
                    <w14:schemeClr w14:val="tx1"/>
                  </w14:solidFill>
                </w14:textFill>
              </w:rPr>
              <w:t>、排气阀</w:t>
            </w:r>
          </w:p>
          <w:p w14:paraId="5DB8D3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在输水管沿线管道隆起处或在平缓地势长距离输水超过一定距离时，设复合式排气阀与控制蝶阀。</w:t>
            </w:r>
          </w:p>
          <w:p w14:paraId="7F61E3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c</w:t>
            </w:r>
            <w:r>
              <w:rPr>
                <w:rFonts w:hint="default" w:ascii="Times New Roman" w:hAnsi="Times New Roman" w:eastAsia="宋体" w:cs="Times New Roman"/>
                <w:bCs/>
                <w:color w:val="000000" w:themeColor="text1"/>
                <w:sz w:val="24"/>
                <w:szCs w:val="24"/>
                <w14:textFill>
                  <w14:solidFill>
                    <w14:schemeClr w14:val="tx1"/>
                  </w14:solidFill>
                </w14:textFill>
              </w:rPr>
              <w:t>、</w:t>
            </w:r>
            <w:bookmarkStart w:id="82" w:name="_Toc197079501"/>
            <w:r>
              <w:rPr>
                <w:rFonts w:hint="default" w:ascii="Times New Roman" w:hAnsi="Times New Roman" w:eastAsia="宋体" w:cs="Times New Roman"/>
                <w:bCs/>
                <w:color w:val="000000" w:themeColor="text1"/>
                <w:sz w:val="24"/>
                <w:szCs w:val="24"/>
                <w14:textFill>
                  <w14:solidFill>
                    <w14:schemeClr w14:val="tx1"/>
                  </w14:solidFill>
                </w14:textFill>
              </w:rPr>
              <w:t>泄水阀</w:t>
            </w:r>
            <w:bookmarkEnd w:id="82"/>
          </w:p>
          <w:p w14:paraId="7E563C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泄水阀设置在每个检修管段的最低点，泄水阀采用软密封闸阀。</w:t>
            </w:r>
          </w:p>
          <w:p w14:paraId="54186E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d</w:t>
            </w:r>
            <w:r>
              <w:rPr>
                <w:rFonts w:hint="default" w:ascii="Times New Roman" w:hAnsi="Times New Roman" w:eastAsia="宋体" w:cs="Times New Roman"/>
                <w:bCs/>
                <w:color w:val="000000" w:themeColor="text1"/>
                <w:sz w:val="24"/>
                <w:szCs w:val="24"/>
                <w14:textFill>
                  <w14:solidFill>
                    <w14:schemeClr w14:val="tx1"/>
                  </w14:solidFill>
                </w14:textFill>
              </w:rPr>
              <w:t>、计量设备</w:t>
            </w:r>
          </w:p>
          <w:p w14:paraId="3C4523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为节约水资源，降低城市供水管网漏失率，保障管网漏失率控制目标，本次设计在取水口新建原水输水主管</w:t>
            </w:r>
            <w:r>
              <w:rPr>
                <w:rFonts w:hint="eastAsia" w:ascii="Times New Roman" w:hAnsi="Times New Roman" w:cs="Times New Roman"/>
                <w:bCs/>
                <w:color w:val="000000" w:themeColor="text1"/>
                <w:sz w:val="24"/>
                <w:szCs w:val="24"/>
                <w:lang w:eastAsia="zh-CN"/>
                <w14:textFill>
                  <w14:solidFill>
                    <w14:schemeClr w14:val="tx1"/>
                  </w14:solidFill>
                </w14:textFill>
              </w:rPr>
              <w:t>DN400</w:t>
            </w:r>
            <w:r>
              <w:rPr>
                <w:rFonts w:hint="default" w:ascii="Times New Roman" w:hAnsi="Times New Roman" w:eastAsia="宋体" w:cs="Times New Roman"/>
                <w:bCs/>
                <w:color w:val="000000" w:themeColor="text1"/>
                <w:sz w:val="24"/>
                <w:szCs w:val="24"/>
                <w14:textFill>
                  <w14:solidFill>
                    <w14:schemeClr w14:val="tx1"/>
                  </w14:solidFill>
                </w14:textFill>
              </w:rPr>
              <w:t>上设置流量计。</w:t>
            </w:r>
          </w:p>
          <w:p w14:paraId="17DA75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流量计数据采集采用实时传输方式，实时将采集数据传输至泸定县供水管理平台进行爆管分析处理。</w:t>
            </w:r>
          </w:p>
          <w:p w14:paraId="641C96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e</w:t>
            </w:r>
            <w:r>
              <w:rPr>
                <w:rFonts w:hint="default" w:ascii="Times New Roman" w:hAnsi="Times New Roman" w:eastAsia="宋体" w:cs="Times New Roman"/>
                <w:bCs/>
                <w:color w:val="000000" w:themeColor="text1"/>
                <w:sz w:val="24"/>
                <w:szCs w:val="24"/>
                <w14:textFill>
                  <w14:solidFill>
                    <w14:schemeClr w14:val="tx1"/>
                  </w14:solidFill>
                </w14:textFill>
              </w:rPr>
              <w:t>、检查井盖</w:t>
            </w:r>
          </w:p>
          <w:p w14:paraId="29C006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检查井盖座须符合《检查井盖》(GB/T23858-2009)的要求:本项目位于人行道、绿化带的检查井采用球墨铸铁复合树脂检查井盖、井圈及井座,等级不低于C250级；位于车行道下检查井采用球墨铸铁复合树脂检查井盖、井圈及井座，等级不低于D400级。所采用的球墨铸铁复合树脂检查井盖、井圈及井座须满足《球墨铸铁复合树脂检查井盖》(CJ/T327-2010)要求。给水检查井盖应有明确标识，消火栓井应区别标识，不得错盖。</w:t>
            </w:r>
          </w:p>
          <w:p w14:paraId="074C8CE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lang w:val="en-US" w:eastAsia="zh-CN"/>
                <w14:textFill>
                  <w14:solidFill>
                    <w14:schemeClr w14:val="tx1"/>
                  </w14:solidFill>
                </w14:textFill>
              </w:rPr>
            </w:pPr>
            <w:bookmarkStart w:id="83" w:name="_Toc179308949"/>
            <w:bookmarkStart w:id="84" w:name="_Toc108453121"/>
            <w:bookmarkStart w:id="85" w:name="_Toc136364473"/>
            <w:bookmarkStart w:id="86" w:name="_Toc109635254"/>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fldChar w:fldCharType="begin"/>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instrText xml:space="preserve"> = 7 \* GB3 \* MERGEFORMAT </w:instrTex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fldChar w:fldCharType="separate"/>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⑦</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fldChar w:fldCharType="end"/>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管道试压及冲洗消毒</w:t>
            </w:r>
            <w:bookmarkEnd w:id="83"/>
            <w:bookmarkEnd w:id="84"/>
            <w:bookmarkEnd w:id="85"/>
            <w:bookmarkEnd w:id="86"/>
          </w:p>
          <w:p w14:paraId="66AC36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给水管道安装检验合格后应进行水压试验,试验压力为工作压力的1.5倍,且不小于0.8M</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Pa</w:t>
            </w:r>
            <w:r>
              <w:rPr>
                <w:rFonts w:hint="default" w:ascii="Times New Roman" w:hAnsi="Times New Roman" w:eastAsia="宋体" w:cs="Times New Roman"/>
                <w:bCs/>
                <w:color w:val="000000" w:themeColor="text1"/>
                <w:sz w:val="24"/>
                <w:szCs w:val="24"/>
                <w14:textFill>
                  <w14:solidFill>
                    <w14:schemeClr w14:val="tx1"/>
                  </w14:solidFill>
                </w14:textFill>
              </w:rPr>
              <w:t>管道水压试验的分段长度不宜大于1.0km。水压试验应符合《</w:t>
            </w:r>
            <w:r>
              <w:rPr>
                <w:rFonts w:hint="default" w:ascii="Times New Roman" w:hAnsi="Times New Roman" w:eastAsia="宋体" w:cs="Times New Roman"/>
                <w:bCs/>
                <w:color w:val="000000" w:themeColor="text1"/>
                <w:sz w:val="24"/>
                <w:szCs w:val="24"/>
                <w:lang w:eastAsia="zh-CN"/>
                <w14:textFill>
                  <w14:solidFill>
                    <w14:schemeClr w14:val="tx1"/>
                  </w14:solidFill>
                </w14:textFill>
              </w:rPr>
              <w:t>给水排水管道工程施工及验收规范</w:t>
            </w:r>
            <w:r>
              <w:rPr>
                <w:rFonts w:hint="default" w:ascii="Times New Roman" w:hAnsi="Times New Roman" w:eastAsia="宋体" w:cs="Times New Roman"/>
                <w:bCs/>
                <w:color w:val="000000" w:themeColor="text1"/>
                <w:sz w:val="24"/>
                <w:szCs w:val="24"/>
                <w14:textFill>
                  <w14:solidFill>
                    <w14:schemeClr w14:val="tx1"/>
                  </w14:solidFill>
                </w14:textFill>
              </w:rPr>
              <w:t>(GB50268-2008)》的相关规定。</w:t>
            </w:r>
          </w:p>
          <w:p w14:paraId="3820DD1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14:textFill>
                  <w14:solidFill>
                    <w14:schemeClr w14:val="tx1"/>
                  </w14:solidFill>
                </w14:textFill>
              </w:rPr>
              <w:t>主要</w:t>
            </w:r>
            <w:r>
              <w:rPr>
                <w:rFonts w:hint="default" w:ascii="Times New Roman" w:hAnsi="Times New Roman" w:eastAsia="宋体" w:cs="Times New Roman"/>
                <w:b/>
                <w:bCs/>
                <w:color w:val="000000" w:themeColor="text1"/>
                <w:sz w:val="24"/>
                <w:lang w:val="en-US" w:eastAsia="zh-CN"/>
                <w14:textFill>
                  <w14:solidFill>
                    <w14:schemeClr w14:val="tx1"/>
                  </w14:solidFill>
                </w14:textFill>
              </w:rPr>
              <w:t>工程量</w:t>
            </w:r>
          </w:p>
          <w:p w14:paraId="486A0C6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本项目主要</w:t>
            </w:r>
            <w:r>
              <w:rPr>
                <w:rFonts w:hint="default" w:ascii="Times New Roman" w:hAnsi="Times New Roman" w:eastAsia="宋体" w:cs="Times New Roman"/>
                <w:bCs/>
                <w:color w:val="000000" w:themeColor="text1"/>
                <w:sz w:val="24"/>
                <w:lang w:val="en-US" w:eastAsia="zh-CN"/>
                <w14:textFill>
                  <w14:solidFill>
                    <w14:schemeClr w14:val="tx1"/>
                  </w14:solidFill>
                </w14:textFill>
              </w:rPr>
              <w:t>工程量</w:t>
            </w:r>
            <w:r>
              <w:rPr>
                <w:rFonts w:hint="default" w:ascii="Times New Roman" w:hAnsi="Times New Roman" w:eastAsia="宋体" w:cs="Times New Roman"/>
                <w:bCs/>
                <w:color w:val="000000" w:themeColor="text1"/>
                <w:sz w:val="24"/>
                <w14:textFill>
                  <w14:solidFill>
                    <w14:schemeClr w14:val="tx1"/>
                  </w14:solidFill>
                </w14:textFill>
              </w:rPr>
              <w:t>见下表。</w:t>
            </w:r>
          </w:p>
          <w:p w14:paraId="0A0CAAF8">
            <w:pPr>
              <w:pStyle w:val="155"/>
              <w:keepNext w:val="0"/>
              <w:keepLines w:val="0"/>
              <w:pageBreakBefore w:val="0"/>
              <w:numPr>
                <w:ilvl w:val="0"/>
                <w:numId w:val="17"/>
              </w:numPr>
              <w:kinsoku/>
              <w:wordWrap/>
              <w:overflowPunct/>
              <w:topLinePunct w:val="0"/>
              <w:autoSpaceDE/>
              <w:autoSpaceDN/>
              <w:bidi w:val="0"/>
              <w:adjustRightInd w:val="0"/>
              <w:snapToGrid w:val="0"/>
              <w:spacing w:line="240" w:lineRule="auto"/>
              <w:ind w:left="440" w:leftChars="0" w:hanging="44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bookmarkStart w:id="87" w:name="OLE_LINK49"/>
            <w:bookmarkStart w:id="88" w:name="OLE_LINK50"/>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取水口主要建、构筑物一览表</w:t>
            </w:r>
            <w:bookmarkEnd w:id="87"/>
            <w:bookmarkEnd w:id="88"/>
          </w:p>
          <w:tbl>
            <w:tblPr>
              <w:tblStyle w:val="5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2037"/>
              <w:gridCol w:w="2288"/>
              <w:gridCol w:w="863"/>
              <w:gridCol w:w="776"/>
              <w:gridCol w:w="1541"/>
            </w:tblGrid>
            <w:tr w14:paraId="108D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12" w:type="pct"/>
                  <w:tcBorders>
                    <w:tl2br w:val="nil"/>
                    <w:tr2bl w:val="nil"/>
                  </w:tcBorders>
                  <w:vAlign w:val="center"/>
                </w:tcPr>
                <w:p w14:paraId="5AE80B3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编号</w:t>
                  </w:r>
                </w:p>
              </w:tc>
              <w:tc>
                <w:tcPr>
                  <w:tcW w:w="1245" w:type="pct"/>
                  <w:tcBorders>
                    <w:tl2br w:val="nil"/>
                    <w:tr2bl w:val="nil"/>
                  </w:tcBorders>
                  <w:vAlign w:val="center"/>
                </w:tcPr>
                <w:p w14:paraId="3B989E3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名称</w:t>
                  </w:r>
                </w:p>
              </w:tc>
              <w:tc>
                <w:tcPr>
                  <w:tcW w:w="1398" w:type="pct"/>
                  <w:tcBorders>
                    <w:tl2br w:val="nil"/>
                    <w:tr2bl w:val="nil"/>
                  </w:tcBorders>
                  <w:vAlign w:val="center"/>
                </w:tcPr>
                <w:p w14:paraId="2E2309E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规格、尺寸（m）</w:t>
                  </w:r>
                </w:p>
              </w:tc>
              <w:tc>
                <w:tcPr>
                  <w:tcW w:w="528" w:type="pct"/>
                  <w:tcBorders>
                    <w:tl2br w:val="nil"/>
                    <w:tr2bl w:val="nil"/>
                  </w:tcBorders>
                  <w:vAlign w:val="center"/>
                </w:tcPr>
                <w:p w14:paraId="7AC1775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单位</w:t>
                  </w:r>
                </w:p>
              </w:tc>
              <w:tc>
                <w:tcPr>
                  <w:tcW w:w="474" w:type="pct"/>
                  <w:tcBorders>
                    <w:tl2br w:val="nil"/>
                    <w:tr2bl w:val="nil"/>
                  </w:tcBorders>
                  <w:vAlign w:val="center"/>
                </w:tcPr>
                <w:p w14:paraId="45BBD64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数量</w:t>
                  </w:r>
                </w:p>
              </w:tc>
              <w:tc>
                <w:tcPr>
                  <w:tcW w:w="941" w:type="pct"/>
                  <w:tcBorders>
                    <w:tl2br w:val="nil"/>
                    <w:tr2bl w:val="nil"/>
                  </w:tcBorders>
                  <w:vAlign w:val="center"/>
                </w:tcPr>
                <w:p w14:paraId="30F8490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备注</w:t>
                  </w:r>
                </w:p>
              </w:tc>
            </w:tr>
            <w:tr w14:paraId="7254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2" w:type="pct"/>
                  <w:tcBorders>
                    <w:tl2br w:val="nil"/>
                    <w:tr2bl w:val="nil"/>
                  </w:tcBorders>
                  <w:vAlign w:val="center"/>
                </w:tcPr>
                <w:p w14:paraId="6CAC7B1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1245" w:type="pct"/>
                  <w:tcBorders>
                    <w:tl2br w:val="nil"/>
                    <w:tr2bl w:val="nil"/>
                  </w:tcBorders>
                  <w:vAlign w:val="center"/>
                </w:tcPr>
                <w:p w14:paraId="41A3388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底栏栅坝</w:t>
                  </w:r>
                </w:p>
              </w:tc>
              <w:tc>
                <w:tcPr>
                  <w:tcW w:w="1398" w:type="pct"/>
                  <w:tcBorders>
                    <w:tl2br w:val="nil"/>
                    <w:tr2bl w:val="nil"/>
                  </w:tcBorders>
                  <w:vAlign w:val="center"/>
                </w:tcPr>
                <w:p w14:paraId="5144124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15.5×10.0×1.9m</w:t>
                  </w:r>
                </w:p>
              </w:tc>
              <w:tc>
                <w:tcPr>
                  <w:tcW w:w="528" w:type="pct"/>
                  <w:tcBorders>
                    <w:tl2br w:val="nil"/>
                    <w:tr2bl w:val="nil"/>
                  </w:tcBorders>
                  <w:vAlign w:val="center"/>
                </w:tcPr>
                <w:p w14:paraId="7EBE840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座</w:t>
                  </w:r>
                </w:p>
              </w:tc>
              <w:tc>
                <w:tcPr>
                  <w:tcW w:w="474" w:type="pct"/>
                  <w:tcBorders>
                    <w:tl2br w:val="nil"/>
                    <w:tr2bl w:val="nil"/>
                  </w:tcBorders>
                  <w:vAlign w:val="center"/>
                </w:tcPr>
                <w:p w14:paraId="0F9A84C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941" w:type="pct"/>
                  <w:tcBorders>
                    <w:tl2br w:val="nil"/>
                    <w:tr2bl w:val="nil"/>
                  </w:tcBorders>
                  <w:vAlign w:val="center"/>
                </w:tcPr>
                <w:p w14:paraId="1530107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1286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2" w:type="pct"/>
                  <w:tcBorders>
                    <w:tl2br w:val="nil"/>
                    <w:tr2bl w:val="nil"/>
                  </w:tcBorders>
                  <w:vAlign w:val="center"/>
                </w:tcPr>
                <w:p w14:paraId="09D4670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w:t>
                  </w:r>
                </w:p>
              </w:tc>
              <w:tc>
                <w:tcPr>
                  <w:tcW w:w="1245" w:type="pct"/>
                  <w:tcBorders>
                    <w:tl2br w:val="nil"/>
                    <w:tr2bl w:val="nil"/>
                  </w:tcBorders>
                  <w:vAlign w:val="center"/>
                </w:tcPr>
                <w:p w14:paraId="3EEFD3B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沉砂池</w:t>
                  </w:r>
                </w:p>
              </w:tc>
              <w:tc>
                <w:tcPr>
                  <w:tcW w:w="1398" w:type="pct"/>
                  <w:tcBorders>
                    <w:tl2br w:val="nil"/>
                    <w:tr2bl w:val="nil"/>
                  </w:tcBorders>
                  <w:vAlign w:val="center"/>
                </w:tcPr>
                <w:p w14:paraId="69F7907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12.5×4×3.5</w:t>
                  </w:r>
                </w:p>
              </w:tc>
              <w:tc>
                <w:tcPr>
                  <w:tcW w:w="528" w:type="pct"/>
                  <w:tcBorders>
                    <w:tl2br w:val="nil"/>
                    <w:tr2bl w:val="nil"/>
                  </w:tcBorders>
                  <w:vAlign w:val="center"/>
                </w:tcPr>
                <w:p w14:paraId="7618351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座</w:t>
                  </w:r>
                </w:p>
              </w:tc>
              <w:tc>
                <w:tcPr>
                  <w:tcW w:w="474" w:type="pct"/>
                  <w:tcBorders>
                    <w:tl2br w:val="nil"/>
                    <w:tr2bl w:val="nil"/>
                  </w:tcBorders>
                  <w:vAlign w:val="center"/>
                </w:tcPr>
                <w:p w14:paraId="2341BD3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941" w:type="pct"/>
                  <w:tcBorders>
                    <w:tl2br w:val="nil"/>
                    <w:tr2bl w:val="nil"/>
                  </w:tcBorders>
                  <w:vAlign w:val="center"/>
                </w:tcPr>
                <w:p w14:paraId="0A6559A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21FD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2" w:type="pct"/>
                  <w:tcBorders>
                    <w:tl2br w:val="nil"/>
                    <w:tr2bl w:val="nil"/>
                  </w:tcBorders>
                  <w:vAlign w:val="center"/>
                </w:tcPr>
                <w:p w14:paraId="35D30B1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w:t>
                  </w:r>
                </w:p>
              </w:tc>
              <w:tc>
                <w:tcPr>
                  <w:tcW w:w="1245" w:type="pct"/>
                  <w:tcBorders>
                    <w:tl2br w:val="nil"/>
                    <w:tr2bl w:val="nil"/>
                  </w:tcBorders>
                  <w:vAlign w:val="center"/>
                </w:tcPr>
                <w:p w14:paraId="54D797C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阀门井</w:t>
                  </w:r>
                </w:p>
              </w:tc>
              <w:tc>
                <w:tcPr>
                  <w:tcW w:w="1398" w:type="pct"/>
                  <w:tcBorders>
                    <w:tl2br w:val="nil"/>
                    <w:tr2bl w:val="nil"/>
                  </w:tcBorders>
                  <w:vAlign w:val="center"/>
                </w:tcPr>
                <w:p w14:paraId="057A0F7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1.4×1.4</w:t>
                  </w:r>
                </w:p>
              </w:tc>
              <w:tc>
                <w:tcPr>
                  <w:tcW w:w="528" w:type="pct"/>
                  <w:tcBorders>
                    <w:tl2br w:val="nil"/>
                    <w:tr2bl w:val="nil"/>
                  </w:tcBorders>
                  <w:vAlign w:val="center"/>
                </w:tcPr>
                <w:p w14:paraId="4B5A2A4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座</w:t>
                  </w:r>
                </w:p>
              </w:tc>
              <w:tc>
                <w:tcPr>
                  <w:tcW w:w="474" w:type="pct"/>
                  <w:tcBorders>
                    <w:tl2br w:val="nil"/>
                    <w:tr2bl w:val="nil"/>
                  </w:tcBorders>
                  <w:vAlign w:val="center"/>
                </w:tcPr>
                <w:p w14:paraId="6810A20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w:t>
                  </w:r>
                </w:p>
              </w:tc>
              <w:tc>
                <w:tcPr>
                  <w:tcW w:w="941" w:type="pct"/>
                  <w:tcBorders>
                    <w:tl2br w:val="nil"/>
                    <w:tr2bl w:val="nil"/>
                  </w:tcBorders>
                  <w:vAlign w:val="center"/>
                </w:tcPr>
                <w:p w14:paraId="7696F15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7AC1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2" w:type="pct"/>
                  <w:tcBorders>
                    <w:tl2br w:val="nil"/>
                    <w:tr2bl w:val="nil"/>
                  </w:tcBorders>
                  <w:vAlign w:val="center"/>
                </w:tcPr>
                <w:p w14:paraId="2E39746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w:t>
                  </w:r>
                </w:p>
              </w:tc>
              <w:tc>
                <w:tcPr>
                  <w:tcW w:w="1245" w:type="pct"/>
                  <w:tcBorders>
                    <w:tl2br w:val="nil"/>
                    <w:tr2bl w:val="nil"/>
                  </w:tcBorders>
                  <w:vAlign w:val="center"/>
                </w:tcPr>
                <w:p w14:paraId="0B5F854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取水管道</w:t>
                  </w:r>
                </w:p>
              </w:tc>
              <w:tc>
                <w:tcPr>
                  <w:tcW w:w="1398" w:type="pct"/>
                  <w:tcBorders>
                    <w:tl2br w:val="nil"/>
                    <w:tr2bl w:val="nil"/>
                  </w:tcBorders>
                  <w:vAlign w:val="center"/>
                </w:tcPr>
                <w:p w14:paraId="0E265CB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D325×8</w:t>
                  </w:r>
                </w:p>
              </w:tc>
              <w:tc>
                <w:tcPr>
                  <w:tcW w:w="528" w:type="pct"/>
                  <w:tcBorders>
                    <w:tl2br w:val="nil"/>
                    <w:tr2bl w:val="nil"/>
                  </w:tcBorders>
                  <w:vAlign w:val="center"/>
                </w:tcPr>
                <w:p w14:paraId="4444A14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米</w:t>
                  </w:r>
                </w:p>
              </w:tc>
              <w:tc>
                <w:tcPr>
                  <w:tcW w:w="474" w:type="pct"/>
                  <w:tcBorders>
                    <w:tl2br w:val="nil"/>
                    <w:tr2bl w:val="nil"/>
                  </w:tcBorders>
                  <w:vAlign w:val="center"/>
                </w:tcPr>
                <w:p w14:paraId="0CC2A2B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105</w:t>
                  </w:r>
                </w:p>
              </w:tc>
              <w:tc>
                <w:tcPr>
                  <w:tcW w:w="941" w:type="pct"/>
                  <w:tcBorders>
                    <w:tl2br w:val="nil"/>
                    <w:tr2bl w:val="nil"/>
                  </w:tcBorders>
                  <w:vAlign w:val="center"/>
                </w:tcPr>
                <w:p w14:paraId="4B9B568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2638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2" w:type="pct"/>
                  <w:tcBorders>
                    <w:tl2br w:val="nil"/>
                    <w:tr2bl w:val="nil"/>
                  </w:tcBorders>
                  <w:vAlign w:val="center"/>
                </w:tcPr>
                <w:p w14:paraId="5CB0481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w:t>
                  </w:r>
                </w:p>
              </w:tc>
              <w:tc>
                <w:tcPr>
                  <w:tcW w:w="1245" w:type="pct"/>
                  <w:tcBorders>
                    <w:tl2br w:val="nil"/>
                    <w:tr2bl w:val="nil"/>
                  </w:tcBorders>
                  <w:vAlign w:val="center"/>
                </w:tcPr>
                <w:p w14:paraId="65888DA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流量计</w:t>
                  </w:r>
                </w:p>
              </w:tc>
              <w:tc>
                <w:tcPr>
                  <w:tcW w:w="1398" w:type="pct"/>
                  <w:tcBorders>
                    <w:tl2br w:val="nil"/>
                    <w:tr2bl w:val="nil"/>
                  </w:tcBorders>
                  <w:vAlign w:val="center"/>
                </w:tcPr>
                <w:p w14:paraId="2E1BC16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p>
              </w:tc>
              <w:tc>
                <w:tcPr>
                  <w:tcW w:w="528" w:type="pct"/>
                  <w:tcBorders>
                    <w:tl2br w:val="nil"/>
                    <w:tr2bl w:val="nil"/>
                  </w:tcBorders>
                  <w:vAlign w:val="center"/>
                </w:tcPr>
                <w:p w14:paraId="6B7EB9A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c>
                <w:tcPr>
                  <w:tcW w:w="474" w:type="pct"/>
                  <w:tcBorders>
                    <w:tl2br w:val="nil"/>
                    <w:tr2bl w:val="nil"/>
                  </w:tcBorders>
                  <w:vAlign w:val="center"/>
                </w:tcPr>
                <w:p w14:paraId="71CDF70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941" w:type="pct"/>
                  <w:tcBorders>
                    <w:tl2br w:val="nil"/>
                    <w:tr2bl w:val="nil"/>
                  </w:tcBorders>
                  <w:vAlign w:val="center"/>
                </w:tcPr>
                <w:p w14:paraId="5887A05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含流量计、蓄电池和井</w:t>
                  </w:r>
                </w:p>
              </w:tc>
            </w:tr>
            <w:tr w14:paraId="52BA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2" w:type="pct"/>
                  <w:tcBorders>
                    <w:tl2br w:val="nil"/>
                    <w:tr2bl w:val="nil"/>
                  </w:tcBorders>
                  <w:vAlign w:val="center"/>
                </w:tcPr>
                <w:p w14:paraId="460E4E5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6</w:t>
                  </w:r>
                </w:p>
              </w:tc>
              <w:tc>
                <w:tcPr>
                  <w:tcW w:w="1245" w:type="pct"/>
                  <w:tcBorders>
                    <w:tl2br w:val="nil"/>
                    <w:tr2bl w:val="nil"/>
                  </w:tcBorders>
                  <w:vAlign w:val="center"/>
                </w:tcPr>
                <w:p w14:paraId="654FBA2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远传监控设施</w:t>
                  </w:r>
                </w:p>
              </w:tc>
              <w:tc>
                <w:tcPr>
                  <w:tcW w:w="1398" w:type="pct"/>
                  <w:tcBorders>
                    <w:tl2br w:val="nil"/>
                    <w:tr2bl w:val="nil"/>
                  </w:tcBorders>
                  <w:vAlign w:val="center"/>
                </w:tcPr>
                <w:p w14:paraId="0A37338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400万像素简机，安装支架，含配套光电蓄能设备</w:t>
                  </w:r>
                </w:p>
              </w:tc>
              <w:tc>
                <w:tcPr>
                  <w:tcW w:w="528" w:type="pct"/>
                  <w:tcBorders>
                    <w:tl2br w:val="nil"/>
                    <w:tr2bl w:val="nil"/>
                  </w:tcBorders>
                  <w:vAlign w:val="center"/>
                </w:tcPr>
                <w:p w14:paraId="0625CB4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c>
                <w:tcPr>
                  <w:tcW w:w="474" w:type="pct"/>
                  <w:tcBorders>
                    <w:tl2br w:val="nil"/>
                    <w:tr2bl w:val="nil"/>
                  </w:tcBorders>
                  <w:vAlign w:val="center"/>
                </w:tcPr>
                <w:p w14:paraId="7C46920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941" w:type="pct"/>
                  <w:tcBorders>
                    <w:tl2br w:val="nil"/>
                    <w:tr2bl w:val="nil"/>
                  </w:tcBorders>
                  <w:vAlign w:val="center"/>
                </w:tcPr>
                <w:p w14:paraId="301E722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57E5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2" w:type="pct"/>
                  <w:tcBorders>
                    <w:tl2br w:val="nil"/>
                    <w:tr2bl w:val="nil"/>
                  </w:tcBorders>
                  <w:vAlign w:val="center"/>
                </w:tcPr>
                <w:p w14:paraId="22B5077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w:t>
                  </w:r>
                </w:p>
              </w:tc>
              <w:tc>
                <w:tcPr>
                  <w:tcW w:w="1245" w:type="pct"/>
                  <w:tcBorders>
                    <w:tl2br w:val="nil"/>
                    <w:tr2bl w:val="nil"/>
                  </w:tcBorders>
                  <w:vAlign w:val="center"/>
                </w:tcPr>
                <w:p w14:paraId="7C8E188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水源保护隔离护栏</w:t>
                  </w:r>
                </w:p>
              </w:tc>
              <w:tc>
                <w:tcPr>
                  <w:tcW w:w="1398" w:type="pct"/>
                  <w:tcBorders>
                    <w:tl2br w:val="nil"/>
                    <w:tr2bl w:val="nil"/>
                  </w:tcBorders>
                  <w:vAlign w:val="center"/>
                </w:tcPr>
                <w:p w14:paraId="2CDCAF2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28" w:type="pct"/>
                  <w:tcBorders>
                    <w:tl2br w:val="nil"/>
                    <w:tr2bl w:val="nil"/>
                  </w:tcBorders>
                  <w:vAlign w:val="center"/>
                </w:tcPr>
                <w:p w14:paraId="7FF2A5F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米</w:t>
                  </w:r>
                </w:p>
              </w:tc>
              <w:tc>
                <w:tcPr>
                  <w:tcW w:w="474" w:type="pct"/>
                  <w:tcBorders>
                    <w:tl2br w:val="nil"/>
                    <w:tr2bl w:val="nil"/>
                  </w:tcBorders>
                  <w:vAlign w:val="center"/>
                </w:tcPr>
                <w:p w14:paraId="58FBFA4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3400</w:t>
                  </w:r>
                </w:p>
              </w:tc>
              <w:tc>
                <w:tcPr>
                  <w:tcW w:w="941" w:type="pct"/>
                  <w:tcBorders>
                    <w:tl2br w:val="nil"/>
                    <w:tr2bl w:val="nil"/>
                  </w:tcBorders>
                  <w:vAlign w:val="center"/>
                </w:tcPr>
                <w:p w14:paraId="5A15BB8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含12个维护门</w:t>
                  </w:r>
                </w:p>
              </w:tc>
            </w:tr>
          </w:tbl>
          <w:p w14:paraId="7CAE6B02">
            <w:pPr>
              <w:pStyle w:val="155"/>
              <w:keepNext w:val="0"/>
              <w:keepLines w:val="0"/>
              <w:pageBreakBefore w:val="0"/>
              <w:numPr>
                <w:ilvl w:val="0"/>
                <w:numId w:val="17"/>
              </w:numPr>
              <w:kinsoku/>
              <w:wordWrap/>
              <w:overflowPunct/>
              <w:topLinePunct w:val="0"/>
              <w:autoSpaceDE/>
              <w:autoSpaceDN/>
              <w:bidi w:val="0"/>
              <w:adjustRightInd w:val="0"/>
              <w:snapToGrid w:val="0"/>
              <w:spacing w:line="240" w:lineRule="auto"/>
              <w:ind w:left="440" w:leftChars="0" w:hanging="440" w:firstLineChars="0"/>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bookmarkStart w:id="89" w:name="_Hlk177897243"/>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项目工程量表</w:t>
            </w:r>
          </w:p>
          <w:bookmarkEnd w:id="89"/>
          <w:tbl>
            <w:tblPr>
              <w:tblStyle w:val="5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2304"/>
              <w:gridCol w:w="2862"/>
              <w:gridCol w:w="947"/>
              <w:gridCol w:w="501"/>
              <w:gridCol w:w="878"/>
            </w:tblGrid>
            <w:tr w14:paraId="23FB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5C186ED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序号</w:t>
                  </w:r>
                </w:p>
              </w:tc>
              <w:tc>
                <w:tcPr>
                  <w:tcW w:w="1408" w:type="pct"/>
                  <w:tcBorders>
                    <w:tl2br w:val="nil"/>
                    <w:tr2bl w:val="nil"/>
                  </w:tcBorders>
                  <w:shd w:val="clear" w:color="auto" w:fill="auto"/>
                  <w:noWrap/>
                  <w:vAlign w:val="center"/>
                </w:tcPr>
                <w:p w14:paraId="6DDC932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名称</w:t>
                  </w:r>
                </w:p>
              </w:tc>
              <w:tc>
                <w:tcPr>
                  <w:tcW w:w="1749" w:type="pct"/>
                  <w:tcBorders>
                    <w:tl2br w:val="nil"/>
                    <w:tr2bl w:val="nil"/>
                  </w:tcBorders>
                  <w:shd w:val="clear" w:color="auto" w:fill="auto"/>
                  <w:noWrap/>
                  <w:vAlign w:val="center"/>
                </w:tcPr>
                <w:p w14:paraId="0A04AC8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规格</w:t>
                  </w:r>
                </w:p>
              </w:tc>
              <w:tc>
                <w:tcPr>
                  <w:tcW w:w="578" w:type="pct"/>
                  <w:tcBorders>
                    <w:tl2br w:val="nil"/>
                    <w:tr2bl w:val="nil"/>
                  </w:tcBorders>
                  <w:shd w:val="clear" w:color="auto" w:fill="auto"/>
                  <w:noWrap/>
                  <w:vAlign w:val="center"/>
                </w:tcPr>
                <w:p w14:paraId="2708466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材质</w:t>
                  </w:r>
                </w:p>
              </w:tc>
              <w:tc>
                <w:tcPr>
                  <w:tcW w:w="306" w:type="pct"/>
                  <w:tcBorders>
                    <w:tl2br w:val="nil"/>
                    <w:tr2bl w:val="nil"/>
                  </w:tcBorders>
                  <w:shd w:val="clear" w:color="auto" w:fill="auto"/>
                  <w:noWrap/>
                  <w:vAlign w:val="center"/>
                </w:tcPr>
                <w:p w14:paraId="5EB85DA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单位</w:t>
                  </w:r>
                </w:p>
              </w:tc>
              <w:tc>
                <w:tcPr>
                  <w:tcW w:w="536" w:type="pct"/>
                  <w:tcBorders>
                    <w:tl2br w:val="nil"/>
                    <w:tr2bl w:val="nil"/>
                  </w:tcBorders>
                  <w:shd w:val="clear" w:color="auto" w:fill="auto"/>
                  <w:noWrap/>
                  <w:vAlign w:val="center"/>
                </w:tcPr>
                <w:p w14:paraId="4D4824C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数量</w:t>
                  </w:r>
                </w:p>
              </w:tc>
            </w:tr>
            <w:tr w14:paraId="5091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228ABE9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一</w:t>
                  </w:r>
                </w:p>
              </w:tc>
              <w:tc>
                <w:tcPr>
                  <w:tcW w:w="1408" w:type="pct"/>
                  <w:tcBorders>
                    <w:tl2br w:val="nil"/>
                    <w:tr2bl w:val="nil"/>
                  </w:tcBorders>
                  <w:shd w:val="clear" w:color="auto" w:fill="auto"/>
                  <w:noWrap/>
                  <w:vAlign w:val="center"/>
                </w:tcPr>
                <w:p w14:paraId="3FC23F6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原水输水管道</w:t>
                  </w:r>
                </w:p>
              </w:tc>
              <w:tc>
                <w:tcPr>
                  <w:tcW w:w="1749" w:type="pct"/>
                  <w:tcBorders>
                    <w:tl2br w:val="nil"/>
                    <w:tr2bl w:val="nil"/>
                  </w:tcBorders>
                  <w:shd w:val="clear" w:color="auto" w:fill="auto"/>
                  <w:noWrap/>
                  <w:vAlign w:val="center"/>
                </w:tcPr>
                <w:p w14:paraId="5780C35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78" w:type="pct"/>
                  <w:tcBorders>
                    <w:tl2br w:val="nil"/>
                    <w:tr2bl w:val="nil"/>
                  </w:tcBorders>
                  <w:shd w:val="clear" w:color="auto" w:fill="auto"/>
                  <w:noWrap/>
                  <w:vAlign w:val="center"/>
                </w:tcPr>
                <w:p w14:paraId="63D977F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306" w:type="pct"/>
                  <w:tcBorders>
                    <w:tl2br w:val="nil"/>
                    <w:tr2bl w:val="nil"/>
                  </w:tcBorders>
                  <w:shd w:val="clear" w:color="auto" w:fill="auto"/>
                  <w:noWrap/>
                  <w:vAlign w:val="center"/>
                </w:tcPr>
                <w:p w14:paraId="5BFFB5D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36" w:type="pct"/>
                  <w:tcBorders>
                    <w:tl2br w:val="nil"/>
                    <w:tr2bl w:val="nil"/>
                  </w:tcBorders>
                  <w:shd w:val="clear" w:color="auto" w:fill="auto"/>
                  <w:noWrap/>
                  <w:vAlign w:val="center"/>
                </w:tcPr>
                <w:p w14:paraId="13E49A5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3916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1302E5D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1408" w:type="pct"/>
                  <w:tcBorders>
                    <w:tl2br w:val="nil"/>
                    <w:tr2bl w:val="nil"/>
                  </w:tcBorders>
                  <w:shd w:val="clear" w:color="auto" w:fill="auto"/>
                  <w:noWrap/>
                  <w:vAlign w:val="center"/>
                </w:tcPr>
                <w:p w14:paraId="511F162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焊接钢管</w:t>
                  </w:r>
                </w:p>
              </w:tc>
              <w:tc>
                <w:tcPr>
                  <w:tcW w:w="1749" w:type="pct"/>
                  <w:tcBorders>
                    <w:tl2br w:val="nil"/>
                    <w:tr2bl w:val="nil"/>
                  </w:tcBorders>
                  <w:shd w:val="clear" w:color="auto" w:fill="auto"/>
                  <w:noWrap/>
                  <w:vAlign w:val="center"/>
                </w:tcPr>
                <w:p w14:paraId="24E5296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D219×8</w:t>
                  </w:r>
                </w:p>
              </w:tc>
              <w:tc>
                <w:tcPr>
                  <w:tcW w:w="578" w:type="pct"/>
                  <w:tcBorders>
                    <w:tl2br w:val="nil"/>
                    <w:tr2bl w:val="nil"/>
                  </w:tcBorders>
                  <w:shd w:val="clear" w:color="auto" w:fill="auto"/>
                  <w:noWrap/>
                  <w:vAlign w:val="center"/>
                </w:tcPr>
                <w:p w14:paraId="53BFB20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Q235B</w:t>
                  </w:r>
                </w:p>
              </w:tc>
              <w:tc>
                <w:tcPr>
                  <w:tcW w:w="306" w:type="pct"/>
                  <w:tcBorders>
                    <w:tl2br w:val="nil"/>
                    <w:tr2bl w:val="nil"/>
                  </w:tcBorders>
                  <w:shd w:val="clear" w:color="auto" w:fill="auto"/>
                  <w:noWrap/>
                  <w:vAlign w:val="center"/>
                </w:tcPr>
                <w:p w14:paraId="1A26598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米</w:t>
                  </w:r>
                </w:p>
              </w:tc>
              <w:tc>
                <w:tcPr>
                  <w:tcW w:w="536" w:type="pct"/>
                  <w:tcBorders>
                    <w:tl2br w:val="nil"/>
                    <w:tr2bl w:val="nil"/>
                  </w:tcBorders>
                  <w:shd w:val="clear" w:color="auto" w:fill="auto"/>
                  <w:noWrap/>
                  <w:vAlign w:val="center"/>
                </w:tcPr>
                <w:p w14:paraId="4A17761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9430</w:t>
                  </w:r>
                </w:p>
              </w:tc>
            </w:tr>
            <w:tr w14:paraId="1F96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7981F0D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w:t>
                  </w:r>
                </w:p>
              </w:tc>
              <w:tc>
                <w:tcPr>
                  <w:tcW w:w="1408" w:type="pct"/>
                  <w:tcBorders>
                    <w:tl2br w:val="nil"/>
                    <w:tr2bl w:val="nil"/>
                  </w:tcBorders>
                  <w:shd w:val="clear" w:color="auto" w:fill="auto"/>
                  <w:noWrap/>
                  <w:vAlign w:val="center"/>
                </w:tcPr>
                <w:p w14:paraId="21501C2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蝶阀井</w:t>
                  </w:r>
                </w:p>
              </w:tc>
              <w:tc>
                <w:tcPr>
                  <w:tcW w:w="1749" w:type="pct"/>
                  <w:tcBorders>
                    <w:tl2br w:val="nil"/>
                    <w:tr2bl w:val="nil"/>
                  </w:tcBorders>
                  <w:shd w:val="clear" w:color="auto" w:fill="auto"/>
                  <w:noWrap/>
                  <w:vAlign w:val="center"/>
                </w:tcPr>
                <w:p w14:paraId="252FEB5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A×B=1400×1400</w:t>
                  </w:r>
                </w:p>
              </w:tc>
              <w:tc>
                <w:tcPr>
                  <w:tcW w:w="578" w:type="pct"/>
                  <w:tcBorders>
                    <w:tl2br w:val="nil"/>
                    <w:tr2bl w:val="nil"/>
                  </w:tcBorders>
                  <w:shd w:val="clear" w:color="auto" w:fill="auto"/>
                  <w:noWrap/>
                  <w:vAlign w:val="center"/>
                </w:tcPr>
                <w:p w14:paraId="1391272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钢筋砼</w:t>
                  </w:r>
                </w:p>
              </w:tc>
              <w:tc>
                <w:tcPr>
                  <w:tcW w:w="306" w:type="pct"/>
                  <w:tcBorders>
                    <w:tl2br w:val="nil"/>
                    <w:tr2bl w:val="nil"/>
                  </w:tcBorders>
                  <w:shd w:val="clear" w:color="auto" w:fill="auto"/>
                  <w:noWrap/>
                  <w:vAlign w:val="center"/>
                </w:tcPr>
                <w:p w14:paraId="67D9800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座</w:t>
                  </w:r>
                </w:p>
              </w:tc>
              <w:tc>
                <w:tcPr>
                  <w:tcW w:w="536" w:type="pct"/>
                  <w:tcBorders>
                    <w:tl2br w:val="nil"/>
                    <w:tr2bl w:val="nil"/>
                  </w:tcBorders>
                  <w:shd w:val="clear" w:color="auto" w:fill="auto"/>
                  <w:noWrap/>
                  <w:vAlign w:val="center"/>
                </w:tcPr>
                <w:p w14:paraId="1E4189B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w:t>
                  </w:r>
                </w:p>
              </w:tc>
            </w:tr>
            <w:tr w14:paraId="67FA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7445EA6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w:t>
                  </w:r>
                </w:p>
              </w:tc>
              <w:tc>
                <w:tcPr>
                  <w:tcW w:w="1408" w:type="pct"/>
                  <w:tcBorders>
                    <w:tl2br w:val="nil"/>
                    <w:tr2bl w:val="nil"/>
                  </w:tcBorders>
                  <w:shd w:val="clear" w:color="auto" w:fill="auto"/>
                  <w:noWrap/>
                  <w:vAlign w:val="center"/>
                </w:tcPr>
                <w:p w14:paraId="3DE9431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排气阀井</w:t>
                  </w:r>
                </w:p>
              </w:tc>
              <w:tc>
                <w:tcPr>
                  <w:tcW w:w="1749" w:type="pct"/>
                  <w:tcBorders>
                    <w:tl2br w:val="nil"/>
                    <w:tr2bl w:val="nil"/>
                  </w:tcBorders>
                  <w:shd w:val="clear" w:color="auto" w:fill="auto"/>
                  <w:noWrap/>
                  <w:vAlign w:val="center"/>
                </w:tcPr>
                <w:p w14:paraId="15ABD0E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A×B=1200×1200</w:t>
                  </w:r>
                </w:p>
              </w:tc>
              <w:tc>
                <w:tcPr>
                  <w:tcW w:w="578" w:type="pct"/>
                  <w:tcBorders>
                    <w:tl2br w:val="nil"/>
                    <w:tr2bl w:val="nil"/>
                  </w:tcBorders>
                  <w:shd w:val="clear" w:color="auto" w:fill="auto"/>
                  <w:noWrap/>
                  <w:vAlign w:val="center"/>
                </w:tcPr>
                <w:p w14:paraId="42FCFC6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钢筋砼</w:t>
                  </w:r>
                </w:p>
              </w:tc>
              <w:tc>
                <w:tcPr>
                  <w:tcW w:w="306" w:type="pct"/>
                  <w:tcBorders>
                    <w:tl2br w:val="nil"/>
                    <w:tr2bl w:val="nil"/>
                  </w:tcBorders>
                  <w:shd w:val="clear" w:color="auto" w:fill="auto"/>
                  <w:noWrap/>
                  <w:vAlign w:val="center"/>
                </w:tcPr>
                <w:p w14:paraId="032B01D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座</w:t>
                  </w:r>
                </w:p>
              </w:tc>
              <w:tc>
                <w:tcPr>
                  <w:tcW w:w="536" w:type="pct"/>
                  <w:tcBorders>
                    <w:tl2br w:val="nil"/>
                    <w:tr2bl w:val="nil"/>
                  </w:tcBorders>
                  <w:shd w:val="clear" w:color="auto" w:fill="auto"/>
                  <w:noWrap/>
                  <w:vAlign w:val="center"/>
                </w:tcPr>
                <w:p w14:paraId="4343FC8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w:t>
                  </w:r>
                </w:p>
              </w:tc>
            </w:tr>
            <w:tr w14:paraId="55D9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7771EFF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w:t>
                  </w:r>
                </w:p>
              </w:tc>
              <w:tc>
                <w:tcPr>
                  <w:tcW w:w="1408" w:type="pct"/>
                  <w:tcBorders>
                    <w:tl2br w:val="nil"/>
                    <w:tr2bl w:val="nil"/>
                  </w:tcBorders>
                  <w:shd w:val="clear" w:color="auto" w:fill="auto"/>
                  <w:noWrap/>
                  <w:vAlign w:val="center"/>
                </w:tcPr>
                <w:p w14:paraId="33E93D4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排泥阀井</w:t>
                  </w:r>
                </w:p>
              </w:tc>
              <w:tc>
                <w:tcPr>
                  <w:tcW w:w="1749" w:type="pct"/>
                  <w:tcBorders>
                    <w:tl2br w:val="nil"/>
                    <w:tr2bl w:val="nil"/>
                  </w:tcBorders>
                  <w:shd w:val="clear" w:color="auto" w:fill="auto"/>
                  <w:noWrap/>
                  <w:vAlign w:val="center"/>
                </w:tcPr>
                <w:p w14:paraId="17F5D73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A×B=1300×1300</w:t>
                  </w:r>
                </w:p>
              </w:tc>
              <w:tc>
                <w:tcPr>
                  <w:tcW w:w="578" w:type="pct"/>
                  <w:tcBorders>
                    <w:tl2br w:val="nil"/>
                    <w:tr2bl w:val="nil"/>
                  </w:tcBorders>
                  <w:shd w:val="clear" w:color="auto" w:fill="auto"/>
                  <w:noWrap/>
                  <w:vAlign w:val="center"/>
                </w:tcPr>
                <w:p w14:paraId="4C57F13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钢筋砼</w:t>
                  </w:r>
                </w:p>
              </w:tc>
              <w:tc>
                <w:tcPr>
                  <w:tcW w:w="306" w:type="pct"/>
                  <w:tcBorders>
                    <w:tl2br w:val="nil"/>
                    <w:tr2bl w:val="nil"/>
                  </w:tcBorders>
                  <w:shd w:val="clear" w:color="auto" w:fill="auto"/>
                  <w:noWrap/>
                  <w:vAlign w:val="center"/>
                </w:tcPr>
                <w:p w14:paraId="0D78DA2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座</w:t>
                  </w:r>
                </w:p>
              </w:tc>
              <w:tc>
                <w:tcPr>
                  <w:tcW w:w="536" w:type="pct"/>
                  <w:tcBorders>
                    <w:tl2br w:val="nil"/>
                    <w:tr2bl w:val="nil"/>
                  </w:tcBorders>
                  <w:shd w:val="clear" w:color="auto" w:fill="auto"/>
                  <w:noWrap/>
                  <w:vAlign w:val="center"/>
                </w:tcPr>
                <w:p w14:paraId="5F5C709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w:t>
                  </w:r>
                </w:p>
              </w:tc>
            </w:tr>
            <w:tr w14:paraId="2C7C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5EA8997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5</w:t>
                  </w:r>
                </w:p>
              </w:tc>
              <w:tc>
                <w:tcPr>
                  <w:tcW w:w="1408" w:type="pct"/>
                  <w:tcBorders>
                    <w:tl2br w:val="nil"/>
                    <w:tr2bl w:val="nil"/>
                  </w:tcBorders>
                  <w:shd w:val="clear" w:color="auto" w:fill="auto"/>
                  <w:noWrap/>
                  <w:vAlign w:val="center"/>
                </w:tcPr>
                <w:p w14:paraId="7487C6C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排泥湿井</w:t>
                  </w:r>
                </w:p>
              </w:tc>
              <w:tc>
                <w:tcPr>
                  <w:tcW w:w="1749" w:type="pct"/>
                  <w:tcBorders>
                    <w:tl2br w:val="nil"/>
                    <w:tr2bl w:val="nil"/>
                  </w:tcBorders>
                  <w:shd w:val="clear" w:color="auto" w:fill="auto"/>
                  <w:noWrap/>
                  <w:vAlign w:val="center"/>
                </w:tcPr>
                <w:p w14:paraId="4F239E5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Φ800</w:t>
                  </w:r>
                </w:p>
              </w:tc>
              <w:tc>
                <w:tcPr>
                  <w:tcW w:w="578" w:type="pct"/>
                  <w:tcBorders>
                    <w:tl2br w:val="nil"/>
                    <w:tr2bl w:val="nil"/>
                  </w:tcBorders>
                  <w:shd w:val="clear" w:color="auto" w:fill="auto"/>
                  <w:noWrap/>
                  <w:vAlign w:val="center"/>
                </w:tcPr>
                <w:p w14:paraId="3FE1FA2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砖砌</w:t>
                  </w:r>
                </w:p>
              </w:tc>
              <w:tc>
                <w:tcPr>
                  <w:tcW w:w="306" w:type="pct"/>
                  <w:tcBorders>
                    <w:tl2br w:val="nil"/>
                    <w:tr2bl w:val="nil"/>
                  </w:tcBorders>
                  <w:shd w:val="clear" w:color="auto" w:fill="auto"/>
                  <w:noWrap/>
                  <w:vAlign w:val="center"/>
                </w:tcPr>
                <w:p w14:paraId="4A4C059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座</w:t>
                  </w:r>
                </w:p>
              </w:tc>
              <w:tc>
                <w:tcPr>
                  <w:tcW w:w="536" w:type="pct"/>
                  <w:tcBorders>
                    <w:tl2br w:val="nil"/>
                    <w:tr2bl w:val="nil"/>
                  </w:tcBorders>
                  <w:shd w:val="clear" w:color="auto" w:fill="auto"/>
                  <w:noWrap/>
                  <w:vAlign w:val="center"/>
                </w:tcPr>
                <w:p w14:paraId="2905DF5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w:t>
                  </w:r>
                </w:p>
              </w:tc>
            </w:tr>
            <w:tr w14:paraId="0B20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502E3F4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6</w:t>
                  </w:r>
                </w:p>
              </w:tc>
              <w:tc>
                <w:tcPr>
                  <w:tcW w:w="1408" w:type="pct"/>
                  <w:tcBorders>
                    <w:tl2br w:val="nil"/>
                    <w:tr2bl w:val="nil"/>
                  </w:tcBorders>
                  <w:shd w:val="clear" w:color="auto" w:fill="auto"/>
                  <w:noWrap/>
                  <w:vAlign w:val="center"/>
                </w:tcPr>
                <w:p w14:paraId="2359D7F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蝶阀</w:t>
                  </w:r>
                </w:p>
              </w:tc>
              <w:tc>
                <w:tcPr>
                  <w:tcW w:w="1749" w:type="pct"/>
                  <w:tcBorders>
                    <w:tl2br w:val="nil"/>
                    <w:tr2bl w:val="nil"/>
                  </w:tcBorders>
                  <w:shd w:val="clear" w:color="auto" w:fill="auto"/>
                  <w:noWrap/>
                  <w:vAlign w:val="center"/>
                </w:tcPr>
                <w:p w14:paraId="2941D5E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DN400</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，PN1.0MPa</w:t>
                  </w:r>
                </w:p>
              </w:tc>
              <w:tc>
                <w:tcPr>
                  <w:tcW w:w="578" w:type="pct"/>
                  <w:tcBorders>
                    <w:tl2br w:val="nil"/>
                    <w:tr2bl w:val="nil"/>
                  </w:tcBorders>
                  <w:shd w:val="clear" w:color="auto" w:fill="auto"/>
                  <w:noWrap/>
                  <w:vAlign w:val="center"/>
                </w:tcPr>
                <w:p w14:paraId="2A46E30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306" w:type="pct"/>
                  <w:tcBorders>
                    <w:tl2br w:val="nil"/>
                    <w:tr2bl w:val="nil"/>
                  </w:tcBorders>
                  <w:shd w:val="clear" w:color="auto" w:fill="auto"/>
                  <w:noWrap/>
                  <w:vAlign w:val="center"/>
                </w:tcPr>
                <w:p w14:paraId="0E142D4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c>
                <w:tcPr>
                  <w:tcW w:w="536" w:type="pct"/>
                  <w:tcBorders>
                    <w:tl2br w:val="nil"/>
                    <w:tr2bl w:val="nil"/>
                  </w:tcBorders>
                  <w:shd w:val="clear" w:color="auto" w:fill="auto"/>
                  <w:noWrap/>
                  <w:vAlign w:val="center"/>
                </w:tcPr>
                <w:p w14:paraId="6BB1E25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w:t>
                  </w:r>
                </w:p>
              </w:tc>
            </w:tr>
            <w:tr w14:paraId="4291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0532DAA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7</w:t>
                  </w:r>
                </w:p>
              </w:tc>
              <w:tc>
                <w:tcPr>
                  <w:tcW w:w="1408" w:type="pct"/>
                  <w:tcBorders>
                    <w:tl2br w:val="nil"/>
                    <w:tr2bl w:val="nil"/>
                  </w:tcBorders>
                  <w:shd w:val="clear" w:color="auto" w:fill="auto"/>
                  <w:noWrap/>
                  <w:vAlign w:val="center"/>
                </w:tcPr>
                <w:p w14:paraId="569EF7B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复合式排气阀</w:t>
                  </w:r>
                </w:p>
              </w:tc>
              <w:tc>
                <w:tcPr>
                  <w:tcW w:w="1749" w:type="pct"/>
                  <w:tcBorders>
                    <w:tl2br w:val="nil"/>
                    <w:tr2bl w:val="nil"/>
                  </w:tcBorders>
                  <w:shd w:val="clear" w:color="auto" w:fill="auto"/>
                  <w:noWrap/>
                  <w:vAlign w:val="center"/>
                </w:tcPr>
                <w:p w14:paraId="0CB32E5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DN25，PN1.0MPa</w:t>
                  </w:r>
                </w:p>
              </w:tc>
              <w:tc>
                <w:tcPr>
                  <w:tcW w:w="578" w:type="pct"/>
                  <w:tcBorders>
                    <w:tl2br w:val="nil"/>
                    <w:tr2bl w:val="nil"/>
                  </w:tcBorders>
                  <w:shd w:val="clear" w:color="auto" w:fill="auto"/>
                  <w:noWrap/>
                  <w:vAlign w:val="center"/>
                </w:tcPr>
                <w:p w14:paraId="65C23DD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306" w:type="pct"/>
                  <w:tcBorders>
                    <w:tl2br w:val="nil"/>
                    <w:tr2bl w:val="nil"/>
                  </w:tcBorders>
                  <w:shd w:val="clear" w:color="auto" w:fill="auto"/>
                  <w:noWrap/>
                  <w:vAlign w:val="center"/>
                </w:tcPr>
                <w:p w14:paraId="4270EE2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c>
                <w:tcPr>
                  <w:tcW w:w="536" w:type="pct"/>
                  <w:tcBorders>
                    <w:tl2br w:val="nil"/>
                    <w:tr2bl w:val="nil"/>
                  </w:tcBorders>
                  <w:shd w:val="clear" w:color="auto" w:fill="auto"/>
                  <w:noWrap/>
                  <w:vAlign w:val="center"/>
                </w:tcPr>
                <w:p w14:paraId="344126E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w:t>
                  </w:r>
                </w:p>
              </w:tc>
            </w:tr>
            <w:tr w14:paraId="6DF6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36CEE25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8</w:t>
                  </w:r>
                </w:p>
              </w:tc>
              <w:tc>
                <w:tcPr>
                  <w:tcW w:w="1408" w:type="pct"/>
                  <w:tcBorders>
                    <w:tl2br w:val="nil"/>
                    <w:tr2bl w:val="nil"/>
                  </w:tcBorders>
                  <w:shd w:val="clear" w:color="auto" w:fill="auto"/>
                  <w:noWrap/>
                  <w:vAlign w:val="center"/>
                </w:tcPr>
                <w:p w14:paraId="69D5A91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排泥阀</w:t>
                  </w:r>
                </w:p>
              </w:tc>
              <w:tc>
                <w:tcPr>
                  <w:tcW w:w="1749" w:type="pct"/>
                  <w:tcBorders>
                    <w:tl2br w:val="nil"/>
                    <w:tr2bl w:val="nil"/>
                  </w:tcBorders>
                  <w:shd w:val="clear" w:color="auto" w:fill="auto"/>
                  <w:noWrap/>
                  <w:vAlign w:val="center"/>
                </w:tcPr>
                <w:p w14:paraId="1BB5EF3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DN75，PN1.0MPa</w:t>
                  </w:r>
                </w:p>
              </w:tc>
              <w:tc>
                <w:tcPr>
                  <w:tcW w:w="578" w:type="pct"/>
                  <w:tcBorders>
                    <w:tl2br w:val="nil"/>
                    <w:tr2bl w:val="nil"/>
                  </w:tcBorders>
                  <w:shd w:val="clear" w:color="auto" w:fill="auto"/>
                  <w:noWrap/>
                  <w:vAlign w:val="center"/>
                </w:tcPr>
                <w:p w14:paraId="5D6111A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306" w:type="pct"/>
                  <w:tcBorders>
                    <w:tl2br w:val="nil"/>
                    <w:tr2bl w:val="nil"/>
                  </w:tcBorders>
                  <w:shd w:val="clear" w:color="auto" w:fill="auto"/>
                  <w:noWrap/>
                  <w:vAlign w:val="center"/>
                </w:tcPr>
                <w:p w14:paraId="604DF73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套</w:t>
                  </w:r>
                </w:p>
              </w:tc>
              <w:tc>
                <w:tcPr>
                  <w:tcW w:w="536" w:type="pct"/>
                  <w:tcBorders>
                    <w:tl2br w:val="nil"/>
                    <w:tr2bl w:val="nil"/>
                  </w:tcBorders>
                  <w:shd w:val="clear" w:color="auto" w:fill="auto"/>
                  <w:noWrap/>
                  <w:vAlign w:val="center"/>
                </w:tcPr>
                <w:p w14:paraId="4B72F67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w:t>
                  </w:r>
                </w:p>
              </w:tc>
            </w:tr>
            <w:tr w14:paraId="21AE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6D45D6E8">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9</w:t>
                  </w:r>
                </w:p>
              </w:tc>
              <w:tc>
                <w:tcPr>
                  <w:tcW w:w="1408" w:type="pct"/>
                  <w:tcBorders>
                    <w:tl2br w:val="nil"/>
                    <w:tr2bl w:val="nil"/>
                  </w:tcBorders>
                  <w:shd w:val="clear" w:color="auto" w:fill="auto"/>
                  <w:noWrap/>
                  <w:vAlign w:val="center"/>
                </w:tcPr>
                <w:p w14:paraId="284A83E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管道镇墩</w:t>
                  </w:r>
                </w:p>
              </w:tc>
              <w:tc>
                <w:tcPr>
                  <w:tcW w:w="1749" w:type="pct"/>
                  <w:tcBorders>
                    <w:tl2br w:val="nil"/>
                    <w:tr2bl w:val="nil"/>
                  </w:tcBorders>
                  <w:shd w:val="clear" w:color="auto" w:fill="auto"/>
                  <w:noWrap/>
                  <w:vAlign w:val="center"/>
                </w:tcPr>
                <w:p w14:paraId="7342DDB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78" w:type="pct"/>
                  <w:tcBorders>
                    <w:tl2br w:val="nil"/>
                    <w:tr2bl w:val="nil"/>
                  </w:tcBorders>
                  <w:shd w:val="clear" w:color="auto" w:fill="auto"/>
                  <w:noWrap/>
                  <w:vAlign w:val="center"/>
                </w:tcPr>
                <w:p w14:paraId="1121A8A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钢筋砼</w:t>
                  </w:r>
                </w:p>
              </w:tc>
              <w:tc>
                <w:tcPr>
                  <w:tcW w:w="306" w:type="pct"/>
                  <w:tcBorders>
                    <w:tl2br w:val="nil"/>
                    <w:tr2bl w:val="nil"/>
                  </w:tcBorders>
                  <w:shd w:val="clear" w:color="auto" w:fill="auto"/>
                  <w:noWrap/>
                  <w:vAlign w:val="center"/>
                </w:tcPr>
                <w:p w14:paraId="07249A9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c>
                <w:tcPr>
                  <w:tcW w:w="536" w:type="pct"/>
                  <w:tcBorders>
                    <w:tl2br w:val="nil"/>
                    <w:tr2bl w:val="nil"/>
                  </w:tcBorders>
                  <w:shd w:val="clear" w:color="auto" w:fill="auto"/>
                  <w:noWrap/>
                  <w:vAlign w:val="center"/>
                </w:tcPr>
                <w:p w14:paraId="24D1B2B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295</w:t>
                  </w:r>
                </w:p>
              </w:tc>
            </w:tr>
            <w:tr w14:paraId="2490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7236890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10</w:t>
                  </w:r>
                </w:p>
              </w:tc>
              <w:tc>
                <w:tcPr>
                  <w:tcW w:w="1408" w:type="pct"/>
                  <w:tcBorders>
                    <w:tl2br w:val="nil"/>
                    <w:tr2bl w:val="nil"/>
                  </w:tcBorders>
                  <w:shd w:val="clear" w:color="auto" w:fill="auto"/>
                  <w:noWrap/>
                  <w:vAlign w:val="center"/>
                </w:tcPr>
                <w:p w14:paraId="46156D9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管道标志桩</w:t>
                  </w:r>
                </w:p>
              </w:tc>
              <w:tc>
                <w:tcPr>
                  <w:tcW w:w="1749" w:type="pct"/>
                  <w:tcBorders>
                    <w:tl2br w:val="nil"/>
                    <w:tr2bl w:val="nil"/>
                  </w:tcBorders>
                  <w:shd w:val="clear" w:color="auto" w:fill="auto"/>
                  <w:noWrap/>
                  <w:vAlign w:val="center"/>
                </w:tcPr>
                <w:p w14:paraId="5F8106B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78" w:type="pct"/>
                  <w:tcBorders>
                    <w:tl2br w:val="nil"/>
                    <w:tr2bl w:val="nil"/>
                  </w:tcBorders>
                  <w:shd w:val="clear" w:color="auto" w:fill="auto"/>
                  <w:noWrap/>
                  <w:vAlign w:val="center"/>
                </w:tcPr>
                <w:p w14:paraId="38A37A6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混凝土</w:t>
                  </w:r>
                </w:p>
              </w:tc>
              <w:tc>
                <w:tcPr>
                  <w:tcW w:w="306" w:type="pct"/>
                  <w:tcBorders>
                    <w:tl2br w:val="nil"/>
                    <w:tr2bl w:val="nil"/>
                  </w:tcBorders>
                  <w:shd w:val="clear" w:color="auto" w:fill="auto"/>
                  <w:noWrap/>
                  <w:vAlign w:val="center"/>
                </w:tcPr>
                <w:p w14:paraId="4C7CEB4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个</w:t>
                  </w:r>
                </w:p>
              </w:tc>
              <w:tc>
                <w:tcPr>
                  <w:tcW w:w="536" w:type="pct"/>
                  <w:tcBorders>
                    <w:tl2br w:val="nil"/>
                    <w:tr2bl w:val="nil"/>
                  </w:tcBorders>
                  <w:shd w:val="clear" w:color="auto" w:fill="auto"/>
                  <w:noWrap/>
                  <w:vAlign w:val="center"/>
                </w:tcPr>
                <w:p w14:paraId="6A11C49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39</w:t>
                  </w:r>
                </w:p>
              </w:tc>
            </w:tr>
            <w:tr w14:paraId="62C8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3546AF8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11</w:t>
                  </w:r>
                </w:p>
              </w:tc>
              <w:tc>
                <w:tcPr>
                  <w:tcW w:w="1408" w:type="pct"/>
                  <w:tcBorders>
                    <w:tl2br w:val="nil"/>
                    <w:tr2bl w:val="nil"/>
                  </w:tcBorders>
                  <w:shd w:val="clear" w:color="auto" w:fill="auto"/>
                  <w:noWrap/>
                  <w:vAlign w:val="center"/>
                </w:tcPr>
                <w:p w14:paraId="132F6DD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混凝土包管</w:t>
                  </w:r>
                </w:p>
              </w:tc>
              <w:tc>
                <w:tcPr>
                  <w:tcW w:w="1749" w:type="pct"/>
                  <w:tcBorders>
                    <w:tl2br w:val="nil"/>
                    <w:tr2bl w:val="nil"/>
                  </w:tcBorders>
                  <w:shd w:val="clear" w:color="auto" w:fill="auto"/>
                  <w:noWrap/>
                  <w:vAlign w:val="center"/>
                </w:tcPr>
                <w:p w14:paraId="6270BCB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78" w:type="pct"/>
                  <w:tcBorders>
                    <w:tl2br w:val="nil"/>
                    <w:tr2bl w:val="nil"/>
                  </w:tcBorders>
                  <w:shd w:val="clear" w:color="auto" w:fill="auto"/>
                  <w:noWrap/>
                  <w:vAlign w:val="center"/>
                </w:tcPr>
                <w:p w14:paraId="7F92703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306" w:type="pct"/>
                  <w:tcBorders>
                    <w:tl2br w:val="nil"/>
                    <w:tr2bl w:val="nil"/>
                  </w:tcBorders>
                  <w:shd w:val="clear" w:color="auto" w:fill="auto"/>
                  <w:noWrap/>
                  <w:vAlign w:val="center"/>
                </w:tcPr>
                <w:p w14:paraId="1D90AAE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m</w:t>
                  </w:r>
                </w:p>
              </w:tc>
              <w:tc>
                <w:tcPr>
                  <w:tcW w:w="536" w:type="pct"/>
                  <w:tcBorders>
                    <w:tl2br w:val="nil"/>
                    <w:tr2bl w:val="nil"/>
                  </w:tcBorders>
                  <w:shd w:val="clear" w:color="auto" w:fill="auto"/>
                  <w:noWrap/>
                  <w:vAlign w:val="center"/>
                </w:tcPr>
                <w:p w14:paraId="72F3FA4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3722</w:t>
                  </w:r>
                </w:p>
              </w:tc>
            </w:tr>
            <w:tr w14:paraId="11B5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79AED51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12</w:t>
                  </w:r>
                </w:p>
              </w:tc>
              <w:tc>
                <w:tcPr>
                  <w:tcW w:w="1408" w:type="pct"/>
                  <w:tcBorders>
                    <w:tl2br w:val="nil"/>
                    <w:tr2bl w:val="nil"/>
                  </w:tcBorders>
                  <w:shd w:val="clear" w:color="auto" w:fill="auto"/>
                  <w:noWrap/>
                  <w:vAlign w:val="center"/>
                </w:tcPr>
                <w:p w14:paraId="5CC0929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边沟破除及恢复</w:t>
                  </w:r>
                </w:p>
              </w:tc>
              <w:tc>
                <w:tcPr>
                  <w:tcW w:w="1749" w:type="pct"/>
                  <w:tcBorders>
                    <w:tl2br w:val="nil"/>
                    <w:tr2bl w:val="nil"/>
                  </w:tcBorders>
                  <w:shd w:val="clear" w:color="auto" w:fill="auto"/>
                  <w:noWrap/>
                  <w:vAlign w:val="center"/>
                </w:tcPr>
                <w:p w14:paraId="59D983E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A×B=1000×500</w:t>
                  </w:r>
                </w:p>
              </w:tc>
              <w:tc>
                <w:tcPr>
                  <w:tcW w:w="578" w:type="pct"/>
                  <w:tcBorders>
                    <w:tl2br w:val="nil"/>
                    <w:tr2bl w:val="nil"/>
                  </w:tcBorders>
                  <w:shd w:val="clear" w:color="auto" w:fill="auto"/>
                  <w:noWrap/>
                  <w:vAlign w:val="center"/>
                </w:tcPr>
                <w:p w14:paraId="5B5C792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混凝土</w:t>
                  </w:r>
                </w:p>
              </w:tc>
              <w:tc>
                <w:tcPr>
                  <w:tcW w:w="306" w:type="pct"/>
                  <w:tcBorders>
                    <w:tl2br w:val="nil"/>
                    <w:tr2bl w:val="nil"/>
                  </w:tcBorders>
                  <w:shd w:val="clear" w:color="auto" w:fill="auto"/>
                  <w:noWrap/>
                  <w:vAlign w:val="center"/>
                </w:tcPr>
                <w:p w14:paraId="5F8DC3F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m</w:t>
                  </w:r>
                </w:p>
              </w:tc>
              <w:tc>
                <w:tcPr>
                  <w:tcW w:w="536" w:type="pct"/>
                  <w:tcBorders>
                    <w:tl2br w:val="nil"/>
                    <w:tr2bl w:val="nil"/>
                  </w:tcBorders>
                  <w:shd w:val="clear" w:color="auto" w:fill="auto"/>
                  <w:noWrap/>
                  <w:vAlign w:val="center"/>
                </w:tcPr>
                <w:p w14:paraId="3757A06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980</w:t>
                  </w:r>
                </w:p>
              </w:tc>
            </w:tr>
            <w:tr w14:paraId="0603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57C2B1E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13</w:t>
                  </w:r>
                </w:p>
              </w:tc>
              <w:tc>
                <w:tcPr>
                  <w:tcW w:w="1408" w:type="pct"/>
                  <w:tcBorders>
                    <w:tl2br w:val="nil"/>
                    <w:tr2bl w:val="nil"/>
                  </w:tcBorders>
                  <w:shd w:val="clear" w:color="auto" w:fill="auto"/>
                  <w:noWrap/>
                  <w:vAlign w:val="center"/>
                </w:tcPr>
                <w:p w14:paraId="0D6149E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市政管线交叉保护措施</w:t>
                  </w:r>
                </w:p>
              </w:tc>
              <w:tc>
                <w:tcPr>
                  <w:tcW w:w="1749" w:type="pct"/>
                  <w:tcBorders>
                    <w:tl2br w:val="nil"/>
                    <w:tr2bl w:val="nil"/>
                  </w:tcBorders>
                  <w:shd w:val="clear" w:color="auto" w:fill="auto"/>
                  <w:noWrap/>
                  <w:vAlign w:val="center"/>
                </w:tcPr>
                <w:p w14:paraId="66D2CD2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78" w:type="pct"/>
                  <w:tcBorders>
                    <w:tl2br w:val="nil"/>
                    <w:tr2bl w:val="nil"/>
                  </w:tcBorders>
                  <w:shd w:val="clear" w:color="auto" w:fill="auto"/>
                  <w:noWrap/>
                  <w:vAlign w:val="center"/>
                </w:tcPr>
                <w:p w14:paraId="704A486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306" w:type="pct"/>
                  <w:tcBorders>
                    <w:tl2br w:val="nil"/>
                    <w:tr2bl w:val="nil"/>
                  </w:tcBorders>
                  <w:shd w:val="clear" w:color="auto" w:fill="auto"/>
                  <w:noWrap/>
                  <w:vAlign w:val="center"/>
                </w:tcPr>
                <w:p w14:paraId="4C3A10A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处</w:t>
                  </w:r>
                </w:p>
              </w:tc>
              <w:tc>
                <w:tcPr>
                  <w:tcW w:w="536" w:type="pct"/>
                  <w:tcBorders>
                    <w:tl2br w:val="nil"/>
                    <w:tr2bl w:val="nil"/>
                  </w:tcBorders>
                  <w:shd w:val="clear" w:color="auto" w:fill="auto"/>
                  <w:noWrap/>
                  <w:vAlign w:val="center"/>
                </w:tcPr>
                <w:p w14:paraId="4AAC3C63">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30</w:t>
                  </w:r>
                </w:p>
              </w:tc>
            </w:tr>
            <w:tr w14:paraId="5557F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773D654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14</w:t>
                  </w:r>
                </w:p>
              </w:tc>
              <w:tc>
                <w:tcPr>
                  <w:tcW w:w="1408" w:type="pct"/>
                  <w:tcBorders>
                    <w:tl2br w:val="nil"/>
                    <w:tr2bl w:val="nil"/>
                  </w:tcBorders>
                  <w:shd w:val="clear" w:color="auto" w:fill="auto"/>
                  <w:noWrap/>
                  <w:vAlign w:val="center"/>
                </w:tcPr>
                <w:p w14:paraId="029A8FD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道路破除及恢复</w:t>
                  </w:r>
                </w:p>
              </w:tc>
              <w:tc>
                <w:tcPr>
                  <w:tcW w:w="1749" w:type="pct"/>
                  <w:tcBorders>
                    <w:tl2br w:val="nil"/>
                    <w:tr2bl w:val="nil"/>
                  </w:tcBorders>
                  <w:shd w:val="clear" w:color="auto" w:fill="auto"/>
                  <w:noWrap/>
                  <w:vAlign w:val="center"/>
                </w:tcPr>
                <w:p w14:paraId="384C2C1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78" w:type="pct"/>
                  <w:tcBorders>
                    <w:tl2br w:val="nil"/>
                    <w:tr2bl w:val="nil"/>
                  </w:tcBorders>
                  <w:shd w:val="clear" w:color="auto" w:fill="auto"/>
                  <w:noWrap/>
                  <w:vAlign w:val="center"/>
                </w:tcPr>
                <w:p w14:paraId="673BDA8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沥青</w:t>
                  </w:r>
                </w:p>
              </w:tc>
              <w:tc>
                <w:tcPr>
                  <w:tcW w:w="306" w:type="pct"/>
                  <w:tcBorders>
                    <w:tl2br w:val="nil"/>
                    <w:tr2bl w:val="nil"/>
                  </w:tcBorders>
                  <w:shd w:val="clear" w:color="auto" w:fill="auto"/>
                  <w:noWrap/>
                  <w:vAlign w:val="center"/>
                </w:tcPr>
                <w:p w14:paraId="5660CFF6">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1"/>
                      <w:szCs w:val="21"/>
                      <w:vertAlign w:val="superscript"/>
                      <w:lang w:val="en-US" w:eastAsia="zh-CN" w:bidi="ar"/>
                      <w14:textFill>
                        <w14:solidFill>
                          <w14:schemeClr w14:val="tx1"/>
                        </w14:solidFill>
                      </w14:textFill>
                    </w:rPr>
                    <w:t>2</w:t>
                  </w:r>
                </w:p>
              </w:tc>
              <w:tc>
                <w:tcPr>
                  <w:tcW w:w="536" w:type="pct"/>
                  <w:tcBorders>
                    <w:tl2br w:val="nil"/>
                    <w:tr2bl w:val="nil"/>
                  </w:tcBorders>
                  <w:shd w:val="clear" w:color="auto" w:fill="auto"/>
                  <w:noWrap/>
                  <w:vAlign w:val="center"/>
                </w:tcPr>
                <w:p w14:paraId="6951532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4696</w:t>
                  </w:r>
                </w:p>
              </w:tc>
            </w:tr>
            <w:tr w14:paraId="3A5D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558CF8D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15</w:t>
                  </w:r>
                </w:p>
              </w:tc>
              <w:tc>
                <w:tcPr>
                  <w:tcW w:w="1408" w:type="pct"/>
                  <w:tcBorders>
                    <w:tl2br w:val="nil"/>
                    <w:tr2bl w:val="nil"/>
                  </w:tcBorders>
                  <w:shd w:val="clear" w:color="auto" w:fill="auto"/>
                  <w:noWrap/>
                  <w:vAlign w:val="center"/>
                </w:tcPr>
                <w:p w14:paraId="131B532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道路破除及恢复</w:t>
                  </w:r>
                </w:p>
              </w:tc>
              <w:tc>
                <w:tcPr>
                  <w:tcW w:w="1749" w:type="pct"/>
                  <w:tcBorders>
                    <w:tl2br w:val="nil"/>
                    <w:tr2bl w:val="nil"/>
                  </w:tcBorders>
                  <w:shd w:val="clear" w:color="auto" w:fill="auto"/>
                  <w:noWrap/>
                  <w:vAlign w:val="center"/>
                </w:tcPr>
                <w:p w14:paraId="628E9E9C">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78" w:type="pct"/>
                  <w:tcBorders>
                    <w:tl2br w:val="nil"/>
                    <w:tr2bl w:val="nil"/>
                  </w:tcBorders>
                  <w:shd w:val="clear" w:color="auto" w:fill="auto"/>
                  <w:noWrap/>
                  <w:vAlign w:val="center"/>
                </w:tcPr>
                <w:p w14:paraId="36C152E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砼</w:t>
                  </w:r>
                </w:p>
              </w:tc>
              <w:tc>
                <w:tcPr>
                  <w:tcW w:w="306" w:type="pct"/>
                  <w:tcBorders>
                    <w:tl2br w:val="nil"/>
                    <w:tr2bl w:val="nil"/>
                  </w:tcBorders>
                  <w:shd w:val="clear" w:color="auto" w:fill="auto"/>
                  <w:noWrap/>
                  <w:vAlign w:val="center"/>
                </w:tcPr>
                <w:p w14:paraId="1658B5F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1"/>
                      <w:szCs w:val="21"/>
                      <w:vertAlign w:val="superscript"/>
                      <w:lang w:val="en-US" w:eastAsia="zh-CN" w:bidi="ar"/>
                      <w14:textFill>
                        <w14:solidFill>
                          <w14:schemeClr w14:val="tx1"/>
                        </w14:solidFill>
                      </w14:textFill>
                    </w:rPr>
                    <w:t>2</w:t>
                  </w:r>
                </w:p>
              </w:tc>
              <w:tc>
                <w:tcPr>
                  <w:tcW w:w="536" w:type="pct"/>
                  <w:tcBorders>
                    <w:tl2br w:val="nil"/>
                    <w:tr2bl w:val="nil"/>
                  </w:tcBorders>
                  <w:shd w:val="clear" w:color="auto" w:fill="auto"/>
                  <w:noWrap/>
                  <w:vAlign w:val="center"/>
                </w:tcPr>
                <w:p w14:paraId="415FB9F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2050</w:t>
                  </w:r>
                </w:p>
              </w:tc>
            </w:tr>
            <w:tr w14:paraId="21FE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452C816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16</w:t>
                  </w:r>
                </w:p>
              </w:tc>
              <w:tc>
                <w:tcPr>
                  <w:tcW w:w="1408" w:type="pct"/>
                  <w:tcBorders>
                    <w:tl2br w:val="nil"/>
                    <w:tr2bl w:val="nil"/>
                  </w:tcBorders>
                  <w:shd w:val="clear" w:color="auto" w:fill="auto"/>
                  <w:noWrap/>
                  <w:vAlign w:val="center"/>
                </w:tcPr>
                <w:p w14:paraId="2D68AD5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人行道破除及恢复</w:t>
                  </w:r>
                </w:p>
              </w:tc>
              <w:tc>
                <w:tcPr>
                  <w:tcW w:w="1749" w:type="pct"/>
                  <w:tcBorders>
                    <w:tl2br w:val="nil"/>
                    <w:tr2bl w:val="nil"/>
                  </w:tcBorders>
                  <w:shd w:val="clear" w:color="auto" w:fill="auto"/>
                  <w:noWrap/>
                  <w:vAlign w:val="center"/>
                </w:tcPr>
                <w:p w14:paraId="0DB2A6F0">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78" w:type="pct"/>
                  <w:tcBorders>
                    <w:tl2br w:val="nil"/>
                    <w:tr2bl w:val="nil"/>
                  </w:tcBorders>
                  <w:shd w:val="clear" w:color="auto" w:fill="auto"/>
                  <w:noWrap/>
                  <w:vAlign w:val="center"/>
                </w:tcPr>
                <w:p w14:paraId="68D9F09E">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306" w:type="pct"/>
                  <w:tcBorders>
                    <w:tl2br w:val="nil"/>
                    <w:tr2bl w:val="nil"/>
                  </w:tcBorders>
                  <w:shd w:val="clear" w:color="auto" w:fill="auto"/>
                  <w:noWrap/>
                  <w:vAlign w:val="center"/>
                </w:tcPr>
                <w:p w14:paraId="1B4C294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m</w:t>
                  </w:r>
                  <w:r>
                    <w:rPr>
                      <w:rFonts w:hint="default" w:ascii="Times New Roman" w:hAnsi="Times New Roman" w:eastAsia="宋体" w:cs="Times New Roman"/>
                      <w:color w:val="000000" w:themeColor="text1"/>
                      <w:kern w:val="0"/>
                      <w:sz w:val="21"/>
                      <w:szCs w:val="21"/>
                      <w:vertAlign w:val="superscript"/>
                      <w:lang w:val="en-US" w:eastAsia="zh-CN" w:bidi="ar"/>
                      <w14:textFill>
                        <w14:solidFill>
                          <w14:schemeClr w14:val="tx1"/>
                        </w14:solidFill>
                      </w14:textFill>
                    </w:rPr>
                    <w:t>2</w:t>
                  </w:r>
                </w:p>
              </w:tc>
              <w:tc>
                <w:tcPr>
                  <w:tcW w:w="536" w:type="pct"/>
                  <w:tcBorders>
                    <w:tl2br w:val="nil"/>
                    <w:tr2bl w:val="nil"/>
                  </w:tcBorders>
                  <w:shd w:val="clear" w:color="auto" w:fill="auto"/>
                  <w:noWrap/>
                  <w:vAlign w:val="center"/>
                </w:tcPr>
                <w:p w14:paraId="6AECF40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468</w:t>
                  </w:r>
                </w:p>
              </w:tc>
            </w:tr>
            <w:tr w14:paraId="3314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75CE402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二</w:t>
                  </w:r>
                </w:p>
              </w:tc>
              <w:tc>
                <w:tcPr>
                  <w:tcW w:w="1408" w:type="pct"/>
                  <w:tcBorders>
                    <w:tl2br w:val="nil"/>
                    <w:tr2bl w:val="nil"/>
                  </w:tcBorders>
                  <w:shd w:val="clear" w:color="auto" w:fill="auto"/>
                  <w:noWrap/>
                  <w:vAlign w:val="center"/>
                </w:tcPr>
                <w:p w14:paraId="5F6D455D">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消能构筑物</w:t>
                  </w:r>
                </w:p>
              </w:tc>
              <w:tc>
                <w:tcPr>
                  <w:tcW w:w="1749" w:type="pct"/>
                  <w:tcBorders>
                    <w:tl2br w:val="nil"/>
                    <w:tr2bl w:val="nil"/>
                  </w:tcBorders>
                  <w:shd w:val="clear" w:color="auto" w:fill="auto"/>
                  <w:noWrap/>
                  <w:vAlign w:val="center"/>
                </w:tcPr>
                <w:p w14:paraId="247BE45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78" w:type="pct"/>
                  <w:tcBorders>
                    <w:tl2br w:val="nil"/>
                    <w:tr2bl w:val="nil"/>
                  </w:tcBorders>
                  <w:shd w:val="clear" w:color="auto" w:fill="auto"/>
                  <w:noWrap/>
                  <w:vAlign w:val="center"/>
                </w:tcPr>
                <w:p w14:paraId="3D742DE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306" w:type="pct"/>
                  <w:tcBorders>
                    <w:tl2br w:val="nil"/>
                    <w:tr2bl w:val="nil"/>
                  </w:tcBorders>
                  <w:shd w:val="clear" w:color="auto" w:fill="auto"/>
                  <w:noWrap/>
                  <w:vAlign w:val="center"/>
                </w:tcPr>
                <w:p w14:paraId="5ABD81E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c>
                <w:tcPr>
                  <w:tcW w:w="536" w:type="pct"/>
                  <w:tcBorders>
                    <w:tl2br w:val="nil"/>
                    <w:tr2bl w:val="nil"/>
                  </w:tcBorders>
                  <w:shd w:val="clear" w:color="auto" w:fill="auto"/>
                  <w:noWrap/>
                  <w:vAlign w:val="center"/>
                </w:tcPr>
                <w:p w14:paraId="294CE89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p>
              </w:tc>
            </w:tr>
            <w:tr w14:paraId="5AF2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9" w:type="pct"/>
                  <w:tcBorders>
                    <w:tl2br w:val="nil"/>
                    <w:tr2bl w:val="nil"/>
                  </w:tcBorders>
                  <w:shd w:val="clear" w:color="auto" w:fill="auto"/>
                  <w:noWrap/>
                  <w:vAlign w:val="center"/>
                </w:tcPr>
                <w:p w14:paraId="682D3759">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1</w:t>
                  </w:r>
                </w:p>
              </w:tc>
              <w:tc>
                <w:tcPr>
                  <w:tcW w:w="1408" w:type="pct"/>
                  <w:tcBorders>
                    <w:tl2br w:val="nil"/>
                    <w:tr2bl w:val="nil"/>
                  </w:tcBorders>
                  <w:shd w:val="clear" w:color="auto" w:fill="auto"/>
                  <w:noWrap/>
                  <w:vAlign w:val="center"/>
                </w:tcPr>
                <w:p w14:paraId="4CAFF50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消能井</w:t>
                  </w:r>
                </w:p>
              </w:tc>
              <w:tc>
                <w:tcPr>
                  <w:tcW w:w="1749" w:type="pct"/>
                  <w:tcBorders>
                    <w:tl2br w:val="nil"/>
                    <w:tr2bl w:val="nil"/>
                  </w:tcBorders>
                  <w:shd w:val="clear" w:color="auto" w:fill="auto"/>
                  <w:noWrap/>
                  <w:vAlign w:val="center"/>
                </w:tcPr>
                <w:p w14:paraId="230C7032">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A×B×H=3.5m×2.4m×2.3m</w:t>
                  </w:r>
                </w:p>
              </w:tc>
              <w:tc>
                <w:tcPr>
                  <w:tcW w:w="578" w:type="pct"/>
                  <w:tcBorders>
                    <w:tl2br w:val="nil"/>
                    <w:tr2bl w:val="nil"/>
                  </w:tcBorders>
                  <w:shd w:val="clear" w:color="auto" w:fill="auto"/>
                  <w:noWrap/>
                  <w:vAlign w:val="center"/>
                </w:tcPr>
                <w:p w14:paraId="1427025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钢筋砼</w:t>
                  </w:r>
                </w:p>
              </w:tc>
              <w:tc>
                <w:tcPr>
                  <w:tcW w:w="306" w:type="pct"/>
                  <w:tcBorders>
                    <w:tl2br w:val="nil"/>
                    <w:tr2bl w:val="nil"/>
                  </w:tcBorders>
                  <w:shd w:val="clear" w:color="auto" w:fill="auto"/>
                  <w:noWrap/>
                  <w:vAlign w:val="center"/>
                </w:tcPr>
                <w:p w14:paraId="2AEA10EA">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座</w:t>
                  </w:r>
                </w:p>
              </w:tc>
              <w:tc>
                <w:tcPr>
                  <w:tcW w:w="536" w:type="pct"/>
                  <w:tcBorders>
                    <w:tl2br w:val="nil"/>
                    <w:tr2bl w:val="nil"/>
                  </w:tcBorders>
                  <w:shd w:val="clear" w:color="auto" w:fill="auto"/>
                  <w:noWrap/>
                  <w:vAlign w:val="center"/>
                </w:tcPr>
                <w:p w14:paraId="0C99CD3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2</w:t>
                  </w:r>
                </w:p>
              </w:tc>
            </w:tr>
          </w:tbl>
          <w:p w14:paraId="1E27AC2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7、项目建设规模合理性分析</w:t>
            </w:r>
          </w:p>
          <w:p w14:paraId="6BF9CB8C">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7.1项目供水现状及存在问题</w:t>
            </w:r>
          </w:p>
          <w:p w14:paraId="253ED787">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（1）水源现状</w:t>
            </w:r>
          </w:p>
          <w:p w14:paraId="048548A0">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通过调查，在泸定老城区周边，可实现重力式低成本供水的可利用水源，只有羊圈沟、五里沟两条地表溪流。羊圈沟</w:t>
            </w:r>
            <w:r>
              <w:rPr>
                <w:rFonts w:hint="eastAsia" w:ascii="Times New Roman" w:hAnsi="Times New Roman" w:cs="Times New Roman"/>
                <w:color w:val="000000" w:themeColor="text1"/>
                <w:sz w:val="24"/>
                <w:szCs w:val="24"/>
                <w:lang w:val="en-US" w:eastAsia="zh-CN"/>
                <w14:textFill>
                  <w14:solidFill>
                    <w14:schemeClr w14:val="tx1"/>
                  </w14:solidFill>
                </w14:textFill>
              </w:rPr>
              <w:t>已</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是泸定县城区自来水厂的原水水源。因此，最终选定五里沟为本工程原水备用水源。</w:t>
            </w:r>
          </w:p>
          <w:p w14:paraId="3B5491A8">
            <w:pPr>
              <w:keepNext w:val="0"/>
              <w:keepLines w:val="0"/>
              <w:pageBreakBefore w:val="0"/>
              <w:widowControl w:val="0"/>
              <w:tabs>
                <w:tab w:val="left" w:pos="0"/>
              </w:tabs>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根据水质检测结果，</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五里沟</w:t>
            </w:r>
            <w:r>
              <w:rPr>
                <w:rFonts w:hint="default" w:ascii="Times New Roman" w:hAnsi="Times New Roman" w:eastAsia="宋体" w:cs="Times New Roman"/>
                <w:color w:val="000000" w:themeColor="text1"/>
                <w:sz w:val="24"/>
                <w:szCs w:val="24"/>
                <w14:textFill>
                  <w14:solidFill>
                    <w14:schemeClr w14:val="tx1"/>
                  </w14:solidFill>
                </w14:textFill>
              </w:rPr>
              <w:t>的水质满足《地表水环境质量标准》（GB3838-2002）Ⅲ类水体质量标准和《生活饮用水水源水质标准》（CJ3020-1993）二级水源水水质标准。</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9"/>
              <w:gridCol w:w="4159"/>
            </w:tblGrid>
            <w:tr w14:paraId="31D9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9" w:type="dxa"/>
                </w:tcPr>
                <w:p w14:paraId="4F38AFB7">
                  <w:pPr>
                    <w:keepNext w:val="0"/>
                    <w:keepLines w:val="0"/>
                    <w:pageBreakBefore w:val="0"/>
                    <w:widowControl w:val="0"/>
                    <w:tabs>
                      <w:tab w:val="left" w:pos="0"/>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2555875" cy="2179955"/>
                        <wp:effectExtent l="0" t="0" r="15875" b="10795"/>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18"/>
                                <a:stretch>
                                  <a:fillRect/>
                                </a:stretch>
                              </pic:blipFill>
                              <pic:spPr>
                                <a:xfrm>
                                  <a:off x="0" y="0"/>
                                  <a:ext cx="2555875" cy="2179955"/>
                                </a:xfrm>
                                <a:prstGeom prst="rect">
                                  <a:avLst/>
                                </a:prstGeom>
                                <a:noFill/>
                                <a:ln>
                                  <a:noFill/>
                                </a:ln>
                              </pic:spPr>
                            </pic:pic>
                          </a:graphicData>
                        </a:graphic>
                      </wp:inline>
                    </w:drawing>
                  </w:r>
                </w:p>
              </w:tc>
              <w:tc>
                <w:tcPr>
                  <w:tcW w:w="4159" w:type="dxa"/>
                </w:tcPr>
                <w:p w14:paraId="60D922CD">
                  <w:pPr>
                    <w:keepNext w:val="0"/>
                    <w:keepLines w:val="0"/>
                    <w:pageBreakBefore w:val="0"/>
                    <w:widowControl w:val="0"/>
                    <w:tabs>
                      <w:tab w:val="left" w:pos="0"/>
                    </w:tabs>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drawing>
                      <wp:inline distT="0" distB="0" distL="114300" distR="114300">
                        <wp:extent cx="2554605" cy="2160270"/>
                        <wp:effectExtent l="0" t="0" r="17145" b="11430"/>
                        <wp:docPr id="3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pic:cNvPicPr>
                                  <a:picLocks noChangeAspect="1"/>
                                </pic:cNvPicPr>
                              </pic:nvPicPr>
                              <pic:blipFill>
                                <a:blip r:embed="rId19"/>
                                <a:stretch>
                                  <a:fillRect/>
                                </a:stretch>
                              </pic:blipFill>
                              <pic:spPr>
                                <a:xfrm>
                                  <a:off x="0" y="0"/>
                                  <a:ext cx="2554605" cy="2160270"/>
                                </a:xfrm>
                                <a:prstGeom prst="rect">
                                  <a:avLst/>
                                </a:prstGeom>
                                <a:noFill/>
                                <a:ln>
                                  <a:noFill/>
                                </a:ln>
                              </pic:spPr>
                            </pic:pic>
                          </a:graphicData>
                        </a:graphic>
                      </wp:inline>
                    </w:drawing>
                  </w:r>
                </w:p>
              </w:tc>
            </w:tr>
          </w:tbl>
          <w:p w14:paraId="5F6649C0">
            <w:pPr>
              <w:tabs>
                <w:tab w:val="left" w:pos="0"/>
              </w:tabs>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lang w:val="en-US" w:eastAsia="zh-CN"/>
                <w14:textFill>
                  <w14:solidFill>
                    <w14:schemeClr w14:val="tx1"/>
                  </w14:solidFill>
                </w14:textFill>
              </w:rPr>
              <w:t>7.2水厂现状</w:t>
            </w:r>
          </w:p>
          <w:p w14:paraId="58FCFB25">
            <w:pPr>
              <w:tabs>
                <w:tab w:val="left" w:pos="0"/>
              </w:tabs>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lang w:val="en-US" w:eastAsia="zh-CN"/>
                <w14:textFill>
                  <w14:solidFill>
                    <w14:schemeClr w14:val="tx1"/>
                  </w14:solidFill>
                </w14:textFill>
              </w:rPr>
              <w:t>1、现有水源地现状</w:t>
            </w:r>
          </w:p>
          <w:p w14:paraId="3DCEF230">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泸定县城区自来水厂经《泸定县城市供水改扩建工程》完成扩建后，设计供水规模提升至10000m³/d，取水位置为羊圈沟，地理坐标（东经：102°14′40.08″，北纬：29°54′28.46″），水厂占地7.6亩，已于2023年取得取水许可证。</w:t>
            </w:r>
          </w:p>
          <w:p w14:paraId="1B34685D">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由于地震影响，导致羊圈沟水源不足以满足供水区用水量，据水厂提供监测数据，缺水量达3000m³/d，故建设取水头部一座，补充水厂原取水口羊圈沟取水量的不足。</w:t>
            </w:r>
          </w:p>
          <w:p w14:paraId="0A6C59CE">
            <w:pPr>
              <w:tabs>
                <w:tab w:val="left" w:pos="0"/>
              </w:tabs>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lang w:val="en-US" w:eastAsia="zh-CN"/>
                <w14:textFill>
                  <w14:solidFill>
                    <w14:schemeClr w14:val="tx1"/>
                  </w14:solidFill>
                </w14:textFill>
              </w:rPr>
              <w:t>主要构筑物：</w:t>
            </w:r>
          </w:p>
          <w:p w14:paraId="2D477EB7">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（1）配水井</w:t>
            </w:r>
          </w:p>
          <w:p w14:paraId="55DCD720">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配水井1座，L×B×H=6.0×2.8×1.5m，地面式，两格共壁联建，钢筋砼结构。</w:t>
            </w:r>
          </w:p>
          <w:p w14:paraId="2307D73E">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（2）斜管沉砂、反应沉淀池</w:t>
            </w:r>
          </w:p>
          <w:p w14:paraId="7C2F470B">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斜管沉砂池、反应沉淀池1座，两池连建，钢筋混凝土结构，组合尺寸为</w:t>
            </w:r>
          </w:p>
          <w:p w14:paraId="4E35DABA">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L×B×H=18.20×17.55×（5.3/4.6）m。</w:t>
            </w:r>
          </w:p>
          <w:p w14:paraId="73793D1C">
            <w:pPr>
              <w:tabs>
                <w:tab w:val="left" w:pos="0"/>
              </w:tabs>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lang w:val="en-US" w:eastAsia="zh-CN"/>
                <w14:textFill>
                  <w14:solidFill>
                    <w14:schemeClr w14:val="tx1"/>
                  </w14:solidFill>
                </w14:textFill>
              </w:rPr>
              <w:t>2、水厂现状</w:t>
            </w:r>
          </w:p>
          <w:p w14:paraId="70F65898">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项目占地：已建水厂占地7.6亩，羊圈沟原水输水管1070m，配水管网11631m；新建取水头部1座作为备用水源（包含阀门井、排气阀井、排泥井、消火栓、管道等配套设施）永久征地150㎡，约0.225亩；临时占地：输水管道临时占地面积5.22亩（征地埋设管道长约2.9km，埋深平均按1.0~1.5m计，管道开挖断面按平均1.2m计）。</w:t>
            </w:r>
          </w:p>
          <w:p w14:paraId="55F40692">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水厂供水对象为泸定县县城元帅街、将军街、遵义路、成武路、开湘路、延安路、一号路、二号路、三号路、瑞金路、四号路、五号路、六号路，取水水源类型为地表水。</w:t>
            </w:r>
          </w:p>
          <w:p w14:paraId="73AEA4B8">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取水工程方案：水厂现有取水口羊圈沟采用固定式低堰取水，固定式低堰包括低堰、钢板格栅、输水渠道，通过钢板格栅、进水渠道将河水引流到压力前池，输水钢管沿山脉敷设，将原水输送至水厂配水井（原水输水管1070m，配水管网11631m）。</w:t>
            </w:r>
          </w:p>
          <w:p w14:paraId="45D61B73">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原水输送至水厂配水井，经沉砂池沉沙，再流入水厂反应沉淀池进行处理，再通过进入滤池过滤，石英砂过滤池主要通过60cm厚的石英砂层过滤水质细小杂质与悬浮物，最后流入清水池，经过药房加药与泵房加压，自来水送入配送管网。</w:t>
            </w:r>
          </w:p>
          <w:p w14:paraId="0F43709F">
            <w:pPr>
              <w:tabs>
                <w:tab w:val="left" w:pos="0"/>
              </w:tabs>
              <w:spacing w:line="360" w:lineRule="auto"/>
              <w:ind w:firstLine="482" w:firstLineChars="200"/>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lang w:val="en-US" w:eastAsia="zh-CN"/>
                <w14:textFill>
                  <w14:solidFill>
                    <w14:schemeClr w14:val="tx1"/>
                  </w14:solidFill>
                </w14:textFill>
              </w:rPr>
              <w:t>用水工艺及过程</w:t>
            </w:r>
          </w:p>
          <w:p w14:paraId="1342CB67">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用水过程为：取水口→沉砂池→配水井→沉淀池→无阀滤池→清水池→配水管网。</w:t>
            </w:r>
          </w:p>
          <w:p w14:paraId="3F98D5D7">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工艺流程图如下：</w:t>
            </w:r>
          </w:p>
          <w:p w14:paraId="4EA6878A">
            <w:pPr>
              <w:tabs>
                <w:tab w:val="left" w:pos="0"/>
              </w:tabs>
              <w:spacing w:line="36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drawing>
                <wp:inline distT="0" distB="0" distL="114300" distR="114300">
                  <wp:extent cx="4721860" cy="4343400"/>
                  <wp:effectExtent l="0" t="0" r="2540"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20"/>
                          <a:stretch>
                            <a:fillRect/>
                          </a:stretch>
                        </pic:blipFill>
                        <pic:spPr>
                          <a:xfrm>
                            <a:off x="0" y="0"/>
                            <a:ext cx="4721860" cy="4343400"/>
                          </a:xfrm>
                          <a:prstGeom prst="rect">
                            <a:avLst/>
                          </a:prstGeom>
                          <a:noFill/>
                          <a:ln>
                            <a:noFill/>
                          </a:ln>
                        </pic:spPr>
                      </pic:pic>
                    </a:graphicData>
                  </a:graphic>
                </wp:inline>
              </w:drawing>
            </w:r>
          </w:p>
          <w:p w14:paraId="257A6B99">
            <w:pPr>
              <w:keepNext w:val="0"/>
              <w:keepLines w:val="0"/>
              <w:widowControl/>
              <w:suppressLineNumbers w:val="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bidi="ar"/>
                <w14:textFill>
                  <w14:solidFill>
                    <w14:schemeClr w14:val="tx1"/>
                  </w14:solidFill>
                </w14:textFill>
              </w:rPr>
              <w:t>2-6 水厂</w:t>
            </w:r>
            <w:r>
              <w:rPr>
                <w:rFonts w:hint="default" w:ascii="Times New Roman" w:hAnsi="Times New Roman" w:eastAsia="宋体" w:cs="Times New Roman"/>
                <w:b/>
                <w:bCs/>
                <w:color w:val="000000" w:themeColor="text1"/>
                <w:kern w:val="0"/>
                <w:sz w:val="21"/>
                <w:szCs w:val="21"/>
                <w:lang w:val="en-US" w:eastAsia="zh-CN" w:bidi="ar"/>
                <w14:textFill>
                  <w14:solidFill>
                    <w14:schemeClr w14:val="tx1"/>
                  </w14:solidFill>
                </w14:textFill>
              </w:rPr>
              <w:t>工艺流程图</w:t>
            </w:r>
          </w:p>
          <w:p w14:paraId="091E4469">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该工艺较成熟，处理效果持续稳定，处理后的水质能满足用水户用水需求。</w:t>
            </w:r>
          </w:p>
          <w:p w14:paraId="28FF1522">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厂区各构筑物基本呈阶梯布置，分生产区、办公生活区两个部分，生产区设置反应沉淀池、沉砂池、气水冲洗单阀滤池、清水池和附属设施等构建筑物；办公生活区设有管理房、加氯加药间等。</w:t>
            </w:r>
          </w:p>
          <w:p w14:paraId="464721B6">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沉砂池、沉淀池、气水冲洗单阀滤池、清水池均采用钢筋砼结构；管理房、加氯加药间、采用砖混结构。</w:t>
            </w:r>
          </w:p>
          <w:p w14:paraId="7CC3BC2B">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配水管网：为树枝状，管材主要为DE110～400配水，局部压力较大处采用减压阀。</w:t>
            </w:r>
          </w:p>
          <w:p w14:paraId="0989D5B6">
            <w:pPr>
              <w:tabs>
                <w:tab w:val="left" w:pos="0"/>
              </w:tabs>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lang w:val="en-US" w:eastAsia="zh-CN"/>
                <w14:textFill>
                  <w14:solidFill>
                    <w14:schemeClr w14:val="tx1"/>
                  </w14:solidFill>
                </w14:textFill>
              </w:rPr>
              <w:t>建设规模</w:t>
            </w:r>
          </w:p>
          <w:p w14:paraId="4B5BAF13">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水厂的主要处理构筑物：配水井、斜管沉砂反应沉淀池、气水冲洗单阀滤池、加药加氯间、反冲洗水回收池、清水池、综合楼。</w:t>
            </w:r>
          </w:p>
          <w:p w14:paraId="6994B747">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（1）配水井</w:t>
            </w:r>
          </w:p>
          <w:p w14:paraId="156D9610">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配水井1座，L×B×H=6.0×2.8×1.5m，地面式，两格共壁联建，钢筋砼结构。</w:t>
            </w:r>
          </w:p>
          <w:p w14:paraId="569C9E9D">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（2）斜管沉砂、反应沉淀池</w:t>
            </w:r>
          </w:p>
          <w:p w14:paraId="5656624E">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斜管沉砂、反应沉淀池1座，两池连建，钢筋混凝土结构，组合尺寸</w:t>
            </w:r>
          </w:p>
          <w:p w14:paraId="498E9B09">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L×B×H=18.20×17.55×（5.3/4.6）m。</w:t>
            </w:r>
          </w:p>
          <w:p w14:paraId="1F56F769">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1）斜管沉砂池</w:t>
            </w:r>
          </w:p>
          <w:p w14:paraId="66E98930">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钢筋砼结构沉砂池1座（分两格），组合尺寸：L×B×H=5.0×15.0×5.3；采用斜管沉砂，斗式排泥。</w:t>
            </w:r>
          </w:p>
          <w:p w14:paraId="77797A25">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2）混合反应斜管沉淀池</w:t>
            </w:r>
          </w:p>
          <w:p w14:paraId="085E89F9">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钢筋砼结构反应沉淀池1座(分两格)，组合尺寸：L×B×H=12.15×18.2×4.6m；机械混合，孔室反应，总反应时间20min；反应室采用穿孔管排泥；沉淀池采用斜管沉淀、机械排泥。</w:t>
            </w:r>
          </w:p>
          <w:p w14:paraId="0CE19C45">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（3）气水冲洗单阀滤池</w:t>
            </w:r>
          </w:p>
          <w:p w14:paraId="0D7FFD68">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滤池采用钢筋混凝土结构设计，设矩形滤池2组，每组2格，每组</w:t>
            </w:r>
          </w:p>
          <w:p w14:paraId="3F7E7288">
            <w:pPr>
              <w:tabs>
                <w:tab w:val="left" w:pos="0"/>
              </w:tabs>
              <w:spacing w:line="360" w:lineRule="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L×B×H=4.0×8.25×4.9m。滤速V=8m/h，水冲洗强度4～6L/s.m²；气冲洗强度15升/s.m²；冲洗时间10～12mim；鼓风机房1座，5.4×4.0×4.9m，与滤池共壁连建，混合结构。采用均质石英砂滤料，d=0.8～1.0mm，厚度H=0.7m；配水系统：采用钢筋砼滤板，塑料滤头。</w:t>
            </w:r>
          </w:p>
          <w:p w14:paraId="4D50F876">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（4）加药、加氯间</w:t>
            </w:r>
          </w:p>
          <w:p w14:paraId="4A202C0A">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合建加药、加氯间1座，L×B=18×6.6m，总建筑面积118.8m，单层，层高4.50m，混合结构。</w:t>
            </w:r>
          </w:p>
          <w:p w14:paraId="70F8F0AB">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1）加药间</w:t>
            </w:r>
          </w:p>
          <w:p w14:paraId="3FB2D9C6">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加药间建筑尺寸：L×B=10.8×6.6m，单层，层高4.50m，与加氯间合建；加药间内设有玻璃钢溶药捅1个，φ=1.0m，H=1.2m；溶液池2座，L×B×H=1.2×1.2×1.2M，砖石结构。</w:t>
            </w:r>
          </w:p>
          <w:p w14:paraId="4DA14A3A">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主要设备：溶药搅拌机1台，φ=300，n=69r/min；膈膜泵2台，Q=20L/h，I=16m；</w:t>
            </w:r>
          </w:p>
          <w:p w14:paraId="3474C0E4">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混凝剂：聚氯化铝（PAC），平均投加量20mg/L，每平均日投加量200kg，混凝贮量：按30日计。</w:t>
            </w:r>
          </w:p>
          <w:p w14:paraId="277B4EA1">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2）加氯间</w:t>
            </w:r>
          </w:p>
          <w:p w14:paraId="67B92571">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建筑尺寸：L×B=7.2×6.6m，单层，层高4.50m，与加药间合建；采用二氧化氯消毒，投加量1～2mg/L，最大投加量20kg/d=800g/h；</w:t>
            </w:r>
          </w:p>
          <w:p w14:paraId="34DE4019">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主要设备：QL-800型二氯化氯发生器2台（互为备用），二氯化氯产量800g/h，盐酸储罐1台，φ=800，H=I.2m；氯酸钠储罐1台，φ=800，H=I.2m；氯酸钠化料器1台，φ=800，N=1.Ikw。</w:t>
            </w:r>
          </w:p>
          <w:p w14:paraId="3DAB96E7">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（5）反冲洗水回收池</w:t>
            </w:r>
          </w:p>
          <w:p w14:paraId="6190B150">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滤池反冲洗出水浊度较低，且具有活性，易沉淀，为减少水厂自用水量，对反冲洗出水予以回收再利用。滤池每日冲洗1次，滤池每次排出冲洗水量约120m³，每日排出冲洗水量共约480m³。反冲洗水回收池1座，L×B×H=7.5×5.0×4.3m，有效水深3.20m，有效容积V=120m³，地下式，钢筋砼结构。采用潜水泵将每次滤池冲洗出水送回配水井进行再处理。主要设备：潜水泵2台，Q=40m/h，H=15m（1用1备）。</w:t>
            </w:r>
          </w:p>
          <w:p w14:paraId="310F498E">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（6）清水池</w:t>
            </w:r>
          </w:p>
          <w:p w14:paraId="2E4BAF39">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清水池2座，单池L×B×H=15.9×15.9×4.0m，V=1000m³，地下式，钢筋砼结构；清水池向城市管网自流供水。主要设备：离心泵1台，Q=25m/h，H=30m，N=4.0kw，水厂内生活、生产用水泵；离心泵1台，Q=40.0m³/h，H=38.0m，N=7.5kw，水厂内消防用水泵。</w:t>
            </w:r>
          </w:p>
          <w:p w14:paraId="34CC147B">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（7）综合楼</w:t>
            </w:r>
          </w:p>
          <w:p w14:paraId="38C31CA0">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建筑平面尺寸：27×6.6，三层，层高3.6m，总建筑面积556.41m²，框架结构；综合楼内设办公室、中控室、化验室、值班室、配电间等。</w:t>
            </w:r>
          </w:p>
          <w:p w14:paraId="2BB0C4BD">
            <w:pPr>
              <w:tabs>
                <w:tab w:val="left" w:pos="0"/>
              </w:tabs>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7.</w:t>
            </w:r>
            <w:r>
              <w:rPr>
                <w:rFonts w:hint="default" w:ascii="Times New Roman" w:hAnsi="Times New Roman" w:eastAsia="宋体" w:cs="Times New Roman"/>
                <w:b/>
                <w:bCs/>
                <w:color w:val="000000" w:themeColor="text1"/>
                <w:sz w:val="24"/>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14:textFill>
                  <w14:solidFill>
                    <w14:schemeClr w14:val="tx1"/>
                  </w14:solidFill>
                </w14:textFill>
              </w:rPr>
              <w:t>设计水平年和设计保证率</w:t>
            </w:r>
          </w:p>
          <w:p w14:paraId="3A040306">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（1）设计水平年</w:t>
            </w:r>
          </w:p>
          <w:p w14:paraId="3A259941">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根据社会经济发展和工程设计要求，</w:t>
            </w:r>
            <w:r>
              <w:rPr>
                <w:rFonts w:hint="default" w:ascii="Times New Roman" w:hAnsi="Times New Roman" w:eastAsia="宋体" w:cs="Times New Roman"/>
                <w:color w:val="000000" w:themeColor="text1"/>
                <w:sz w:val="24"/>
                <w:lang w:eastAsia="zh-CN"/>
                <w14:textFill>
                  <w14:solidFill>
                    <w14:schemeClr w14:val="tx1"/>
                  </w14:solidFill>
                </w14:textFill>
              </w:rPr>
              <w:t>《泸定县城区自来水厂备用水源取水工程新建项目水资源论证报告书（</w:t>
            </w:r>
            <w:r>
              <w:rPr>
                <w:rFonts w:hint="default" w:ascii="Times New Roman" w:hAnsi="Times New Roman" w:eastAsia="宋体" w:cs="Times New Roman"/>
                <w:color w:val="000000" w:themeColor="text1"/>
                <w:sz w:val="24"/>
                <w:lang w:val="en-US" w:eastAsia="zh-CN"/>
                <w14:textFill>
                  <w14:solidFill>
                    <w14:schemeClr w14:val="tx1"/>
                  </w14:solidFill>
                </w14:textFill>
              </w:rPr>
              <w:t>报批</w:t>
            </w:r>
            <w:r>
              <w:rPr>
                <w:rFonts w:hint="default" w:ascii="Times New Roman" w:hAnsi="Times New Roman" w:eastAsia="宋体" w:cs="Times New Roman"/>
                <w:color w:val="000000" w:themeColor="text1"/>
                <w:sz w:val="24"/>
                <w:lang w:eastAsia="zh-CN"/>
                <w14:textFill>
                  <w14:solidFill>
                    <w14:schemeClr w14:val="tx1"/>
                  </w14:solidFill>
                </w14:textFill>
              </w:rPr>
              <w:t>稿）》（四川淼一工程勘测设计有限公司，</w:t>
            </w:r>
            <w:r>
              <w:rPr>
                <w:rFonts w:hint="default" w:ascii="Times New Roman" w:hAnsi="Times New Roman" w:eastAsia="宋体" w:cs="Times New Roman"/>
                <w:color w:val="000000" w:themeColor="text1"/>
                <w:sz w:val="24"/>
                <w:lang w:val="en-US" w:eastAsia="zh-CN"/>
                <w14:textFill>
                  <w14:solidFill>
                    <w14:schemeClr w14:val="tx1"/>
                  </w14:solidFill>
                </w14:textFill>
              </w:rPr>
              <w:t>2025年4月</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结合本项目的统计数据实际情况，本阶段现状水平年为2023年，规划水平年为2030年。</w:t>
            </w:r>
          </w:p>
          <w:p w14:paraId="4614CF71">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（2）设计保证率</w:t>
            </w:r>
          </w:p>
          <w:p w14:paraId="1ACEBAAC">
            <w:pPr>
              <w:tabs>
                <w:tab w:val="left" w:pos="0"/>
              </w:tabs>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城市给水工程规划规范》（GB50282-2016）“选用地表水为城市给水水源时，城市给水水源的枯水流量保证率根据城市性质和规模确定，可采用90%～97%”及《城镇给水排水技术规范》（GB50788-2012）“当水源为地表水时，设计枯水流量保证率和设计枯水位保证率不应低于90%”，本次论证的泸定县县城供水，取水保证率要求较高，因此，本次泸定县自来水厂的取水保证率取95%。</w:t>
            </w:r>
          </w:p>
          <w:p w14:paraId="4A102C2A">
            <w:pPr>
              <w:tabs>
                <w:tab w:val="left" w:pos="0"/>
              </w:tabs>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7.</w:t>
            </w:r>
            <w:r>
              <w:rPr>
                <w:rFonts w:hint="default" w:ascii="Times New Roman" w:hAnsi="Times New Roman" w:eastAsia="宋体" w:cs="Times New Roman"/>
                <w:b/>
                <w:bCs/>
                <w:color w:val="000000" w:themeColor="text1"/>
                <w:sz w:val="24"/>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14:textFill>
                  <w14:solidFill>
                    <w14:schemeClr w14:val="tx1"/>
                  </w14:solidFill>
                </w14:textFill>
              </w:rPr>
              <w:t>项目区需水预测</w:t>
            </w:r>
          </w:p>
          <w:p w14:paraId="16BA6CA3">
            <w:pPr>
              <w:tabs>
                <w:tab w:val="left" w:pos="0"/>
              </w:tabs>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（1）供水范围</w:t>
            </w:r>
          </w:p>
          <w:p w14:paraId="17A72EA0">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水厂供水区域为泸定县县城元帅街、将军街、遵义路、成武路、开湘路、延安路、一号路、二号路、三号路、瑞金路、四号路、五号路、六号路</w:t>
            </w: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参考根据《泸定县国土空间总体规划（2022-2035）》，区域</w:t>
            </w:r>
            <w:r>
              <w:rPr>
                <w:rFonts w:hint="default" w:ascii="Times New Roman" w:hAnsi="Times New Roman" w:eastAsia="宋体" w:cs="Times New Roman"/>
                <w:color w:val="000000" w:themeColor="text1"/>
                <w:sz w:val="24"/>
                <w:lang w:val="en-US" w:eastAsia="zh-CN"/>
                <w14:textFill>
                  <w14:solidFill>
                    <w14:schemeClr w14:val="tx1"/>
                  </w14:solidFill>
                </w14:textFill>
              </w:rPr>
              <w:t>人口约3.0-3.2万人。</w:t>
            </w:r>
          </w:p>
          <w:p w14:paraId="38DE9B0A">
            <w:pPr>
              <w:tabs>
                <w:tab w:val="left" w:pos="0"/>
              </w:tabs>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（2）需水量预测</w:t>
            </w:r>
          </w:p>
          <w:p w14:paraId="53E15AB9">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根据《泸定县城区自来水厂备用水源取水工程新建项目水资源论证报告书》，现状供水情况：泸定县城区自来水厂经《泸定县城市供水改扩建工程》对项目取水口及供配水管网进行改扩建后，取水点位于泸桥镇羊圈沟，坐标（东经102°14′40.08"，北纬29°54′28.46"），水厂位于甘孜州泸定县泸桥镇，地理坐标（东经102°14′4.86"，北纬29°54′39.78"）水厂设计供水规模10000m³/d，水厂占地7.6亩，已于2023年4月取得甘孜州水利局下发的取水许可证，年取水296.04万</w:t>
            </w:r>
            <w:r>
              <w:rPr>
                <w:rFonts w:hint="eastAsia" w:ascii="Times New Roman" w:hAnsi="Times New Roman" w:cs="Times New Roman"/>
                <w:color w:val="000000" w:themeColor="text1"/>
                <w:sz w:val="24"/>
                <w:lang w:val="en-US" w:eastAsia="zh-CN"/>
                <w14:textFill>
                  <w14:solidFill>
                    <w14:schemeClr w14:val="tx1"/>
                  </w14:solidFill>
                </w14:textFill>
              </w:rPr>
              <w:t>m</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w:t>
            </w:r>
          </w:p>
          <w:p w14:paraId="110FC8B7">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因受地震的影响导致水厂取水点供水规模不足以满足供水区的需水量，缺水量达3000m³/d，故于五里沟新建取水头部一座作为备用水源，补充羊圈沟取水点的供水缺口。</w:t>
            </w:r>
          </w:p>
          <w:p w14:paraId="0F120CA4">
            <w:pPr>
              <w:tabs>
                <w:tab w:val="left" w:pos="0"/>
              </w:tabs>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五里沟平均日取水量3</w:t>
            </w:r>
            <w:r>
              <w:rPr>
                <w:rFonts w:hint="eastAsia" w:ascii="Times New Roman" w:hAnsi="Times New Roman" w:cs="Times New Roman"/>
                <w:color w:val="000000" w:themeColor="text1"/>
                <w:sz w:val="24"/>
                <w:lang w:val="en-US" w:eastAsia="zh-CN"/>
                <w14:textFill>
                  <w14:solidFill>
                    <w14:schemeClr w14:val="tx1"/>
                  </w14:solidFill>
                </w14:textFill>
              </w:rPr>
              <w:t>600</w:t>
            </w:r>
            <w:r>
              <w:rPr>
                <w:rFonts w:hint="default" w:ascii="Times New Roman" w:hAnsi="Times New Roman" w:eastAsia="宋体" w:cs="Times New Roman"/>
                <w:color w:val="000000" w:themeColor="text1"/>
                <w:sz w:val="24"/>
                <w:lang w:val="en-US" w:eastAsia="zh-CN"/>
                <w14:textFill>
                  <w14:solidFill>
                    <w14:schemeClr w14:val="tx1"/>
                  </w14:solidFill>
                </w14:textFill>
              </w:rPr>
              <w:t>m³/d，年取水量</w:t>
            </w:r>
            <w:r>
              <w:rPr>
                <w:rFonts w:hint="eastAsia" w:ascii="Times New Roman" w:hAnsi="Times New Roman" w:cs="Times New Roman"/>
                <w:color w:val="000000" w:themeColor="text1"/>
                <w:sz w:val="24"/>
                <w:lang w:val="en-US" w:eastAsia="zh-CN"/>
                <w14:textFill>
                  <w14:solidFill>
                    <w14:schemeClr w14:val="tx1"/>
                  </w14:solidFill>
                </w14:textFill>
              </w:rPr>
              <w:t>131.4</w:t>
            </w:r>
            <w:r>
              <w:rPr>
                <w:rFonts w:hint="default" w:ascii="Times New Roman" w:hAnsi="Times New Roman" w:eastAsia="宋体" w:cs="Times New Roman"/>
                <w:color w:val="000000" w:themeColor="text1"/>
                <w:sz w:val="24"/>
                <w:lang w:val="en-US" w:eastAsia="zh-CN"/>
                <w14:textFill>
                  <w14:solidFill>
                    <w14:schemeClr w14:val="tx1"/>
                  </w14:solidFill>
                </w14:textFill>
              </w:rPr>
              <w:t>万m³/a，羊圈沟平均日取水量占4902.16m³/d，年取水量178.92万m³/a。</w:t>
            </w:r>
          </w:p>
          <w:p w14:paraId="1AC544D9">
            <w:pPr>
              <w:tabs>
                <w:tab w:val="left" w:pos="0"/>
              </w:tabs>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7.</w:t>
            </w:r>
            <w:r>
              <w:rPr>
                <w:rFonts w:hint="default" w:ascii="Times New Roman" w:hAnsi="Times New Roman" w:eastAsia="宋体" w:cs="Times New Roman"/>
                <w:b/>
                <w:bCs/>
                <w:color w:val="000000" w:themeColor="text1"/>
                <w:sz w:val="24"/>
                <w:lang w:val="en-US" w:eastAsia="zh-CN"/>
                <w14:textFill>
                  <w14:solidFill>
                    <w14:schemeClr w14:val="tx1"/>
                  </w14:solidFill>
                </w14:textFill>
              </w:rPr>
              <w:t>5</w:t>
            </w:r>
            <w:r>
              <w:rPr>
                <w:rFonts w:hint="default" w:ascii="Times New Roman" w:hAnsi="Times New Roman" w:eastAsia="宋体" w:cs="Times New Roman"/>
                <w:b/>
                <w:bCs/>
                <w:color w:val="000000" w:themeColor="text1"/>
                <w:sz w:val="24"/>
                <w14:textFill>
                  <w14:solidFill>
                    <w14:schemeClr w14:val="tx1"/>
                  </w14:solidFill>
                </w14:textFill>
              </w:rPr>
              <w:t>项目供水规模确定</w:t>
            </w:r>
          </w:p>
          <w:p w14:paraId="04A31371">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根据《</w:t>
            </w:r>
            <w:r>
              <w:rPr>
                <w:rFonts w:hint="default" w:ascii="Times New Roman" w:hAnsi="Times New Roman" w:eastAsia="宋体" w:cs="Times New Roman"/>
                <w:color w:val="000000" w:themeColor="text1"/>
                <w:lang w:eastAsia="zh-CN"/>
                <w14:textFill>
                  <w14:solidFill>
                    <w14:schemeClr w14:val="tx1"/>
                  </w14:solidFill>
                </w14:textFill>
              </w:rPr>
              <w:t>泸定县城区自来水厂备用水源取水工程新建项目</w:t>
            </w:r>
            <w:r>
              <w:rPr>
                <w:rFonts w:hint="default" w:ascii="Times New Roman" w:hAnsi="Times New Roman" w:eastAsia="宋体" w:cs="Times New Roman"/>
                <w:color w:val="000000" w:themeColor="text1"/>
                <w:lang w:val="en-US" w:eastAsia="zh-CN"/>
                <w14:textFill>
                  <w14:solidFill>
                    <w14:schemeClr w14:val="tx1"/>
                  </w14:solidFill>
                </w14:textFill>
              </w:rPr>
              <w:t>初步设计报告</w:t>
            </w:r>
            <w:r>
              <w:rPr>
                <w:rFonts w:hint="default" w:ascii="Times New Roman" w:hAnsi="Times New Roman" w:eastAsia="宋体" w:cs="Times New Roman"/>
                <w:color w:val="000000" w:themeColor="text1"/>
                <w14:textFill>
                  <w14:solidFill>
                    <w14:schemeClr w14:val="tx1"/>
                  </w14:solidFill>
                </w14:textFill>
              </w:rPr>
              <w:t>》，在考虑供水站自用及输水损失水量以及未预见水量后，确定项目供水规模如下。</w:t>
            </w:r>
          </w:p>
          <w:p w14:paraId="5006D5E4">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根据项目初设，该管道设计流量应取值为0.0</w:t>
            </w:r>
            <w:r>
              <w:rPr>
                <w:rFonts w:hint="default" w:ascii="Times New Roman" w:hAnsi="Times New Roman" w:eastAsia="宋体" w:cs="Times New Roman"/>
                <w:color w:val="000000" w:themeColor="text1"/>
                <w:lang w:val="en-US" w:eastAsia="zh-CN"/>
                <w14:textFill>
                  <w14:solidFill>
                    <w14:schemeClr w14:val="tx1"/>
                  </w14:solidFill>
                </w14:textFill>
              </w:rPr>
              <w:t>41</w:t>
            </w:r>
            <w:r>
              <w:rPr>
                <w:rFonts w:hint="eastAsia" w:ascii="Times New Roman" w:hAnsi="Times New Roman" w:cs="Times New Roman"/>
                <w:color w:val="000000" w:themeColor="text1"/>
                <w:lang w:eastAsia="zh-CN"/>
                <w14:textFill>
                  <w14:solidFill>
                    <w14:schemeClr w14:val="tx1"/>
                  </w14:solidFill>
                </w14:textFill>
              </w:rPr>
              <w:t>m</w:t>
            </w:r>
            <w:r>
              <w:rPr>
                <w:rFonts w:hint="eastAsia" w:ascii="Times New Roman" w:hAnsi="Times New Roman" w:cs="Times New Roman"/>
                <w:color w:val="000000" w:themeColor="text1"/>
                <w:vertAlign w:val="superscript"/>
                <w:lang w:eastAsia="zh-CN"/>
                <w14:textFill>
                  <w14:solidFill>
                    <w14:schemeClr w14:val="tx1"/>
                  </w14:solidFill>
                </w14:textFill>
              </w:rPr>
              <w:t>3</w:t>
            </w:r>
            <w:r>
              <w:rPr>
                <w:rFonts w:hint="default" w:ascii="Times New Roman" w:hAnsi="Times New Roman" w:eastAsia="宋体" w:cs="Times New Roman"/>
                <w:color w:val="000000" w:themeColor="text1"/>
                <w14:textFill>
                  <w14:solidFill>
                    <w14:schemeClr w14:val="tx1"/>
                  </w14:solidFill>
                </w14:textFill>
              </w:rPr>
              <w:t>/s；满足需求。</w:t>
            </w:r>
          </w:p>
          <w:p w14:paraId="364F7743">
            <w:pPr>
              <w:pStyle w:val="311"/>
              <w:spacing w:before="0" w:beforeLines="0" w:after="0" w:afterLines="0" w:line="360" w:lineRule="auto"/>
              <w:ind w:firstLine="482"/>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7.</w:t>
            </w:r>
            <w:r>
              <w:rPr>
                <w:rFonts w:hint="default" w:ascii="Times New Roman" w:hAnsi="Times New Roman" w:eastAsia="宋体" w:cs="Times New Roman"/>
                <w:b/>
                <w:bCs/>
                <w:color w:val="000000" w:themeColor="text1"/>
                <w:lang w:val="en-US" w:eastAsia="zh-CN"/>
                <w14:textFill>
                  <w14:solidFill>
                    <w14:schemeClr w14:val="tx1"/>
                  </w14:solidFill>
                </w14:textFill>
              </w:rPr>
              <w:t>6</w:t>
            </w:r>
            <w:r>
              <w:rPr>
                <w:rFonts w:hint="default" w:ascii="Times New Roman" w:hAnsi="Times New Roman" w:eastAsia="宋体" w:cs="Times New Roman"/>
                <w:b/>
                <w:bCs/>
                <w:color w:val="000000" w:themeColor="text1"/>
                <w14:textFill>
                  <w14:solidFill>
                    <w14:schemeClr w14:val="tx1"/>
                  </w14:solidFill>
                </w14:textFill>
              </w:rPr>
              <w:t>项目水源选择的可靠性、合理性分析</w:t>
            </w:r>
          </w:p>
          <w:p w14:paraId="3BA9298C">
            <w:pPr>
              <w:pStyle w:val="311"/>
              <w:spacing w:before="0" w:beforeLines="0" w:after="0" w:afterLines="0" w:line="360" w:lineRule="auto"/>
              <w:ind w:firstLine="482"/>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（1）水源选择</w:t>
            </w:r>
          </w:p>
          <w:p w14:paraId="397F779C">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项目新建取水口位于甘孜州泸定县泸桥镇五里沟，坐标（东经：102°15′13.90″，北纬：29°57′6.21″），取水方式为底格栏栅坝取水，通过暗渠及河道引水至沉砂池再通过管道输送至水厂，输送至水厂配水井，再流入项目沉淀池处理，再进入气水冲洗单阀滤池，石英砂过滤池主要通过60cm厚的石英砂层过滤水质细小杂质与悬浮物，最后流入清水池，经过药房加药与泵房加压，自来水送入配送管网。</w:t>
            </w:r>
          </w:p>
          <w:p w14:paraId="0AC35289">
            <w:pPr>
              <w:pStyle w:val="311"/>
              <w:numPr>
                <w:ilvl w:val="0"/>
                <w:numId w:val="18"/>
              </w:numPr>
              <w:spacing w:before="0" w:beforeLines="0" w:after="0" w:afterLines="0" w:line="360" w:lineRule="auto"/>
              <w:ind w:firstLine="482"/>
              <w:jc w:val="both"/>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可供水量</w:t>
            </w:r>
          </w:p>
          <w:p w14:paraId="53EADF4C">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根据水资源管控与调度原则：水资源配置应当优先保证生活用水，确保生态基本需水，保障粮食生产合理需水，优化配置农业、工业（含水力发电）、航运、旅游等生产经营用水。由于项目取水口以上无其他取水用户，因此项目取水口来水量即为可供水量。</w:t>
            </w:r>
            <w:bookmarkStart w:id="90" w:name="6.4.2 代表年水量平衡计算"/>
            <w:bookmarkEnd w:id="90"/>
          </w:p>
          <w:p w14:paraId="018655EB">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依据取水口来水、用水情况，根据计算原则和方法，对取水口设计保证率来水进行水量平衡计算。取水口无其他取用水用户，减水河段也无灌溉需求。</w:t>
            </w:r>
          </w:p>
          <w:p w14:paraId="648355D3">
            <w:pPr>
              <w:pStyle w:val="311"/>
              <w:spacing w:before="0" w:beforeLines="0" w:after="0" w:afterLines="0" w:line="360" w:lineRule="auto"/>
              <w:ind w:firstLine="480"/>
              <w:jc w:val="both"/>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根据业主提供运营方案，五里沟取水口取水量</w:t>
            </w:r>
            <w:r>
              <w:rPr>
                <w:rFonts w:hint="eastAsia" w:ascii="Times New Roman" w:hAnsi="Times New Roman" w:cs="Times New Roman"/>
                <w:color w:val="000000" w:themeColor="text1"/>
                <w:lang w:eastAsia="zh-CN"/>
                <w14:textFill>
                  <w14:solidFill>
                    <w14:schemeClr w14:val="tx1"/>
                  </w14:solidFill>
                </w14:textFill>
              </w:rPr>
              <w:t>3600</w:t>
            </w:r>
            <w:r>
              <w:rPr>
                <w:rFonts w:hint="default" w:ascii="Times New Roman" w:hAnsi="Times New Roman" w:eastAsia="宋体" w:cs="Times New Roman"/>
                <w:color w:val="000000" w:themeColor="text1"/>
                <w14:textFill>
                  <w14:solidFill>
                    <w14:schemeClr w14:val="tx1"/>
                  </w14:solidFill>
                </w14:textFill>
              </w:rPr>
              <w:t>m³/d，项目取水口水量平衡如下表。</w:t>
            </w:r>
          </w:p>
          <w:p w14:paraId="16D5EE2B">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bookmarkStart w:id="91" w:name="表6.4.2-2取水口P=95%水量平衡表（五里沟）"/>
            <w:bookmarkEnd w:id="91"/>
            <w:bookmarkStart w:id="92" w:name="表6.4.2-1取水P=95%水量平衡表（羊圈沟）"/>
            <w:bookmarkEnd w:id="92"/>
            <w:r>
              <w:rPr>
                <w:rFonts w:hint="default" w:ascii="Times New Roman" w:hAnsi="Times New Roman" w:eastAsia="宋体" w:cs="Times New Roman"/>
                <w:b/>
                <w:color w:val="000000" w:themeColor="text1"/>
                <w:szCs w:val="21"/>
                <w:lang w:val="en-US" w:eastAsia="zh-CN"/>
                <w14:textFill>
                  <w14:solidFill>
                    <w14:schemeClr w14:val="tx1"/>
                  </w14:solidFill>
                </w14:textFill>
              </w:rPr>
              <w:t>取水口P=95%水量平衡表（五里沟）</w:t>
            </w:r>
          </w:p>
          <w:tbl>
            <w:tblPr>
              <w:tblStyle w:val="55"/>
              <w:tblW w:w="4998" w:type="pct"/>
              <w:tblInd w:w="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5"/>
              <w:gridCol w:w="662"/>
              <w:gridCol w:w="809"/>
              <w:gridCol w:w="761"/>
              <w:gridCol w:w="756"/>
              <w:gridCol w:w="737"/>
              <w:gridCol w:w="827"/>
              <w:gridCol w:w="764"/>
              <w:gridCol w:w="711"/>
              <w:gridCol w:w="707"/>
              <w:gridCol w:w="819"/>
            </w:tblGrid>
            <w:tr w14:paraId="3CF89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vMerge w:val="restart"/>
                  <w:tcBorders>
                    <w:tl2br w:val="nil"/>
                    <w:tr2bl w:val="nil"/>
                  </w:tcBorders>
                  <w:noWrap w:val="0"/>
                  <w:vAlign w:val="center"/>
                </w:tcPr>
                <w:p w14:paraId="50C7107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月份</w:t>
                  </w:r>
                </w:p>
              </w:tc>
              <w:tc>
                <w:tcPr>
                  <w:tcW w:w="898" w:type="pct"/>
                  <w:gridSpan w:val="2"/>
                  <w:tcBorders>
                    <w:tl2br w:val="nil"/>
                    <w:tr2bl w:val="nil"/>
                  </w:tcBorders>
                  <w:noWrap w:val="0"/>
                  <w:vAlign w:val="center"/>
                </w:tcPr>
                <w:p w14:paraId="5B0A369F">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上游来水</w:t>
                  </w:r>
                </w:p>
              </w:tc>
              <w:tc>
                <w:tcPr>
                  <w:tcW w:w="927" w:type="pct"/>
                  <w:gridSpan w:val="2"/>
                  <w:tcBorders>
                    <w:tl2br w:val="nil"/>
                    <w:tr2bl w:val="nil"/>
                  </w:tcBorders>
                  <w:noWrap w:val="0"/>
                  <w:vAlign w:val="center"/>
                </w:tcPr>
                <w:p w14:paraId="3720959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最小下泄流量生态用水下泄量</w:t>
                  </w:r>
                </w:p>
              </w:tc>
              <w:tc>
                <w:tcPr>
                  <w:tcW w:w="955" w:type="pct"/>
                  <w:gridSpan w:val="2"/>
                  <w:tcBorders>
                    <w:tl2br w:val="nil"/>
                    <w:tr2bl w:val="nil"/>
                  </w:tcBorders>
                  <w:noWrap w:val="0"/>
                  <w:vAlign w:val="center"/>
                </w:tcPr>
                <w:p w14:paraId="075344D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可供水量</w:t>
                  </w:r>
                </w:p>
              </w:tc>
              <w:tc>
                <w:tcPr>
                  <w:tcW w:w="902" w:type="pct"/>
                  <w:gridSpan w:val="2"/>
                  <w:tcBorders>
                    <w:tl2br w:val="nil"/>
                    <w:tr2bl w:val="nil"/>
                  </w:tcBorders>
                  <w:noWrap w:val="0"/>
                  <w:vAlign w:val="center"/>
                </w:tcPr>
                <w:p w14:paraId="38DCBAD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项目取水</w:t>
                  </w:r>
                </w:p>
              </w:tc>
              <w:tc>
                <w:tcPr>
                  <w:tcW w:w="932" w:type="pct"/>
                  <w:gridSpan w:val="2"/>
                  <w:tcBorders>
                    <w:tl2br w:val="nil"/>
                    <w:tr2bl w:val="nil"/>
                  </w:tcBorders>
                  <w:noWrap w:val="0"/>
                  <w:vAlign w:val="center"/>
                </w:tcPr>
                <w:p w14:paraId="21C55ED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余水量</w:t>
                  </w:r>
                </w:p>
              </w:tc>
            </w:tr>
            <w:tr w14:paraId="49930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trPr>
              <w:tc>
                <w:tcPr>
                  <w:tcW w:w="382" w:type="pct"/>
                  <w:vMerge w:val="continue"/>
                  <w:tcBorders>
                    <w:tl2br w:val="nil"/>
                    <w:tr2bl w:val="nil"/>
                  </w:tcBorders>
                  <w:noWrap w:val="0"/>
                  <w:vAlign w:val="center"/>
                </w:tcPr>
                <w:p w14:paraId="74E659A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p>
              </w:tc>
              <w:tc>
                <w:tcPr>
                  <w:tcW w:w="404" w:type="pct"/>
                  <w:tcBorders>
                    <w:tl2br w:val="nil"/>
                    <w:tr2bl w:val="nil"/>
                  </w:tcBorders>
                  <w:noWrap w:val="0"/>
                  <w:vAlign w:val="center"/>
                </w:tcPr>
                <w:p w14:paraId="6F785D9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m³/s</w:t>
                  </w:r>
                </w:p>
              </w:tc>
              <w:tc>
                <w:tcPr>
                  <w:tcW w:w="494" w:type="pct"/>
                  <w:tcBorders>
                    <w:tl2br w:val="nil"/>
                    <w:tr2bl w:val="nil"/>
                  </w:tcBorders>
                  <w:noWrap w:val="0"/>
                  <w:vAlign w:val="center"/>
                </w:tcPr>
                <w:p w14:paraId="0890D1AC">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万m³</w:t>
                  </w:r>
                </w:p>
              </w:tc>
              <w:tc>
                <w:tcPr>
                  <w:tcW w:w="465" w:type="pct"/>
                  <w:tcBorders>
                    <w:tl2br w:val="nil"/>
                    <w:tr2bl w:val="nil"/>
                  </w:tcBorders>
                  <w:noWrap w:val="0"/>
                  <w:vAlign w:val="center"/>
                </w:tcPr>
                <w:p w14:paraId="22334B16">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m³/s</w:t>
                  </w:r>
                </w:p>
              </w:tc>
              <w:tc>
                <w:tcPr>
                  <w:tcW w:w="462" w:type="pct"/>
                  <w:tcBorders>
                    <w:tl2br w:val="nil"/>
                    <w:tr2bl w:val="nil"/>
                  </w:tcBorders>
                  <w:noWrap w:val="0"/>
                  <w:vAlign w:val="center"/>
                </w:tcPr>
                <w:p w14:paraId="357D9CD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万m³</w:t>
                  </w:r>
                </w:p>
              </w:tc>
              <w:tc>
                <w:tcPr>
                  <w:tcW w:w="450" w:type="pct"/>
                  <w:tcBorders>
                    <w:tl2br w:val="nil"/>
                    <w:tr2bl w:val="nil"/>
                  </w:tcBorders>
                  <w:noWrap w:val="0"/>
                  <w:vAlign w:val="center"/>
                </w:tcPr>
                <w:p w14:paraId="6856B81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m³/s</w:t>
                  </w:r>
                </w:p>
              </w:tc>
              <w:tc>
                <w:tcPr>
                  <w:tcW w:w="504" w:type="pct"/>
                  <w:tcBorders>
                    <w:tl2br w:val="nil"/>
                    <w:tr2bl w:val="nil"/>
                  </w:tcBorders>
                  <w:noWrap w:val="0"/>
                  <w:vAlign w:val="center"/>
                </w:tcPr>
                <w:p w14:paraId="076E958C">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万m³</w:t>
                  </w:r>
                </w:p>
              </w:tc>
              <w:tc>
                <w:tcPr>
                  <w:tcW w:w="467" w:type="pct"/>
                  <w:tcBorders>
                    <w:tl2br w:val="nil"/>
                    <w:tr2bl w:val="nil"/>
                  </w:tcBorders>
                  <w:noWrap w:val="0"/>
                  <w:vAlign w:val="center"/>
                </w:tcPr>
                <w:p w14:paraId="51D2C0C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m³/s</w:t>
                  </w:r>
                </w:p>
              </w:tc>
              <w:tc>
                <w:tcPr>
                  <w:tcW w:w="435" w:type="pct"/>
                  <w:tcBorders>
                    <w:tl2br w:val="nil"/>
                    <w:tr2bl w:val="nil"/>
                  </w:tcBorders>
                  <w:noWrap w:val="0"/>
                  <w:vAlign w:val="center"/>
                </w:tcPr>
                <w:p w14:paraId="126BCE4D">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万m³</w:t>
                  </w:r>
                </w:p>
              </w:tc>
              <w:tc>
                <w:tcPr>
                  <w:tcW w:w="432" w:type="pct"/>
                  <w:tcBorders>
                    <w:tl2br w:val="nil"/>
                    <w:tr2bl w:val="nil"/>
                  </w:tcBorders>
                  <w:noWrap w:val="0"/>
                  <w:vAlign w:val="center"/>
                </w:tcPr>
                <w:p w14:paraId="3E1ECBC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m³/s</w:t>
                  </w:r>
                </w:p>
              </w:tc>
              <w:tc>
                <w:tcPr>
                  <w:tcW w:w="500" w:type="pct"/>
                  <w:tcBorders>
                    <w:tl2br w:val="nil"/>
                    <w:tr2bl w:val="nil"/>
                  </w:tcBorders>
                  <w:noWrap w:val="0"/>
                  <w:vAlign w:val="center"/>
                </w:tcPr>
                <w:p w14:paraId="41FFD94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万m³</w:t>
                  </w:r>
                </w:p>
              </w:tc>
            </w:tr>
            <w:tr w14:paraId="46191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4C49421A">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6</w:t>
                  </w:r>
                </w:p>
              </w:tc>
              <w:tc>
                <w:tcPr>
                  <w:tcW w:w="662" w:type="dxa"/>
                  <w:tcBorders>
                    <w:tl2br w:val="nil"/>
                    <w:tr2bl w:val="nil"/>
                  </w:tcBorders>
                  <w:noWrap w:val="0"/>
                  <w:vAlign w:val="center"/>
                </w:tcPr>
                <w:p w14:paraId="7426E2F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1.45</w:t>
                  </w:r>
                </w:p>
              </w:tc>
              <w:tc>
                <w:tcPr>
                  <w:tcW w:w="809" w:type="dxa"/>
                  <w:tcBorders>
                    <w:tl2br w:val="nil"/>
                    <w:tr2bl w:val="nil"/>
                  </w:tcBorders>
                  <w:noWrap w:val="0"/>
                  <w:vAlign w:val="center"/>
                </w:tcPr>
                <w:p w14:paraId="633A07A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376.85</w:t>
                  </w:r>
                </w:p>
              </w:tc>
              <w:tc>
                <w:tcPr>
                  <w:tcW w:w="761" w:type="dxa"/>
                  <w:tcBorders>
                    <w:tl2br w:val="nil"/>
                    <w:tr2bl w:val="nil"/>
                  </w:tcBorders>
                  <w:noWrap w:val="0"/>
                  <w:vAlign w:val="center"/>
                </w:tcPr>
                <w:p w14:paraId="7F0AE9D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48EC414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26.21</w:t>
                  </w:r>
                </w:p>
              </w:tc>
              <w:tc>
                <w:tcPr>
                  <w:tcW w:w="737" w:type="dxa"/>
                  <w:tcBorders>
                    <w:tl2br w:val="nil"/>
                    <w:tr2bl w:val="nil"/>
                  </w:tcBorders>
                  <w:noWrap w:val="0"/>
                  <w:vAlign w:val="center"/>
                </w:tcPr>
                <w:p w14:paraId="20F1A75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1.35</w:t>
                  </w:r>
                </w:p>
              </w:tc>
              <w:tc>
                <w:tcPr>
                  <w:tcW w:w="827" w:type="dxa"/>
                  <w:tcBorders>
                    <w:tl2br w:val="nil"/>
                    <w:tr2bl w:val="nil"/>
                  </w:tcBorders>
                  <w:noWrap w:val="0"/>
                  <w:vAlign w:val="center"/>
                </w:tcPr>
                <w:p w14:paraId="6908A72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350.64</w:t>
                  </w:r>
                </w:p>
              </w:tc>
              <w:tc>
                <w:tcPr>
                  <w:tcW w:w="764" w:type="dxa"/>
                  <w:tcBorders>
                    <w:tl2br w:val="nil"/>
                    <w:tr2bl w:val="nil"/>
                  </w:tcBorders>
                  <w:noWrap w:val="0"/>
                  <w:vAlign w:val="center"/>
                </w:tcPr>
                <w:p w14:paraId="74E2F83D">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3AE8E8E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10.89 </w:t>
                  </w:r>
                </w:p>
              </w:tc>
              <w:tc>
                <w:tcPr>
                  <w:tcW w:w="707" w:type="dxa"/>
                  <w:tcBorders>
                    <w:tl2br w:val="nil"/>
                    <w:tr2bl w:val="nil"/>
                  </w:tcBorders>
                  <w:noWrap w:val="0"/>
                  <w:vAlign w:val="center"/>
                </w:tcPr>
                <w:p w14:paraId="40731B0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1.308 </w:t>
                  </w:r>
                </w:p>
              </w:tc>
              <w:tc>
                <w:tcPr>
                  <w:tcW w:w="819" w:type="dxa"/>
                  <w:tcBorders>
                    <w:tl2br w:val="nil"/>
                    <w:tr2bl w:val="nil"/>
                  </w:tcBorders>
                  <w:noWrap w:val="0"/>
                  <w:vAlign w:val="center"/>
                </w:tcPr>
                <w:p w14:paraId="166B8FB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339.75 </w:t>
                  </w:r>
                </w:p>
              </w:tc>
            </w:tr>
            <w:tr w14:paraId="47F84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098709A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7</w:t>
                  </w:r>
                </w:p>
              </w:tc>
              <w:tc>
                <w:tcPr>
                  <w:tcW w:w="662" w:type="dxa"/>
                  <w:tcBorders>
                    <w:tl2br w:val="nil"/>
                    <w:tr2bl w:val="nil"/>
                  </w:tcBorders>
                  <w:noWrap w:val="0"/>
                  <w:vAlign w:val="center"/>
                </w:tcPr>
                <w:p w14:paraId="407BDC5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1.73</w:t>
                  </w:r>
                </w:p>
              </w:tc>
              <w:tc>
                <w:tcPr>
                  <w:tcW w:w="809" w:type="dxa"/>
                  <w:tcBorders>
                    <w:tl2br w:val="nil"/>
                    <w:tr2bl w:val="nil"/>
                  </w:tcBorders>
                  <w:noWrap w:val="0"/>
                  <w:vAlign w:val="center"/>
                </w:tcPr>
                <w:p w14:paraId="6EF69B8A">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462.24</w:t>
                  </w:r>
                </w:p>
              </w:tc>
              <w:tc>
                <w:tcPr>
                  <w:tcW w:w="761" w:type="dxa"/>
                  <w:tcBorders>
                    <w:tl2br w:val="nil"/>
                    <w:tr2bl w:val="nil"/>
                  </w:tcBorders>
                  <w:noWrap w:val="0"/>
                  <w:vAlign w:val="center"/>
                </w:tcPr>
                <w:p w14:paraId="02ABD85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32CD419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27.09</w:t>
                  </w:r>
                </w:p>
              </w:tc>
              <w:tc>
                <w:tcPr>
                  <w:tcW w:w="737" w:type="dxa"/>
                  <w:tcBorders>
                    <w:tl2br w:val="nil"/>
                    <w:tr2bl w:val="nil"/>
                  </w:tcBorders>
                  <w:noWrap w:val="0"/>
                  <w:vAlign w:val="center"/>
                </w:tcPr>
                <w:p w14:paraId="31E7C0E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1.63</w:t>
                  </w:r>
                </w:p>
              </w:tc>
              <w:tc>
                <w:tcPr>
                  <w:tcW w:w="827" w:type="dxa"/>
                  <w:tcBorders>
                    <w:tl2br w:val="nil"/>
                    <w:tr2bl w:val="nil"/>
                  </w:tcBorders>
                  <w:noWrap w:val="0"/>
                  <w:vAlign w:val="center"/>
                </w:tcPr>
                <w:p w14:paraId="3E17C59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436.03</w:t>
                  </w:r>
                </w:p>
              </w:tc>
              <w:tc>
                <w:tcPr>
                  <w:tcW w:w="764" w:type="dxa"/>
                  <w:tcBorders>
                    <w:tl2br w:val="nil"/>
                    <w:tr2bl w:val="nil"/>
                  </w:tcBorders>
                  <w:noWrap w:val="0"/>
                  <w:vAlign w:val="center"/>
                </w:tcPr>
                <w:p w14:paraId="347FFE2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7462E3D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11.25 </w:t>
                  </w:r>
                </w:p>
              </w:tc>
              <w:tc>
                <w:tcPr>
                  <w:tcW w:w="707" w:type="dxa"/>
                  <w:tcBorders>
                    <w:tl2br w:val="nil"/>
                    <w:tr2bl w:val="nil"/>
                  </w:tcBorders>
                  <w:noWrap w:val="0"/>
                  <w:vAlign w:val="center"/>
                </w:tcPr>
                <w:p w14:paraId="633F501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1.588 </w:t>
                  </w:r>
                </w:p>
              </w:tc>
              <w:tc>
                <w:tcPr>
                  <w:tcW w:w="819" w:type="dxa"/>
                  <w:tcBorders>
                    <w:tl2br w:val="nil"/>
                    <w:tr2bl w:val="nil"/>
                  </w:tcBorders>
                  <w:noWrap w:val="0"/>
                  <w:vAlign w:val="center"/>
                </w:tcPr>
                <w:p w14:paraId="3A4E08D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424.78 </w:t>
                  </w:r>
                </w:p>
              </w:tc>
            </w:tr>
            <w:tr w14:paraId="2EFEC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115526A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8</w:t>
                  </w:r>
                </w:p>
              </w:tc>
              <w:tc>
                <w:tcPr>
                  <w:tcW w:w="662" w:type="dxa"/>
                  <w:tcBorders>
                    <w:tl2br w:val="nil"/>
                    <w:tr2bl w:val="nil"/>
                  </w:tcBorders>
                  <w:noWrap w:val="0"/>
                  <w:vAlign w:val="center"/>
                </w:tcPr>
                <w:p w14:paraId="6BAB1B5B">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1.28</w:t>
                  </w:r>
                </w:p>
              </w:tc>
              <w:tc>
                <w:tcPr>
                  <w:tcW w:w="809" w:type="dxa"/>
                  <w:tcBorders>
                    <w:tl2br w:val="nil"/>
                    <w:tr2bl w:val="nil"/>
                  </w:tcBorders>
                  <w:noWrap w:val="0"/>
                  <w:vAlign w:val="center"/>
                </w:tcPr>
                <w:p w14:paraId="7E5AD10F">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342.61</w:t>
                  </w:r>
                </w:p>
              </w:tc>
              <w:tc>
                <w:tcPr>
                  <w:tcW w:w="761" w:type="dxa"/>
                  <w:tcBorders>
                    <w:tl2br w:val="nil"/>
                    <w:tr2bl w:val="nil"/>
                  </w:tcBorders>
                  <w:noWrap w:val="0"/>
                  <w:vAlign w:val="center"/>
                </w:tcPr>
                <w:p w14:paraId="21CBA3C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4DB695CF">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27.09</w:t>
                  </w:r>
                </w:p>
              </w:tc>
              <w:tc>
                <w:tcPr>
                  <w:tcW w:w="737" w:type="dxa"/>
                  <w:tcBorders>
                    <w:tl2br w:val="nil"/>
                    <w:tr2bl w:val="nil"/>
                  </w:tcBorders>
                  <w:noWrap w:val="0"/>
                  <w:vAlign w:val="center"/>
                </w:tcPr>
                <w:p w14:paraId="44E3AA5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1.18</w:t>
                  </w:r>
                </w:p>
              </w:tc>
              <w:tc>
                <w:tcPr>
                  <w:tcW w:w="827" w:type="dxa"/>
                  <w:tcBorders>
                    <w:tl2br w:val="nil"/>
                    <w:tr2bl w:val="nil"/>
                  </w:tcBorders>
                  <w:noWrap w:val="0"/>
                  <w:vAlign w:val="center"/>
                </w:tcPr>
                <w:p w14:paraId="7EE013A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316.4</w:t>
                  </w:r>
                </w:p>
              </w:tc>
              <w:tc>
                <w:tcPr>
                  <w:tcW w:w="764" w:type="dxa"/>
                  <w:tcBorders>
                    <w:tl2br w:val="nil"/>
                    <w:tr2bl w:val="nil"/>
                  </w:tcBorders>
                  <w:noWrap w:val="0"/>
                  <w:vAlign w:val="center"/>
                </w:tcPr>
                <w:p w14:paraId="109F08F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421543F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11.25 </w:t>
                  </w:r>
                </w:p>
              </w:tc>
              <w:tc>
                <w:tcPr>
                  <w:tcW w:w="707" w:type="dxa"/>
                  <w:tcBorders>
                    <w:tl2br w:val="nil"/>
                    <w:tr2bl w:val="nil"/>
                  </w:tcBorders>
                  <w:noWrap w:val="0"/>
                  <w:vAlign w:val="center"/>
                </w:tcPr>
                <w:p w14:paraId="0A34660A">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1.138 </w:t>
                  </w:r>
                </w:p>
              </w:tc>
              <w:tc>
                <w:tcPr>
                  <w:tcW w:w="819" w:type="dxa"/>
                  <w:tcBorders>
                    <w:tl2br w:val="nil"/>
                    <w:tr2bl w:val="nil"/>
                  </w:tcBorders>
                  <w:noWrap w:val="0"/>
                  <w:vAlign w:val="center"/>
                </w:tcPr>
                <w:p w14:paraId="735A9B2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305.15 </w:t>
                  </w:r>
                </w:p>
              </w:tc>
            </w:tr>
            <w:tr w14:paraId="571BC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75697B3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9</w:t>
                  </w:r>
                </w:p>
              </w:tc>
              <w:tc>
                <w:tcPr>
                  <w:tcW w:w="662" w:type="dxa"/>
                  <w:tcBorders>
                    <w:tl2br w:val="nil"/>
                    <w:tr2bl w:val="nil"/>
                  </w:tcBorders>
                  <w:noWrap w:val="0"/>
                  <w:vAlign w:val="center"/>
                </w:tcPr>
                <w:p w14:paraId="6DA3229C">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1.39</w:t>
                  </w:r>
                </w:p>
              </w:tc>
              <w:tc>
                <w:tcPr>
                  <w:tcW w:w="809" w:type="dxa"/>
                  <w:tcBorders>
                    <w:tl2br w:val="nil"/>
                    <w:tr2bl w:val="nil"/>
                  </w:tcBorders>
                  <w:noWrap w:val="0"/>
                  <w:vAlign w:val="center"/>
                </w:tcPr>
                <w:p w14:paraId="3A3D544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358.93</w:t>
                  </w:r>
                </w:p>
              </w:tc>
              <w:tc>
                <w:tcPr>
                  <w:tcW w:w="761" w:type="dxa"/>
                  <w:tcBorders>
                    <w:tl2br w:val="nil"/>
                    <w:tr2bl w:val="nil"/>
                  </w:tcBorders>
                  <w:noWrap w:val="0"/>
                  <w:vAlign w:val="center"/>
                </w:tcPr>
                <w:p w14:paraId="52F9E23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6E64AFB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26.21</w:t>
                  </w:r>
                </w:p>
              </w:tc>
              <w:tc>
                <w:tcPr>
                  <w:tcW w:w="737" w:type="dxa"/>
                  <w:tcBorders>
                    <w:tl2br w:val="nil"/>
                    <w:tr2bl w:val="nil"/>
                  </w:tcBorders>
                  <w:noWrap w:val="0"/>
                  <w:vAlign w:val="center"/>
                </w:tcPr>
                <w:p w14:paraId="4D3121A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1.28</w:t>
                  </w:r>
                </w:p>
              </w:tc>
              <w:tc>
                <w:tcPr>
                  <w:tcW w:w="827" w:type="dxa"/>
                  <w:tcBorders>
                    <w:tl2br w:val="nil"/>
                    <w:tr2bl w:val="nil"/>
                  </w:tcBorders>
                  <w:noWrap w:val="0"/>
                  <w:vAlign w:val="center"/>
                </w:tcPr>
                <w:p w14:paraId="74A164C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332.72</w:t>
                  </w:r>
                </w:p>
              </w:tc>
              <w:tc>
                <w:tcPr>
                  <w:tcW w:w="764" w:type="dxa"/>
                  <w:tcBorders>
                    <w:tl2br w:val="nil"/>
                    <w:tr2bl w:val="nil"/>
                  </w:tcBorders>
                  <w:noWrap w:val="0"/>
                  <w:vAlign w:val="center"/>
                </w:tcPr>
                <w:p w14:paraId="0437920B">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5045210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10.89 </w:t>
                  </w:r>
                </w:p>
              </w:tc>
              <w:tc>
                <w:tcPr>
                  <w:tcW w:w="707" w:type="dxa"/>
                  <w:tcBorders>
                    <w:tl2br w:val="nil"/>
                    <w:tr2bl w:val="nil"/>
                  </w:tcBorders>
                  <w:noWrap w:val="0"/>
                  <w:vAlign w:val="center"/>
                </w:tcPr>
                <w:p w14:paraId="68399CC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1.238 </w:t>
                  </w:r>
                </w:p>
              </w:tc>
              <w:tc>
                <w:tcPr>
                  <w:tcW w:w="819" w:type="dxa"/>
                  <w:tcBorders>
                    <w:tl2br w:val="nil"/>
                    <w:tr2bl w:val="nil"/>
                  </w:tcBorders>
                  <w:noWrap w:val="0"/>
                  <w:vAlign w:val="center"/>
                </w:tcPr>
                <w:p w14:paraId="1FBE07FC">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321.83 </w:t>
                  </w:r>
                </w:p>
              </w:tc>
            </w:tr>
            <w:tr w14:paraId="641FF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4E1F97B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10</w:t>
                  </w:r>
                </w:p>
              </w:tc>
              <w:tc>
                <w:tcPr>
                  <w:tcW w:w="662" w:type="dxa"/>
                  <w:tcBorders>
                    <w:tl2br w:val="nil"/>
                    <w:tr2bl w:val="nil"/>
                  </w:tcBorders>
                  <w:noWrap w:val="0"/>
                  <w:vAlign w:val="center"/>
                </w:tcPr>
                <w:p w14:paraId="70B2016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1.03</w:t>
                  </w:r>
                </w:p>
              </w:tc>
              <w:tc>
                <w:tcPr>
                  <w:tcW w:w="809" w:type="dxa"/>
                  <w:tcBorders>
                    <w:tl2br w:val="nil"/>
                    <w:tr2bl w:val="nil"/>
                  </w:tcBorders>
                  <w:noWrap w:val="0"/>
                  <w:vAlign w:val="center"/>
                </w:tcPr>
                <w:p w14:paraId="1048F7F6">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275.54</w:t>
                  </w:r>
                </w:p>
              </w:tc>
              <w:tc>
                <w:tcPr>
                  <w:tcW w:w="761" w:type="dxa"/>
                  <w:tcBorders>
                    <w:tl2br w:val="nil"/>
                    <w:tr2bl w:val="nil"/>
                  </w:tcBorders>
                  <w:noWrap w:val="0"/>
                  <w:vAlign w:val="center"/>
                </w:tcPr>
                <w:p w14:paraId="235B029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0C17DC8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27.09</w:t>
                  </w:r>
                </w:p>
              </w:tc>
              <w:tc>
                <w:tcPr>
                  <w:tcW w:w="737" w:type="dxa"/>
                  <w:tcBorders>
                    <w:tl2br w:val="nil"/>
                    <w:tr2bl w:val="nil"/>
                  </w:tcBorders>
                  <w:noWrap w:val="0"/>
                  <w:vAlign w:val="center"/>
                </w:tcPr>
                <w:p w14:paraId="6B4F9BF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0.93</w:t>
                  </w:r>
                </w:p>
              </w:tc>
              <w:tc>
                <w:tcPr>
                  <w:tcW w:w="827" w:type="dxa"/>
                  <w:tcBorders>
                    <w:tl2br w:val="nil"/>
                    <w:tr2bl w:val="nil"/>
                  </w:tcBorders>
                  <w:noWrap w:val="0"/>
                  <w:vAlign w:val="center"/>
                </w:tcPr>
                <w:p w14:paraId="26AAEE9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249.33</w:t>
                  </w:r>
                </w:p>
              </w:tc>
              <w:tc>
                <w:tcPr>
                  <w:tcW w:w="764" w:type="dxa"/>
                  <w:tcBorders>
                    <w:tl2br w:val="nil"/>
                    <w:tr2bl w:val="nil"/>
                  </w:tcBorders>
                  <w:noWrap w:val="0"/>
                  <w:vAlign w:val="center"/>
                </w:tcPr>
                <w:p w14:paraId="44F1741B">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4E67967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11.25 </w:t>
                  </w:r>
                </w:p>
              </w:tc>
              <w:tc>
                <w:tcPr>
                  <w:tcW w:w="707" w:type="dxa"/>
                  <w:tcBorders>
                    <w:tl2br w:val="nil"/>
                    <w:tr2bl w:val="nil"/>
                  </w:tcBorders>
                  <w:noWrap w:val="0"/>
                  <w:vAlign w:val="center"/>
                </w:tcPr>
                <w:p w14:paraId="0A1BDE7D">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0.888 </w:t>
                  </w:r>
                </w:p>
              </w:tc>
              <w:tc>
                <w:tcPr>
                  <w:tcW w:w="819" w:type="dxa"/>
                  <w:tcBorders>
                    <w:tl2br w:val="nil"/>
                    <w:tr2bl w:val="nil"/>
                  </w:tcBorders>
                  <w:noWrap w:val="0"/>
                  <w:vAlign w:val="center"/>
                </w:tcPr>
                <w:p w14:paraId="7AD9CB6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238.08 </w:t>
                  </w:r>
                </w:p>
              </w:tc>
            </w:tr>
            <w:tr w14:paraId="64BF8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672630F6">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11</w:t>
                  </w:r>
                </w:p>
              </w:tc>
              <w:tc>
                <w:tcPr>
                  <w:tcW w:w="662" w:type="dxa"/>
                  <w:tcBorders>
                    <w:tl2br w:val="nil"/>
                    <w:tr2bl w:val="nil"/>
                  </w:tcBorders>
                  <w:noWrap w:val="0"/>
                  <w:vAlign w:val="center"/>
                </w:tcPr>
                <w:p w14:paraId="081E026F">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0.5</w:t>
                  </w:r>
                </w:p>
              </w:tc>
              <w:tc>
                <w:tcPr>
                  <w:tcW w:w="809" w:type="dxa"/>
                  <w:tcBorders>
                    <w:tl2br w:val="nil"/>
                    <w:tr2bl w:val="nil"/>
                  </w:tcBorders>
                  <w:noWrap w:val="0"/>
                  <w:vAlign w:val="center"/>
                </w:tcPr>
                <w:p w14:paraId="139331B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129.33</w:t>
                  </w:r>
                </w:p>
              </w:tc>
              <w:tc>
                <w:tcPr>
                  <w:tcW w:w="761" w:type="dxa"/>
                  <w:tcBorders>
                    <w:tl2br w:val="nil"/>
                    <w:tr2bl w:val="nil"/>
                  </w:tcBorders>
                  <w:noWrap w:val="0"/>
                  <w:vAlign w:val="center"/>
                </w:tcPr>
                <w:p w14:paraId="5236E11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0439EDBD">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26.21</w:t>
                  </w:r>
                </w:p>
              </w:tc>
              <w:tc>
                <w:tcPr>
                  <w:tcW w:w="737" w:type="dxa"/>
                  <w:tcBorders>
                    <w:tl2br w:val="nil"/>
                    <w:tr2bl w:val="nil"/>
                  </w:tcBorders>
                  <w:noWrap w:val="0"/>
                  <w:vAlign w:val="center"/>
                </w:tcPr>
                <w:p w14:paraId="7AFEB59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0.4</w:t>
                  </w:r>
                </w:p>
              </w:tc>
              <w:tc>
                <w:tcPr>
                  <w:tcW w:w="827" w:type="dxa"/>
                  <w:tcBorders>
                    <w:tl2br w:val="nil"/>
                    <w:tr2bl w:val="nil"/>
                  </w:tcBorders>
                  <w:noWrap w:val="0"/>
                  <w:vAlign w:val="center"/>
                </w:tcPr>
                <w:p w14:paraId="34EC3C3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103.12</w:t>
                  </w:r>
                </w:p>
              </w:tc>
              <w:tc>
                <w:tcPr>
                  <w:tcW w:w="764" w:type="dxa"/>
                  <w:tcBorders>
                    <w:tl2br w:val="nil"/>
                    <w:tr2bl w:val="nil"/>
                  </w:tcBorders>
                  <w:noWrap w:val="0"/>
                  <w:vAlign w:val="center"/>
                </w:tcPr>
                <w:p w14:paraId="145DBF2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39AEC57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10.89 </w:t>
                  </w:r>
                </w:p>
              </w:tc>
              <w:tc>
                <w:tcPr>
                  <w:tcW w:w="707" w:type="dxa"/>
                  <w:tcBorders>
                    <w:tl2br w:val="nil"/>
                    <w:tr2bl w:val="nil"/>
                  </w:tcBorders>
                  <w:noWrap w:val="0"/>
                  <w:vAlign w:val="center"/>
                </w:tcPr>
                <w:p w14:paraId="7731420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0.358 </w:t>
                  </w:r>
                </w:p>
              </w:tc>
              <w:tc>
                <w:tcPr>
                  <w:tcW w:w="819" w:type="dxa"/>
                  <w:tcBorders>
                    <w:tl2br w:val="nil"/>
                    <w:tr2bl w:val="nil"/>
                  </w:tcBorders>
                  <w:noWrap w:val="0"/>
                  <w:vAlign w:val="center"/>
                </w:tcPr>
                <w:p w14:paraId="70F61BE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92.23 </w:t>
                  </w:r>
                </w:p>
              </w:tc>
            </w:tr>
            <w:tr w14:paraId="7EF62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3ED9C1B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12</w:t>
                  </w:r>
                </w:p>
              </w:tc>
              <w:tc>
                <w:tcPr>
                  <w:tcW w:w="662" w:type="dxa"/>
                  <w:tcBorders>
                    <w:tl2br w:val="nil"/>
                    <w:tr2bl w:val="nil"/>
                  </w:tcBorders>
                  <w:noWrap w:val="0"/>
                  <w:vAlign w:val="center"/>
                </w:tcPr>
                <w:p w14:paraId="0D17CA3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0.31</w:t>
                  </w:r>
                </w:p>
              </w:tc>
              <w:tc>
                <w:tcPr>
                  <w:tcW w:w="809" w:type="dxa"/>
                  <w:tcBorders>
                    <w:tl2br w:val="nil"/>
                    <w:tr2bl w:val="nil"/>
                  </w:tcBorders>
                  <w:noWrap w:val="0"/>
                  <w:vAlign w:val="center"/>
                </w:tcPr>
                <w:p w14:paraId="285146C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83.34</w:t>
                  </w:r>
                </w:p>
              </w:tc>
              <w:tc>
                <w:tcPr>
                  <w:tcW w:w="761" w:type="dxa"/>
                  <w:tcBorders>
                    <w:tl2br w:val="nil"/>
                    <w:tr2bl w:val="nil"/>
                  </w:tcBorders>
                  <w:noWrap w:val="0"/>
                  <w:vAlign w:val="center"/>
                </w:tcPr>
                <w:p w14:paraId="30C48D3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00A0A28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27.09</w:t>
                  </w:r>
                </w:p>
              </w:tc>
              <w:tc>
                <w:tcPr>
                  <w:tcW w:w="737" w:type="dxa"/>
                  <w:tcBorders>
                    <w:tl2br w:val="nil"/>
                    <w:tr2bl w:val="nil"/>
                  </w:tcBorders>
                  <w:noWrap w:val="0"/>
                  <w:vAlign w:val="center"/>
                </w:tcPr>
                <w:p w14:paraId="4AEE736F">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0.21</w:t>
                  </w:r>
                </w:p>
              </w:tc>
              <w:tc>
                <w:tcPr>
                  <w:tcW w:w="827" w:type="dxa"/>
                  <w:tcBorders>
                    <w:tl2br w:val="nil"/>
                    <w:tr2bl w:val="nil"/>
                  </w:tcBorders>
                  <w:noWrap w:val="0"/>
                  <w:vAlign w:val="center"/>
                </w:tcPr>
                <w:p w14:paraId="2B7D944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57.13</w:t>
                  </w:r>
                </w:p>
              </w:tc>
              <w:tc>
                <w:tcPr>
                  <w:tcW w:w="764" w:type="dxa"/>
                  <w:tcBorders>
                    <w:tl2br w:val="nil"/>
                    <w:tr2bl w:val="nil"/>
                  </w:tcBorders>
                  <w:noWrap w:val="0"/>
                  <w:vAlign w:val="center"/>
                </w:tcPr>
                <w:p w14:paraId="49D453A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3AD251F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11.25 </w:t>
                  </w:r>
                </w:p>
              </w:tc>
              <w:tc>
                <w:tcPr>
                  <w:tcW w:w="707" w:type="dxa"/>
                  <w:tcBorders>
                    <w:tl2br w:val="nil"/>
                    <w:tr2bl w:val="nil"/>
                  </w:tcBorders>
                  <w:noWrap w:val="0"/>
                  <w:vAlign w:val="center"/>
                </w:tcPr>
                <w:p w14:paraId="6B33BF6C">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0.168 </w:t>
                  </w:r>
                </w:p>
              </w:tc>
              <w:tc>
                <w:tcPr>
                  <w:tcW w:w="819" w:type="dxa"/>
                  <w:tcBorders>
                    <w:tl2br w:val="nil"/>
                    <w:tr2bl w:val="nil"/>
                  </w:tcBorders>
                  <w:noWrap w:val="0"/>
                  <w:vAlign w:val="center"/>
                </w:tcPr>
                <w:p w14:paraId="6A89838D">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45.88 </w:t>
                  </w:r>
                </w:p>
              </w:tc>
            </w:tr>
            <w:tr w14:paraId="32EA7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1235A76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w:t>
                  </w:r>
                </w:p>
              </w:tc>
              <w:tc>
                <w:tcPr>
                  <w:tcW w:w="662" w:type="dxa"/>
                  <w:tcBorders>
                    <w:tl2br w:val="nil"/>
                    <w:tr2bl w:val="nil"/>
                  </w:tcBorders>
                  <w:noWrap w:val="0"/>
                  <w:vAlign w:val="center"/>
                </w:tcPr>
                <w:p w14:paraId="050DD09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0.23</w:t>
                  </w:r>
                </w:p>
              </w:tc>
              <w:tc>
                <w:tcPr>
                  <w:tcW w:w="809" w:type="dxa"/>
                  <w:tcBorders>
                    <w:tl2br w:val="nil"/>
                    <w:tr2bl w:val="nil"/>
                  </w:tcBorders>
                  <w:noWrap w:val="0"/>
                  <w:vAlign w:val="center"/>
                </w:tcPr>
                <w:p w14:paraId="6D3C849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60.81</w:t>
                  </w:r>
                </w:p>
              </w:tc>
              <w:tc>
                <w:tcPr>
                  <w:tcW w:w="761" w:type="dxa"/>
                  <w:tcBorders>
                    <w:tl2br w:val="nil"/>
                    <w:tr2bl w:val="nil"/>
                  </w:tcBorders>
                  <w:noWrap w:val="0"/>
                  <w:vAlign w:val="center"/>
                </w:tcPr>
                <w:p w14:paraId="66FDB93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3C9E457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27.09</w:t>
                  </w:r>
                </w:p>
              </w:tc>
              <w:tc>
                <w:tcPr>
                  <w:tcW w:w="737" w:type="dxa"/>
                  <w:tcBorders>
                    <w:tl2br w:val="nil"/>
                    <w:tr2bl w:val="nil"/>
                  </w:tcBorders>
                  <w:noWrap w:val="0"/>
                  <w:vAlign w:val="center"/>
                </w:tcPr>
                <w:p w14:paraId="6BEE3326">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0.13</w:t>
                  </w:r>
                </w:p>
              </w:tc>
              <w:tc>
                <w:tcPr>
                  <w:tcW w:w="827" w:type="dxa"/>
                  <w:tcBorders>
                    <w:tl2br w:val="nil"/>
                    <w:tr2bl w:val="nil"/>
                  </w:tcBorders>
                  <w:noWrap w:val="0"/>
                  <w:vAlign w:val="center"/>
                </w:tcPr>
                <w:p w14:paraId="08F24E5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34.6</w:t>
                  </w:r>
                </w:p>
              </w:tc>
              <w:tc>
                <w:tcPr>
                  <w:tcW w:w="764" w:type="dxa"/>
                  <w:tcBorders>
                    <w:tl2br w:val="nil"/>
                    <w:tr2bl w:val="nil"/>
                  </w:tcBorders>
                  <w:noWrap w:val="0"/>
                  <w:vAlign w:val="center"/>
                </w:tcPr>
                <w:p w14:paraId="47255BD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6A01397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11.25 </w:t>
                  </w:r>
                </w:p>
              </w:tc>
              <w:tc>
                <w:tcPr>
                  <w:tcW w:w="707" w:type="dxa"/>
                  <w:tcBorders>
                    <w:tl2br w:val="nil"/>
                    <w:tr2bl w:val="nil"/>
                  </w:tcBorders>
                  <w:noWrap w:val="0"/>
                  <w:vAlign w:val="center"/>
                </w:tcPr>
                <w:p w14:paraId="4DEF4AB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0.088 </w:t>
                  </w:r>
                </w:p>
              </w:tc>
              <w:tc>
                <w:tcPr>
                  <w:tcW w:w="819" w:type="dxa"/>
                  <w:tcBorders>
                    <w:tl2br w:val="nil"/>
                    <w:tr2bl w:val="nil"/>
                  </w:tcBorders>
                  <w:noWrap w:val="0"/>
                  <w:vAlign w:val="center"/>
                </w:tcPr>
                <w:p w14:paraId="790A161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23.35 </w:t>
                  </w:r>
                </w:p>
              </w:tc>
            </w:tr>
            <w:tr w14:paraId="48478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2151407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w:t>
                  </w:r>
                </w:p>
              </w:tc>
              <w:tc>
                <w:tcPr>
                  <w:tcW w:w="662" w:type="dxa"/>
                  <w:tcBorders>
                    <w:tl2br w:val="nil"/>
                    <w:tr2bl w:val="nil"/>
                  </w:tcBorders>
                  <w:noWrap w:val="0"/>
                  <w:vAlign w:val="center"/>
                </w:tcPr>
                <w:p w14:paraId="1CCA679A">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0.18</w:t>
                  </w:r>
                </w:p>
              </w:tc>
              <w:tc>
                <w:tcPr>
                  <w:tcW w:w="809" w:type="dxa"/>
                  <w:tcBorders>
                    <w:tl2br w:val="nil"/>
                    <w:tr2bl w:val="nil"/>
                  </w:tcBorders>
                  <w:noWrap w:val="0"/>
                  <w:vAlign w:val="center"/>
                </w:tcPr>
                <w:p w14:paraId="20AB9A0F">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44.08</w:t>
                  </w:r>
                </w:p>
              </w:tc>
              <w:tc>
                <w:tcPr>
                  <w:tcW w:w="761" w:type="dxa"/>
                  <w:tcBorders>
                    <w:tl2br w:val="nil"/>
                    <w:tr2bl w:val="nil"/>
                  </w:tcBorders>
                  <w:noWrap w:val="0"/>
                  <w:vAlign w:val="center"/>
                </w:tcPr>
                <w:p w14:paraId="61FDE05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4E63986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24.46</w:t>
                  </w:r>
                </w:p>
              </w:tc>
              <w:tc>
                <w:tcPr>
                  <w:tcW w:w="737" w:type="dxa"/>
                  <w:tcBorders>
                    <w:tl2br w:val="nil"/>
                    <w:tr2bl w:val="nil"/>
                  </w:tcBorders>
                  <w:noWrap w:val="0"/>
                  <w:vAlign w:val="center"/>
                </w:tcPr>
                <w:p w14:paraId="7D830DA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0.08</w:t>
                  </w:r>
                </w:p>
              </w:tc>
              <w:tc>
                <w:tcPr>
                  <w:tcW w:w="827" w:type="dxa"/>
                  <w:tcBorders>
                    <w:tl2br w:val="nil"/>
                    <w:tr2bl w:val="nil"/>
                  </w:tcBorders>
                  <w:noWrap w:val="0"/>
                  <w:vAlign w:val="center"/>
                </w:tcPr>
                <w:p w14:paraId="680B189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17.87</w:t>
                  </w:r>
                </w:p>
              </w:tc>
              <w:tc>
                <w:tcPr>
                  <w:tcW w:w="764" w:type="dxa"/>
                  <w:tcBorders>
                    <w:tl2br w:val="nil"/>
                    <w:tr2bl w:val="nil"/>
                  </w:tcBorders>
                  <w:noWrap w:val="0"/>
                  <w:vAlign w:val="center"/>
                </w:tcPr>
                <w:p w14:paraId="63A9015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13CDD54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10.16 </w:t>
                  </w:r>
                </w:p>
              </w:tc>
              <w:tc>
                <w:tcPr>
                  <w:tcW w:w="707" w:type="dxa"/>
                  <w:tcBorders>
                    <w:tl2br w:val="nil"/>
                    <w:tr2bl w:val="nil"/>
                  </w:tcBorders>
                  <w:noWrap w:val="0"/>
                  <w:vAlign w:val="center"/>
                </w:tcPr>
                <w:p w14:paraId="43172F2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0.038 </w:t>
                  </w:r>
                </w:p>
              </w:tc>
              <w:tc>
                <w:tcPr>
                  <w:tcW w:w="819" w:type="dxa"/>
                  <w:tcBorders>
                    <w:tl2br w:val="nil"/>
                    <w:tr2bl w:val="nil"/>
                  </w:tcBorders>
                  <w:noWrap w:val="0"/>
                  <w:vAlign w:val="center"/>
                </w:tcPr>
                <w:p w14:paraId="4B400E9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7.71 </w:t>
                  </w:r>
                </w:p>
              </w:tc>
            </w:tr>
            <w:tr w14:paraId="7E7EE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6D613B8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3</w:t>
                  </w:r>
                </w:p>
              </w:tc>
              <w:tc>
                <w:tcPr>
                  <w:tcW w:w="662" w:type="dxa"/>
                  <w:tcBorders>
                    <w:tl2br w:val="nil"/>
                    <w:tr2bl w:val="nil"/>
                  </w:tcBorders>
                  <w:noWrap w:val="0"/>
                  <w:vAlign w:val="center"/>
                </w:tcPr>
                <w:p w14:paraId="1A6EA59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0.21</w:t>
                  </w:r>
                </w:p>
              </w:tc>
              <w:tc>
                <w:tcPr>
                  <w:tcW w:w="809" w:type="dxa"/>
                  <w:tcBorders>
                    <w:tl2br w:val="nil"/>
                    <w:tr2bl w:val="nil"/>
                  </w:tcBorders>
                  <w:noWrap w:val="0"/>
                  <w:vAlign w:val="center"/>
                </w:tcPr>
                <w:p w14:paraId="0CA1698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56.56</w:t>
                  </w:r>
                </w:p>
              </w:tc>
              <w:tc>
                <w:tcPr>
                  <w:tcW w:w="761" w:type="dxa"/>
                  <w:tcBorders>
                    <w:tl2br w:val="nil"/>
                    <w:tr2bl w:val="nil"/>
                  </w:tcBorders>
                  <w:noWrap w:val="0"/>
                  <w:vAlign w:val="center"/>
                </w:tcPr>
                <w:p w14:paraId="65AE101C">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4A3FA7B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27.09</w:t>
                  </w:r>
                </w:p>
              </w:tc>
              <w:tc>
                <w:tcPr>
                  <w:tcW w:w="737" w:type="dxa"/>
                  <w:tcBorders>
                    <w:tl2br w:val="nil"/>
                    <w:tr2bl w:val="nil"/>
                  </w:tcBorders>
                  <w:noWrap w:val="0"/>
                  <w:vAlign w:val="center"/>
                </w:tcPr>
                <w:p w14:paraId="5463BD5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0.11</w:t>
                  </w:r>
                </w:p>
              </w:tc>
              <w:tc>
                <w:tcPr>
                  <w:tcW w:w="827" w:type="dxa"/>
                  <w:tcBorders>
                    <w:tl2br w:val="nil"/>
                    <w:tr2bl w:val="nil"/>
                  </w:tcBorders>
                  <w:noWrap w:val="0"/>
                  <w:vAlign w:val="center"/>
                </w:tcPr>
                <w:p w14:paraId="167B3F6B">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30.35</w:t>
                  </w:r>
                </w:p>
              </w:tc>
              <w:tc>
                <w:tcPr>
                  <w:tcW w:w="764" w:type="dxa"/>
                  <w:tcBorders>
                    <w:tl2br w:val="nil"/>
                    <w:tr2bl w:val="nil"/>
                  </w:tcBorders>
                  <w:noWrap w:val="0"/>
                  <w:vAlign w:val="center"/>
                </w:tcPr>
                <w:p w14:paraId="609A0CC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0EC914E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11.25 </w:t>
                  </w:r>
                </w:p>
              </w:tc>
              <w:tc>
                <w:tcPr>
                  <w:tcW w:w="707" w:type="dxa"/>
                  <w:tcBorders>
                    <w:tl2br w:val="nil"/>
                    <w:tr2bl w:val="nil"/>
                  </w:tcBorders>
                  <w:noWrap w:val="0"/>
                  <w:vAlign w:val="center"/>
                </w:tcPr>
                <w:p w14:paraId="26CD872D">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0.068 </w:t>
                  </w:r>
                </w:p>
              </w:tc>
              <w:tc>
                <w:tcPr>
                  <w:tcW w:w="819" w:type="dxa"/>
                  <w:tcBorders>
                    <w:tl2br w:val="nil"/>
                    <w:tr2bl w:val="nil"/>
                  </w:tcBorders>
                  <w:noWrap w:val="0"/>
                  <w:vAlign w:val="center"/>
                </w:tcPr>
                <w:p w14:paraId="5A38C4F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19.10 </w:t>
                  </w:r>
                </w:p>
              </w:tc>
            </w:tr>
            <w:tr w14:paraId="1A300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43938D0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4</w:t>
                  </w:r>
                </w:p>
              </w:tc>
              <w:tc>
                <w:tcPr>
                  <w:tcW w:w="662" w:type="dxa"/>
                  <w:tcBorders>
                    <w:tl2br w:val="nil"/>
                    <w:tr2bl w:val="nil"/>
                  </w:tcBorders>
                  <w:noWrap w:val="0"/>
                  <w:vAlign w:val="center"/>
                </w:tcPr>
                <w:p w14:paraId="36CC4B4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0.32</w:t>
                  </w:r>
                </w:p>
              </w:tc>
              <w:tc>
                <w:tcPr>
                  <w:tcW w:w="809" w:type="dxa"/>
                  <w:tcBorders>
                    <w:tl2br w:val="nil"/>
                    <w:tr2bl w:val="nil"/>
                  </w:tcBorders>
                  <w:noWrap w:val="0"/>
                  <w:vAlign w:val="center"/>
                </w:tcPr>
                <w:p w14:paraId="56EABEBA">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82.1</w:t>
                  </w:r>
                </w:p>
              </w:tc>
              <w:tc>
                <w:tcPr>
                  <w:tcW w:w="761" w:type="dxa"/>
                  <w:tcBorders>
                    <w:tl2br w:val="nil"/>
                    <w:tr2bl w:val="nil"/>
                  </w:tcBorders>
                  <w:noWrap w:val="0"/>
                  <w:vAlign w:val="center"/>
                </w:tcPr>
                <w:p w14:paraId="4C527CEC">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38BC8A7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26.21</w:t>
                  </w:r>
                </w:p>
              </w:tc>
              <w:tc>
                <w:tcPr>
                  <w:tcW w:w="737" w:type="dxa"/>
                  <w:tcBorders>
                    <w:tl2br w:val="nil"/>
                    <w:tr2bl w:val="nil"/>
                  </w:tcBorders>
                  <w:noWrap w:val="0"/>
                  <w:vAlign w:val="center"/>
                </w:tcPr>
                <w:p w14:paraId="172AC98D">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0.22</w:t>
                  </w:r>
                </w:p>
              </w:tc>
              <w:tc>
                <w:tcPr>
                  <w:tcW w:w="827" w:type="dxa"/>
                  <w:tcBorders>
                    <w:tl2br w:val="nil"/>
                    <w:tr2bl w:val="nil"/>
                  </w:tcBorders>
                  <w:noWrap w:val="0"/>
                  <w:vAlign w:val="center"/>
                </w:tcPr>
                <w:p w14:paraId="556B91B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55.89</w:t>
                  </w:r>
                </w:p>
              </w:tc>
              <w:tc>
                <w:tcPr>
                  <w:tcW w:w="764" w:type="dxa"/>
                  <w:tcBorders>
                    <w:tl2br w:val="nil"/>
                    <w:tr2bl w:val="nil"/>
                  </w:tcBorders>
                  <w:noWrap w:val="0"/>
                  <w:vAlign w:val="center"/>
                </w:tcPr>
                <w:p w14:paraId="4526AB29">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6C99EB2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10.89 </w:t>
                  </w:r>
                </w:p>
              </w:tc>
              <w:tc>
                <w:tcPr>
                  <w:tcW w:w="707" w:type="dxa"/>
                  <w:tcBorders>
                    <w:tl2br w:val="nil"/>
                    <w:tr2bl w:val="nil"/>
                  </w:tcBorders>
                  <w:noWrap w:val="0"/>
                  <w:vAlign w:val="center"/>
                </w:tcPr>
                <w:p w14:paraId="2CADB15A">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0.178 </w:t>
                  </w:r>
                </w:p>
              </w:tc>
              <w:tc>
                <w:tcPr>
                  <w:tcW w:w="819" w:type="dxa"/>
                  <w:tcBorders>
                    <w:tl2br w:val="nil"/>
                    <w:tr2bl w:val="nil"/>
                  </w:tcBorders>
                  <w:noWrap w:val="0"/>
                  <w:vAlign w:val="center"/>
                </w:tcPr>
                <w:p w14:paraId="2D030CC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45.00 </w:t>
                  </w:r>
                </w:p>
              </w:tc>
            </w:tr>
            <w:tr w14:paraId="06CFA1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79391EF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5</w:t>
                  </w:r>
                </w:p>
              </w:tc>
              <w:tc>
                <w:tcPr>
                  <w:tcW w:w="662" w:type="dxa"/>
                  <w:tcBorders>
                    <w:tl2br w:val="nil"/>
                    <w:tr2bl w:val="nil"/>
                  </w:tcBorders>
                  <w:noWrap w:val="0"/>
                  <w:vAlign w:val="center"/>
                </w:tcPr>
                <w:p w14:paraId="7B401E06">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0.72</w:t>
                  </w:r>
                </w:p>
              </w:tc>
              <w:tc>
                <w:tcPr>
                  <w:tcW w:w="809" w:type="dxa"/>
                  <w:tcBorders>
                    <w:tl2br w:val="nil"/>
                    <w:tr2bl w:val="nil"/>
                  </w:tcBorders>
                  <w:noWrap w:val="0"/>
                  <w:vAlign w:val="center"/>
                </w:tcPr>
                <w:p w14:paraId="4A84193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193.95</w:t>
                  </w:r>
                </w:p>
              </w:tc>
              <w:tc>
                <w:tcPr>
                  <w:tcW w:w="761" w:type="dxa"/>
                  <w:tcBorders>
                    <w:tl2br w:val="nil"/>
                    <w:tr2bl w:val="nil"/>
                  </w:tcBorders>
                  <w:noWrap w:val="0"/>
                  <w:vAlign w:val="center"/>
                </w:tcPr>
                <w:p w14:paraId="58A2EDBD">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4AA4D22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27.09</w:t>
                  </w:r>
                </w:p>
              </w:tc>
              <w:tc>
                <w:tcPr>
                  <w:tcW w:w="737" w:type="dxa"/>
                  <w:tcBorders>
                    <w:tl2br w:val="nil"/>
                    <w:tr2bl w:val="nil"/>
                  </w:tcBorders>
                  <w:noWrap w:val="0"/>
                  <w:vAlign w:val="center"/>
                </w:tcPr>
                <w:p w14:paraId="1AA7724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0.62</w:t>
                  </w:r>
                </w:p>
              </w:tc>
              <w:tc>
                <w:tcPr>
                  <w:tcW w:w="827" w:type="dxa"/>
                  <w:tcBorders>
                    <w:tl2br w:val="nil"/>
                    <w:tr2bl w:val="nil"/>
                  </w:tcBorders>
                  <w:noWrap w:val="0"/>
                  <w:vAlign w:val="center"/>
                </w:tcPr>
                <w:p w14:paraId="4C4CD2F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167.74</w:t>
                  </w:r>
                </w:p>
              </w:tc>
              <w:tc>
                <w:tcPr>
                  <w:tcW w:w="764" w:type="dxa"/>
                  <w:tcBorders>
                    <w:tl2br w:val="nil"/>
                    <w:tr2bl w:val="nil"/>
                  </w:tcBorders>
                  <w:noWrap w:val="0"/>
                  <w:vAlign w:val="center"/>
                </w:tcPr>
                <w:p w14:paraId="241A628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69F24D3D">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11.25 </w:t>
                  </w:r>
                </w:p>
              </w:tc>
              <w:tc>
                <w:tcPr>
                  <w:tcW w:w="707" w:type="dxa"/>
                  <w:tcBorders>
                    <w:tl2br w:val="nil"/>
                    <w:tr2bl w:val="nil"/>
                  </w:tcBorders>
                  <w:noWrap w:val="0"/>
                  <w:vAlign w:val="center"/>
                </w:tcPr>
                <w:p w14:paraId="472547E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0.578 </w:t>
                  </w:r>
                </w:p>
              </w:tc>
              <w:tc>
                <w:tcPr>
                  <w:tcW w:w="819" w:type="dxa"/>
                  <w:tcBorders>
                    <w:tl2br w:val="nil"/>
                    <w:tr2bl w:val="nil"/>
                  </w:tcBorders>
                  <w:noWrap w:val="0"/>
                  <w:vAlign w:val="center"/>
                </w:tcPr>
                <w:p w14:paraId="3E45508C">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156.49 </w:t>
                  </w:r>
                </w:p>
              </w:tc>
            </w:tr>
            <w:tr w14:paraId="52E3A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3059B38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平均/合计</w:t>
                  </w:r>
                </w:p>
              </w:tc>
              <w:tc>
                <w:tcPr>
                  <w:tcW w:w="662" w:type="dxa"/>
                  <w:tcBorders>
                    <w:tl2br w:val="nil"/>
                    <w:tr2bl w:val="nil"/>
                  </w:tcBorders>
                  <w:noWrap w:val="0"/>
                  <w:vAlign w:val="center"/>
                </w:tcPr>
                <w:p w14:paraId="2689057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0.78</w:t>
                  </w:r>
                </w:p>
              </w:tc>
              <w:tc>
                <w:tcPr>
                  <w:tcW w:w="809" w:type="dxa"/>
                  <w:tcBorders>
                    <w:tl2br w:val="nil"/>
                    <w:tr2bl w:val="nil"/>
                  </w:tcBorders>
                  <w:noWrap w:val="0"/>
                  <w:vAlign w:val="center"/>
                </w:tcPr>
                <w:p w14:paraId="014686BE">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2466.34</w:t>
                  </w:r>
                </w:p>
              </w:tc>
              <w:tc>
                <w:tcPr>
                  <w:tcW w:w="761" w:type="dxa"/>
                  <w:tcBorders>
                    <w:tl2br w:val="nil"/>
                    <w:tr2bl w:val="nil"/>
                  </w:tcBorders>
                  <w:noWrap w:val="0"/>
                  <w:vAlign w:val="center"/>
                </w:tcPr>
                <w:p w14:paraId="5B78E08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0.101</w:t>
                  </w:r>
                </w:p>
              </w:tc>
              <w:tc>
                <w:tcPr>
                  <w:tcW w:w="756" w:type="dxa"/>
                  <w:tcBorders>
                    <w:tl2br w:val="nil"/>
                    <w:tr2bl w:val="nil"/>
                  </w:tcBorders>
                  <w:noWrap w:val="0"/>
                  <w:vAlign w:val="center"/>
                </w:tcPr>
                <w:p w14:paraId="0C9C46A6">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color w:val="000000" w:themeColor="text1"/>
                      <w:sz w:val="18"/>
                      <w:szCs w:val="18"/>
                      <w:lang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318.9</w:t>
                  </w:r>
                  <w:r>
                    <w:rPr>
                      <w:rFonts w:hint="eastAsia" w:ascii="Times New Roman" w:hAnsi="Times New Roman" w:eastAsia="宋体" w:cs="Times New Roman"/>
                      <w:color w:val="000000" w:themeColor="text1"/>
                      <w:sz w:val="18"/>
                      <w:szCs w:val="18"/>
                      <w:lang w:val="en-US" w:eastAsia="zh-CN"/>
                      <w14:textFill>
                        <w14:solidFill>
                          <w14:schemeClr w14:val="tx1"/>
                        </w14:solidFill>
                      </w14:textFill>
                    </w:rPr>
                    <w:t>0</w:t>
                  </w:r>
                </w:p>
              </w:tc>
              <w:tc>
                <w:tcPr>
                  <w:tcW w:w="737" w:type="dxa"/>
                  <w:tcBorders>
                    <w:tl2br w:val="nil"/>
                    <w:tr2bl w:val="nil"/>
                  </w:tcBorders>
                  <w:noWrap w:val="0"/>
                  <w:vAlign w:val="center"/>
                </w:tcPr>
                <w:p w14:paraId="4716B822">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0.68</w:t>
                  </w:r>
                </w:p>
              </w:tc>
              <w:tc>
                <w:tcPr>
                  <w:tcW w:w="827" w:type="dxa"/>
                  <w:tcBorders>
                    <w:tl2br w:val="nil"/>
                    <w:tr2bl w:val="nil"/>
                  </w:tcBorders>
                  <w:noWrap w:val="0"/>
                  <w:vAlign w:val="center"/>
                </w:tcPr>
                <w:p w14:paraId="656F42F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2151.81</w:t>
                  </w:r>
                </w:p>
              </w:tc>
              <w:tc>
                <w:tcPr>
                  <w:tcW w:w="764" w:type="dxa"/>
                  <w:tcBorders>
                    <w:tl2br w:val="nil"/>
                    <w:tr2bl w:val="nil"/>
                  </w:tcBorders>
                  <w:noWrap w:val="0"/>
                  <w:vAlign w:val="center"/>
                </w:tcPr>
                <w:p w14:paraId="2905766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0.042</w:t>
                  </w:r>
                </w:p>
              </w:tc>
              <w:tc>
                <w:tcPr>
                  <w:tcW w:w="711" w:type="dxa"/>
                  <w:tcBorders>
                    <w:tl2br w:val="nil"/>
                    <w:tr2bl w:val="nil"/>
                  </w:tcBorders>
                  <w:noWrap w:val="0"/>
                  <w:vAlign w:val="center"/>
                </w:tcPr>
                <w:p w14:paraId="16A95877">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cs="Times New Roman"/>
                      <w:color w:val="000000" w:themeColor="text1"/>
                      <w:sz w:val="18"/>
                      <w:szCs w:val="18"/>
                      <w:lang w:val="en-US" w:eastAsia="zh-CN"/>
                      <w14:textFill>
                        <w14:solidFill>
                          <w14:schemeClr w14:val="tx1"/>
                        </w14:solidFill>
                      </w14:textFill>
                    </w:rPr>
                    <w:t>131.40</w:t>
                  </w: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 </w:t>
                  </w:r>
                </w:p>
              </w:tc>
              <w:tc>
                <w:tcPr>
                  <w:tcW w:w="707" w:type="dxa"/>
                  <w:tcBorders>
                    <w:tl2br w:val="nil"/>
                    <w:tr2bl w:val="nil"/>
                  </w:tcBorders>
                  <w:noWrap w:val="0"/>
                  <w:vAlign w:val="center"/>
                </w:tcPr>
                <w:p w14:paraId="06442C9A">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0.638 </w:t>
                  </w:r>
                </w:p>
              </w:tc>
              <w:tc>
                <w:tcPr>
                  <w:tcW w:w="819" w:type="dxa"/>
                  <w:tcBorders>
                    <w:tl2br w:val="nil"/>
                    <w:tr2bl w:val="nil"/>
                  </w:tcBorders>
                  <w:noWrap w:val="0"/>
                  <w:vAlign w:val="center"/>
                </w:tcPr>
                <w:p w14:paraId="34345FDA">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 xml:space="preserve">2019.36 </w:t>
                  </w:r>
                </w:p>
              </w:tc>
            </w:tr>
          </w:tbl>
          <w:p w14:paraId="0DBEFDA9">
            <w:pPr>
              <w:pStyle w:val="311"/>
              <w:spacing w:before="0" w:beforeLines="0" w:after="0" w:afterLines="0" w:line="360" w:lineRule="auto"/>
              <w:ind w:firstLine="480"/>
              <w:jc w:val="both"/>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在P=95%保证率的情况下，五里沟取水口处年平均来水量为2466.338万</w:t>
            </w:r>
            <w:r>
              <w:rPr>
                <w:rFonts w:hint="eastAsia" w:ascii="Times New Roman" w:hAnsi="Times New Roman" w:cs="Times New Roman"/>
                <w:color w:val="000000" w:themeColor="text1"/>
                <w:lang w:eastAsia="zh-CN"/>
                <w14:textFill>
                  <w14:solidFill>
                    <w14:schemeClr w14:val="tx1"/>
                  </w14:solidFill>
                </w14:textFill>
              </w:rPr>
              <w:t>m</w:t>
            </w:r>
            <w:r>
              <w:rPr>
                <w:rFonts w:hint="eastAsia" w:ascii="Times New Roman" w:hAnsi="Times New Roman" w:cs="Times New Roman"/>
                <w:color w:val="000000" w:themeColor="text1"/>
                <w:vertAlign w:val="superscript"/>
                <w:lang w:eastAsia="zh-CN"/>
                <w14:textFill>
                  <w14:solidFill>
                    <w14:schemeClr w14:val="tx1"/>
                  </w14:solidFill>
                </w14:textFill>
              </w:rPr>
              <w:t>3</w:t>
            </w:r>
            <w:r>
              <w:rPr>
                <w:rFonts w:hint="default" w:ascii="Times New Roman" w:hAnsi="Times New Roman" w:eastAsia="宋体" w:cs="Times New Roman"/>
                <w:color w:val="000000" w:themeColor="text1"/>
                <w14:textFill>
                  <w14:solidFill>
                    <w14:schemeClr w14:val="tx1"/>
                  </w14:solidFill>
                </w14:textFill>
              </w:rPr>
              <w:t>/a，河道生态水量按10%考虑为</w:t>
            </w:r>
            <w:r>
              <w:rPr>
                <w:rFonts w:hint="eastAsia" w:ascii="Times New Roman" w:hAnsi="Times New Roman" w:cs="Times New Roman"/>
                <w:color w:val="000000" w:themeColor="text1"/>
                <w:lang w:eastAsia="zh-CN"/>
                <w14:textFill>
                  <w14:solidFill>
                    <w14:schemeClr w14:val="tx1"/>
                  </w14:solidFill>
                </w14:textFill>
              </w:rPr>
              <w:t>318.90</w:t>
            </w:r>
            <w:r>
              <w:rPr>
                <w:rFonts w:hint="default" w:ascii="Times New Roman" w:hAnsi="Times New Roman" w:eastAsia="宋体" w:cs="Times New Roman"/>
                <w:color w:val="000000" w:themeColor="text1"/>
                <w14:textFill>
                  <w14:solidFill>
                    <w14:schemeClr w14:val="tx1"/>
                  </w14:solidFill>
                </w14:textFill>
              </w:rPr>
              <w:t>万</w:t>
            </w:r>
            <w:r>
              <w:rPr>
                <w:rFonts w:hint="eastAsia" w:ascii="Times New Roman" w:hAnsi="Times New Roman" w:cs="Times New Roman"/>
                <w:color w:val="000000" w:themeColor="text1"/>
                <w:lang w:eastAsia="zh-CN"/>
                <w14:textFill>
                  <w14:solidFill>
                    <w14:schemeClr w14:val="tx1"/>
                  </w14:solidFill>
                </w14:textFill>
              </w:rPr>
              <w:t>m</w:t>
            </w:r>
            <w:r>
              <w:rPr>
                <w:rFonts w:hint="eastAsia" w:ascii="Times New Roman" w:hAnsi="Times New Roman" w:cs="Times New Roman"/>
                <w:color w:val="000000" w:themeColor="text1"/>
                <w:vertAlign w:val="superscript"/>
                <w:lang w:eastAsia="zh-CN"/>
                <w14:textFill>
                  <w14:solidFill>
                    <w14:schemeClr w14:val="tx1"/>
                  </w14:solidFill>
                </w14:textFill>
              </w:rPr>
              <w:t>3</w:t>
            </w:r>
            <w:r>
              <w:rPr>
                <w:rFonts w:hint="default" w:ascii="Times New Roman" w:hAnsi="Times New Roman" w:eastAsia="宋体" w:cs="Times New Roman"/>
                <w:color w:val="000000" w:themeColor="text1"/>
                <w14:textFill>
                  <w14:solidFill>
                    <w14:schemeClr w14:val="tx1"/>
                  </w14:solidFill>
                </w14:textFill>
              </w:rPr>
              <w:t>/a，则年平均可供水量为2151.805万</w:t>
            </w:r>
            <w:r>
              <w:rPr>
                <w:rFonts w:hint="eastAsia" w:ascii="Times New Roman" w:hAnsi="Times New Roman" w:cs="Times New Roman"/>
                <w:color w:val="000000" w:themeColor="text1"/>
                <w:lang w:eastAsia="zh-CN"/>
                <w14:textFill>
                  <w14:solidFill>
                    <w14:schemeClr w14:val="tx1"/>
                  </w14:solidFill>
                </w14:textFill>
              </w:rPr>
              <w:t>m</w:t>
            </w:r>
            <w:r>
              <w:rPr>
                <w:rFonts w:hint="eastAsia" w:ascii="Times New Roman" w:hAnsi="Times New Roman" w:cs="Times New Roman"/>
                <w:color w:val="000000" w:themeColor="text1"/>
                <w:vertAlign w:val="superscript"/>
                <w:lang w:eastAsia="zh-CN"/>
                <w14:textFill>
                  <w14:solidFill>
                    <w14:schemeClr w14:val="tx1"/>
                  </w14:solidFill>
                </w14:textFill>
              </w:rPr>
              <w:t>3</w:t>
            </w:r>
            <w:r>
              <w:rPr>
                <w:rFonts w:hint="default" w:ascii="Times New Roman" w:hAnsi="Times New Roman" w:eastAsia="宋体" w:cs="Times New Roman"/>
                <w:color w:val="000000" w:themeColor="text1"/>
                <w14:textFill>
                  <w14:solidFill>
                    <w14:schemeClr w14:val="tx1"/>
                  </w14:solidFill>
                </w14:textFill>
              </w:rPr>
              <w:t>，可满足项目年取水总量为</w:t>
            </w:r>
            <w:r>
              <w:rPr>
                <w:rFonts w:hint="eastAsia" w:ascii="Times New Roman" w:hAnsi="Times New Roman" w:cs="Times New Roman"/>
                <w:color w:val="000000" w:themeColor="text1"/>
                <w:lang w:eastAsia="zh-CN"/>
                <w14:textFill>
                  <w14:solidFill>
                    <w14:schemeClr w14:val="tx1"/>
                  </w14:solidFill>
                </w14:textFill>
              </w:rPr>
              <w:t>131.4</w:t>
            </w:r>
            <w:r>
              <w:rPr>
                <w:rFonts w:hint="default" w:ascii="Times New Roman" w:hAnsi="Times New Roman" w:eastAsia="宋体" w:cs="Times New Roman"/>
                <w:color w:val="000000" w:themeColor="text1"/>
                <w14:textFill>
                  <w14:solidFill>
                    <w14:schemeClr w14:val="tx1"/>
                  </w14:solidFill>
                </w14:textFill>
              </w:rPr>
              <w:t>万</w:t>
            </w:r>
            <w:r>
              <w:rPr>
                <w:rFonts w:hint="eastAsia" w:ascii="Times New Roman" w:hAnsi="Times New Roman" w:cs="Times New Roman"/>
                <w:color w:val="000000" w:themeColor="text1"/>
                <w:lang w:eastAsia="zh-CN"/>
                <w14:textFill>
                  <w14:solidFill>
                    <w14:schemeClr w14:val="tx1"/>
                  </w14:solidFill>
                </w14:textFill>
              </w:rPr>
              <w:t>m</w:t>
            </w:r>
            <w:r>
              <w:rPr>
                <w:rFonts w:hint="eastAsia" w:ascii="Times New Roman" w:hAnsi="Times New Roman" w:cs="Times New Roman"/>
                <w:color w:val="000000" w:themeColor="text1"/>
                <w:vertAlign w:val="superscript"/>
                <w:lang w:eastAsia="zh-CN"/>
                <w14:textFill>
                  <w14:solidFill>
                    <w14:schemeClr w14:val="tx1"/>
                  </w14:solidFill>
                </w14:textFill>
              </w:rPr>
              <w:t>3</w:t>
            </w:r>
            <w:r>
              <w:rPr>
                <w:rFonts w:hint="default" w:ascii="Times New Roman" w:hAnsi="Times New Roman" w:eastAsia="宋体" w:cs="Times New Roman"/>
                <w:color w:val="000000" w:themeColor="text1"/>
                <w14:textFill>
                  <w14:solidFill>
                    <w14:schemeClr w14:val="tx1"/>
                  </w14:solidFill>
                </w14:textFill>
              </w:rPr>
              <w:t>/a的需求，占五里沟取水口P=95%保证率的可供水量的5.</w:t>
            </w:r>
            <w:r>
              <w:rPr>
                <w:rFonts w:hint="eastAsia" w:ascii="Times New Roman" w:hAnsi="Times New Roman" w:cs="Times New Roman"/>
                <w:color w:val="000000" w:themeColor="text1"/>
                <w:lang w:val="en-US" w:eastAsia="zh-CN"/>
                <w14:textFill>
                  <w14:solidFill>
                    <w14:schemeClr w14:val="tx1"/>
                  </w14:solidFill>
                </w14:textFill>
              </w:rPr>
              <w:t>37</w:t>
            </w:r>
            <w:r>
              <w:rPr>
                <w:rFonts w:hint="default" w:ascii="Times New Roman" w:hAnsi="Times New Roman" w:eastAsia="宋体" w:cs="Times New Roman"/>
                <w:color w:val="000000" w:themeColor="text1"/>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五里沟取水口可供水量</w:t>
            </w:r>
            <w:r>
              <w:rPr>
                <w:rFonts w:hint="default" w:ascii="Times New Roman" w:hAnsi="Times New Roman" w:eastAsia="宋体" w:cs="Times New Roman"/>
                <w:color w:val="000000" w:themeColor="text1"/>
                <w14:textFill>
                  <w14:solidFill>
                    <w14:schemeClr w14:val="tx1"/>
                  </w14:solidFill>
                </w14:textFill>
              </w:rPr>
              <w:t>能满足水厂取水需求。</w:t>
            </w:r>
          </w:p>
          <w:p w14:paraId="231DC555">
            <w:pPr>
              <w:pStyle w:val="311"/>
              <w:spacing w:before="0" w:beforeLines="0" w:after="0" w:afterLines="0" w:line="360" w:lineRule="auto"/>
              <w:ind w:firstLine="480"/>
              <w:jc w:val="both"/>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（3）水质达标分析</w:t>
            </w:r>
          </w:p>
          <w:p w14:paraId="6DDBCF17">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根据</w:t>
            </w:r>
            <w:r>
              <w:rPr>
                <w:rFonts w:hint="default" w:ascii="Times New Roman" w:hAnsi="Times New Roman" w:eastAsia="宋体" w:cs="Times New Roman"/>
                <w:color w:val="000000" w:themeColor="text1"/>
                <w:lang w:eastAsia="zh-CN"/>
                <w14:textFill>
                  <w14:solidFill>
                    <w14:schemeClr w14:val="tx1"/>
                  </w14:solidFill>
                </w14:textFill>
              </w:rPr>
              <w:t>甘孜藏族自治州</w:t>
            </w:r>
            <w:r>
              <w:rPr>
                <w:rFonts w:hint="default" w:ascii="Times New Roman" w:hAnsi="Times New Roman" w:eastAsia="宋体" w:cs="Times New Roman"/>
                <w:color w:val="000000" w:themeColor="text1"/>
                <w14:textFill>
                  <w14:solidFill>
                    <w14:schemeClr w14:val="tx1"/>
                  </w14:solidFill>
                </w14:textFill>
              </w:rPr>
              <w:t>人民政府网站公布的《</w:t>
            </w:r>
            <w:r>
              <w:rPr>
                <w:rFonts w:hint="default" w:ascii="Times New Roman" w:hAnsi="Times New Roman" w:eastAsia="宋体" w:cs="Times New Roman"/>
                <w:color w:val="000000" w:themeColor="text1"/>
                <w:lang w:eastAsia="zh-CN"/>
                <w14:textFill>
                  <w14:solidFill>
                    <w14:schemeClr w14:val="tx1"/>
                  </w14:solidFill>
                </w14:textFill>
              </w:rPr>
              <w:t>泸定县</w:t>
            </w:r>
            <w:r>
              <w:rPr>
                <w:rFonts w:hint="default" w:ascii="Times New Roman" w:hAnsi="Times New Roman" w:eastAsia="宋体" w:cs="Times New Roman"/>
                <w:color w:val="000000" w:themeColor="text1"/>
                <w14:textFill>
                  <w14:solidFill>
                    <w14:schemeClr w14:val="tx1"/>
                  </w14:solidFill>
                </w14:textFill>
              </w:rPr>
              <w:t>二〇二四年环境质量公告》，202</w:t>
            </w:r>
            <w:r>
              <w:rPr>
                <w:rFonts w:hint="default" w:ascii="Times New Roman" w:hAnsi="Times New Roman" w:eastAsia="宋体" w:cs="Times New Roman"/>
                <w:color w:val="000000" w:themeColor="text1"/>
                <w:lang w:val="en-US" w:eastAsia="zh-CN"/>
                <w14:textFill>
                  <w14:solidFill>
                    <w14:schemeClr w14:val="tx1"/>
                  </w14:solidFill>
                </w14:textFill>
              </w:rPr>
              <w:t>5</w:t>
            </w:r>
            <w:r>
              <w:rPr>
                <w:rFonts w:hint="default" w:ascii="Times New Roman" w:hAnsi="Times New Roman" w:eastAsia="宋体" w:cs="Times New Roman"/>
                <w:color w:val="000000" w:themeColor="text1"/>
                <w14:textFill>
                  <w14:solidFill>
                    <w14:schemeClr w14:val="tx1"/>
                  </w14:solidFill>
                </w14:textFill>
              </w:rPr>
              <w:t>年项目区域地表水体</w:t>
            </w:r>
            <w:r>
              <w:rPr>
                <w:rFonts w:hint="default" w:ascii="Times New Roman" w:hAnsi="Times New Roman" w:eastAsia="宋体" w:cs="Times New Roman"/>
                <w:color w:val="000000" w:themeColor="text1"/>
                <w:lang w:eastAsia="zh-CN"/>
                <w14:textFill>
                  <w14:solidFill>
                    <w14:schemeClr w14:val="tx1"/>
                  </w14:solidFill>
                </w14:textFill>
              </w:rPr>
              <w:t>大渡河</w:t>
            </w:r>
            <w:r>
              <w:rPr>
                <w:rFonts w:hint="default" w:ascii="Times New Roman" w:hAnsi="Times New Roman" w:eastAsia="宋体" w:cs="Times New Roman"/>
                <w:color w:val="000000" w:themeColor="text1"/>
                <w14:textFill>
                  <w14:solidFill>
                    <w14:schemeClr w14:val="tx1"/>
                  </w14:solidFill>
                </w14:textFill>
              </w:rPr>
              <w:t>各监测断面能稳定达到《地表水环境质量标准》（GB3838-2002）表1中Ⅲ类水质要求。本次环评</w:t>
            </w:r>
            <w:r>
              <w:rPr>
                <w:rFonts w:hint="default" w:ascii="Times New Roman" w:hAnsi="Times New Roman" w:eastAsia="宋体" w:cs="Times New Roman"/>
                <w:color w:val="000000" w:themeColor="text1"/>
                <w:sz w:val="24"/>
                <w14:textFill>
                  <w14:solidFill>
                    <w14:schemeClr w14:val="tx1"/>
                  </w14:solidFill>
                </w14:textFill>
              </w:rPr>
              <w:t>委托</w:t>
            </w:r>
            <w:r>
              <w:rPr>
                <w:rFonts w:hint="default" w:ascii="Times New Roman" w:hAnsi="Times New Roman" w:eastAsia="宋体" w:cs="Times New Roman"/>
                <w:color w:val="000000" w:themeColor="text1"/>
                <w:sz w:val="24"/>
                <w:lang w:eastAsia="zh-CN"/>
                <w14:textFill>
                  <w14:solidFill>
                    <w14:schemeClr w14:val="tx1"/>
                  </w14:solidFill>
                </w14:textFill>
              </w:rPr>
              <w:t>四川山水蓝环境科技有限公司</w:t>
            </w:r>
            <w:r>
              <w:rPr>
                <w:rFonts w:hint="default" w:ascii="Times New Roman" w:hAnsi="Times New Roman" w:eastAsia="宋体" w:cs="Times New Roman"/>
                <w:color w:val="000000" w:themeColor="text1"/>
                <w:sz w:val="24"/>
                <w14:textFill>
                  <w14:solidFill>
                    <w14:schemeClr w14:val="tx1"/>
                  </w14:solidFill>
                </w14:textFill>
              </w:rPr>
              <w:t>，于202</w:t>
            </w:r>
            <w:r>
              <w:rPr>
                <w:rFonts w:hint="default" w:ascii="Times New Roman" w:hAnsi="Times New Roman" w:eastAsia="宋体" w:cs="Times New Roman"/>
                <w:color w:val="000000" w:themeColor="text1"/>
                <w:sz w:val="24"/>
                <w:lang w:val="en-US" w:eastAsia="zh-CN"/>
                <w14:textFill>
                  <w14:solidFill>
                    <w14:schemeClr w14:val="tx1"/>
                  </w14:solidFill>
                </w14:textFill>
              </w:rPr>
              <w:t>6</w:t>
            </w:r>
            <w:r>
              <w:rPr>
                <w:rFonts w:hint="default" w:ascii="Times New Roman" w:hAnsi="Times New Roman" w:eastAsia="宋体" w:cs="Times New Roman"/>
                <w:color w:val="000000" w:themeColor="text1"/>
                <w:sz w:val="24"/>
                <w14:textFill>
                  <w14:solidFill>
                    <w14:schemeClr w14:val="tx1"/>
                  </w14:solidFill>
                </w14:textFill>
              </w:rPr>
              <w:t>年</w:t>
            </w:r>
            <w:r>
              <w:rPr>
                <w:rFonts w:hint="default" w:ascii="Times New Roman" w:hAnsi="Times New Roman" w:eastAsia="宋体" w:cs="Times New Roman"/>
                <w:color w:val="000000" w:themeColor="text1"/>
                <w:sz w:val="24"/>
                <w:lang w:val="en-US" w:eastAsia="zh-CN"/>
                <w14:textFill>
                  <w14:solidFill>
                    <w14:schemeClr w14:val="tx1"/>
                  </w14:solidFill>
                </w14:textFill>
              </w:rPr>
              <w:t>6</w:t>
            </w:r>
            <w:r>
              <w:rPr>
                <w:rFonts w:hint="default" w:ascii="Times New Roman" w:hAnsi="Times New Roman" w:eastAsia="宋体" w:cs="Times New Roman"/>
                <w:color w:val="000000" w:themeColor="text1"/>
                <w:sz w:val="24"/>
                <w14:textFill>
                  <w14:solidFill>
                    <w14:schemeClr w14:val="tx1"/>
                  </w14:solidFill>
                </w14:textFill>
              </w:rPr>
              <w:t>月</w:t>
            </w:r>
            <w:r>
              <w:rPr>
                <w:rFonts w:hint="default" w:ascii="Times New Roman" w:hAnsi="Times New Roman" w:eastAsia="宋体" w:cs="Times New Roman"/>
                <w:color w:val="000000" w:themeColor="text1"/>
                <w:sz w:val="24"/>
                <w:lang w:val="en-US"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日</w:t>
            </w:r>
            <w:r>
              <w:rPr>
                <w:rFonts w:hint="default" w:ascii="Times New Roman" w:hAnsi="Times New Roman" w:eastAsia="宋体" w:cs="Times New Roman"/>
                <w:color w:val="000000" w:themeColor="text1"/>
                <w:sz w:val="24"/>
                <w:lang w:val="en-US" w:eastAsia="zh-CN"/>
                <w14:textFill>
                  <w14:solidFill>
                    <w14:schemeClr w14:val="tx1"/>
                  </w14:solidFill>
                </w14:textFill>
              </w:rPr>
              <w:t>~2026年6月5日</w:t>
            </w:r>
            <w:r>
              <w:rPr>
                <w:rFonts w:hint="default" w:ascii="Times New Roman" w:hAnsi="Times New Roman" w:eastAsia="宋体" w:cs="Times New Roman"/>
                <w:color w:val="000000" w:themeColor="text1"/>
                <w:sz w:val="24"/>
                <w14:textFill>
                  <w14:solidFill>
                    <w14:schemeClr w14:val="tx1"/>
                  </w14:solidFill>
                </w14:textFill>
              </w:rPr>
              <w:t>对</w:t>
            </w:r>
            <w:r>
              <w:rPr>
                <w:rFonts w:hint="default" w:ascii="Times New Roman" w:hAnsi="Times New Roman" w:eastAsia="宋体" w:cs="Times New Roman"/>
                <w:color w:val="000000" w:themeColor="text1"/>
                <w14:textFill>
                  <w14:solidFill>
                    <w14:schemeClr w14:val="tx1"/>
                  </w14:solidFill>
                </w14:textFill>
              </w:rPr>
              <w:t>位于</w:t>
            </w:r>
            <w:r>
              <w:rPr>
                <w:rFonts w:hint="default" w:ascii="Times New Roman" w:hAnsi="Times New Roman" w:eastAsia="宋体" w:cs="Times New Roman"/>
                <w:color w:val="000000" w:themeColor="text1"/>
                <w:lang w:val="en-US" w:eastAsia="zh-CN"/>
                <w14:textFill>
                  <w14:solidFill>
                    <w14:schemeClr w14:val="tx1"/>
                  </w14:solidFill>
                </w14:textFill>
              </w:rPr>
              <w:t>五里沟</w:t>
            </w:r>
            <w:r>
              <w:rPr>
                <w:rFonts w:hint="default" w:ascii="Times New Roman" w:hAnsi="Times New Roman" w:eastAsia="宋体" w:cs="Times New Roman"/>
                <w:color w:val="000000" w:themeColor="text1"/>
                <w14:textFill>
                  <w14:solidFill>
                    <w14:schemeClr w14:val="tx1"/>
                  </w14:solidFill>
                </w14:textFill>
              </w:rPr>
              <w:t>项目区域涉及地表水水质进行了监测，监测结果见第3章地表水环境质量现状评价，根据监测结果</w:t>
            </w:r>
            <w:r>
              <w:rPr>
                <w:rFonts w:hint="default" w:ascii="Times New Roman" w:hAnsi="Times New Roman" w:eastAsia="宋体" w:cs="Times New Roman"/>
                <w:color w:val="000000" w:themeColor="text1"/>
                <w:lang w:val="en-US" w:eastAsia="zh-CN"/>
                <w14:textFill>
                  <w14:solidFill>
                    <w14:schemeClr w14:val="tx1"/>
                  </w14:solidFill>
                </w14:textFill>
              </w:rPr>
              <w:t>五里沟</w:t>
            </w:r>
            <w:r>
              <w:rPr>
                <w:rFonts w:hint="default" w:ascii="Times New Roman" w:hAnsi="Times New Roman" w:eastAsia="宋体" w:cs="Times New Roman"/>
                <w:color w:val="000000" w:themeColor="text1"/>
                <w14:textFill>
                  <w14:solidFill>
                    <w14:schemeClr w14:val="tx1"/>
                  </w14:solidFill>
                </w14:textFill>
              </w:rPr>
              <w:t>地表水水质均满足《地表水环境质量标准》（GB3838-2002）Ⅲ类标准限值，本项目选择的水源水质较好。</w:t>
            </w:r>
          </w:p>
          <w:p w14:paraId="43F9D1F5">
            <w:pPr>
              <w:pStyle w:val="311"/>
              <w:spacing w:before="0" w:beforeLines="0" w:after="0" w:afterLines="0" w:line="360" w:lineRule="auto"/>
              <w:ind w:firstLine="480"/>
              <w:jc w:val="both"/>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（4）取水可靠性分析</w:t>
            </w:r>
          </w:p>
          <w:p w14:paraId="287A8CF7">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从水量角度分析，从表2-10水量平衡计算表可知：</w:t>
            </w:r>
          </w:p>
          <w:p w14:paraId="17330B79">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在P=95%保证率的情况下五里沟取水口处年平均来水量为2466.34万</w:t>
            </w:r>
            <w:r>
              <w:rPr>
                <w:rFonts w:hint="eastAsia"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/a，河道生态水量按10%考虑为318.90万</w:t>
            </w:r>
            <w:r>
              <w:rPr>
                <w:rFonts w:hint="eastAsia"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/a，则年平均可供水量为2151.81万</w:t>
            </w:r>
            <w:r>
              <w:rPr>
                <w:rFonts w:hint="eastAsia"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，可满足项目年取水总量为</w:t>
            </w:r>
            <w:r>
              <w:rPr>
                <w:rFonts w:hint="eastAsia" w:ascii="Times New Roman" w:hAnsi="Times New Roman" w:cs="Times New Roman"/>
                <w:color w:val="000000" w:themeColor="text1"/>
                <w:lang w:val="en-US" w:eastAsia="zh-CN"/>
                <w14:textFill>
                  <w14:solidFill>
                    <w14:schemeClr w14:val="tx1"/>
                  </w14:solidFill>
                </w14:textFill>
              </w:rPr>
              <w:t>131.4</w:t>
            </w:r>
            <w:r>
              <w:rPr>
                <w:rFonts w:hint="default" w:ascii="Times New Roman" w:hAnsi="Times New Roman" w:eastAsia="宋体" w:cs="Times New Roman"/>
                <w:color w:val="000000" w:themeColor="text1"/>
                <w:lang w:val="en-US" w:eastAsia="zh-CN"/>
                <w14:textFill>
                  <w14:solidFill>
                    <w14:schemeClr w14:val="tx1"/>
                  </w14:solidFill>
                </w14:textFill>
              </w:rPr>
              <w:t>万</w:t>
            </w:r>
            <w:r>
              <w:rPr>
                <w:rFonts w:hint="eastAsia"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/a的需求，占五里沟取水口P=95%保证率的可供水量的5.</w:t>
            </w:r>
            <w:r>
              <w:rPr>
                <w:rFonts w:hint="eastAsia" w:ascii="Times New Roman" w:hAnsi="Times New Roman" w:cs="Times New Roman"/>
                <w:color w:val="000000" w:themeColor="text1"/>
                <w:lang w:val="en-US" w:eastAsia="zh-CN"/>
                <w14:textFill>
                  <w14:solidFill>
                    <w14:schemeClr w14:val="tx1"/>
                  </w14:solidFill>
                </w14:textFill>
              </w:rPr>
              <w:t>37</w:t>
            </w:r>
            <w:r>
              <w:rPr>
                <w:rFonts w:hint="default" w:ascii="Times New Roman" w:hAnsi="Times New Roman" w:eastAsia="宋体" w:cs="Times New Roman"/>
                <w:color w:val="000000" w:themeColor="text1"/>
                <w:lang w:val="en-US" w:eastAsia="zh-CN"/>
                <w14:textFill>
                  <w14:solidFill>
                    <w14:schemeClr w14:val="tx1"/>
                  </w14:solidFill>
                </w14:textFill>
              </w:rPr>
              <w:t>%。</w:t>
            </w:r>
          </w:p>
          <w:p w14:paraId="6B7A217E">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五里沟取水口可供水量能满足水厂取水需求。</w:t>
            </w:r>
          </w:p>
          <w:p w14:paraId="0BBE27E5">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本项目为城镇供水工程，根据水源水质监测报告，五里沟水源水质符合《地表水环境质量标准》(GB3838-2002)Ⅲ类标准。</w:t>
            </w:r>
          </w:p>
          <w:p w14:paraId="46E039F5">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通过对取水口设置情况、河段稳定性及取水水位等条件分析认为：取水口河段稳定性较好，取水水位满足取水要求，取水口位置合理，水源水质符合《生活饮用水标准》（GB5749-2006），可作为供水水厂水源。</w:t>
            </w:r>
          </w:p>
          <w:p w14:paraId="6C9441AE">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综上，本工程取水口设置合理、来水量可靠同时取水水质满足集中饮用水水源要求。</w:t>
            </w:r>
          </w:p>
          <w:p w14:paraId="60A23D55">
            <w:pPr>
              <w:pStyle w:val="311"/>
              <w:spacing w:before="0" w:beforeLines="0" w:after="0" w:afterLines="0" w:line="360" w:lineRule="auto"/>
              <w:ind w:firstLine="480"/>
              <w:jc w:val="both"/>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因此，本工程具有很高的取水可行性与可靠性。</w:t>
            </w:r>
          </w:p>
          <w:p w14:paraId="277AAAD2">
            <w:pPr>
              <w:pStyle w:val="311"/>
              <w:keepNext w:val="0"/>
              <w:keepLines w:val="0"/>
              <w:pageBreakBefore w:val="0"/>
              <w:wordWrap/>
              <w:topLinePunct w:val="0"/>
              <w:autoSpaceDE/>
              <w:autoSpaceDN/>
              <w:bidi w:val="0"/>
              <w:adjustRightInd w:val="0"/>
              <w:snapToGrid w:val="0"/>
              <w:spacing w:before="0" w:beforeLines="0" w:after="0" w:afterLines="0" w:line="360" w:lineRule="auto"/>
              <w:ind w:firstLine="482"/>
              <w:jc w:val="both"/>
              <w:textAlignment w:val="auto"/>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w:t>
            </w:r>
            <w:r>
              <w:rPr>
                <w:rFonts w:hint="default" w:ascii="Times New Roman" w:hAnsi="Times New Roman" w:eastAsia="宋体" w:cs="Times New Roman"/>
                <w:b/>
                <w:bCs/>
                <w:color w:val="000000" w:themeColor="text1"/>
                <w:lang w:val="en-US" w:eastAsia="zh-CN"/>
                <w14:textFill>
                  <w14:solidFill>
                    <w14:schemeClr w14:val="tx1"/>
                  </w14:solidFill>
                </w14:textFill>
              </w:rPr>
              <w:t>5</w:t>
            </w:r>
            <w:r>
              <w:rPr>
                <w:rFonts w:hint="default" w:ascii="Times New Roman" w:hAnsi="Times New Roman" w:eastAsia="宋体" w:cs="Times New Roman"/>
                <w:b/>
                <w:bCs/>
                <w:color w:val="000000" w:themeColor="text1"/>
                <w14:textFill>
                  <w14:solidFill>
                    <w14:schemeClr w14:val="tx1"/>
                  </w14:solidFill>
                </w14:textFill>
              </w:rPr>
              <w:t>）取水许可办理情况</w:t>
            </w:r>
          </w:p>
          <w:p w14:paraId="7E0AB685">
            <w:pPr>
              <w:keepNext w:val="0"/>
              <w:keepLines w:val="0"/>
              <w:pageBreakBefore w:val="0"/>
              <w:tabs>
                <w:tab w:val="left" w:pos="0"/>
              </w:tabs>
              <w:wordWrap/>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项目</w:t>
            </w:r>
            <w:r>
              <w:rPr>
                <w:rFonts w:hint="default" w:ascii="Times New Roman" w:hAnsi="Times New Roman" w:eastAsia="宋体" w:cs="Times New Roman"/>
                <w:color w:val="000000" w:themeColor="text1"/>
                <w:sz w:val="24"/>
                <w:lang w:val="en-US" w:eastAsia="zh-CN"/>
                <w14:textFill>
                  <w14:solidFill>
                    <w14:schemeClr w14:val="tx1"/>
                  </w14:solidFill>
                </w14:textFill>
              </w:rPr>
              <w:t>已</w:t>
            </w:r>
            <w:r>
              <w:rPr>
                <w:rFonts w:hint="default" w:ascii="Times New Roman" w:hAnsi="Times New Roman" w:eastAsia="宋体" w:cs="Times New Roman"/>
                <w:color w:val="000000" w:themeColor="text1"/>
                <w:sz w:val="24"/>
                <w14:textFill>
                  <w14:solidFill>
                    <w14:schemeClr w14:val="tx1"/>
                  </w14:solidFill>
                </w14:textFill>
              </w:rPr>
              <w:t>取得了《</w:t>
            </w:r>
            <w:r>
              <w:rPr>
                <w:rFonts w:hint="default" w:ascii="Times New Roman" w:hAnsi="Times New Roman" w:eastAsia="宋体" w:cs="Times New Roman"/>
                <w:color w:val="000000" w:themeColor="text1"/>
                <w:sz w:val="24"/>
                <w:lang w:eastAsia="zh-CN"/>
                <w14:textFill>
                  <w14:solidFill>
                    <w14:schemeClr w14:val="tx1"/>
                  </w14:solidFill>
                </w14:textFill>
              </w:rPr>
              <w:t>泸定县</w:t>
            </w:r>
            <w:r>
              <w:rPr>
                <w:rFonts w:hint="default" w:ascii="Times New Roman" w:hAnsi="Times New Roman" w:eastAsia="宋体" w:cs="Times New Roman"/>
                <w:color w:val="000000" w:themeColor="text1"/>
                <w:sz w:val="24"/>
                <w14:textFill>
                  <w14:solidFill>
                    <w14:schemeClr w14:val="tx1"/>
                  </w14:solidFill>
                </w14:textFill>
              </w:rPr>
              <w:t>水利局关于&lt;</w:t>
            </w:r>
            <w:r>
              <w:rPr>
                <w:rFonts w:hint="default" w:ascii="Times New Roman" w:hAnsi="Times New Roman" w:eastAsia="宋体" w:cs="Times New Roman"/>
                <w:color w:val="000000" w:themeColor="text1"/>
                <w:sz w:val="24"/>
                <w:lang w:eastAsia="zh-CN"/>
                <w14:textFill>
                  <w14:solidFill>
                    <w14:schemeClr w14:val="tx1"/>
                  </w14:solidFill>
                </w14:textFill>
              </w:rPr>
              <w:t>泸定县城区自来水厂备用水源取水工程新建项目</w:t>
            </w:r>
            <w:r>
              <w:rPr>
                <w:rFonts w:hint="default" w:ascii="Times New Roman" w:hAnsi="Times New Roman" w:eastAsia="宋体" w:cs="Times New Roman"/>
                <w:color w:val="000000" w:themeColor="text1"/>
                <w:sz w:val="24"/>
                <w14:textFill>
                  <w14:solidFill>
                    <w14:schemeClr w14:val="tx1"/>
                  </w14:solidFill>
                </w14:textFill>
              </w:rPr>
              <w:t>水资源论证报告书&gt;的批复》。</w:t>
            </w:r>
          </w:p>
          <w:p w14:paraId="7507757B">
            <w:pPr>
              <w:keepNext w:val="0"/>
              <w:keepLines w:val="0"/>
              <w:pageBreakBefore w:val="0"/>
              <w:tabs>
                <w:tab w:val="left" w:pos="0"/>
              </w:tabs>
              <w:wordWrap/>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本次环评要求，本项目需取得上述水源地取水许可证后方可开始取水。</w:t>
            </w:r>
          </w:p>
          <w:p w14:paraId="21A14D46">
            <w:pPr>
              <w:pStyle w:val="311"/>
              <w:keepNext w:val="0"/>
              <w:keepLines w:val="0"/>
              <w:pageBreakBefore w:val="0"/>
              <w:wordWrap/>
              <w:topLinePunct w:val="0"/>
              <w:autoSpaceDE/>
              <w:autoSpaceDN/>
              <w:bidi w:val="0"/>
              <w:adjustRightInd w:val="0"/>
              <w:snapToGrid w:val="0"/>
              <w:spacing w:before="0" w:beforeLines="0" w:after="0" w:afterLines="0" w:line="360" w:lineRule="auto"/>
              <w:ind w:firstLine="482"/>
              <w:jc w:val="both"/>
              <w:textAlignment w:val="auto"/>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bCs/>
                <w:color w:val="000000" w:themeColor="text1"/>
                <w14:textFill>
                  <w14:solidFill>
                    <w14:schemeClr w14:val="tx1"/>
                  </w14:solidFill>
                </w14:textFill>
              </w:rPr>
              <w:t>7.</w:t>
            </w:r>
            <w:r>
              <w:rPr>
                <w:rFonts w:hint="default" w:ascii="Times New Roman" w:hAnsi="Times New Roman" w:eastAsia="宋体" w:cs="Times New Roman"/>
                <w:b/>
                <w:bCs/>
                <w:color w:val="000000" w:themeColor="text1"/>
                <w:lang w:val="en-US" w:eastAsia="zh-CN"/>
                <w14:textFill>
                  <w14:solidFill>
                    <w14:schemeClr w14:val="tx1"/>
                  </w14:solidFill>
                </w14:textFill>
              </w:rPr>
              <w:t>7</w:t>
            </w:r>
            <w:r>
              <w:rPr>
                <w:rFonts w:hint="default" w:ascii="Times New Roman" w:hAnsi="Times New Roman" w:eastAsia="宋体" w:cs="Times New Roman"/>
                <w:b/>
                <w:bCs/>
                <w:color w:val="000000" w:themeColor="text1"/>
                <w14:textFill>
                  <w14:solidFill>
                    <w14:schemeClr w14:val="tx1"/>
                  </w14:solidFill>
                </w14:textFill>
              </w:rPr>
              <w:t>项目出水水质标准</w:t>
            </w:r>
          </w:p>
          <w:p w14:paraId="2EDC2006">
            <w:pPr>
              <w:pStyle w:val="311"/>
              <w:keepNext w:val="0"/>
              <w:keepLines w:val="0"/>
              <w:pageBreakBefore w:val="0"/>
              <w:wordWrap/>
              <w:topLinePunct w:val="0"/>
              <w:autoSpaceDE/>
              <w:autoSpaceDN/>
              <w:bidi w:val="0"/>
              <w:adjustRightInd w:val="0"/>
              <w:snapToGrid w:val="0"/>
              <w:spacing w:before="0" w:beforeLines="0" w:after="0" w:afterLines="0" w:line="360" w:lineRule="auto"/>
              <w:ind w:firstLine="480"/>
              <w:jc w:val="both"/>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水厂建成后出厂水水质应满足《生活饮用水卫生标准》（GB5749-2022）各项指标要求。</w:t>
            </w:r>
          </w:p>
          <w:p w14:paraId="7E82B07E">
            <w:pPr>
              <w:spacing w:line="360" w:lineRule="auto"/>
              <w:ind w:firstLine="482" w:firstLineChars="200"/>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8</w:t>
            </w:r>
            <w:r>
              <w:rPr>
                <w:rFonts w:hint="default" w:ascii="Times New Roman" w:hAnsi="Times New Roman" w:eastAsia="宋体" w:cs="Times New Roman"/>
                <w:b/>
                <w:bCs/>
                <w:color w:val="000000" w:themeColor="text1"/>
                <w:sz w:val="24"/>
                <w:szCs w:val="24"/>
                <w14:textFill>
                  <w14:solidFill>
                    <w14:schemeClr w14:val="tx1"/>
                  </w14:solidFill>
                </w14:textFill>
              </w:rPr>
              <w:t>、土石方平衡</w:t>
            </w:r>
          </w:p>
          <w:p w14:paraId="04DEDE11">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根据项目《</w:t>
            </w:r>
            <w:r>
              <w:rPr>
                <w:rFonts w:hint="default" w:ascii="Times New Roman" w:hAnsi="Times New Roman" w:eastAsia="宋体" w:cs="Times New Roman"/>
                <w:color w:val="000000" w:themeColor="text1"/>
                <w:sz w:val="24"/>
                <w:szCs w:val="24"/>
                <w:lang w:eastAsia="zh-CN"/>
                <w14:textFill>
                  <w14:solidFill>
                    <w14:schemeClr w14:val="tx1"/>
                  </w14:solidFill>
                </w14:textFill>
              </w:rPr>
              <w:t>泸定县城区自来水厂备用水源取水工程新建项目</w:t>
            </w:r>
            <w:r>
              <w:rPr>
                <w:rFonts w:hint="default" w:ascii="Times New Roman" w:hAnsi="Times New Roman" w:eastAsia="宋体" w:cs="Times New Roman"/>
                <w:color w:val="000000" w:themeColor="text1"/>
                <w:sz w:val="24"/>
                <w:szCs w:val="24"/>
                <w14:textFill>
                  <w14:solidFill>
                    <w14:schemeClr w14:val="tx1"/>
                  </w14:solidFill>
                </w14:textFill>
              </w:rPr>
              <w:t>水土保持方案报告书（报批稿）》</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长大工程设计有限公司四川分公司</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本项目总占地面积为</w:t>
            </w:r>
            <w:r>
              <w:rPr>
                <w:rFonts w:hint="eastAsia" w:ascii="Times New Roman" w:hAnsi="Times New Roman" w:cs="Times New Roman"/>
                <w:color w:val="000000" w:themeColor="text1"/>
                <w:sz w:val="24"/>
                <w:szCs w:val="24"/>
                <w:lang w:val="en-US" w:eastAsia="zh-CN"/>
                <w14:textFill>
                  <w14:solidFill>
                    <w14:schemeClr w14:val="tx1"/>
                  </w14:solidFill>
                </w14:textFill>
              </w:rPr>
              <w:t>0.8809</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h</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，其中0.0</w:t>
            </w:r>
            <w:r>
              <w:rPr>
                <w:rFonts w:hint="eastAsia" w:ascii="Times New Roman" w:hAnsi="Times New Roman" w:cs="Times New Roman"/>
                <w:color w:val="000000" w:themeColor="text1"/>
                <w:sz w:val="24"/>
                <w:szCs w:val="24"/>
                <w:lang w:val="en-US" w:eastAsia="zh-CN"/>
                <w14:textFill>
                  <w14:solidFill>
                    <w14:schemeClr w14:val="tx1"/>
                  </w14:solidFill>
                </w14:textFill>
              </w:rPr>
              <w:t>263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h</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为永久占地，占地类型为其他用地与其他草地；</w:t>
            </w:r>
            <w:r>
              <w:rPr>
                <w:rFonts w:hint="eastAsia" w:ascii="Times New Roman" w:hAnsi="Times New Roman" w:cs="Times New Roman"/>
                <w:color w:val="000000" w:themeColor="text1"/>
                <w:sz w:val="24"/>
                <w:szCs w:val="24"/>
                <w:lang w:val="en-US" w:eastAsia="zh-CN"/>
                <w14:textFill>
                  <w14:solidFill>
                    <w14:schemeClr w14:val="tx1"/>
                  </w14:solidFill>
                </w14:textFill>
              </w:rPr>
              <w:t>0.8546hm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为临时占地。防治区域划分为：管线工程区、附属建筑区。</w:t>
            </w:r>
          </w:p>
          <w:p w14:paraId="3D8D87E6">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（1）表土平衡情况</w:t>
            </w:r>
          </w:p>
          <w:p w14:paraId="1FB6283A">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本项目管线工程均沿现有道路敷设，</w:t>
            </w:r>
            <w:r>
              <w:rPr>
                <w:rFonts w:hint="eastAsia" w:ascii="Times New Roman" w:hAnsi="Times New Roman" w:cs="Times New Roman"/>
                <w:color w:val="000000" w:themeColor="text1"/>
                <w:sz w:val="24"/>
                <w:szCs w:val="24"/>
                <w:lang w:val="en-US" w:eastAsia="zh-CN"/>
                <w14:textFill>
                  <w14:solidFill>
                    <w14:schemeClr w14:val="tx1"/>
                  </w14:solidFill>
                </w14:textFill>
              </w:rPr>
              <w:t>管线工程</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会占据部分有植被覆盖区域，占地类型为其他草地，占地面积为0.42h</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，根据现场调查，该植被覆盖区域可剥离表土厚度为0.</w:t>
            </w:r>
            <w:r>
              <w:rPr>
                <w:rFonts w:hint="eastAsia"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m，可剥离表土量为0.0</w:t>
            </w:r>
            <w:r>
              <w:rPr>
                <w:rFonts w:hint="eastAsia"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，项目剥离表土用于后续管线工程所占其他土地类型迹地恢复。</w:t>
            </w:r>
          </w:p>
          <w:p w14:paraId="2411EA63">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（2）一般土石方平衡情况</w:t>
            </w:r>
          </w:p>
          <w:p w14:paraId="78FDFEDD">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根据主体资料</w:t>
            </w:r>
            <w:r>
              <w:rPr>
                <w:rFonts w:hint="eastAsia" w:ascii="Times New Roman" w:hAnsi="Times New Roman" w:cs="Times New Roman"/>
                <w:color w:val="000000" w:themeColor="text1"/>
                <w:sz w:val="24"/>
                <w:szCs w:val="24"/>
                <w:lang w:val="en-US" w:eastAsia="zh-CN"/>
                <w14:textFill>
                  <w14:solidFill>
                    <w14:schemeClr w14:val="tx1"/>
                  </w14:solidFill>
                </w14:textFill>
              </w:rPr>
              <w:t>和本项目水土保持方案报告表中结果</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，沿线土方主要为管线沟槽开挖土方及附属建筑物地基开挖土方，本项目开挖一般土石方量为</w:t>
            </w:r>
            <w:r>
              <w:rPr>
                <w:rFonts w:hint="eastAsia" w:ascii="Times New Roman" w:hAnsi="Times New Roman" w:cs="Times New Roman"/>
                <w:color w:val="000000" w:themeColor="text1"/>
                <w:sz w:val="24"/>
                <w:szCs w:val="24"/>
                <w:lang w:val="en-US" w:eastAsia="zh-CN"/>
                <w14:textFill>
                  <w14:solidFill>
                    <w14:schemeClr w14:val="tx1"/>
                  </w14:solidFill>
                </w14:textFill>
              </w:rPr>
              <w:t>1.41万m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。本项目管线工程涉及中砂回填情况，本项目中砂均在合法场地购买，回填</w:t>
            </w:r>
            <w:r>
              <w:rPr>
                <w:rFonts w:hint="eastAsia" w:ascii="Times New Roman" w:hAnsi="Times New Roman" w:cs="Times New Roman"/>
                <w:color w:val="000000" w:themeColor="text1"/>
                <w:sz w:val="24"/>
                <w:szCs w:val="24"/>
                <w:lang w:val="en-US" w:eastAsia="zh-CN"/>
                <w14:textFill>
                  <w14:solidFill>
                    <w14:schemeClr w14:val="tx1"/>
                  </w14:solidFill>
                </w14:textFill>
              </w:rPr>
              <w:t>中砂量</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w:t>
            </w:r>
            <w:r>
              <w:rPr>
                <w:rFonts w:hint="eastAsia"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，一般土石方回填量为0.</w:t>
            </w:r>
            <w:r>
              <w:rPr>
                <w:rFonts w:hint="eastAsia" w:ascii="Times New Roman" w:hAnsi="Times New Roman" w:cs="Times New Roman"/>
                <w:color w:val="000000" w:themeColor="text1"/>
                <w:sz w:val="24"/>
                <w:szCs w:val="24"/>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。因项目管道敷设经过泸定县城区且城区内管道采用混凝土包管埋地方式所以挖填方不平衡，本项目有1.17万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的弃方，弃方用于泸定县</w:t>
            </w:r>
            <w:r>
              <w:rPr>
                <w:rFonts w:hint="eastAsia" w:ascii="Times New Roman" w:hAnsi="Times New Roman" w:cs="Times New Roman"/>
                <w:color w:val="000000" w:themeColor="text1"/>
                <w:sz w:val="24"/>
                <w:szCs w:val="24"/>
                <w:lang w:val="en-US" w:eastAsia="zh-CN"/>
                <w14:textFill>
                  <w14:solidFill>
                    <w14:schemeClr w14:val="tx1"/>
                  </w14:solidFill>
                </w14:textFill>
              </w:rPr>
              <w:t>其他道路</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工程回填利用，该1.17万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的弃方为泸定县住房和城乡建设局内所建项目的调运利用，开挖及运输过程中水土流失责任由泸定县住房和城乡建设局负责。</w:t>
            </w:r>
          </w:p>
          <w:p w14:paraId="2F4ACBA0">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主体考虑沿线土方集中堆置将导致土方二次倒运，增加水土流失以及工程投资，故管线开挖产生的土方沿线堆放至管道作业带一侧，附属建筑物基础开挖土方均临时堆置在开挖基础周边，不新增占地，方便后期回填利用，项目余方由泸定县</w:t>
            </w:r>
            <w:r>
              <w:rPr>
                <w:rFonts w:hint="eastAsia" w:ascii="Times New Roman" w:hAnsi="Times New Roman" w:cs="Times New Roman"/>
                <w:color w:val="000000" w:themeColor="text1"/>
                <w:sz w:val="24"/>
                <w:szCs w:val="24"/>
                <w:lang w:val="en-US" w:eastAsia="zh-CN"/>
                <w14:textFill>
                  <w14:solidFill>
                    <w14:schemeClr w14:val="tx1"/>
                  </w14:solidFill>
                </w14:textFill>
              </w:rPr>
              <w:t>其他道路工程</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回填利用。</w:t>
            </w:r>
          </w:p>
          <w:p w14:paraId="682C81B6">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工程土石方平衡汇总表单位：万</w:t>
            </w:r>
            <w:r>
              <w:rPr>
                <w:rFonts w:hint="eastAsia" w:ascii="Times New Roman" w:hAnsi="Times New Roman" w:cs="Times New Roman"/>
                <w:b/>
                <w:color w:val="000000" w:themeColor="text1"/>
                <w:sz w:val="21"/>
                <w:szCs w:val="21"/>
                <w:lang w:val="en-US" w:eastAsia="zh-CN"/>
                <w14:textFill>
                  <w14:solidFill>
                    <w14:schemeClr w14:val="tx1"/>
                  </w14:solidFill>
                </w14:textFill>
              </w:rPr>
              <w:t>m</w:t>
            </w:r>
            <w:r>
              <w:rPr>
                <w:rFonts w:hint="eastAsia" w:ascii="Times New Roman" w:hAnsi="Times New Roman" w:cs="Times New Roman"/>
                <w:b/>
                <w:color w:val="000000" w:themeColor="text1"/>
                <w:sz w:val="21"/>
                <w:szCs w:val="21"/>
                <w:vertAlign w:val="superscript"/>
                <w:lang w:val="en-US" w:eastAsia="zh-CN"/>
                <w14:textFill>
                  <w14:solidFill>
                    <w14:schemeClr w14:val="tx1"/>
                  </w14:solidFill>
                </w14:textFill>
              </w:rPr>
              <w:t>3</w:t>
            </w:r>
          </w:p>
          <w:tbl>
            <w:tblPr>
              <w:tblStyle w:val="55"/>
              <w:tblW w:w="50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3"/>
              <w:gridCol w:w="441"/>
              <w:gridCol w:w="662"/>
              <w:gridCol w:w="519"/>
              <w:gridCol w:w="722"/>
              <w:gridCol w:w="381"/>
              <w:gridCol w:w="750"/>
              <w:gridCol w:w="297"/>
              <w:gridCol w:w="529"/>
              <w:gridCol w:w="671"/>
              <w:gridCol w:w="494"/>
              <w:gridCol w:w="486"/>
              <w:gridCol w:w="516"/>
              <w:gridCol w:w="479"/>
              <w:gridCol w:w="542"/>
            </w:tblGrid>
            <w:tr w14:paraId="7119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468" w:type="pct"/>
                  <w:vMerge w:val="restart"/>
                  <w:tcBorders>
                    <w:tl2br w:val="nil"/>
                    <w:tr2bl w:val="nil"/>
                  </w:tcBorders>
                  <w:noWrap w:val="0"/>
                  <w:vAlign w:val="center"/>
                </w:tcPr>
                <w:p w14:paraId="2E93891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w:t>
                  </w:r>
                </w:p>
              </w:tc>
              <w:tc>
                <w:tcPr>
                  <w:tcW w:w="982" w:type="pct"/>
                  <w:gridSpan w:val="3"/>
                  <w:tcBorders>
                    <w:tl2br w:val="nil"/>
                    <w:tr2bl w:val="nil"/>
                  </w:tcBorders>
                  <w:noWrap w:val="0"/>
                  <w:vAlign w:val="center"/>
                </w:tcPr>
                <w:p w14:paraId="545965C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挖方</w:t>
                  </w:r>
                </w:p>
              </w:tc>
              <w:tc>
                <w:tcPr>
                  <w:tcW w:w="667" w:type="pct"/>
                  <w:gridSpan w:val="2"/>
                  <w:tcBorders>
                    <w:tl2br w:val="nil"/>
                    <w:tr2bl w:val="nil"/>
                  </w:tcBorders>
                  <w:noWrap w:val="0"/>
                  <w:vAlign w:val="center"/>
                </w:tcPr>
                <w:p w14:paraId="2574D1F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调入</w:t>
                  </w:r>
                </w:p>
              </w:tc>
              <w:tc>
                <w:tcPr>
                  <w:tcW w:w="634" w:type="pct"/>
                  <w:gridSpan w:val="2"/>
                  <w:tcBorders>
                    <w:tl2br w:val="nil"/>
                    <w:tr2bl w:val="nil"/>
                  </w:tcBorders>
                  <w:noWrap w:val="0"/>
                  <w:vAlign w:val="center"/>
                </w:tcPr>
                <w:p w14:paraId="054769FA">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调出</w:t>
                  </w:r>
                </w:p>
              </w:tc>
              <w:tc>
                <w:tcPr>
                  <w:tcW w:w="1025" w:type="pct"/>
                  <w:gridSpan w:val="3"/>
                  <w:tcBorders>
                    <w:tl2br w:val="nil"/>
                    <w:tr2bl w:val="nil"/>
                  </w:tcBorders>
                  <w:noWrap w:val="0"/>
                  <w:vAlign w:val="center"/>
                </w:tcPr>
                <w:p w14:paraId="59B9CE3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填方</w:t>
                  </w:r>
                </w:p>
              </w:tc>
              <w:tc>
                <w:tcPr>
                  <w:tcW w:w="606" w:type="pct"/>
                  <w:gridSpan w:val="2"/>
                  <w:tcBorders>
                    <w:tl2br w:val="nil"/>
                    <w:tr2bl w:val="nil"/>
                  </w:tcBorders>
                  <w:noWrap w:val="0"/>
                  <w:vAlign w:val="center"/>
                </w:tcPr>
                <w:p w14:paraId="67E963D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弃方</w:t>
                  </w:r>
                </w:p>
              </w:tc>
              <w:tc>
                <w:tcPr>
                  <w:tcW w:w="615" w:type="pct"/>
                  <w:gridSpan w:val="2"/>
                  <w:tcBorders>
                    <w:tl2br w:val="nil"/>
                    <w:tr2bl w:val="nil"/>
                  </w:tcBorders>
                  <w:noWrap w:val="0"/>
                  <w:vAlign w:val="center"/>
                </w:tcPr>
                <w:p w14:paraId="0F48AC34">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借方</w:t>
                  </w:r>
                </w:p>
              </w:tc>
            </w:tr>
            <w:tr w14:paraId="4C1C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468" w:type="pct"/>
                  <w:vMerge w:val="continue"/>
                  <w:tcBorders>
                    <w:tl2br w:val="nil"/>
                    <w:tr2bl w:val="nil"/>
                  </w:tcBorders>
                  <w:noWrap w:val="0"/>
                  <w:vAlign w:val="center"/>
                </w:tcPr>
                <w:p w14:paraId="3CBDE4DF">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67" w:type="pct"/>
                  <w:tcBorders>
                    <w:tl2br w:val="nil"/>
                    <w:tr2bl w:val="nil"/>
                  </w:tcBorders>
                  <w:noWrap w:val="0"/>
                  <w:vAlign w:val="center"/>
                </w:tcPr>
                <w:p w14:paraId="3FC319B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表土</w:t>
                  </w:r>
                </w:p>
              </w:tc>
              <w:tc>
                <w:tcPr>
                  <w:tcW w:w="401" w:type="pct"/>
                  <w:tcBorders>
                    <w:tl2br w:val="nil"/>
                    <w:tr2bl w:val="nil"/>
                  </w:tcBorders>
                  <w:noWrap w:val="0"/>
                  <w:vAlign w:val="center"/>
                </w:tcPr>
                <w:p w14:paraId="13A19798">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一般土石方</w:t>
                  </w:r>
                </w:p>
              </w:tc>
              <w:tc>
                <w:tcPr>
                  <w:tcW w:w="313" w:type="pct"/>
                  <w:tcBorders>
                    <w:tl2br w:val="nil"/>
                    <w:tr2bl w:val="nil"/>
                  </w:tcBorders>
                  <w:noWrap w:val="0"/>
                  <w:vAlign w:val="center"/>
                </w:tcPr>
                <w:p w14:paraId="0507D2D3">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437" w:type="pct"/>
                  <w:tcBorders>
                    <w:tl2br w:val="nil"/>
                    <w:tr2bl w:val="nil"/>
                  </w:tcBorders>
                  <w:noWrap w:val="0"/>
                  <w:vAlign w:val="center"/>
                </w:tcPr>
                <w:p w14:paraId="3BF3830C">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数量</w:t>
                  </w:r>
                </w:p>
              </w:tc>
              <w:tc>
                <w:tcPr>
                  <w:tcW w:w="230" w:type="pct"/>
                  <w:tcBorders>
                    <w:tl2br w:val="nil"/>
                    <w:tr2bl w:val="nil"/>
                  </w:tcBorders>
                  <w:noWrap w:val="0"/>
                  <w:vAlign w:val="center"/>
                </w:tcPr>
                <w:p w14:paraId="130FBB8A">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来源</w:t>
                  </w:r>
                </w:p>
              </w:tc>
              <w:tc>
                <w:tcPr>
                  <w:tcW w:w="454" w:type="pct"/>
                  <w:tcBorders>
                    <w:tl2br w:val="nil"/>
                    <w:tr2bl w:val="nil"/>
                  </w:tcBorders>
                  <w:noWrap w:val="0"/>
                  <w:vAlign w:val="center"/>
                </w:tcPr>
                <w:p w14:paraId="17300D7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数量</w:t>
                  </w:r>
                </w:p>
              </w:tc>
              <w:tc>
                <w:tcPr>
                  <w:tcW w:w="180" w:type="pct"/>
                  <w:tcBorders>
                    <w:tl2br w:val="nil"/>
                    <w:tr2bl w:val="nil"/>
                  </w:tcBorders>
                  <w:noWrap w:val="0"/>
                  <w:vAlign w:val="center"/>
                </w:tcPr>
                <w:p w14:paraId="7446D21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去向</w:t>
                  </w:r>
                </w:p>
              </w:tc>
              <w:tc>
                <w:tcPr>
                  <w:tcW w:w="320" w:type="pct"/>
                  <w:tcBorders>
                    <w:tl2br w:val="nil"/>
                    <w:tr2bl w:val="nil"/>
                  </w:tcBorders>
                  <w:noWrap w:val="0"/>
                  <w:vAlign w:val="center"/>
                </w:tcPr>
                <w:p w14:paraId="4FC8EAC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表土</w:t>
                  </w:r>
                </w:p>
              </w:tc>
              <w:tc>
                <w:tcPr>
                  <w:tcW w:w="406" w:type="pct"/>
                  <w:tcBorders>
                    <w:tl2br w:val="nil"/>
                    <w:tr2bl w:val="nil"/>
                  </w:tcBorders>
                  <w:noWrap w:val="0"/>
                  <w:vAlign w:val="center"/>
                </w:tcPr>
                <w:p w14:paraId="447910F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一般土石方</w:t>
                  </w:r>
                </w:p>
              </w:tc>
              <w:tc>
                <w:tcPr>
                  <w:tcW w:w="297" w:type="pct"/>
                  <w:tcBorders>
                    <w:tl2br w:val="nil"/>
                    <w:tr2bl w:val="nil"/>
                  </w:tcBorders>
                  <w:noWrap w:val="0"/>
                  <w:vAlign w:val="center"/>
                </w:tcPr>
                <w:p w14:paraId="3918233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294" w:type="pct"/>
                  <w:tcBorders>
                    <w:tl2br w:val="nil"/>
                    <w:tr2bl w:val="nil"/>
                  </w:tcBorders>
                  <w:noWrap w:val="0"/>
                  <w:vAlign w:val="center"/>
                </w:tcPr>
                <w:p w14:paraId="7FB1BDD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数量</w:t>
                  </w:r>
                </w:p>
              </w:tc>
              <w:tc>
                <w:tcPr>
                  <w:tcW w:w="311" w:type="pct"/>
                  <w:tcBorders>
                    <w:tl2br w:val="nil"/>
                    <w:tr2bl w:val="nil"/>
                  </w:tcBorders>
                  <w:noWrap w:val="0"/>
                  <w:vAlign w:val="center"/>
                </w:tcPr>
                <w:p w14:paraId="6E5B3334">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去向</w:t>
                  </w:r>
                </w:p>
              </w:tc>
              <w:tc>
                <w:tcPr>
                  <w:tcW w:w="290" w:type="pct"/>
                  <w:tcBorders>
                    <w:tl2br w:val="nil"/>
                    <w:tr2bl w:val="nil"/>
                  </w:tcBorders>
                  <w:noWrap w:val="0"/>
                  <w:vAlign w:val="center"/>
                </w:tcPr>
                <w:p w14:paraId="5197AB5C">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数量</w:t>
                  </w:r>
                </w:p>
              </w:tc>
              <w:tc>
                <w:tcPr>
                  <w:tcW w:w="324" w:type="pct"/>
                  <w:tcBorders>
                    <w:tl2br w:val="nil"/>
                    <w:tr2bl w:val="nil"/>
                  </w:tcBorders>
                  <w:noWrap w:val="0"/>
                  <w:vAlign w:val="center"/>
                </w:tcPr>
                <w:p w14:paraId="74494A3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来源</w:t>
                  </w:r>
                </w:p>
              </w:tc>
            </w:tr>
            <w:tr w14:paraId="51EF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468" w:type="pct"/>
                  <w:tcBorders>
                    <w:tl2br w:val="nil"/>
                    <w:tr2bl w:val="nil"/>
                  </w:tcBorders>
                  <w:noWrap w:val="0"/>
                  <w:vAlign w:val="center"/>
                </w:tcPr>
                <w:p w14:paraId="00BAA36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①管线工程区</w:t>
                  </w:r>
                </w:p>
              </w:tc>
              <w:tc>
                <w:tcPr>
                  <w:tcW w:w="267" w:type="pct"/>
                  <w:tcBorders>
                    <w:tl2br w:val="nil"/>
                    <w:tr2bl w:val="nil"/>
                  </w:tcBorders>
                  <w:noWrap w:val="0"/>
                  <w:vAlign w:val="center"/>
                </w:tcPr>
                <w:p w14:paraId="5EA33633">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0.04</w:t>
                  </w:r>
                </w:p>
              </w:tc>
              <w:tc>
                <w:tcPr>
                  <w:tcW w:w="401" w:type="pct"/>
                  <w:tcBorders>
                    <w:tl2br w:val="nil"/>
                    <w:tr2bl w:val="nil"/>
                  </w:tcBorders>
                  <w:noWrap w:val="0"/>
                  <w:vAlign w:val="center"/>
                </w:tcPr>
                <w:p w14:paraId="7188B27C">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1.30</w:t>
                  </w:r>
                </w:p>
              </w:tc>
              <w:tc>
                <w:tcPr>
                  <w:tcW w:w="313" w:type="pct"/>
                  <w:tcBorders>
                    <w:tl2br w:val="nil"/>
                    <w:tr2bl w:val="nil"/>
                  </w:tcBorders>
                  <w:noWrap w:val="0"/>
                  <w:vAlign w:val="center"/>
                </w:tcPr>
                <w:p w14:paraId="1221A2E5">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1.34</w:t>
                  </w:r>
                </w:p>
              </w:tc>
              <w:tc>
                <w:tcPr>
                  <w:tcW w:w="437" w:type="pct"/>
                  <w:tcBorders>
                    <w:tl2br w:val="nil"/>
                    <w:tr2bl w:val="nil"/>
                  </w:tcBorders>
                  <w:noWrap w:val="0"/>
                  <w:vAlign w:val="center"/>
                </w:tcPr>
                <w:p w14:paraId="46C5CC3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30" w:type="pct"/>
                  <w:tcBorders>
                    <w:tl2br w:val="nil"/>
                    <w:tr2bl w:val="nil"/>
                  </w:tcBorders>
                  <w:noWrap w:val="0"/>
                  <w:vAlign w:val="center"/>
                </w:tcPr>
                <w:p w14:paraId="4DFE37F1">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54" w:type="pct"/>
                  <w:tcBorders>
                    <w:tl2br w:val="nil"/>
                    <w:tr2bl w:val="nil"/>
                  </w:tcBorders>
                  <w:noWrap w:val="0"/>
                  <w:vAlign w:val="center"/>
                </w:tcPr>
                <w:p w14:paraId="02808CB5">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80" w:type="pct"/>
                  <w:tcBorders>
                    <w:tl2br w:val="nil"/>
                    <w:tr2bl w:val="nil"/>
                  </w:tcBorders>
                  <w:noWrap w:val="0"/>
                  <w:vAlign w:val="center"/>
                </w:tcPr>
                <w:p w14:paraId="5825186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20" w:type="pct"/>
                  <w:tcBorders>
                    <w:tl2br w:val="nil"/>
                    <w:tr2bl w:val="nil"/>
                  </w:tcBorders>
                  <w:noWrap w:val="0"/>
                  <w:vAlign w:val="center"/>
                </w:tcPr>
                <w:p w14:paraId="73FE8CA0">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0.04</w:t>
                  </w:r>
                </w:p>
              </w:tc>
              <w:tc>
                <w:tcPr>
                  <w:tcW w:w="406" w:type="pct"/>
                  <w:tcBorders>
                    <w:tl2br w:val="nil"/>
                    <w:tr2bl w:val="nil"/>
                  </w:tcBorders>
                  <w:noWrap w:val="0"/>
                  <w:vAlign w:val="center"/>
                </w:tcPr>
                <w:p w14:paraId="7BB4A91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0.30</w:t>
                  </w:r>
                </w:p>
              </w:tc>
              <w:tc>
                <w:tcPr>
                  <w:tcW w:w="297" w:type="pct"/>
                  <w:tcBorders>
                    <w:tl2br w:val="nil"/>
                    <w:tr2bl w:val="nil"/>
                  </w:tcBorders>
                  <w:noWrap w:val="0"/>
                  <w:vAlign w:val="center"/>
                </w:tcPr>
                <w:p w14:paraId="2F5416F8">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0.34</w:t>
                  </w:r>
                </w:p>
              </w:tc>
              <w:tc>
                <w:tcPr>
                  <w:tcW w:w="294" w:type="pct"/>
                  <w:tcBorders>
                    <w:tl2br w:val="nil"/>
                    <w:tr2bl w:val="nil"/>
                  </w:tcBorders>
                  <w:noWrap w:val="0"/>
                  <w:vAlign w:val="center"/>
                </w:tcPr>
                <w:p w14:paraId="73745A9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1.12</w:t>
                  </w:r>
                </w:p>
              </w:tc>
              <w:tc>
                <w:tcPr>
                  <w:tcW w:w="311" w:type="pct"/>
                  <w:vMerge w:val="restart"/>
                  <w:tcBorders>
                    <w:tl2br w:val="nil"/>
                    <w:tr2bl w:val="nil"/>
                  </w:tcBorders>
                  <w:noWrap w:val="0"/>
                  <w:vAlign w:val="center"/>
                </w:tcPr>
                <w:p w14:paraId="4592684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用于</w:t>
                  </w:r>
                  <w:r>
                    <w:rPr>
                      <w:rFonts w:hint="eastAsia" w:ascii="Times New Roman" w:hAnsi="Times New Roman" w:cs="Times New Roman"/>
                      <w:color w:val="000000" w:themeColor="text1"/>
                      <w:sz w:val="21"/>
                      <w:szCs w:val="21"/>
                      <w:lang w:val="en-US" w:eastAsia="zh-CN"/>
                      <w14:textFill>
                        <w14:solidFill>
                          <w14:schemeClr w14:val="tx1"/>
                        </w14:solidFill>
                      </w14:textFill>
                    </w:rPr>
                    <w:t>其他道路工程</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程回填利用</w:t>
                  </w:r>
                </w:p>
              </w:tc>
              <w:tc>
                <w:tcPr>
                  <w:tcW w:w="290" w:type="pct"/>
                  <w:tcBorders>
                    <w:tl2br w:val="nil"/>
                    <w:tr2bl w:val="nil"/>
                  </w:tcBorders>
                  <w:noWrap w:val="0"/>
                  <w:vAlign w:val="center"/>
                </w:tcPr>
                <w:p w14:paraId="6B1FA3F3">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0.12</w:t>
                  </w:r>
                </w:p>
              </w:tc>
              <w:tc>
                <w:tcPr>
                  <w:tcW w:w="324" w:type="pct"/>
                  <w:vMerge w:val="restart"/>
                  <w:tcBorders>
                    <w:tl2br w:val="nil"/>
                    <w:tr2bl w:val="nil"/>
                  </w:tcBorders>
                  <w:noWrap w:val="0"/>
                  <w:vAlign w:val="center"/>
                </w:tcPr>
                <w:p w14:paraId="47D1D99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合法料场外购</w:t>
                  </w:r>
                </w:p>
              </w:tc>
            </w:tr>
            <w:tr w14:paraId="64E4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468" w:type="pct"/>
                  <w:tcBorders>
                    <w:tl2br w:val="nil"/>
                    <w:tr2bl w:val="nil"/>
                  </w:tcBorders>
                  <w:noWrap w:val="0"/>
                  <w:vAlign w:val="center"/>
                </w:tcPr>
                <w:p w14:paraId="5BD354EC">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②附属建筑物区</w:t>
                  </w:r>
                </w:p>
              </w:tc>
              <w:tc>
                <w:tcPr>
                  <w:tcW w:w="267" w:type="pct"/>
                  <w:tcBorders>
                    <w:tl2br w:val="nil"/>
                    <w:tr2bl w:val="nil"/>
                  </w:tcBorders>
                  <w:noWrap w:val="0"/>
                  <w:vAlign w:val="center"/>
                </w:tcPr>
                <w:p w14:paraId="1522E33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01" w:type="pct"/>
                  <w:tcBorders>
                    <w:tl2br w:val="nil"/>
                    <w:tr2bl w:val="nil"/>
                  </w:tcBorders>
                  <w:noWrap w:val="0"/>
                  <w:vAlign w:val="center"/>
                </w:tcPr>
                <w:p w14:paraId="7B552241">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0.07</w:t>
                  </w:r>
                </w:p>
              </w:tc>
              <w:tc>
                <w:tcPr>
                  <w:tcW w:w="313" w:type="pct"/>
                  <w:tcBorders>
                    <w:tl2br w:val="nil"/>
                    <w:tr2bl w:val="nil"/>
                  </w:tcBorders>
                  <w:noWrap w:val="0"/>
                  <w:vAlign w:val="center"/>
                </w:tcPr>
                <w:p w14:paraId="11578E3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0.07</w:t>
                  </w:r>
                </w:p>
              </w:tc>
              <w:tc>
                <w:tcPr>
                  <w:tcW w:w="437" w:type="pct"/>
                  <w:tcBorders>
                    <w:tl2br w:val="nil"/>
                    <w:tr2bl w:val="nil"/>
                  </w:tcBorders>
                  <w:noWrap w:val="0"/>
                  <w:vAlign w:val="center"/>
                </w:tcPr>
                <w:p w14:paraId="305C4B84">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30" w:type="pct"/>
                  <w:tcBorders>
                    <w:tl2br w:val="nil"/>
                    <w:tr2bl w:val="nil"/>
                  </w:tcBorders>
                  <w:noWrap w:val="0"/>
                  <w:vAlign w:val="center"/>
                </w:tcPr>
                <w:p w14:paraId="7DB69FE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54" w:type="pct"/>
                  <w:tcBorders>
                    <w:tl2br w:val="nil"/>
                    <w:tr2bl w:val="nil"/>
                  </w:tcBorders>
                  <w:noWrap w:val="0"/>
                  <w:vAlign w:val="center"/>
                </w:tcPr>
                <w:p w14:paraId="25039B4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80" w:type="pct"/>
                  <w:tcBorders>
                    <w:tl2br w:val="nil"/>
                    <w:tr2bl w:val="nil"/>
                  </w:tcBorders>
                  <w:noWrap w:val="0"/>
                  <w:vAlign w:val="center"/>
                </w:tcPr>
                <w:p w14:paraId="0242F48C">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20" w:type="pct"/>
                  <w:tcBorders>
                    <w:tl2br w:val="nil"/>
                    <w:tr2bl w:val="nil"/>
                  </w:tcBorders>
                  <w:noWrap w:val="0"/>
                  <w:vAlign w:val="center"/>
                </w:tcPr>
                <w:p w14:paraId="6773FA4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06" w:type="pct"/>
                  <w:tcBorders>
                    <w:tl2br w:val="nil"/>
                    <w:tr2bl w:val="nil"/>
                  </w:tcBorders>
                  <w:noWrap w:val="0"/>
                  <w:vAlign w:val="center"/>
                </w:tcPr>
                <w:p w14:paraId="455C3EFA">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0.02</w:t>
                  </w:r>
                </w:p>
              </w:tc>
              <w:tc>
                <w:tcPr>
                  <w:tcW w:w="297" w:type="pct"/>
                  <w:tcBorders>
                    <w:tl2br w:val="nil"/>
                    <w:tr2bl w:val="nil"/>
                  </w:tcBorders>
                  <w:noWrap w:val="0"/>
                  <w:vAlign w:val="center"/>
                </w:tcPr>
                <w:p w14:paraId="1F3CB283">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0.02</w:t>
                  </w:r>
                </w:p>
              </w:tc>
              <w:tc>
                <w:tcPr>
                  <w:tcW w:w="294" w:type="pct"/>
                  <w:tcBorders>
                    <w:tl2br w:val="nil"/>
                    <w:tr2bl w:val="nil"/>
                  </w:tcBorders>
                  <w:noWrap w:val="0"/>
                  <w:vAlign w:val="center"/>
                </w:tcPr>
                <w:p w14:paraId="6F71633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0.05</w:t>
                  </w:r>
                </w:p>
              </w:tc>
              <w:tc>
                <w:tcPr>
                  <w:tcW w:w="311" w:type="pct"/>
                  <w:vMerge w:val="continue"/>
                  <w:tcBorders>
                    <w:tl2br w:val="nil"/>
                    <w:tr2bl w:val="nil"/>
                  </w:tcBorders>
                  <w:noWrap w:val="0"/>
                  <w:vAlign w:val="center"/>
                </w:tcPr>
                <w:p w14:paraId="38D10A3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90" w:type="pct"/>
                  <w:tcBorders>
                    <w:tl2br w:val="nil"/>
                    <w:tr2bl w:val="nil"/>
                  </w:tcBorders>
                  <w:noWrap w:val="0"/>
                  <w:vAlign w:val="center"/>
                </w:tcPr>
                <w:p w14:paraId="693ED7D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24" w:type="pct"/>
                  <w:vMerge w:val="continue"/>
                  <w:tcBorders>
                    <w:tl2br w:val="nil"/>
                    <w:tr2bl w:val="nil"/>
                  </w:tcBorders>
                  <w:noWrap w:val="0"/>
                  <w:vAlign w:val="center"/>
                </w:tcPr>
                <w:p w14:paraId="0E155FED">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727E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468" w:type="pct"/>
                  <w:tcBorders>
                    <w:tl2br w:val="nil"/>
                    <w:tr2bl w:val="nil"/>
                  </w:tcBorders>
                  <w:noWrap/>
                  <w:vAlign w:val="center"/>
                </w:tcPr>
                <w:p w14:paraId="77F86B78">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267" w:type="pct"/>
                  <w:tcBorders>
                    <w:tl2br w:val="nil"/>
                    <w:tr2bl w:val="nil"/>
                  </w:tcBorders>
                  <w:noWrap/>
                  <w:vAlign w:val="center"/>
                </w:tcPr>
                <w:p w14:paraId="4D14818F">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0.04</w:t>
                  </w:r>
                </w:p>
              </w:tc>
              <w:tc>
                <w:tcPr>
                  <w:tcW w:w="401" w:type="pct"/>
                  <w:tcBorders>
                    <w:tl2br w:val="nil"/>
                    <w:tr2bl w:val="nil"/>
                  </w:tcBorders>
                  <w:noWrap/>
                  <w:vAlign w:val="center"/>
                </w:tcPr>
                <w:p w14:paraId="0A26903F">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1.3</w:t>
                  </w:r>
                  <w:r>
                    <w:rPr>
                      <w:rFonts w:hint="eastAsia" w:ascii="Times New Roman" w:hAnsi="Times New Roman" w:cs="Times New Roman"/>
                      <w:color w:val="000000" w:themeColor="text1"/>
                      <w:sz w:val="21"/>
                      <w:szCs w:val="21"/>
                      <w:lang w:val="en-US" w:eastAsia="zh-CN"/>
                      <w14:textFill>
                        <w14:solidFill>
                          <w14:schemeClr w14:val="tx1"/>
                        </w14:solidFill>
                      </w14:textFill>
                    </w:rPr>
                    <w:t>7</w:t>
                  </w:r>
                </w:p>
              </w:tc>
              <w:tc>
                <w:tcPr>
                  <w:tcW w:w="313" w:type="pct"/>
                  <w:tcBorders>
                    <w:tl2br w:val="nil"/>
                    <w:tr2bl w:val="nil"/>
                  </w:tcBorders>
                  <w:noWrap/>
                  <w:vAlign w:val="center"/>
                </w:tcPr>
                <w:p w14:paraId="23FCB5B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r>
                    <w:rPr>
                      <w:rFonts w:hint="eastAsia" w:ascii="Times New Roman" w:hAnsi="Times New Roman" w:cs="Times New Roman"/>
                      <w:color w:val="000000" w:themeColor="text1"/>
                      <w:sz w:val="21"/>
                      <w:szCs w:val="21"/>
                      <w:lang w:val="en-US" w:eastAsia="zh-CN"/>
                      <w14:textFill>
                        <w14:solidFill>
                          <w14:schemeClr w14:val="tx1"/>
                        </w14:solidFill>
                      </w14:textFill>
                    </w:rPr>
                    <w:t>41</w:t>
                  </w:r>
                </w:p>
              </w:tc>
              <w:tc>
                <w:tcPr>
                  <w:tcW w:w="437" w:type="pct"/>
                  <w:tcBorders>
                    <w:tl2br w:val="nil"/>
                    <w:tr2bl w:val="nil"/>
                  </w:tcBorders>
                  <w:noWrap/>
                  <w:vAlign w:val="center"/>
                </w:tcPr>
                <w:p w14:paraId="3094A5C4">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30" w:type="pct"/>
                  <w:tcBorders>
                    <w:tl2br w:val="nil"/>
                    <w:tr2bl w:val="nil"/>
                  </w:tcBorders>
                  <w:noWrap/>
                  <w:vAlign w:val="center"/>
                </w:tcPr>
                <w:p w14:paraId="67EF44FD">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54" w:type="pct"/>
                  <w:tcBorders>
                    <w:tl2br w:val="nil"/>
                    <w:tr2bl w:val="nil"/>
                  </w:tcBorders>
                  <w:noWrap/>
                  <w:vAlign w:val="center"/>
                </w:tcPr>
                <w:p w14:paraId="32E04A5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80" w:type="pct"/>
                  <w:tcBorders>
                    <w:tl2br w:val="nil"/>
                    <w:tr2bl w:val="nil"/>
                  </w:tcBorders>
                  <w:noWrap/>
                  <w:vAlign w:val="center"/>
                </w:tcPr>
                <w:p w14:paraId="7A776B81">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320" w:type="pct"/>
                  <w:tcBorders>
                    <w:tl2br w:val="nil"/>
                    <w:tr2bl w:val="nil"/>
                  </w:tcBorders>
                  <w:noWrap/>
                  <w:vAlign w:val="center"/>
                </w:tcPr>
                <w:p w14:paraId="6554976D">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w:t>
                  </w:r>
                  <w:r>
                    <w:rPr>
                      <w:rFonts w:hint="eastAsia" w:ascii="Times New Roman" w:hAnsi="Times New Roman" w:cs="Times New Roman"/>
                      <w:color w:val="000000" w:themeColor="text1"/>
                      <w:sz w:val="21"/>
                      <w:szCs w:val="21"/>
                      <w:lang w:val="en-US" w:eastAsia="zh-CN"/>
                      <w14:textFill>
                        <w14:solidFill>
                          <w14:schemeClr w14:val="tx1"/>
                        </w14:solidFill>
                      </w14:textFill>
                    </w:rPr>
                    <w:t>4</w:t>
                  </w:r>
                </w:p>
              </w:tc>
              <w:tc>
                <w:tcPr>
                  <w:tcW w:w="406" w:type="pct"/>
                  <w:tcBorders>
                    <w:tl2br w:val="nil"/>
                    <w:tr2bl w:val="nil"/>
                  </w:tcBorders>
                  <w:noWrap/>
                  <w:vAlign w:val="center"/>
                </w:tcPr>
                <w:p w14:paraId="24FFDF82">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0.3</w:t>
                  </w:r>
                  <w:r>
                    <w:rPr>
                      <w:rFonts w:hint="eastAsia" w:ascii="Times New Roman" w:hAnsi="Times New Roman" w:cs="Times New Roman"/>
                      <w:color w:val="000000" w:themeColor="text1"/>
                      <w:sz w:val="21"/>
                      <w:szCs w:val="21"/>
                      <w:lang w:val="en-US" w:eastAsia="zh-CN"/>
                      <w14:textFill>
                        <w14:solidFill>
                          <w14:schemeClr w14:val="tx1"/>
                        </w14:solidFill>
                      </w14:textFill>
                    </w:rPr>
                    <w:t>2</w:t>
                  </w:r>
                </w:p>
              </w:tc>
              <w:tc>
                <w:tcPr>
                  <w:tcW w:w="297" w:type="pct"/>
                  <w:tcBorders>
                    <w:tl2br w:val="nil"/>
                    <w:tr2bl w:val="nil"/>
                  </w:tcBorders>
                  <w:noWrap w:val="0"/>
                  <w:vAlign w:val="center"/>
                </w:tcPr>
                <w:p w14:paraId="06C1E96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w:t>
                  </w:r>
                  <w:r>
                    <w:rPr>
                      <w:rFonts w:hint="eastAsia" w:ascii="Times New Roman" w:hAnsi="Times New Roman" w:cs="Times New Roman"/>
                      <w:color w:val="000000" w:themeColor="text1"/>
                      <w:sz w:val="21"/>
                      <w:szCs w:val="21"/>
                      <w:lang w:val="en-US" w:eastAsia="zh-CN"/>
                      <w14:textFill>
                        <w14:solidFill>
                          <w14:schemeClr w14:val="tx1"/>
                        </w14:solidFill>
                      </w14:textFill>
                    </w:rPr>
                    <w:t>36</w:t>
                  </w:r>
                </w:p>
              </w:tc>
              <w:tc>
                <w:tcPr>
                  <w:tcW w:w="294" w:type="pct"/>
                  <w:tcBorders>
                    <w:tl2br w:val="nil"/>
                    <w:tr2bl w:val="nil"/>
                  </w:tcBorders>
                  <w:noWrap/>
                  <w:vAlign w:val="center"/>
                </w:tcPr>
                <w:p w14:paraId="7E81B3E5">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1.17</w:t>
                  </w:r>
                </w:p>
              </w:tc>
              <w:tc>
                <w:tcPr>
                  <w:tcW w:w="311" w:type="pct"/>
                  <w:vMerge w:val="continue"/>
                  <w:tcBorders>
                    <w:tl2br w:val="nil"/>
                    <w:tr2bl w:val="nil"/>
                  </w:tcBorders>
                  <w:noWrap/>
                  <w:vAlign w:val="center"/>
                </w:tcPr>
                <w:p w14:paraId="5A9A76B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90" w:type="pct"/>
                  <w:tcBorders>
                    <w:tl2br w:val="nil"/>
                    <w:tr2bl w:val="nil"/>
                  </w:tcBorders>
                  <w:noWrap/>
                  <w:vAlign w:val="center"/>
                </w:tcPr>
                <w:p w14:paraId="6471D82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0.12</w:t>
                  </w:r>
                </w:p>
              </w:tc>
              <w:tc>
                <w:tcPr>
                  <w:tcW w:w="324" w:type="pct"/>
                  <w:vMerge w:val="continue"/>
                  <w:tcBorders>
                    <w:tl2br w:val="nil"/>
                    <w:tr2bl w:val="nil"/>
                  </w:tcBorders>
                  <w:noWrap/>
                  <w:vAlign w:val="center"/>
                </w:tcPr>
                <w:p w14:paraId="21D03D4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r>
            <w:tr w14:paraId="3199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3" w:hRule="atLeast"/>
                <w:jc w:val="center"/>
              </w:trPr>
              <w:tc>
                <w:tcPr>
                  <w:tcW w:w="5000" w:type="pct"/>
                  <w:gridSpan w:val="15"/>
                  <w:tcBorders>
                    <w:tl2br w:val="nil"/>
                    <w:tr2bl w:val="nil"/>
                  </w:tcBorders>
                  <w:noWrap/>
                  <w:vAlign w:val="center"/>
                </w:tcPr>
                <w:p w14:paraId="170FD92D">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注：1、上表土石方均为自然方；2、各行均可按“开挖十调入+借方=回填+调出+余方”进行校核。</w:t>
                  </w:r>
                </w:p>
              </w:tc>
            </w:tr>
          </w:tbl>
          <w:p w14:paraId="1883E68C">
            <w:pPr>
              <w:spacing w:line="360" w:lineRule="auto"/>
              <w:ind w:firstLine="482" w:firstLineChars="200"/>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9、工程占地</w:t>
            </w:r>
          </w:p>
          <w:p w14:paraId="09E605BF">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项目总占地面积为</w:t>
            </w:r>
            <w:r>
              <w:rPr>
                <w:rFonts w:hint="eastAsia" w:ascii="Times New Roman" w:hAnsi="Times New Roman" w:cs="Times New Roman"/>
                <w:color w:val="000000" w:themeColor="text1"/>
                <w:sz w:val="24"/>
                <w:szCs w:val="24"/>
                <w:lang w:val="en-US" w:eastAsia="zh-CN"/>
                <w14:textFill>
                  <w14:solidFill>
                    <w14:schemeClr w14:val="tx1"/>
                  </w14:solidFill>
                </w14:textFill>
              </w:rPr>
              <w:t>0.8809hm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，其中永久总占地为</w:t>
            </w:r>
            <w:r>
              <w:rPr>
                <w:rFonts w:hint="eastAsia" w:ascii="Times New Roman" w:hAnsi="Times New Roman" w:cs="Times New Roman"/>
                <w:color w:val="000000" w:themeColor="text1"/>
                <w:sz w:val="24"/>
                <w:szCs w:val="24"/>
                <w:lang w:val="en-US" w:eastAsia="zh-CN"/>
                <w14:textFill>
                  <w14:solidFill>
                    <w14:schemeClr w14:val="tx1"/>
                  </w14:solidFill>
                </w14:textFill>
              </w:rPr>
              <w:t>0.0263hm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，临时总占地为</w:t>
            </w:r>
            <w:r>
              <w:rPr>
                <w:rFonts w:hint="eastAsia" w:ascii="Times New Roman" w:hAnsi="Times New Roman" w:cs="Times New Roman"/>
                <w:color w:val="000000" w:themeColor="text1"/>
                <w:sz w:val="24"/>
                <w:szCs w:val="24"/>
                <w:lang w:val="en-US" w:eastAsia="zh-CN"/>
                <w14:textFill>
                  <w14:solidFill>
                    <w14:schemeClr w14:val="tx1"/>
                  </w14:solidFill>
                </w14:textFill>
              </w:rPr>
              <w:t>0.8546hm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。其中管线工程区占地</w:t>
            </w:r>
            <w:r>
              <w:rPr>
                <w:rFonts w:hint="eastAsia" w:ascii="Times New Roman" w:hAnsi="Times New Roman" w:cs="Times New Roman"/>
                <w:color w:val="000000" w:themeColor="text1"/>
                <w:sz w:val="24"/>
                <w:szCs w:val="24"/>
                <w:lang w:val="en-US" w:eastAsia="zh-CN"/>
                <w14:textFill>
                  <w14:solidFill>
                    <w14:schemeClr w14:val="tx1"/>
                  </w14:solidFill>
                </w14:textFill>
              </w:rPr>
              <w:t>0.8546</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h</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，附属建筑物区占地</w:t>
            </w:r>
            <w:r>
              <w:rPr>
                <w:rFonts w:hint="eastAsia" w:ascii="Times New Roman" w:hAnsi="Times New Roman" w:cs="Times New Roman"/>
                <w:color w:val="000000" w:themeColor="text1"/>
                <w:sz w:val="24"/>
                <w:szCs w:val="24"/>
                <w:lang w:val="en-US" w:eastAsia="zh-CN"/>
                <w14:textFill>
                  <w14:solidFill>
                    <w14:schemeClr w14:val="tx1"/>
                  </w14:solidFill>
                </w14:textFill>
              </w:rPr>
              <w:t>0.0263hm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06A38D46">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项目已取得泸定县自然资源和规划局出具的《建设项目用地预审与选址意见书》（泸自然资规函[2024]124号）。</w:t>
            </w:r>
          </w:p>
          <w:p w14:paraId="3CF8ED3A">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 w:val="21"/>
                <w:szCs w:val="21"/>
                <w:lang w:val="zh-TW" w:eastAsia="zh-TW"/>
                <w14:textFill>
                  <w14:solidFill>
                    <w14:schemeClr w14:val="tx1"/>
                  </w14:solidFill>
                </w14:textFill>
              </w:rPr>
            </w:pPr>
            <w:r>
              <w:rPr>
                <w:rFonts w:hint="default" w:ascii="Times New Roman" w:hAnsi="Times New Roman" w:eastAsia="宋体" w:cs="Times New Roman"/>
                <w:b/>
                <w:color w:val="000000" w:themeColor="text1"/>
                <w:sz w:val="21"/>
                <w:szCs w:val="21"/>
                <w:lang w:val="zh-TW" w:eastAsia="zh-TW"/>
                <w14:textFill>
                  <w14:solidFill>
                    <w14:schemeClr w14:val="tx1"/>
                  </w14:solidFill>
                </w14:textFill>
              </w:rPr>
              <w:t>工程占地面积表</w:t>
            </w:r>
          </w:p>
          <w:tbl>
            <w:tblPr>
              <w:tblStyle w:val="5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83"/>
              <w:gridCol w:w="4590"/>
              <w:gridCol w:w="1280"/>
              <w:gridCol w:w="1626"/>
            </w:tblGrid>
            <w:tr w14:paraId="5F35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vMerge w:val="restart"/>
                  <w:tcMar>
                    <w:top w:w="15" w:type="dxa"/>
                    <w:left w:w="15" w:type="dxa"/>
                    <w:bottom w:w="0" w:type="dxa"/>
                    <w:right w:w="15" w:type="dxa"/>
                  </w:tcMar>
                  <w:vAlign w:val="center"/>
                </w:tcPr>
                <w:p w14:paraId="29C313D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序号</w:t>
                  </w:r>
                </w:p>
              </w:tc>
              <w:tc>
                <w:tcPr>
                  <w:tcW w:w="2804" w:type="pct"/>
                  <w:vMerge w:val="restart"/>
                  <w:tcMar>
                    <w:top w:w="15" w:type="dxa"/>
                    <w:left w:w="15" w:type="dxa"/>
                    <w:bottom w:w="0" w:type="dxa"/>
                    <w:right w:w="15" w:type="dxa"/>
                  </w:tcMar>
                  <w:vAlign w:val="center"/>
                </w:tcPr>
                <w:p w14:paraId="10758B79">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GB/T21010-2017用地类型</w:t>
                  </w:r>
                </w:p>
              </w:tc>
              <w:tc>
                <w:tcPr>
                  <w:tcW w:w="1776" w:type="pct"/>
                  <w:gridSpan w:val="2"/>
                  <w:noWrap/>
                  <w:tcMar>
                    <w:top w:w="15" w:type="dxa"/>
                    <w:left w:w="15" w:type="dxa"/>
                    <w:bottom w:w="0" w:type="dxa"/>
                    <w:right w:w="15" w:type="dxa"/>
                  </w:tcMar>
                  <w:vAlign w:val="center"/>
                </w:tcPr>
                <w:p w14:paraId="79689C9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本项目占地区</w:t>
                  </w:r>
                  <w:r>
                    <w:rPr>
                      <w:rFonts w:hint="eastAsia" w:ascii="Times New Roman" w:hAnsi="Times New Roman" w:cs="Times New Roman"/>
                      <w:color w:val="000000" w:themeColor="text1"/>
                      <w:sz w:val="21"/>
                      <w:szCs w:val="21"/>
                      <w:lang w:val="en-US" w:eastAsia="zh-CN" w:bidi="ar"/>
                      <w14:textFill>
                        <w14:solidFill>
                          <w14:schemeClr w14:val="tx1"/>
                        </w14:solidFill>
                      </w14:textFill>
                    </w:rPr>
                    <w:t>（投影面积）</w:t>
                  </w:r>
                </w:p>
              </w:tc>
            </w:tr>
            <w:tr w14:paraId="29C6A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vMerge w:val="continue"/>
                  <w:vAlign w:val="center"/>
                </w:tcPr>
                <w:p w14:paraId="067D5FA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p>
              </w:tc>
              <w:tc>
                <w:tcPr>
                  <w:tcW w:w="2804" w:type="pct"/>
                  <w:vMerge w:val="continue"/>
                  <w:vAlign w:val="center"/>
                </w:tcPr>
                <w:p w14:paraId="5233E5C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p>
              </w:tc>
              <w:tc>
                <w:tcPr>
                  <w:tcW w:w="782" w:type="pct"/>
                  <w:tcMar>
                    <w:top w:w="15" w:type="dxa"/>
                    <w:left w:w="15" w:type="dxa"/>
                    <w:bottom w:w="0" w:type="dxa"/>
                    <w:right w:w="15" w:type="dxa"/>
                  </w:tcMar>
                  <w:vAlign w:val="center"/>
                </w:tcPr>
                <w:p w14:paraId="73A85A09">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面积h</w:t>
                  </w:r>
                  <w:r>
                    <w:rPr>
                      <w:rFonts w:hint="eastAsia" w:ascii="Times New Roman" w:hAnsi="Times New Roman" w:cs="Times New Roman"/>
                      <w:color w:val="000000" w:themeColor="text1"/>
                      <w:sz w:val="21"/>
                      <w:szCs w:val="21"/>
                      <w:lang w:val="en-US" w:eastAsia="zh-CN" w:bidi="ar"/>
                      <w14:textFill>
                        <w14:solidFill>
                          <w14:schemeClr w14:val="tx1"/>
                        </w14:solidFill>
                      </w14:textFill>
                    </w:rPr>
                    <w:t>m</w:t>
                  </w:r>
                  <w:r>
                    <w:rPr>
                      <w:rFonts w:hint="eastAsia" w:ascii="Times New Roman" w:hAnsi="Times New Roman" w:cs="Times New Roman"/>
                      <w:color w:val="000000" w:themeColor="text1"/>
                      <w:sz w:val="21"/>
                      <w:szCs w:val="21"/>
                      <w:vertAlign w:val="superscript"/>
                      <w:lang w:val="en-US" w:eastAsia="zh-CN" w:bidi="ar"/>
                      <w14:textFill>
                        <w14:solidFill>
                          <w14:schemeClr w14:val="tx1"/>
                        </w14:solidFill>
                      </w14:textFill>
                    </w:rPr>
                    <w:t>2</w:t>
                  </w:r>
                </w:p>
              </w:tc>
              <w:tc>
                <w:tcPr>
                  <w:tcW w:w="994" w:type="pct"/>
                  <w:tcMar>
                    <w:top w:w="15" w:type="dxa"/>
                    <w:left w:w="15" w:type="dxa"/>
                    <w:bottom w:w="0" w:type="dxa"/>
                    <w:right w:w="15" w:type="dxa"/>
                  </w:tcMar>
                  <w:vAlign w:val="center"/>
                </w:tcPr>
                <w:p w14:paraId="1798853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比例（%）</w:t>
                  </w:r>
                </w:p>
              </w:tc>
            </w:tr>
            <w:tr w14:paraId="44A0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tcMar>
                    <w:top w:w="15" w:type="dxa"/>
                    <w:left w:w="15" w:type="dxa"/>
                    <w:bottom w:w="0" w:type="dxa"/>
                    <w:right w:w="15" w:type="dxa"/>
                  </w:tcMar>
                  <w:vAlign w:val="center"/>
                </w:tcPr>
                <w:p w14:paraId="058C006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w:t>
                  </w:r>
                </w:p>
              </w:tc>
              <w:tc>
                <w:tcPr>
                  <w:tcW w:w="2804" w:type="pct"/>
                  <w:tcMar>
                    <w:top w:w="15" w:type="dxa"/>
                    <w:left w:w="15" w:type="dxa"/>
                    <w:bottom w:w="0" w:type="dxa"/>
                    <w:right w:w="15" w:type="dxa"/>
                  </w:tcMar>
                  <w:vAlign w:val="center"/>
                </w:tcPr>
                <w:p w14:paraId="32F10CA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耕地（01）</w:t>
                  </w:r>
                </w:p>
              </w:tc>
              <w:tc>
                <w:tcPr>
                  <w:tcW w:w="782" w:type="pct"/>
                  <w:noWrap/>
                  <w:tcMar>
                    <w:top w:w="15" w:type="dxa"/>
                    <w:left w:w="15" w:type="dxa"/>
                    <w:bottom w:w="0" w:type="dxa"/>
                    <w:right w:w="15" w:type="dxa"/>
                  </w:tcMar>
                  <w:vAlign w:val="center"/>
                </w:tcPr>
                <w:p w14:paraId="17B44B70">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0.0102</w:t>
                  </w:r>
                </w:p>
              </w:tc>
              <w:tc>
                <w:tcPr>
                  <w:tcW w:w="994" w:type="pct"/>
                  <w:noWrap/>
                  <w:tcMar>
                    <w:top w:w="15" w:type="dxa"/>
                    <w:left w:w="15" w:type="dxa"/>
                    <w:bottom w:w="0" w:type="dxa"/>
                    <w:right w:w="15" w:type="dxa"/>
                  </w:tcMar>
                  <w:vAlign w:val="bottom"/>
                </w:tcPr>
                <w:p w14:paraId="0FE9838C">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1.16 </w:t>
                  </w:r>
                </w:p>
              </w:tc>
            </w:tr>
            <w:tr w14:paraId="3597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tcMar>
                    <w:top w:w="15" w:type="dxa"/>
                    <w:left w:w="15" w:type="dxa"/>
                    <w:bottom w:w="0" w:type="dxa"/>
                    <w:right w:w="15" w:type="dxa"/>
                  </w:tcMar>
                  <w:vAlign w:val="center"/>
                </w:tcPr>
                <w:p w14:paraId="1172DE4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w:t>
                  </w:r>
                </w:p>
              </w:tc>
              <w:tc>
                <w:tcPr>
                  <w:tcW w:w="2804" w:type="pct"/>
                  <w:tcMar>
                    <w:top w:w="15" w:type="dxa"/>
                    <w:left w:w="15" w:type="dxa"/>
                    <w:bottom w:w="0" w:type="dxa"/>
                    <w:right w:w="15" w:type="dxa"/>
                  </w:tcMar>
                  <w:vAlign w:val="center"/>
                </w:tcPr>
                <w:p w14:paraId="5B28927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园地（02）</w:t>
                  </w:r>
                </w:p>
              </w:tc>
              <w:tc>
                <w:tcPr>
                  <w:tcW w:w="782" w:type="pct"/>
                  <w:noWrap/>
                  <w:tcMar>
                    <w:top w:w="15" w:type="dxa"/>
                    <w:left w:w="15" w:type="dxa"/>
                    <w:bottom w:w="0" w:type="dxa"/>
                    <w:right w:w="15" w:type="dxa"/>
                  </w:tcMar>
                  <w:vAlign w:val="center"/>
                </w:tcPr>
                <w:p w14:paraId="35968D5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0.0115</w:t>
                  </w:r>
                </w:p>
              </w:tc>
              <w:tc>
                <w:tcPr>
                  <w:tcW w:w="994" w:type="pct"/>
                  <w:noWrap/>
                  <w:tcMar>
                    <w:top w:w="15" w:type="dxa"/>
                    <w:left w:w="15" w:type="dxa"/>
                    <w:bottom w:w="0" w:type="dxa"/>
                    <w:right w:w="15" w:type="dxa"/>
                  </w:tcMar>
                  <w:vAlign w:val="bottom"/>
                </w:tcPr>
                <w:p w14:paraId="5C4C0B2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1.31 </w:t>
                  </w:r>
                </w:p>
              </w:tc>
            </w:tr>
            <w:tr w14:paraId="7EB4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tcMar>
                    <w:top w:w="15" w:type="dxa"/>
                    <w:left w:w="15" w:type="dxa"/>
                    <w:bottom w:w="0" w:type="dxa"/>
                    <w:right w:w="15" w:type="dxa"/>
                  </w:tcMar>
                  <w:vAlign w:val="center"/>
                </w:tcPr>
                <w:p w14:paraId="0630F41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3</w:t>
                  </w:r>
                </w:p>
              </w:tc>
              <w:tc>
                <w:tcPr>
                  <w:tcW w:w="2804" w:type="pct"/>
                  <w:tcMar>
                    <w:top w:w="15" w:type="dxa"/>
                    <w:left w:w="15" w:type="dxa"/>
                    <w:bottom w:w="0" w:type="dxa"/>
                    <w:right w:w="15" w:type="dxa"/>
                  </w:tcMar>
                  <w:vAlign w:val="center"/>
                </w:tcPr>
                <w:p w14:paraId="78FE317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林地（03）</w:t>
                  </w:r>
                </w:p>
              </w:tc>
              <w:tc>
                <w:tcPr>
                  <w:tcW w:w="782" w:type="pct"/>
                  <w:noWrap/>
                  <w:tcMar>
                    <w:top w:w="15" w:type="dxa"/>
                    <w:left w:w="15" w:type="dxa"/>
                    <w:bottom w:w="0" w:type="dxa"/>
                    <w:right w:w="15" w:type="dxa"/>
                  </w:tcMar>
                  <w:vAlign w:val="center"/>
                </w:tcPr>
                <w:p w14:paraId="6BB5DCF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0.338</w:t>
                  </w:r>
                </w:p>
              </w:tc>
              <w:tc>
                <w:tcPr>
                  <w:tcW w:w="994" w:type="pct"/>
                  <w:noWrap/>
                  <w:tcMar>
                    <w:top w:w="15" w:type="dxa"/>
                    <w:left w:w="15" w:type="dxa"/>
                    <w:bottom w:w="0" w:type="dxa"/>
                    <w:right w:w="15" w:type="dxa"/>
                  </w:tcMar>
                  <w:vAlign w:val="bottom"/>
                </w:tcPr>
                <w:p w14:paraId="7E5EE27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38.37 </w:t>
                  </w:r>
                </w:p>
              </w:tc>
            </w:tr>
            <w:tr w14:paraId="5C44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shd w:val="clear" w:color="auto" w:fill="auto"/>
                  <w:tcMar>
                    <w:top w:w="15" w:type="dxa"/>
                    <w:left w:w="15" w:type="dxa"/>
                    <w:bottom w:w="0" w:type="dxa"/>
                    <w:right w:w="15" w:type="dxa"/>
                  </w:tcMar>
                  <w:vAlign w:val="center"/>
                </w:tcPr>
                <w:p w14:paraId="26B75D7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4</w:t>
                  </w:r>
                </w:p>
              </w:tc>
              <w:tc>
                <w:tcPr>
                  <w:tcW w:w="2804" w:type="pct"/>
                  <w:tcMar>
                    <w:top w:w="15" w:type="dxa"/>
                    <w:left w:w="15" w:type="dxa"/>
                    <w:bottom w:w="0" w:type="dxa"/>
                    <w:right w:w="15" w:type="dxa"/>
                  </w:tcMar>
                  <w:vAlign w:val="center"/>
                </w:tcPr>
                <w:p w14:paraId="2A7ACE3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草地（04）</w:t>
                  </w:r>
                </w:p>
              </w:tc>
              <w:tc>
                <w:tcPr>
                  <w:tcW w:w="782" w:type="pct"/>
                  <w:noWrap/>
                  <w:tcMar>
                    <w:top w:w="15" w:type="dxa"/>
                    <w:left w:w="15" w:type="dxa"/>
                    <w:bottom w:w="0" w:type="dxa"/>
                    <w:right w:w="15" w:type="dxa"/>
                  </w:tcMar>
                  <w:vAlign w:val="center"/>
                </w:tcPr>
                <w:p w14:paraId="5D79538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0.0445</w:t>
                  </w:r>
                </w:p>
              </w:tc>
              <w:tc>
                <w:tcPr>
                  <w:tcW w:w="994" w:type="pct"/>
                  <w:noWrap/>
                  <w:tcMar>
                    <w:top w:w="15" w:type="dxa"/>
                    <w:left w:w="15" w:type="dxa"/>
                    <w:bottom w:w="0" w:type="dxa"/>
                    <w:right w:w="15" w:type="dxa"/>
                  </w:tcMar>
                  <w:vAlign w:val="bottom"/>
                </w:tcPr>
                <w:p w14:paraId="363167F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5.05 </w:t>
                  </w:r>
                </w:p>
              </w:tc>
            </w:tr>
            <w:tr w14:paraId="00AA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shd w:val="clear" w:color="auto" w:fill="auto"/>
                  <w:tcMar>
                    <w:top w:w="15" w:type="dxa"/>
                    <w:left w:w="15" w:type="dxa"/>
                    <w:bottom w:w="0" w:type="dxa"/>
                    <w:right w:w="15" w:type="dxa"/>
                  </w:tcMar>
                  <w:vAlign w:val="center"/>
                </w:tcPr>
                <w:p w14:paraId="2032420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5</w:t>
                  </w:r>
                </w:p>
              </w:tc>
              <w:tc>
                <w:tcPr>
                  <w:tcW w:w="2804" w:type="pct"/>
                  <w:tcMar>
                    <w:top w:w="15" w:type="dxa"/>
                    <w:left w:w="15" w:type="dxa"/>
                    <w:bottom w:w="0" w:type="dxa"/>
                    <w:right w:w="15" w:type="dxa"/>
                  </w:tcMar>
                  <w:vAlign w:val="center"/>
                </w:tcPr>
                <w:p w14:paraId="5936EC9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商服用地（05）</w:t>
                  </w:r>
                </w:p>
              </w:tc>
              <w:tc>
                <w:tcPr>
                  <w:tcW w:w="782" w:type="pct"/>
                  <w:noWrap/>
                  <w:tcMar>
                    <w:top w:w="15" w:type="dxa"/>
                    <w:left w:w="15" w:type="dxa"/>
                    <w:bottom w:w="0" w:type="dxa"/>
                    <w:right w:w="15" w:type="dxa"/>
                  </w:tcMar>
                  <w:vAlign w:val="center"/>
                </w:tcPr>
                <w:p w14:paraId="6BB8561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0.0011</w:t>
                  </w:r>
                </w:p>
              </w:tc>
              <w:tc>
                <w:tcPr>
                  <w:tcW w:w="994" w:type="pct"/>
                  <w:noWrap/>
                  <w:tcMar>
                    <w:top w:w="15" w:type="dxa"/>
                    <w:left w:w="15" w:type="dxa"/>
                    <w:bottom w:w="0" w:type="dxa"/>
                    <w:right w:w="15" w:type="dxa"/>
                  </w:tcMar>
                  <w:vAlign w:val="bottom"/>
                </w:tcPr>
                <w:p w14:paraId="18D4180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0.12 </w:t>
                  </w:r>
                </w:p>
              </w:tc>
            </w:tr>
            <w:tr w14:paraId="45AE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shd w:val="clear" w:color="auto" w:fill="auto"/>
                  <w:tcMar>
                    <w:top w:w="15" w:type="dxa"/>
                    <w:left w:w="15" w:type="dxa"/>
                    <w:bottom w:w="0" w:type="dxa"/>
                    <w:right w:w="15" w:type="dxa"/>
                  </w:tcMar>
                  <w:vAlign w:val="center"/>
                </w:tcPr>
                <w:p w14:paraId="1454C23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6</w:t>
                  </w:r>
                </w:p>
              </w:tc>
              <w:tc>
                <w:tcPr>
                  <w:tcW w:w="2804" w:type="pct"/>
                  <w:tcMar>
                    <w:top w:w="15" w:type="dxa"/>
                    <w:left w:w="15" w:type="dxa"/>
                    <w:bottom w:w="0" w:type="dxa"/>
                    <w:right w:w="15" w:type="dxa"/>
                  </w:tcMar>
                  <w:vAlign w:val="center"/>
                </w:tcPr>
                <w:p w14:paraId="1356A5D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工矿仓储用地（06）</w:t>
                  </w:r>
                </w:p>
              </w:tc>
              <w:tc>
                <w:tcPr>
                  <w:tcW w:w="782" w:type="pct"/>
                  <w:noWrap/>
                  <w:tcMar>
                    <w:top w:w="15" w:type="dxa"/>
                    <w:left w:w="15" w:type="dxa"/>
                    <w:bottom w:w="0" w:type="dxa"/>
                    <w:right w:w="15" w:type="dxa"/>
                  </w:tcMar>
                  <w:vAlign w:val="bottom"/>
                </w:tcPr>
                <w:p w14:paraId="487FA5B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w:t>
                  </w:r>
                </w:p>
              </w:tc>
              <w:tc>
                <w:tcPr>
                  <w:tcW w:w="994" w:type="pct"/>
                  <w:noWrap/>
                  <w:tcMar>
                    <w:top w:w="15" w:type="dxa"/>
                    <w:left w:w="15" w:type="dxa"/>
                    <w:bottom w:w="0" w:type="dxa"/>
                    <w:right w:w="15" w:type="dxa"/>
                  </w:tcMar>
                  <w:vAlign w:val="center"/>
                </w:tcPr>
                <w:p w14:paraId="5E4B543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w:t>
                  </w:r>
                </w:p>
              </w:tc>
            </w:tr>
            <w:tr w14:paraId="699D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shd w:val="clear" w:color="auto" w:fill="auto"/>
                  <w:tcMar>
                    <w:top w:w="15" w:type="dxa"/>
                    <w:left w:w="15" w:type="dxa"/>
                    <w:bottom w:w="0" w:type="dxa"/>
                    <w:right w:w="15" w:type="dxa"/>
                  </w:tcMar>
                  <w:vAlign w:val="center"/>
                </w:tcPr>
                <w:p w14:paraId="6EFE49C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7</w:t>
                  </w:r>
                </w:p>
              </w:tc>
              <w:tc>
                <w:tcPr>
                  <w:tcW w:w="2804" w:type="pct"/>
                  <w:tcMar>
                    <w:top w:w="15" w:type="dxa"/>
                    <w:left w:w="15" w:type="dxa"/>
                    <w:bottom w:w="0" w:type="dxa"/>
                    <w:right w:w="15" w:type="dxa"/>
                  </w:tcMar>
                  <w:vAlign w:val="center"/>
                </w:tcPr>
                <w:p w14:paraId="2AF869D0">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住宅用地（07）</w:t>
                  </w:r>
                </w:p>
              </w:tc>
              <w:tc>
                <w:tcPr>
                  <w:tcW w:w="782" w:type="pct"/>
                  <w:noWrap/>
                  <w:tcMar>
                    <w:top w:w="15" w:type="dxa"/>
                    <w:left w:w="15" w:type="dxa"/>
                    <w:bottom w:w="0" w:type="dxa"/>
                    <w:right w:w="15" w:type="dxa"/>
                  </w:tcMar>
                  <w:vAlign w:val="center"/>
                </w:tcPr>
                <w:p w14:paraId="63D33B3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0.0112</w:t>
                  </w:r>
                </w:p>
              </w:tc>
              <w:tc>
                <w:tcPr>
                  <w:tcW w:w="994" w:type="pct"/>
                  <w:noWrap/>
                  <w:tcMar>
                    <w:top w:w="15" w:type="dxa"/>
                    <w:left w:w="15" w:type="dxa"/>
                    <w:bottom w:w="0" w:type="dxa"/>
                    <w:right w:w="15" w:type="dxa"/>
                  </w:tcMar>
                  <w:vAlign w:val="bottom"/>
                </w:tcPr>
                <w:p w14:paraId="7E54D7B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1.27 </w:t>
                  </w:r>
                </w:p>
              </w:tc>
            </w:tr>
            <w:tr w14:paraId="1AA1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shd w:val="clear" w:color="auto" w:fill="auto"/>
                  <w:tcMar>
                    <w:top w:w="15" w:type="dxa"/>
                    <w:left w:w="15" w:type="dxa"/>
                    <w:bottom w:w="0" w:type="dxa"/>
                    <w:right w:w="15" w:type="dxa"/>
                  </w:tcMar>
                  <w:vAlign w:val="center"/>
                </w:tcPr>
                <w:p w14:paraId="55641C1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8</w:t>
                  </w:r>
                </w:p>
              </w:tc>
              <w:tc>
                <w:tcPr>
                  <w:tcW w:w="2804" w:type="pct"/>
                  <w:tcMar>
                    <w:top w:w="15" w:type="dxa"/>
                    <w:left w:w="15" w:type="dxa"/>
                    <w:bottom w:w="0" w:type="dxa"/>
                    <w:right w:w="15" w:type="dxa"/>
                  </w:tcMar>
                  <w:vAlign w:val="center"/>
                </w:tcPr>
                <w:p w14:paraId="23D04ED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公共管理与公共服务用地（08）</w:t>
                  </w:r>
                </w:p>
              </w:tc>
              <w:tc>
                <w:tcPr>
                  <w:tcW w:w="782" w:type="pct"/>
                  <w:noWrap/>
                  <w:tcMar>
                    <w:top w:w="15" w:type="dxa"/>
                    <w:left w:w="15" w:type="dxa"/>
                    <w:bottom w:w="0" w:type="dxa"/>
                    <w:right w:w="15" w:type="dxa"/>
                  </w:tcMar>
                  <w:vAlign w:val="center"/>
                </w:tcPr>
                <w:p w14:paraId="639E8A3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0.0023</w:t>
                  </w:r>
                </w:p>
              </w:tc>
              <w:tc>
                <w:tcPr>
                  <w:tcW w:w="994" w:type="pct"/>
                  <w:noWrap/>
                  <w:tcMar>
                    <w:top w:w="15" w:type="dxa"/>
                    <w:left w:w="15" w:type="dxa"/>
                    <w:bottom w:w="0" w:type="dxa"/>
                    <w:right w:w="15" w:type="dxa"/>
                  </w:tcMar>
                  <w:vAlign w:val="bottom"/>
                </w:tcPr>
                <w:p w14:paraId="571E3F9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0.26 </w:t>
                  </w:r>
                </w:p>
              </w:tc>
            </w:tr>
            <w:tr w14:paraId="2E8B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shd w:val="clear" w:color="auto" w:fill="auto"/>
                  <w:tcMar>
                    <w:top w:w="15" w:type="dxa"/>
                    <w:left w:w="15" w:type="dxa"/>
                    <w:bottom w:w="0" w:type="dxa"/>
                    <w:right w:w="15" w:type="dxa"/>
                  </w:tcMar>
                  <w:vAlign w:val="center"/>
                </w:tcPr>
                <w:p w14:paraId="1D0250E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9</w:t>
                  </w:r>
                </w:p>
              </w:tc>
              <w:tc>
                <w:tcPr>
                  <w:tcW w:w="2804" w:type="pct"/>
                  <w:tcMar>
                    <w:top w:w="15" w:type="dxa"/>
                    <w:left w:w="15" w:type="dxa"/>
                    <w:bottom w:w="0" w:type="dxa"/>
                    <w:right w:w="15" w:type="dxa"/>
                  </w:tcMar>
                  <w:vAlign w:val="center"/>
                </w:tcPr>
                <w:p w14:paraId="7BB2018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特殊用地（09）</w:t>
                  </w:r>
                </w:p>
              </w:tc>
              <w:tc>
                <w:tcPr>
                  <w:tcW w:w="782" w:type="pct"/>
                  <w:noWrap/>
                  <w:tcMar>
                    <w:top w:w="15" w:type="dxa"/>
                    <w:left w:w="15" w:type="dxa"/>
                    <w:bottom w:w="0" w:type="dxa"/>
                    <w:right w:w="15" w:type="dxa"/>
                  </w:tcMar>
                  <w:vAlign w:val="center"/>
                </w:tcPr>
                <w:p w14:paraId="7CD15F3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w:t>
                  </w:r>
                </w:p>
              </w:tc>
              <w:tc>
                <w:tcPr>
                  <w:tcW w:w="994" w:type="pct"/>
                  <w:noWrap/>
                  <w:tcMar>
                    <w:top w:w="15" w:type="dxa"/>
                    <w:left w:w="15" w:type="dxa"/>
                    <w:bottom w:w="0" w:type="dxa"/>
                    <w:right w:w="15" w:type="dxa"/>
                  </w:tcMar>
                  <w:vAlign w:val="center"/>
                </w:tcPr>
                <w:p w14:paraId="268EE71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w:t>
                  </w:r>
                </w:p>
              </w:tc>
            </w:tr>
            <w:tr w14:paraId="40034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shd w:val="clear" w:color="auto" w:fill="auto"/>
                  <w:tcMar>
                    <w:top w:w="15" w:type="dxa"/>
                    <w:left w:w="15" w:type="dxa"/>
                    <w:bottom w:w="0" w:type="dxa"/>
                    <w:right w:w="15" w:type="dxa"/>
                  </w:tcMar>
                  <w:vAlign w:val="center"/>
                </w:tcPr>
                <w:p w14:paraId="3D62FBA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w:t>
                  </w:r>
                </w:p>
              </w:tc>
              <w:tc>
                <w:tcPr>
                  <w:tcW w:w="2804" w:type="pct"/>
                  <w:tcMar>
                    <w:top w:w="15" w:type="dxa"/>
                    <w:left w:w="15" w:type="dxa"/>
                    <w:bottom w:w="0" w:type="dxa"/>
                    <w:right w:w="15" w:type="dxa"/>
                  </w:tcMar>
                  <w:vAlign w:val="center"/>
                </w:tcPr>
                <w:p w14:paraId="7E7D077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交通运输用地（10）</w:t>
                  </w:r>
                </w:p>
              </w:tc>
              <w:tc>
                <w:tcPr>
                  <w:tcW w:w="782" w:type="pct"/>
                  <w:noWrap/>
                  <w:tcMar>
                    <w:top w:w="15" w:type="dxa"/>
                    <w:left w:w="15" w:type="dxa"/>
                    <w:bottom w:w="0" w:type="dxa"/>
                    <w:right w:w="15" w:type="dxa"/>
                  </w:tcMar>
                  <w:vAlign w:val="center"/>
                </w:tcPr>
                <w:p w14:paraId="2D61998F">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0.448</w:t>
                  </w:r>
                </w:p>
              </w:tc>
              <w:tc>
                <w:tcPr>
                  <w:tcW w:w="994" w:type="pct"/>
                  <w:noWrap/>
                  <w:tcMar>
                    <w:top w:w="15" w:type="dxa"/>
                    <w:left w:w="15" w:type="dxa"/>
                    <w:bottom w:w="0" w:type="dxa"/>
                    <w:right w:w="15" w:type="dxa"/>
                  </w:tcMar>
                  <w:vAlign w:val="bottom"/>
                </w:tcPr>
                <w:p w14:paraId="037C6A0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50.86 </w:t>
                  </w:r>
                </w:p>
              </w:tc>
            </w:tr>
            <w:tr w14:paraId="7FDF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rPr>
              <w:tc>
                <w:tcPr>
                  <w:tcW w:w="418" w:type="pct"/>
                  <w:shd w:val="clear" w:color="auto" w:fill="auto"/>
                  <w:tcMar>
                    <w:top w:w="15" w:type="dxa"/>
                    <w:left w:w="15" w:type="dxa"/>
                    <w:bottom w:w="0" w:type="dxa"/>
                    <w:right w:w="15" w:type="dxa"/>
                  </w:tcMar>
                  <w:vAlign w:val="center"/>
                </w:tcPr>
                <w:p w14:paraId="3F81C1D0">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11</w:t>
                  </w:r>
                </w:p>
              </w:tc>
              <w:tc>
                <w:tcPr>
                  <w:tcW w:w="2804" w:type="pct"/>
                  <w:tcMar>
                    <w:top w:w="15" w:type="dxa"/>
                    <w:left w:w="15" w:type="dxa"/>
                    <w:bottom w:w="0" w:type="dxa"/>
                    <w:right w:w="15" w:type="dxa"/>
                  </w:tcMar>
                  <w:vAlign w:val="center"/>
                </w:tcPr>
                <w:p w14:paraId="28C71E7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水域及水利设施用地（11）</w:t>
                  </w:r>
                </w:p>
              </w:tc>
              <w:tc>
                <w:tcPr>
                  <w:tcW w:w="782" w:type="pct"/>
                  <w:noWrap/>
                  <w:tcMar>
                    <w:top w:w="15" w:type="dxa"/>
                    <w:left w:w="15" w:type="dxa"/>
                    <w:bottom w:w="0" w:type="dxa"/>
                    <w:right w:w="15" w:type="dxa"/>
                  </w:tcMar>
                  <w:vAlign w:val="center"/>
                </w:tcPr>
                <w:p w14:paraId="7B04795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0.0122</w:t>
                  </w:r>
                </w:p>
              </w:tc>
              <w:tc>
                <w:tcPr>
                  <w:tcW w:w="994" w:type="pct"/>
                  <w:noWrap/>
                  <w:tcMar>
                    <w:top w:w="15" w:type="dxa"/>
                    <w:left w:w="15" w:type="dxa"/>
                    <w:bottom w:w="0" w:type="dxa"/>
                    <w:right w:w="15" w:type="dxa"/>
                  </w:tcMar>
                  <w:vAlign w:val="bottom"/>
                </w:tcPr>
                <w:p w14:paraId="06B40BE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1.38 </w:t>
                  </w:r>
                </w:p>
              </w:tc>
            </w:tr>
            <w:tr w14:paraId="4529F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418" w:type="pct"/>
                  <w:tcMar>
                    <w:top w:w="15" w:type="dxa"/>
                    <w:left w:w="15" w:type="dxa"/>
                    <w:bottom w:w="0" w:type="dxa"/>
                    <w:right w:w="15" w:type="dxa"/>
                  </w:tcMar>
                  <w:vAlign w:val="center"/>
                </w:tcPr>
                <w:p w14:paraId="59A0270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12</w:t>
                  </w:r>
                </w:p>
              </w:tc>
              <w:tc>
                <w:tcPr>
                  <w:tcW w:w="2804" w:type="pct"/>
                  <w:tcMar>
                    <w:top w:w="15" w:type="dxa"/>
                    <w:left w:w="15" w:type="dxa"/>
                    <w:bottom w:w="0" w:type="dxa"/>
                    <w:right w:w="15" w:type="dxa"/>
                  </w:tcMar>
                  <w:vAlign w:val="center"/>
                </w:tcPr>
                <w:p w14:paraId="6154F52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其他土地（12）</w:t>
                  </w:r>
                </w:p>
              </w:tc>
              <w:tc>
                <w:tcPr>
                  <w:tcW w:w="782" w:type="pct"/>
                  <w:noWrap/>
                  <w:tcMar>
                    <w:top w:w="15" w:type="dxa"/>
                    <w:left w:w="15" w:type="dxa"/>
                    <w:bottom w:w="0" w:type="dxa"/>
                    <w:right w:w="15" w:type="dxa"/>
                  </w:tcMar>
                  <w:vAlign w:val="center"/>
                </w:tcPr>
                <w:p w14:paraId="1D0D081F">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0.0019</w:t>
                  </w:r>
                </w:p>
              </w:tc>
              <w:tc>
                <w:tcPr>
                  <w:tcW w:w="994" w:type="pct"/>
                  <w:noWrap/>
                  <w:tcMar>
                    <w:top w:w="15" w:type="dxa"/>
                    <w:left w:w="15" w:type="dxa"/>
                    <w:bottom w:w="0" w:type="dxa"/>
                    <w:right w:w="15" w:type="dxa"/>
                  </w:tcMar>
                  <w:vAlign w:val="bottom"/>
                </w:tcPr>
                <w:p w14:paraId="552406A9">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 xml:space="preserve">0.22 </w:t>
                  </w:r>
                </w:p>
              </w:tc>
            </w:tr>
            <w:tr w14:paraId="4806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trPr>
              <w:tc>
                <w:tcPr>
                  <w:tcW w:w="3223" w:type="pct"/>
                  <w:gridSpan w:val="2"/>
                  <w:tcMar>
                    <w:top w:w="15" w:type="dxa"/>
                    <w:left w:w="15" w:type="dxa"/>
                    <w:bottom w:w="0" w:type="dxa"/>
                    <w:right w:w="15" w:type="dxa"/>
                  </w:tcMar>
                  <w:vAlign w:val="center"/>
                </w:tcPr>
                <w:p w14:paraId="1AE9284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合计</w:t>
                  </w:r>
                </w:p>
              </w:tc>
              <w:tc>
                <w:tcPr>
                  <w:tcW w:w="782" w:type="pct"/>
                  <w:noWrap/>
                  <w:tcMar>
                    <w:top w:w="15" w:type="dxa"/>
                    <w:left w:w="15" w:type="dxa"/>
                    <w:bottom w:w="0" w:type="dxa"/>
                    <w:right w:w="15" w:type="dxa"/>
                  </w:tcMar>
                  <w:vAlign w:val="bottom"/>
                </w:tcPr>
                <w:p w14:paraId="4CEE3D0F">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0.8809</w:t>
                  </w:r>
                </w:p>
              </w:tc>
              <w:tc>
                <w:tcPr>
                  <w:tcW w:w="994" w:type="pct"/>
                  <w:noWrap/>
                  <w:tcMar>
                    <w:top w:w="15" w:type="dxa"/>
                    <w:left w:w="15" w:type="dxa"/>
                    <w:bottom w:w="0" w:type="dxa"/>
                    <w:right w:w="15" w:type="dxa"/>
                  </w:tcMar>
                  <w:vAlign w:val="bottom"/>
                </w:tcPr>
                <w:p w14:paraId="780248B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100</w:t>
                  </w:r>
                </w:p>
              </w:tc>
            </w:tr>
          </w:tbl>
          <w:p w14:paraId="51CA9B8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10、项目平面合理性分析</w:t>
            </w:r>
          </w:p>
          <w:p w14:paraId="0475224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工程线路拟在取水头部五里沟沿现有的道路至泸定收费站，沿雅康高速下方道路布置至泸定县水电站大坝临时隧洞内，出隧道后经由新桥村后沿泸荣隧道至泸定县泸桥镇城区延安路、遵义路布置到泸定县城区自来水配水井，管道长度约为</w:t>
            </w:r>
            <w:r>
              <w:rPr>
                <w:rFonts w:hint="eastAsia" w:ascii="Times New Roman" w:hAnsi="Times New Roman" w:cs="Times New Roman"/>
                <w:color w:val="000000" w:themeColor="text1"/>
                <w:sz w:val="24"/>
                <w:szCs w:val="24"/>
                <w:lang w:val="en-US" w:eastAsia="zh-CN"/>
                <w14:textFill>
                  <w14:solidFill>
                    <w14:schemeClr w14:val="tx1"/>
                  </w14:solidFill>
                </w14:textFill>
              </w:rPr>
              <w:t>10588m</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0178A8F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根据主体设计资料，管线工程区主要为</w:t>
            </w:r>
            <w:r>
              <w:rPr>
                <w:rFonts w:hint="eastAsia" w:ascii="Times New Roman" w:hAnsi="Times New Roman" w:cs="Times New Roman"/>
                <w:color w:val="000000" w:themeColor="text1"/>
                <w:sz w:val="24"/>
                <w:szCs w:val="24"/>
                <w:lang w:val="en-US" w:eastAsia="zh-CN"/>
                <w14:textFill>
                  <w14:solidFill>
                    <w14:schemeClr w14:val="tx1"/>
                  </w14:solidFill>
                </w14:textFill>
              </w:rPr>
              <w:t>10588m</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长的输水管道，本次输水管道管径采用</w:t>
            </w:r>
            <w:r>
              <w:rPr>
                <w:rFonts w:hint="eastAsia" w:ascii="Times New Roman" w:hAnsi="Times New Roman" w:cs="Times New Roman"/>
                <w:color w:val="000000" w:themeColor="text1"/>
                <w:sz w:val="24"/>
                <w:szCs w:val="24"/>
                <w:lang w:val="en-US" w:eastAsia="zh-CN"/>
                <w14:textFill>
                  <w14:solidFill>
                    <w14:schemeClr w14:val="tx1"/>
                  </w14:solidFill>
                </w14:textFill>
              </w:rPr>
              <w:t>DN400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的钢管，以保证输水安全性。配套建设阀门井、排泥井、排气井等设施。</w:t>
            </w:r>
          </w:p>
          <w:p w14:paraId="2910894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工程管道基本均在山地及城市建成区的城市道路下敷设，为了有效地减少对城市交通和人民生活的影响，在满足管道的抗浮要求的前提下，管道尽量浅埋。本项目新建取水头部一座、沉砂池一座、消能井2座、阀门井7个、排气阀井10个、排泥井10个。项目采取底拦栅取水构筑物，该取水构筑物主要由溢流坝、底栏栅、冲砂室、进水闸、第二冲砂室、沉砂池、排沙渠和防洪护坦等部分组成。</w:t>
            </w:r>
          </w:p>
          <w:p w14:paraId="369CA11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项目取水工程选址处于高山峡谷区地貌单元，山体总体走向为南北走向。岭谷相间，山岭到大渡河的水平距离不超过10公里，而岭谷相对高差达3000米以上，即形成高差大，坡面短，坡度陡峭，山高坡陡，高差悬殊，岩体破碎，岩石裸露这一特殊地貌特征。本项目建筑物竖向设计本着尽量利用自然地形，减少土方工程量和各种工程构筑物的工程量，并力求填、挖就近平衡，运距最短、节约基建投资的原则。根据项目主体工程设计，输水管道地面设计标高1322.513~1637.935m，设计管中心标高1321.662~1635.773m，管线施工采取分段管槽开挖和回填方式。</w:t>
            </w:r>
          </w:p>
          <w:p w14:paraId="44E119C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11、劳动定员与工作制度</w:t>
            </w:r>
          </w:p>
          <w:p w14:paraId="6D878B0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劳动定员：本项目不新增劳动定员；</w:t>
            </w:r>
          </w:p>
          <w:p w14:paraId="7C90F26C">
            <w:pPr>
              <w:pStyle w:val="54"/>
              <w:keepNext w:val="0"/>
              <w:keepLines w:val="0"/>
              <w:pageBreakBefore w:val="0"/>
              <w:widowControl w:val="0"/>
              <w:kinsoku/>
              <w:wordWrap/>
              <w:overflowPunct/>
              <w:topLinePunct w:val="0"/>
              <w:autoSpaceDE/>
              <w:autoSpaceDN/>
              <w:bidi w:val="0"/>
              <w:adjustRightInd w:val="0"/>
              <w:snapToGrid w:val="0"/>
              <w:spacing w:after="0" w:line="360" w:lineRule="auto"/>
              <w:ind w:left="0" w:leftChars="0"/>
              <w:textAlignment w:val="auto"/>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工作制度：本项目年运行365天，每天运行24小时。</w:t>
            </w:r>
          </w:p>
        </w:tc>
      </w:tr>
      <w:tr w14:paraId="53A9BC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7" w:hRule="atLeast"/>
        </w:trPr>
        <w:tc>
          <w:tcPr>
            <w:tcW w:w="472" w:type="dxa"/>
            <w:vAlign w:val="center"/>
          </w:tcPr>
          <w:p w14:paraId="751F939B">
            <w:pPr>
              <w:topLinePunct/>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szCs w:val="20"/>
                <w14:textFill>
                  <w14:solidFill>
                    <w14:schemeClr w14:val="tx1"/>
                  </w14:solidFill>
                </w14:textFill>
              </w:rPr>
              <w:t>工艺流程和产排污环节</w:t>
            </w:r>
          </w:p>
        </w:tc>
        <w:tc>
          <w:tcPr>
            <w:tcW w:w="8542" w:type="dxa"/>
            <w:vAlign w:val="center"/>
          </w:tcPr>
          <w:p w14:paraId="213D2CCD">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1</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施工条件</w:t>
            </w:r>
          </w:p>
          <w:p w14:paraId="7D050660">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交通</w:t>
            </w:r>
          </w:p>
          <w:p w14:paraId="39A056D1">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泸定县主要道路骨架已形成，道路均为水泥砼路面，路面质量较好，路面宽度在9-16米。城市交通以遵义路、红军路、开湘路、成武路为主骨架。</w:t>
            </w:r>
          </w:p>
          <w:p w14:paraId="54117870">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通讯系统</w:t>
            </w:r>
          </w:p>
          <w:p w14:paraId="2468A090">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本工程通信信号由市政通信公司</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提供</w:t>
            </w:r>
            <w:r>
              <w:rPr>
                <w:rFonts w:hint="default" w:ascii="Times New Roman" w:hAnsi="Times New Roman" w:eastAsia="宋体" w:cs="Times New Roman"/>
                <w:color w:val="000000" w:themeColor="text1"/>
                <w:sz w:val="24"/>
                <w:szCs w:val="24"/>
                <w14:textFill>
                  <w14:solidFill>
                    <w14:schemeClr w14:val="tx1"/>
                  </w14:solidFill>
                </w14:textFill>
              </w:rPr>
              <w:t>。</w:t>
            </w:r>
          </w:p>
          <w:p w14:paraId="2E38990D">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施工用电</w:t>
            </w:r>
          </w:p>
          <w:p w14:paraId="70052284">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本项目区域内供电已通至项目建设区附近，供电保证率较高，就近接驳市政电网。</w:t>
            </w:r>
          </w:p>
          <w:p w14:paraId="16167E95">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施工用水</w:t>
            </w:r>
          </w:p>
          <w:p w14:paraId="67BD8261">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本工程施工用水直接利用周边自然水系。</w:t>
            </w:r>
          </w:p>
          <w:p w14:paraId="3A3F6815">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取土（石、砂）场</w:t>
            </w:r>
          </w:p>
          <w:p w14:paraId="5173A4E3">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本项目开挖产生的土石方能够满足项目回填所需，项目所需混凝土粗、细骨料、块石料</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中砂</w:t>
            </w:r>
            <w:r>
              <w:rPr>
                <w:rFonts w:hint="default" w:ascii="Times New Roman" w:hAnsi="Times New Roman" w:eastAsia="宋体" w:cs="Times New Roman"/>
                <w:color w:val="000000" w:themeColor="text1"/>
                <w:sz w:val="24"/>
                <w:szCs w:val="24"/>
                <w14:textFill>
                  <w14:solidFill>
                    <w14:schemeClr w14:val="tx1"/>
                  </w14:solidFill>
                </w14:textFill>
              </w:rPr>
              <w:t>等建筑材料均从合法料场外购，不设置取土（石、料）场。</w:t>
            </w:r>
          </w:p>
          <w:p w14:paraId="168D9CFC">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弃土（石、渣）场</w:t>
            </w:r>
          </w:p>
          <w:p w14:paraId="6FD1F655">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因项目管道敷设经过泸定县城区且城区内管道采用混凝土包管埋地方式所以挖填方不平衡，本项目有1.17万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的弃方，</w:t>
            </w:r>
            <w:r>
              <w:rPr>
                <w:rFonts w:hint="eastAsia" w:ascii="Times New Roman" w:hAnsi="Times New Roman" w:cs="Times New Roman"/>
                <w:color w:val="000000" w:themeColor="text1"/>
                <w:sz w:val="24"/>
                <w:szCs w:val="24"/>
                <w:lang w:val="en-US" w:eastAsia="zh-CN"/>
                <w14:textFill>
                  <w14:solidFill>
                    <w14:schemeClr w14:val="tx1"/>
                  </w14:solidFill>
                </w14:textFill>
              </w:rPr>
              <w:t>不设置弃渣场，弃方用于其他项目，如在建其他市政项目或者道路。</w:t>
            </w:r>
          </w:p>
          <w:p w14:paraId="62D2DC5A">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4"/>
                <w14:textFill>
                  <w14:solidFill>
                    <w14:schemeClr w14:val="tx1"/>
                  </w14:solidFill>
                </w14:textFill>
              </w:rPr>
              <w:t>施工建筑材料</w:t>
            </w:r>
          </w:p>
          <w:p w14:paraId="23D32E27">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本项目主要建筑材料为商品砼、钢材、木材以及其他一些材料。施工所用材料均可从当地的建材市场就近采购，材料采购方便，资源充足。</w:t>
            </w:r>
          </w:p>
          <w:p w14:paraId="1628B5E2">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）临时堆土场</w:t>
            </w:r>
          </w:p>
          <w:p w14:paraId="6A1475BC">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不设置临时堆土场，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主体资料，沿线土方主要为管道及建构筑物地基开挖土方，主体考虑沿线土方集中堆置将导致土方二次倒运，增加水土流失以及工程投资，故管道开挖产生的土方堆放在施工作业带一侧，建构筑物基础开挖土方均临时堆置在开挖基础周边，本项目有1.17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的弃方，</w:t>
            </w:r>
            <w:r>
              <w:rPr>
                <w:rFonts w:hint="eastAsia" w:ascii="Times New Roman" w:hAnsi="Times New Roman" w:cs="Times New Roman"/>
                <w:color w:val="000000" w:themeColor="text1"/>
                <w:sz w:val="24"/>
                <w:szCs w:val="24"/>
                <w:lang w:val="en-US" w:eastAsia="zh-CN"/>
                <w14:textFill>
                  <w14:solidFill>
                    <w14:schemeClr w14:val="tx1"/>
                  </w14:solidFill>
                </w14:textFill>
              </w:rPr>
              <w:t>弃方用于其他项目，如在建其他市政项目或者道路。</w:t>
            </w:r>
          </w:p>
          <w:p w14:paraId="102320ED">
            <w:pPr>
              <w:keepNext w:val="0"/>
              <w:keepLines w:val="0"/>
              <w:pageBreakBefore w:val="0"/>
              <w:widowControl w:val="0"/>
              <w:kinsoku/>
              <w:wordWrap/>
              <w:overflowPunct/>
              <w:topLinePunct w:val="0"/>
              <w:autoSpaceDE/>
              <w:autoSpaceDN/>
              <w:bidi w:val="0"/>
              <w:adjustRightInd w:val="0"/>
              <w:snapToGrid w:val="0"/>
              <w:spacing w:line="360" w:lineRule="auto"/>
              <w:ind w:firstLine="561"/>
              <w:textAlignment w:val="auto"/>
              <w:rPr>
                <w:rFonts w:hint="eastAsia" w:ascii="Times New Roman" w:hAnsi="Times New Roman"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eastAsia" w:ascii="Times New Roman" w:hAnsi="Times New Roman" w:cs="Times New Roman"/>
                <w:color w:val="000000" w:themeColor="text1"/>
                <w:sz w:val="24"/>
                <w:szCs w:val="24"/>
                <w:lang w:val="en-US" w:eastAsia="zh-CN"/>
                <w14:textFill>
                  <w14:solidFill>
                    <w14:schemeClr w14:val="tx1"/>
                  </w14:solidFill>
                </w14:textFill>
              </w:rPr>
              <w:t>9）施工道路</w:t>
            </w:r>
          </w:p>
          <w:p w14:paraId="46A3B069">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color w:val="000000" w:themeColor="text1"/>
                <w:sz w:val="24"/>
                <w:szCs w:val="24"/>
                <w14:textFill>
                  <w14:solidFill>
                    <w14:schemeClr w14:val="tx1"/>
                  </w14:solidFill>
                </w14:textFill>
              </w:rPr>
            </w:pPr>
            <w:bookmarkStart w:id="93" w:name="OLE_LINK36"/>
            <w:r>
              <w:rPr>
                <w:color w:val="000000" w:themeColor="text1"/>
                <w:sz w:val="24"/>
                <w:szCs w:val="24"/>
                <w14:textFill>
                  <w14:solidFill>
                    <w14:schemeClr w14:val="tx1"/>
                  </w14:solidFill>
                </w14:textFill>
              </w:rPr>
              <w:t>本工程不新建施工便道，沿河旧有道路经平整后，即可满足施工及车辆进出要求。取水口以下道路均位于</w:t>
            </w:r>
            <w:r>
              <w:rPr>
                <w:rFonts w:hint="eastAsia"/>
                <w:color w:val="000000" w:themeColor="text1"/>
                <w:sz w:val="24"/>
                <w:szCs w:val="24"/>
                <w14:textFill>
                  <w14:solidFill>
                    <w14:schemeClr w14:val="tx1"/>
                  </w14:solidFill>
                </w14:textFill>
              </w:rPr>
              <w:t>十年一遇洪水位线</w:t>
            </w:r>
            <w:r>
              <w:rPr>
                <w:color w:val="000000" w:themeColor="text1"/>
                <w:sz w:val="24"/>
                <w:szCs w:val="24"/>
                <w14:textFill>
                  <w14:solidFill>
                    <w14:schemeClr w14:val="tx1"/>
                  </w14:solidFill>
                </w14:textFill>
              </w:rPr>
              <w:t>外，施工不占用河道管理范围</w:t>
            </w:r>
            <w:bookmarkEnd w:id="93"/>
            <w:r>
              <w:rPr>
                <w:color w:val="000000" w:themeColor="text1"/>
                <w:sz w:val="24"/>
                <w:szCs w:val="24"/>
                <w14:textFill>
                  <w14:solidFill>
                    <w14:schemeClr w14:val="tx1"/>
                  </w14:solidFill>
                </w14:textFill>
              </w:rPr>
              <w:t>。</w:t>
            </w:r>
          </w:p>
          <w:p w14:paraId="10B397D2">
            <w:pPr>
              <w:ind w:firstLine="0" w:firstLineChars="0"/>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drawing>
                <wp:inline distT="0" distB="0" distL="0" distR="0">
                  <wp:extent cx="4199890" cy="2339975"/>
                  <wp:effectExtent l="0" t="0" r="10160" b="3175"/>
                  <wp:docPr id="191187079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70796" name="图片 14"/>
                          <pic:cNvPicPr>
                            <a:picLocks noChangeAspect="1" noChangeArrowheads="1"/>
                          </pic:cNvPicPr>
                        </pic:nvPicPr>
                        <pic:blipFill>
                          <a:blip r:embed="rId21" cstate="print">
                            <a:extLst>
                              <a:ext uri="{28A0092B-C50C-407E-A947-70E740481C1C}">
                                <a14:useLocalDpi xmlns:a14="http://schemas.microsoft.com/office/drawing/2010/main" val="0"/>
                              </a:ext>
                            </a:extLst>
                          </a:blip>
                          <a:srcRect t="16074"/>
                          <a:stretch>
                            <a:fillRect/>
                          </a:stretch>
                        </pic:blipFill>
                        <pic:spPr>
                          <a:xfrm>
                            <a:off x="0" y="0"/>
                            <a:ext cx="4199890" cy="2339975"/>
                          </a:xfrm>
                          <a:prstGeom prst="rect">
                            <a:avLst/>
                          </a:prstGeom>
                          <a:noFill/>
                          <a:ln>
                            <a:noFill/>
                          </a:ln>
                        </pic:spPr>
                      </pic:pic>
                    </a:graphicData>
                  </a:graphic>
                </wp:inline>
              </w:drawing>
            </w:r>
          </w:p>
          <w:p w14:paraId="54D40770">
            <w:pPr>
              <w:ind w:firstLine="0" w:firstLineChars="0"/>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图2-</w:t>
            </w:r>
            <w:r>
              <w:rPr>
                <w:rFonts w:hint="default" w:ascii="Times New Roman" w:hAnsi="Times New Roman" w:cs="Times New Roman"/>
                <w:b/>
                <w:bCs/>
                <w:color w:val="000000" w:themeColor="text1"/>
                <w:sz w:val="21"/>
                <w:szCs w:val="21"/>
                <w:lang w:val="en-US" w:eastAsia="zh-CN"/>
                <w14:textFill>
                  <w14:solidFill>
                    <w14:schemeClr w14:val="tx1"/>
                  </w14:solidFill>
                </w14:textFill>
              </w:rPr>
              <w:t>7</w:t>
            </w:r>
            <w:r>
              <w:rPr>
                <w:rFonts w:hint="default" w:ascii="Times New Roman" w:hAnsi="Times New Roman" w:cs="Times New Roman"/>
                <w:b/>
                <w:bCs/>
                <w:color w:val="000000" w:themeColor="text1"/>
                <w:sz w:val="21"/>
                <w:szCs w:val="21"/>
                <w14:textFill>
                  <w14:solidFill>
                    <w14:schemeClr w14:val="tx1"/>
                  </w14:solidFill>
                </w14:textFill>
              </w:rPr>
              <w:t xml:space="preserve"> 现有道路现状图</w:t>
            </w:r>
          </w:p>
          <w:p w14:paraId="2068AF4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施工导截流</w:t>
            </w:r>
          </w:p>
          <w:p w14:paraId="757B7F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施工准备：工程开工前对工程区域相关情况进行调研，施工时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避开鱼类繁殖季节、避开汛期，选择枯水期施工</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72CCB2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本工程除取水枢纽施工区施工期间需要导流外，其余各工程施工期不需进行施工围堰。</w:t>
            </w:r>
          </w:p>
          <w:p w14:paraId="6B2C4AA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（1）围堰级别、标准</w:t>
            </w:r>
          </w:p>
          <w:p w14:paraId="42A02F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本工程取水设施建筑级别为4级，根据SL303-2017《水利水电工程施工组织设计规范》规定，施工导流临时建筑物级别为5级，导流洪水标准选择为5年一遇（P=20%）。</w:t>
            </w:r>
          </w:p>
          <w:p w14:paraId="6078711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（2）施工导流时段</w:t>
            </w:r>
          </w:p>
          <w:p w14:paraId="0E3F32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根据水工建筑物设计，该工程基础土石方开挖、基础混凝土浇筑和土石回填工程量等相关工序需满足干地施工条件。通过分析现场施工条件、水文等资料综合条件，底栏栅取水口围堰施工时间大约15天，施工导流时段选择为第1年11月，相应导流流量为0.40m</w:t>
            </w:r>
            <w:r>
              <w:rPr>
                <w:rFonts w:hint="default" w:ascii="Times New Roman" w:hAnsi="Times New Roman" w:cs="Times New Roman"/>
                <w:color w:val="000000" w:themeColor="text1"/>
                <w:sz w:val="24"/>
                <w:szCs w:val="24"/>
                <w:vertAlign w:val="super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/s。</w:t>
            </w:r>
          </w:p>
          <w:p w14:paraId="006FAE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（3）导流方式</w:t>
            </w:r>
          </w:p>
          <w:p w14:paraId="444D3F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根据工程布置和河道地形条件，该工程导流时段内河道流量较小，导流方式可采取土石围堰明渠导流，在河道一侧开挖临时导流渠，导流渠全长约65m，将水流引至坝体下游。</w:t>
            </w:r>
          </w:p>
          <w:p w14:paraId="353B4E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color w:val="000000" w:themeColor="text1"/>
                <w:sz w:val="24"/>
                <w:szCs w:val="20"/>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b/>
                <w:color w:val="000000" w:themeColor="text1"/>
                <w:sz w:val="24"/>
                <w:szCs w:val="20"/>
                <w:highlight w:val="none"/>
                <w14:textFill>
                  <w14:solidFill>
                    <w14:schemeClr w14:val="tx1"/>
                  </w14:solidFill>
                </w14:textFill>
              </w:rPr>
              <w:t>、</w:t>
            </w:r>
            <w:r>
              <w:rPr>
                <w:rFonts w:hint="default" w:ascii="Times New Roman" w:hAnsi="Times New Roman" w:eastAsia="宋体" w:cs="Times New Roman"/>
                <w:b/>
                <w:color w:val="000000" w:themeColor="text1"/>
                <w:sz w:val="24"/>
                <w:szCs w:val="20"/>
                <w:highlight w:val="none"/>
                <w:lang w:val="en-US" w:eastAsia="zh-CN"/>
                <w14:textFill>
                  <w14:solidFill>
                    <w14:schemeClr w14:val="tx1"/>
                  </w14:solidFill>
                </w14:textFill>
              </w:rPr>
              <w:t>取水头部</w:t>
            </w:r>
            <w:r>
              <w:rPr>
                <w:rFonts w:hint="default" w:ascii="Times New Roman" w:hAnsi="Times New Roman" w:eastAsia="宋体" w:cs="Times New Roman"/>
                <w:b/>
                <w:color w:val="000000" w:themeColor="text1"/>
                <w:sz w:val="24"/>
                <w:szCs w:val="20"/>
                <w:highlight w:val="none"/>
                <w14:textFill>
                  <w14:solidFill>
                    <w14:schemeClr w14:val="tx1"/>
                  </w14:solidFill>
                </w14:textFill>
              </w:rPr>
              <w:t>施工期工艺流程</w:t>
            </w:r>
          </w:p>
          <w:p w14:paraId="579907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本项目建设内容主要</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取水</w:t>
            </w:r>
            <w:r>
              <w:rPr>
                <w:rFonts w:hint="default" w:ascii="Times New Roman" w:hAnsi="Times New Roman" w:eastAsia="宋体" w:cs="Times New Roman"/>
                <w:color w:val="000000" w:themeColor="text1"/>
                <w:sz w:val="24"/>
                <w:szCs w:val="24"/>
                <w14:textFill>
                  <w14:solidFill>
                    <w14:schemeClr w14:val="tx1"/>
                  </w14:solidFill>
                </w14:textFill>
              </w:rPr>
              <w:t>工程</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输水工程</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两</w:t>
            </w:r>
            <w:r>
              <w:rPr>
                <w:rFonts w:hint="default" w:ascii="Times New Roman" w:hAnsi="Times New Roman" w:eastAsia="宋体" w:cs="Times New Roman"/>
                <w:color w:val="000000" w:themeColor="text1"/>
                <w:sz w:val="24"/>
                <w:szCs w:val="24"/>
                <w14:textFill>
                  <w14:solidFill>
                    <w14:schemeClr w14:val="tx1"/>
                  </w14:solidFill>
                </w14:textFill>
              </w:rPr>
              <w:t>部分内容。</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取水工程</w:t>
            </w:r>
            <w:r>
              <w:rPr>
                <w:rFonts w:hint="default" w:ascii="Times New Roman" w:hAnsi="Times New Roman" w:eastAsia="宋体" w:cs="Times New Roman"/>
                <w:color w:val="000000" w:themeColor="text1"/>
                <w:sz w:val="24"/>
                <w:szCs w:val="24"/>
                <w14:textFill>
                  <w14:solidFill>
                    <w14:schemeClr w14:val="tx1"/>
                  </w14:solidFill>
                </w14:textFill>
              </w:rPr>
              <w:t>施工过程说明：</w:t>
            </w:r>
          </w:p>
          <w:p w14:paraId="39122F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bookmarkStart w:id="94" w:name="_Toc7413"/>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上游</w:t>
            </w:r>
            <w:r>
              <w:rPr>
                <w:rFonts w:hint="default" w:ascii="Times New Roman" w:hAnsi="Times New Roman" w:eastAsia="宋体" w:cs="Times New Roman"/>
                <w:color w:val="000000" w:themeColor="text1"/>
                <w:sz w:val="24"/>
                <w:szCs w:val="24"/>
                <w14:textFill>
                  <w14:solidFill>
                    <w14:schemeClr w14:val="tx1"/>
                  </w14:solidFill>
                </w14:textFill>
              </w:rPr>
              <w:t>围堰长度约25m，堰顶宽度调整为1m，内侧坡比采用1:1；下游围堰堰顶宽度调整为1m，内外坡比均取1:1，仅承担导流水量意外增大时的回水挡水作用。临时施工围堰占地约178.75m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w:t>
            </w:r>
          </w:p>
          <w:p w14:paraId="09A7177A">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14:ligatures w14:val="none"/>
              </w:rPr>
              <w:drawing>
                <wp:inline distT="0" distB="0" distL="0" distR="0">
                  <wp:extent cx="5219700" cy="1821180"/>
                  <wp:effectExtent l="0" t="0" r="0" b="7620"/>
                  <wp:docPr id="11330887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88784" name="图片 1"/>
                          <pic:cNvPicPr>
                            <a:picLocks noChangeAspect="1"/>
                          </pic:cNvPicPr>
                        </pic:nvPicPr>
                        <pic:blipFill>
                          <a:blip r:embed="rId22"/>
                          <a:stretch>
                            <a:fillRect/>
                          </a:stretch>
                        </pic:blipFill>
                        <pic:spPr>
                          <a:xfrm>
                            <a:off x="0" y="0"/>
                            <a:ext cx="5219700" cy="1821180"/>
                          </a:xfrm>
                          <a:prstGeom prst="rect">
                            <a:avLst/>
                          </a:prstGeom>
                          <a:ln>
                            <a:noFill/>
                          </a:ln>
                        </pic:spPr>
                      </pic:pic>
                    </a:graphicData>
                  </a:graphic>
                </wp:inline>
              </w:drawing>
            </w:r>
          </w:p>
          <w:p w14:paraId="6A3C5AEA">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图</w:t>
            </w:r>
            <w:r>
              <w:rPr>
                <w:rFonts w:hint="default" w:ascii="Times New Roman" w:hAnsi="Times New Roman" w:cs="Times New Roman"/>
                <w:b/>
                <w:bCs/>
                <w:color w:val="000000" w:themeColor="text1"/>
                <w:sz w:val="21"/>
                <w:szCs w:val="21"/>
                <w:lang w:val="en-US" w:eastAsia="zh-CN"/>
                <w14:textFill>
                  <w14:solidFill>
                    <w14:schemeClr w14:val="tx1"/>
                  </w14:solidFill>
                </w14:textFill>
              </w:rPr>
              <w:t>2</w:t>
            </w:r>
            <w:r>
              <w:rPr>
                <w:rFonts w:hint="default" w:ascii="Times New Roman" w:hAnsi="Times New Roman" w:cs="Times New Roman"/>
                <w:b/>
                <w:bCs/>
                <w:color w:val="000000" w:themeColor="text1"/>
                <w:sz w:val="21"/>
                <w:szCs w:val="21"/>
                <w14:textFill>
                  <w14:solidFill>
                    <w14:schemeClr w14:val="tx1"/>
                  </w14:solidFill>
                </w14:textFill>
              </w:rPr>
              <w:t>-</w:t>
            </w:r>
            <w:r>
              <w:rPr>
                <w:rFonts w:hint="default" w:ascii="Times New Roman" w:hAnsi="Times New Roman" w:cs="Times New Roman"/>
                <w:b/>
                <w:bCs/>
                <w:color w:val="000000" w:themeColor="text1"/>
                <w:sz w:val="21"/>
                <w:szCs w:val="21"/>
                <w:lang w:val="en-US" w:eastAsia="zh-CN"/>
                <w14:textFill>
                  <w14:solidFill>
                    <w14:schemeClr w14:val="tx1"/>
                  </w14:solidFill>
                </w14:textFill>
              </w:rPr>
              <w:t>8</w:t>
            </w:r>
            <w:r>
              <w:rPr>
                <w:rFonts w:hint="default" w:ascii="Times New Roman" w:hAnsi="Times New Roman" w:cs="Times New Roman"/>
                <w:b/>
                <w:bCs/>
                <w:color w:val="000000" w:themeColor="text1"/>
                <w:sz w:val="21"/>
                <w:szCs w:val="21"/>
                <w14:textFill>
                  <w14:solidFill>
                    <w14:schemeClr w14:val="tx1"/>
                  </w14:solidFill>
                </w14:textFill>
              </w:rPr>
              <w:t xml:space="preserve"> </w:t>
            </w:r>
            <w:bookmarkStart w:id="95" w:name="OLE_LINK72"/>
            <w:r>
              <w:rPr>
                <w:rFonts w:hint="default" w:ascii="Times New Roman" w:hAnsi="Times New Roman" w:cs="Times New Roman"/>
                <w:b/>
                <w:bCs/>
                <w:color w:val="000000" w:themeColor="text1"/>
                <w:sz w:val="21"/>
                <w:szCs w:val="21"/>
                <w14:textFill>
                  <w14:solidFill>
                    <w14:schemeClr w14:val="tx1"/>
                  </w14:solidFill>
                </w14:textFill>
              </w:rPr>
              <w:t>上游围堰调整后断面图</w:t>
            </w:r>
          </w:p>
          <w:bookmarkEnd w:id="95"/>
          <w:p w14:paraId="2878BAA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drawing>
                <wp:inline distT="0" distB="0" distL="0" distR="0">
                  <wp:extent cx="5219700" cy="2336800"/>
                  <wp:effectExtent l="0" t="0" r="0" b="6350"/>
                  <wp:docPr id="14106926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692644" name="图片 1"/>
                          <pic:cNvPicPr>
                            <a:picLocks noChangeAspect="1"/>
                          </pic:cNvPicPr>
                        </pic:nvPicPr>
                        <pic:blipFill>
                          <a:blip r:embed="rId23"/>
                          <a:srcRect l="8998"/>
                          <a:stretch>
                            <a:fillRect/>
                          </a:stretch>
                        </pic:blipFill>
                        <pic:spPr>
                          <a:xfrm>
                            <a:off x="0" y="0"/>
                            <a:ext cx="5219700" cy="2336800"/>
                          </a:xfrm>
                          <a:prstGeom prst="rect">
                            <a:avLst/>
                          </a:prstGeom>
                          <a:ln>
                            <a:noFill/>
                          </a:ln>
                        </pic:spPr>
                      </pic:pic>
                    </a:graphicData>
                  </a:graphic>
                </wp:inline>
              </w:drawing>
            </w:r>
          </w:p>
          <w:p w14:paraId="3A9E0F0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图2-9 下游围堰调整后断面图</w:t>
            </w:r>
          </w:p>
          <w:p w14:paraId="5CB388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施工期间配套设置临时引水沟，基坑积水采用抽排处置；工程完工后及时拆除围堰，对施工河段实施原地恢复。</w:t>
            </w:r>
          </w:p>
          <w:p w14:paraId="6E91848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drawing>
                <wp:inline distT="0" distB="0" distL="0" distR="0">
                  <wp:extent cx="5219700" cy="3751580"/>
                  <wp:effectExtent l="0" t="0" r="0" b="1270"/>
                  <wp:docPr id="11079597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59794" name="图片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19700" cy="3751580"/>
                          </a:xfrm>
                          <a:prstGeom prst="rect">
                            <a:avLst/>
                          </a:prstGeom>
                          <a:noFill/>
                        </pic:spPr>
                      </pic:pic>
                    </a:graphicData>
                  </a:graphic>
                </wp:inline>
              </w:drawing>
            </w:r>
          </w:p>
          <w:p w14:paraId="5B53633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图2-10 导流渠及围堰布置图</w:t>
            </w:r>
          </w:p>
          <w:bookmarkEnd w:id="94"/>
          <w:p w14:paraId="1A42D18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本项目建设内容主要</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取水</w:t>
            </w:r>
            <w:r>
              <w:rPr>
                <w:rFonts w:hint="default" w:ascii="Times New Roman" w:hAnsi="Times New Roman" w:eastAsia="宋体" w:cs="Times New Roman"/>
                <w:color w:val="000000" w:themeColor="text1"/>
                <w:sz w:val="24"/>
                <w:szCs w:val="24"/>
                <w:highlight w:val="none"/>
                <w14:textFill>
                  <w14:solidFill>
                    <w14:schemeClr w14:val="tx1"/>
                  </w14:solidFill>
                </w14:textFill>
              </w:rPr>
              <w:t>工程</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输水工程</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两</w:t>
            </w:r>
            <w:r>
              <w:rPr>
                <w:rFonts w:hint="default" w:ascii="Times New Roman" w:hAnsi="Times New Roman" w:eastAsia="宋体" w:cs="Times New Roman"/>
                <w:color w:val="000000" w:themeColor="text1"/>
                <w:sz w:val="24"/>
                <w:szCs w:val="24"/>
                <w:highlight w:val="none"/>
                <w14:textFill>
                  <w14:solidFill>
                    <w14:schemeClr w14:val="tx1"/>
                  </w14:solidFill>
                </w14:textFill>
              </w:rPr>
              <w:t>部分内容。</w:t>
            </w:r>
          </w:p>
          <w:p w14:paraId="5D8766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取水工程</w:t>
            </w:r>
            <w:r>
              <w:rPr>
                <w:rFonts w:hint="default" w:ascii="Times New Roman" w:hAnsi="Times New Roman" w:eastAsia="宋体" w:cs="Times New Roman"/>
                <w:color w:val="000000" w:themeColor="text1"/>
                <w:sz w:val="24"/>
                <w:szCs w:val="24"/>
                <w:highlight w:val="none"/>
                <w14:textFill>
                  <w14:solidFill>
                    <w14:schemeClr w14:val="tx1"/>
                  </w14:solidFill>
                </w14:textFill>
              </w:rPr>
              <w:t>施工过程说明：</w:t>
            </w:r>
          </w:p>
          <w:p w14:paraId="5A5CAD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highlight w:val="none"/>
                <w14:textFill>
                  <w14:solidFill>
                    <w14:schemeClr w14:val="tx1"/>
                  </w14:solidFill>
                </w14:textFill>
              </w:rPr>
              <w:t>施工准备：工程开工前对工程区域相关情况进行调研，施工时</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避开鱼类繁殖季节、避开汛期，选择枯水期施工</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42C3B5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highlight w:val="none"/>
                <w14:textFill>
                  <w14:solidFill>
                    <w14:schemeClr w14:val="tx1"/>
                  </w14:solidFill>
                </w14:textFill>
              </w:rPr>
              <w:t>围堰施工：使用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土石围堰</w:t>
            </w:r>
            <w:r>
              <w:rPr>
                <w:rFonts w:hint="default" w:ascii="Times New Roman" w:hAnsi="Times New Roman" w:eastAsia="宋体" w:cs="Times New Roman"/>
                <w:color w:val="000000" w:themeColor="text1"/>
                <w:sz w:val="24"/>
                <w:szCs w:val="24"/>
                <w:highlight w:val="none"/>
                <w14:textFill>
                  <w14:solidFill>
                    <w14:schemeClr w14:val="tx1"/>
                  </w14:solidFill>
                </w14:textFill>
              </w:rPr>
              <w:t>。先采用抽水机将被围起部分的水抽干，然后组织挖机等机械设备将水中淤泥填筑至底部及两侧。清除堰底上杂物、石块等，减少渗漏发生。在外侧设置一道过滤墙，过滤墙由尼龙布、碎石等组成。</w:t>
            </w:r>
          </w:p>
          <w:p w14:paraId="0976AB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围堰沟槽开挖：根据提供的现场原地面标高结合设计管底标高和工作量大小及工期要求，在内侧开挖基坑，整个沟槽开挖采用机械开挖人工配合。根据现场情况及以往的施工经验，沟槽内采取排水沟和集水坑等明排措施，在基坑内随同挖方一起设置排水沟及集水井，排水沟和集水井是随土方开挖逐层加深，挖至设计标高。</w:t>
            </w:r>
          </w:p>
          <w:p w14:paraId="0BA6544E">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尺寸控制：按设计尺寸外放0.5m，开挖深度至稳定基岩或不透水层（一般不小于1.5m）。</w:t>
            </w:r>
          </w:p>
          <w:p w14:paraId="028FEDCC">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边坡支护：采用1:0.5坡比放坡，必要时设置钢板桩或沙袋支护，防止坍塌。</w:t>
            </w:r>
          </w:p>
          <w:p w14:paraId="19ED6D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排水措施：在基坑周边设置排水沟（0.3m×0.3m）和集水井（1m×1m×1m），配备水泵及时抽排渗水。</w:t>
            </w:r>
            <w:r>
              <w:rPr>
                <w:rFonts w:hint="default" w:ascii="Times New Roman" w:hAnsi="Times New Roman" w:eastAsia="宋体" w:cs="Times New Roman"/>
                <w:color w:val="000000" w:themeColor="text1"/>
                <w:sz w:val="24"/>
                <w:szCs w:val="24"/>
                <w:highlight w:val="none"/>
                <w14:textFill>
                  <w14:solidFill>
                    <w14:schemeClr w14:val="tx1"/>
                  </w14:solidFill>
                </w14:textFill>
              </w:rPr>
              <w:t>集水井围设滤水设施，井底铺设30cm左右的滤料（碎石、粗砂），防止抽走井底土粒。水流入集水坑后再用水泵排入沉淀池。</w:t>
            </w:r>
          </w:p>
          <w:p w14:paraId="498DB406">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取水头部施工：</w:t>
            </w:r>
            <w:r>
              <w:rPr>
                <w:rFonts w:hint="default" w:ascii="Times New Roman" w:hAnsi="Times New Roman" w:eastAsia="宋体" w:cs="Times New Roman"/>
                <w:color w:val="000000" w:themeColor="text1"/>
                <w:sz w:val="24"/>
                <w:szCs w:val="24"/>
                <w14:textFill>
                  <w14:solidFill>
                    <w14:schemeClr w14:val="tx1"/>
                  </w14:solidFill>
                </w14:textFill>
              </w:rPr>
              <w:t>本工程无特殊结构设计及特种材料的应用，施工机械设备以常规大中型挖、装、运、碾、起重吊装及混凝土生产设备等为主，机械施工不到位的地方采用人工辅助施工。</w:t>
            </w:r>
          </w:p>
          <w:p w14:paraId="3D83A5C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取水头部采用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底格拦栅坝</w:t>
            </w:r>
            <w:r>
              <w:rPr>
                <w:rFonts w:hint="default" w:ascii="Times New Roman" w:hAnsi="Times New Roman" w:eastAsia="宋体" w:cs="Times New Roman"/>
                <w:color w:val="000000" w:themeColor="text1"/>
                <w:sz w:val="24"/>
                <w:szCs w:val="24"/>
                <w:highlight w:val="none"/>
                <w14:textFill>
                  <w14:solidFill>
                    <w14:schemeClr w14:val="tx1"/>
                  </w14:solidFill>
                </w14:textFill>
              </w:rPr>
              <w:t>取水头部形式，</w:t>
            </w:r>
            <w:r>
              <w:rPr>
                <w:rFonts w:hint="default" w:ascii="Times New Roman" w:hAnsi="Times New Roman" w:eastAsia="宋体" w:cs="Times New Roman"/>
                <w:color w:val="000000" w:themeColor="text1"/>
                <w:sz w:val="24"/>
                <w:szCs w:val="24"/>
                <w14:textFill>
                  <w14:solidFill>
                    <w14:schemeClr w14:val="tx1"/>
                  </w14:solidFill>
                </w14:textFill>
              </w:rPr>
              <w:t>石方开挖采用潜孔钻、风钻钻孔，1.6～1.0</w:t>
            </w:r>
            <w:r>
              <w:rPr>
                <w:rFonts w:hint="default" w:ascii="Times New Roman" w:hAnsi="Times New Roman" w:cs="Times New Roman"/>
                <w:color w:val="000000" w:themeColor="text1"/>
                <w:sz w:val="24"/>
                <w:szCs w:val="24"/>
                <w:lang w:eastAsia="zh-CN"/>
                <w14:textFill>
                  <w14:solidFill>
                    <w14:schemeClr w14:val="tx1"/>
                  </w14:solidFill>
                </w14:textFill>
              </w:rPr>
              <w:t>m</w:t>
            </w:r>
            <w:r>
              <w:rPr>
                <w:rFonts w:hint="default" w:ascii="Times New Roman" w:hAnsi="Times New Roman" w:cs="Times New Roman"/>
                <w:color w:val="000000" w:themeColor="text1"/>
                <w:sz w:val="24"/>
                <w:szCs w:val="24"/>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szCs w:val="24"/>
                <w14:textFill>
                  <w14:solidFill>
                    <w14:schemeClr w14:val="tx1"/>
                  </w14:solidFill>
                </w14:textFill>
              </w:rPr>
              <w:t>液压挖掘机装5～10t自卸汽车运输出渣。</w:t>
            </w:r>
          </w:p>
          <w:p w14:paraId="12902038">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①钢筋绑扎与模板安装</w:t>
            </w:r>
          </w:p>
          <w:p w14:paraId="41338F2D">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钢筋工程：按设计要求绑扎坝体钢筋，主筋采用Φ16螺纹钢，间距20cm，保护层厚度5cm。</w:t>
            </w:r>
          </w:p>
          <w:p w14:paraId="321E7FE3">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模板工程：外侧采用钢模板，内侧模板预留栅条安装槽口，模板支撑需牢固，确保浇筑时不变形。</w:t>
            </w:r>
          </w:p>
          <w:p w14:paraId="3D323305">
            <w:pPr>
              <w:spacing w:line="360" w:lineRule="auto"/>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②混凝土浇筑</w:t>
            </w:r>
          </w:p>
          <w:p w14:paraId="10917744">
            <w:pPr>
              <w:spacing w:line="360" w:lineRule="auto"/>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采用C30防水混凝土，坍落度控制在120-160mm，分层浇筑（每层厚度≤30cm），振捣密实，避免蜂窝、麻面。浇筑完成后覆盖塑料薄膜养护，洒水保湿不少于7天。</w:t>
            </w:r>
          </w:p>
          <w:p w14:paraId="43640F91">
            <w:pPr>
              <w:spacing w:line="360" w:lineRule="auto"/>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③栏栅安装</w:t>
            </w:r>
          </w:p>
          <w:p w14:paraId="77FE5A3A">
            <w:pPr>
              <w:spacing w:line="360" w:lineRule="auto"/>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将预制钢栅条嵌入坝体预留槽口，采用焊接或螺栓与坝体钢筋固定，栅条顶部与坝顶平齐，缝隙用防水砂浆封堵。安装后检查栅条间距及牢固性，涂刷防锈漆两遍。</w:t>
            </w:r>
          </w:p>
          <w:p w14:paraId="2CCAC26D">
            <w:pPr>
              <w:spacing w:line="360" w:lineRule="auto"/>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fldChar w:fldCharType="begin"/>
            </w:r>
            <w:r>
              <w:rPr>
                <w:rFonts w:hint="default" w:ascii="Times New Roman" w:hAnsi="Times New Roman" w:eastAsia="宋体" w:cs="Times New Roman"/>
                <w:color w:val="000000" w:themeColor="text1"/>
                <w:sz w:val="24"/>
                <w:szCs w:val="24"/>
                <w14:textFill>
                  <w14:solidFill>
                    <w14:schemeClr w14:val="tx1"/>
                  </w14:solidFill>
                </w14:textFill>
              </w:rPr>
              <w:instrText xml:space="preserve"> = 4 \* GB3 \* MERGEFORMAT </w:instrText>
            </w:r>
            <w:r>
              <w:rPr>
                <w:rFonts w:hint="default" w:ascii="Times New Roman" w:hAnsi="Times New Roman" w:eastAsia="宋体" w:cs="Times New Roman"/>
                <w:color w:val="000000" w:themeColor="text1"/>
                <w:sz w:val="24"/>
                <w:szCs w:val="24"/>
                <w14:textFill>
                  <w14:solidFill>
                    <w14:schemeClr w14:val="tx1"/>
                  </w14:solidFill>
                </w14:textFill>
              </w:rPr>
              <w:fldChar w:fldCharType="separate"/>
            </w:r>
            <w:r>
              <w:rPr>
                <w:rFonts w:hint="default" w:ascii="Times New Roman" w:hAnsi="Times New Roman" w:cs="Times New Roman"/>
                <w:color w:val="000000" w:themeColor="text1"/>
                <w:sz w:val="24"/>
                <w:szCs w:val="24"/>
                <w14:textFill>
                  <w14:solidFill>
                    <w14:schemeClr w14:val="tx1"/>
                  </w14:solidFill>
                </w14:textFill>
              </w:rPr>
              <w:t>④</w:t>
            </w:r>
            <w:r>
              <w:rPr>
                <w:rFonts w:hint="default" w:ascii="Times New Roman" w:hAnsi="Times New Roman" w:eastAsia="宋体" w:cs="Times New Roman"/>
                <w:color w:val="000000" w:themeColor="text1"/>
                <w:sz w:val="24"/>
                <w:szCs w:val="24"/>
                <w14:textFill>
                  <w14:solidFill>
                    <w14:schemeClr w14:val="tx1"/>
                  </w14:solidFill>
                </w14:textFill>
              </w:rPr>
              <w:fldChar w:fldCharType="end"/>
            </w:r>
            <w:r>
              <w:rPr>
                <w:rFonts w:hint="default" w:ascii="Times New Roman" w:hAnsi="Times New Roman" w:eastAsia="宋体" w:cs="Times New Roman"/>
                <w:color w:val="000000" w:themeColor="text1"/>
                <w:sz w:val="24"/>
                <w:szCs w:val="24"/>
                <w14:textFill>
                  <w14:solidFill>
                    <w14:schemeClr w14:val="tx1"/>
                  </w14:solidFill>
                </w14:textFill>
              </w:rPr>
              <w:t>反滤层铺设</w:t>
            </w:r>
          </w:p>
          <w:p w14:paraId="53F4FF1A">
            <w:pPr>
              <w:spacing w:line="360" w:lineRule="auto"/>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自下而上依次铺设土工布、中粗砂（厚20cm）、级配碎石（厚30cm），每层压实度≥90%，确保透水且拦截泥沙。</w:t>
            </w:r>
          </w:p>
          <w:p w14:paraId="10BF2146">
            <w:pPr>
              <w:spacing w:line="360" w:lineRule="auto"/>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fldChar w:fldCharType="begin"/>
            </w:r>
            <w:r>
              <w:rPr>
                <w:rFonts w:hint="default" w:ascii="Times New Roman" w:hAnsi="Times New Roman" w:eastAsia="宋体" w:cs="Times New Roman"/>
                <w:color w:val="000000" w:themeColor="text1"/>
                <w:sz w:val="24"/>
                <w:szCs w:val="24"/>
                <w14:textFill>
                  <w14:solidFill>
                    <w14:schemeClr w14:val="tx1"/>
                  </w14:solidFill>
                </w14:textFill>
              </w:rPr>
              <w:instrText xml:space="preserve"> = 5 \* GB3 \* MERGEFORMAT </w:instrText>
            </w:r>
            <w:r>
              <w:rPr>
                <w:rFonts w:hint="default" w:ascii="Times New Roman" w:hAnsi="Times New Roman" w:eastAsia="宋体" w:cs="Times New Roman"/>
                <w:color w:val="000000" w:themeColor="text1"/>
                <w:sz w:val="24"/>
                <w:szCs w:val="24"/>
                <w14:textFill>
                  <w14:solidFill>
                    <w14:schemeClr w14:val="tx1"/>
                  </w14:solidFill>
                </w14:textFill>
              </w:rPr>
              <w:fldChar w:fldCharType="separate"/>
            </w:r>
            <w:r>
              <w:rPr>
                <w:rFonts w:hint="default" w:ascii="Times New Roman" w:hAnsi="Times New Roman" w:cs="Times New Roman"/>
                <w:color w:val="000000" w:themeColor="text1"/>
                <w:sz w:val="24"/>
                <w:szCs w:val="24"/>
                <w14:textFill>
                  <w14:solidFill>
                    <w14:schemeClr w14:val="tx1"/>
                  </w14:solidFill>
                </w14:textFill>
              </w:rPr>
              <w:t>⑤</w:t>
            </w:r>
            <w:r>
              <w:rPr>
                <w:rFonts w:hint="default" w:ascii="Times New Roman" w:hAnsi="Times New Roman" w:eastAsia="宋体" w:cs="Times New Roman"/>
                <w:color w:val="000000" w:themeColor="text1"/>
                <w:sz w:val="24"/>
                <w:szCs w:val="24"/>
                <w14:textFill>
                  <w14:solidFill>
                    <w14:schemeClr w14:val="tx1"/>
                  </w14:solidFill>
                </w14:textFill>
              </w:rPr>
              <w:fldChar w:fldCharType="end"/>
            </w:r>
            <w:r>
              <w:rPr>
                <w:rFonts w:hint="default" w:ascii="Times New Roman" w:hAnsi="Times New Roman" w:eastAsia="宋体" w:cs="Times New Roman"/>
                <w:color w:val="000000" w:themeColor="text1"/>
                <w:sz w:val="24"/>
                <w:szCs w:val="24"/>
                <w14:textFill>
                  <w14:solidFill>
                    <w14:schemeClr w14:val="tx1"/>
                  </w14:solidFill>
                </w14:textFill>
              </w:rPr>
              <w:t>引水廊道施工</w:t>
            </w:r>
          </w:p>
          <w:p w14:paraId="0A88D942">
            <w:pPr>
              <w:spacing w:line="360" w:lineRule="auto"/>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在坝体下游侧开挖廊道（断面尺寸0.5m×0.6m），采用混凝土浇筑或预制涵管连接，坡度≥3‰，保证水流顺畅。</w:t>
            </w:r>
          </w:p>
          <w:p w14:paraId="473481A5">
            <w:pPr>
              <w:spacing w:line="360" w:lineRule="auto"/>
              <w:ind w:firstLine="48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fldChar w:fldCharType="begin"/>
            </w:r>
            <w:r>
              <w:rPr>
                <w:rFonts w:hint="default" w:ascii="Times New Roman" w:hAnsi="Times New Roman" w:eastAsia="宋体" w:cs="Times New Roman"/>
                <w:color w:val="000000" w:themeColor="text1"/>
                <w:sz w:val="24"/>
                <w:szCs w:val="24"/>
                <w14:textFill>
                  <w14:solidFill>
                    <w14:schemeClr w14:val="tx1"/>
                  </w14:solidFill>
                </w14:textFill>
              </w:rPr>
              <w:instrText xml:space="preserve"> = 6 \* GB3 \* MERGEFORMAT </w:instrText>
            </w:r>
            <w:r>
              <w:rPr>
                <w:rFonts w:hint="default" w:ascii="Times New Roman" w:hAnsi="Times New Roman" w:eastAsia="宋体" w:cs="Times New Roman"/>
                <w:color w:val="000000" w:themeColor="text1"/>
                <w:sz w:val="24"/>
                <w:szCs w:val="24"/>
                <w14:textFill>
                  <w14:solidFill>
                    <w14:schemeClr w14:val="tx1"/>
                  </w14:solidFill>
                </w14:textFill>
              </w:rPr>
              <w:fldChar w:fldCharType="separate"/>
            </w:r>
            <w:r>
              <w:rPr>
                <w:rFonts w:hint="default" w:ascii="Times New Roman" w:hAnsi="Times New Roman" w:cs="Times New Roman"/>
                <w:color w:val="000000" w:themeColor="text1"/>
                <w:sz w:val="24"/>
                <w:szCs w:val="24"/>
                <w14:textFill>
                  <w14:solidFill>
                    <w14:schemeClr w14:val="tx1"/>
                  </w14:solidFill>
                </w14:textFill>
              </w:rPr>
              <w:t>⑥</w:t>
            </w:r>
            <w:r>
              <w:rPr>
                <w:rFonts w:hint="default" w:ascii="Times New Roman" w:hAnsi="Times New Roman" w:eastAsia="宋体" w:cs="Times New Roman"/>
                <w:color w:val="000000" w:themeColor="text1"/>
                <w:sz w:val="24"/>
                <w:szCs w:val="24"/>
                <w14:textFill>
                  <w14:solidFill>
                    <w14:schemeClr w14:val="tx1"/>
                  </w14:solidFill>
                </w14:textFill>
              </w:rPr>
              <w:fldChar w:fldCharType="end"/>
            </w:r>
            <w:r>
              <w:rPr>
                <w:rFonts w:hint="default" w:ascii="Times New Roman" w:hAnsi="Times New Roman" w:eastAsia="宋体" w:cs="Times New Roman"/>
                <w:color w:val="000000" w:themeColor="text1"/>
                <w:sz w:val="24"/>
                <w:szCs w:val="24"/>
                <w14:textFill>
                  <w14:solidFill>
                    <w14:schemeClr w14:val="tx1"/>
                  </w14:solidFill>
                </w14:textFill>
              </w:rPr>
              <w:t>附属设施施工</w:t>
            </w:r>
          </w:p>
          <w:p w14:paraId="4ACDCED1">
            <w:pPr>
              <w:pStyle w:val="6"/>
              <w:pageBreakBefore w:val="0"/>
              <w:widowControl w:val="0"/>
              <w:kinsoku/>
              <w:wordWrap/>
              <w:overflowPunct/>
              <w:topLinePunct w:val="0"/>
              <w:autoSpaceDE/>
              <w:autoSpaceDN/>
              <w:bidi w:val="0"/>
              <w:adjustRightInd w:val="0"/>
              <w:snapToGrid w:val="0"/>
              <w:spacing w:before="0" w:after="0" w:line="360" w:lineRule="auto"/>
              <w:ind w:firstLine="482"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bookmarkStart w:id="96" w:name="OLE_LINK189"/>
            <w:r>
              <w:rPr>
                <w:rFonts w:hint="eastAsia" w:ascii="Times New Roman" w:hAnsi="Times New Roman" w:eastAsia="宋体" w:cs="Times New Roman"/>
                <w:color w:val="000000" w:themeColor="text1"/>
                <w:sz w:val="24"/>
                <w:szCs w:val="24"/>
                <w:lang w:val="en-US" w:eastAsia="zh-CN"/>
                <w14:textFill>
                  <w14:solidFill>
                    <w14:schemeClr w14:val="tx1"/>
                  </w14:solidFill>
                </w14:textFill>
              </w:rPr>
              <w:t>A.</w:t>
            </w:r>
            <w:r>
              <w:rPr>
                <w:rFonts w:hint="default" w:ascii="Times New Roman" w:hAnsi="Times New Roman" w:eastAsia="宋体" w:cs="Times New Roman"/>
                <w:color w:val="000000" w:themeColor="text1"/>
                <w:sz w:val="24"/>
                <w:szCs w:val="24"/>
                <w14:textFill>
                  <w14:solidFill>
                    <w14:schemeClr w14:val="tx1"/>
                  </w14:solidFill>
                </w14:textFill>
              </w:rPr>
              <w:t>沉沙池施工</w:t>
            </w:r>
          </w:p>
          <w:bookmarkEnd w:id="96"/>
          <w:p w14:paraId="00CABBA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基坑开挖后夯实基底，浇筑C15垫层。绑扎底板及池壁钢筋（双层双向Φ12@150mm），安装止水带。分两次浇筑混凝土（底板→池壁），采用插入式振捣棒振捣密实，避免蜂窝麻面。进水口设格栅（孔径10mm），底部设0.3m深沉砂斗，出口安装闸阀便于清淤。</w:t>
            </w:r>
          </w:p>
          <w:p w14:paraId="262F8274">
            <w:pPr>
              <w:pStyle w:val="6"/>
              <w:pageBreakBefore w:val="0"/>
              <w:widowControl w:val="0"/>
              <w:kinsoku/>
              <w:wordWrap/>
              <w:overflowPunct/>
              <w:topLinePunct w:val="0"/>
              <w:autoSpaceDE/>
              <w:autoSpaceDN/>
              <w:bidi w:val="0"/>
              <w:adjustRightInd w:val="0"/>
              <w:snapToGrid w:val="0"/>
              <w:spacing w:before="0" w:after="0" w:line="360" w:lineRule="auto"/>
              <w:ind w:firstLine="482"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B</w:t>
            </w:r>
            <w:r>
              <w:rPr>
                <w:rFonts w:hint="default" w:ascii="Times New Roman" w:hAnsi="Times New Roman" w:eastAsia="宋体" w:cs="Times New Roman"/>
                <w:color w:val="000000" w:themeColor="text1"/>
                <w:sz w:val="24"/>
                <w:szCs w:val="24"/>
                <w14:textFill>
                  <w14:solidFill>
                    <w14:schemeClr w14:val="tx1"/>
                  </w14:solidFill>
                </w14:textFill>
              </w:rPr>
              <w:t>消能设施施工</w:t>
            </w:r>
          </w:p>
          <w:p w14:paraId="06FAD92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设备安装：安装消能减压阀组（含主阀、旁通管、压力表），阀门与管道采用法兰连接，确保密封性。布置排水管道及安全阀，连接至下游排水系统。</w:t>
            </w:r>
          </w:p>
          <w:p w14:paraId="5828CCB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混凝土浇筑：池体采用C30防水混凝土，浇筑时控制分层厚度，预留设备安装预埋件。</w:t>
            </w:r>
          </w:p>
          <w:p w14:paraId="0A9CE83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压力调试：安装完成后进行压力测试，设定消能减压阀开启压力，确保出水压力稳定。</w:t>
            </w:r>
          </w:p>
          <w:p w14:paraId="08C7C9A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highlight w:val="none"/>
                <w14:textFill>
                  <w14:solidFill>
                    <w14:schemeClr w14:val="tx1"/>
                  </w14:solidFill>
                </w14:textFill>
              </w:rPr>
              <w:t>管道施工：采用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焊接钢</w:t>
            </w:r>
            <w:r>
              <w:rPr>
                <w:rFonts w:hint="default" w:ascii="Times New Roman" w:hAnsi="Times New Roman" w:eastAsia="宋体" w:cs="Times New Roman"/>
                <w:color w:val="000000" w:themeColor="text1"/>
                <w:sz w:val="24"/>
                <w:szCs w:val="24"/>
                <w:highlight w:val="none"/>
                <w14:textFill>
                  <w14:solidFill>
                    <w14:schemeClr w14:val="tx1"/>
                  </w14:solidFill>
                </w14:textFill>
              </w:rPr>
              <w:t>管，管线制作过程均为厂内，生产现场仅进行管线的承插</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焊接</w:t>
            </w:r>
            <w:r>
              <w:rPr>
                <w:rFonts w:hint="default" w:ascii="Times New Roman" w:hAnsi="Times New Roman" w:eastAsia="宋体" w:cs="Times New Roman"/>
                <w:color w:val="000000" w:themeColor="text1"/>
                <w:sz w:val="24"/>
                <w:szCs w:val="24"/>
                <w:highlight w:val="none"/>
                <w14:textFill>
                  <w14:solidFill>
                    <w14:schemeClr w14:val="tx1"/>
                  </w14:solidFill>
                </w14:textFill>
              </w:rPr>
              <w:t>。管道铺设后采用中粗砂回填至管胸腔。</w:t>
            </w:r>
          </w:p>
          <w:p w14:paraId="116DE1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highlight w:val="none"/>
                <w14:textFill>
                  <w14:solidFill>
                    <w14:schemeClr w14:val="tx1"/>
                  </w14:solidFill>
                </w14:textFill>
              </w:rPr>
              <w:t>围堰拆除：取水头部和取水管道铺设完工后，破堰放水，拆除围堰，拔除钢管桩和钢板桩，并用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挖掘机</w:t>
            </w:r>
            <w:r>
              <w:rPr>
                <w:rFonts w:hint="default" w:ascii="Times New Roman" w:hAnsi="Times New Roman" w:eastAsia="宋体" w:cs="Times New Roman"/>
                <w:color w:val="000000" w:themeColor="text1"/>
                <w:sz w:val="24"/>
                <w:szCs w:val="24"/>
                <w:highlight w:val="none"/>
                <w14:textFill>
                  <w14:solidFill>
                    <w14:schemeClr w14:val="tx1"/>
                  </w14:solidFill>
                </w14:textFill>
              </w:rPr>
              <w:t>将围堰拆除土方运送至</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其他其他工段用作绿化</w:t>
            </w:r>
            <w:r>
              <w:rPr>
                <w:rFonts w:hint="default" w:ascii="Times New Roman" w:hAnsi="Times New Roman" w:eastAsia="宋体" w:cs="Times New Roman"/>
                <w:color w:val="000000" w:themeColor="text1"/>
                <w:sz w:val="24"/>
                <w:szCs w:val="24"/>
                <w:highlight w:val="none"/>
                <w14:textFill>
                  <w14:solidFill>
                    <w14:schemeClr w14:val="tx1"/>
                  </w14:solidFill>
                </w14:textFill>
              </w:rPr>
              <w:t>回填土。</w:t>
            </w:r>
          </w:p>
          <w:p w14:paraId="607B97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7）施工场地</w:t>
            </w:r>
            <w:r>
              <w:rPr>
                <w:rFonts w:hint="default" w:ascii="Times New Roman" w:hAnsi="Times New Roman" w:eastAsia="宋体" w:cs="Times New Roman"/>
                <w:color w:val="000000" w:themeColor="text1"/>
                <w:sz w:val="24"/>
                <w:szCs w:val="24"/>
                <w:highlight w:val="none"/>
                <w14:textFill>
                  <w14:solidFill>
                    <w14:schemeClr w14:val="tx1"/>
                  </w14:solidFill>
                </w14:textFill>
              </w:rPr>
              <w:t>恢复：涉水施工完成后</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按照行洪论证要求对项目取水头部河岸进行护坡，</w:t>
            </w:r>
            <w:r>
              <w:rPr>
                <w:rFonts w:hint="default" w:ascii="Times New Roman" w:hAnsi="Times New Roman" w:eastAsia="宋体" w:cs="Times New Roman"/>
                <w:color w:val="000000" w:themeColor="text1"/>
                <w:sz w:val="24"/>
                <w:szCs w:val="24"/>
                <w:highlight w:val="none"/>
                <w14:textFill>
                  <w14:solidFill>
                    <w14:schemeClr w14:val="tx1"/>
                  </w14:solidFill>
                </w14:textFill>
              </w:rPr>
              <w:t>按设计图对</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施工场地进行清理、恢复</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3F3E43F3">
            <w:pPr>
              <w:pStyle w:val="54"/>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Times New Roman" w:hAnsi="Times New Roman" w:eastAsia="宋体" w:cs="Times New Roman"/>
                <w:b/>
                <w:bCs/>
                <w:color w:val="000000" w:themeColor="text1"/>
                <w:lang w:eastAsia="zh-CN"/>
                <w14:textFill>
                  <w14:solidFill>
                    <w14:schemeClr w14:val="tx1"/>
                  </w14:solidFill>
                </w14:textFill>
              </w:rPr>
            </w:pPr>
            <w:r>
              <w:rPr>
                <w:rFonts w:hint="default" w:ascii="Times New Roman" w:hAnsi="Times New Roman" w:eastAsia="宋体" w:cs="Times New Roman"/>
                <w:b/>
                <w:bCs/>
                <w:color w:val="000000" w:themeColor="text1"/>
                <w:lang w:eastAsia="zh-CN"/>
                <w14:textFill>
                  <w14:solidFill>
                    <w14:schemeClr w14:val="tx1"/>
                  </w14:solidFill>
                </w14:textFill>
              </w:rPr>
              <w:drawing>
                <wp:inline distT="0" distB="0" distL="114300" distR="114300">
                  <wp:extent cx="5150485" cy="396240"/>
                  <wp:effectExtent l="0" t="0" r="12065" b="3810"/>
                  <wp:docPr id="10" name="图片 10" descr="二级保护区扩建水电站规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二级保护区扩建水电站规定"/>
                          <pic:cNvPicPr>
                            <a:picLocks noChangeAspect="1"/>
                          </pic:cNvPicPr>
                        </pic:nvPicPr>
                        <pic:blipFill>
                          <a:blip r:embed="rId25"/>
                          <a:stretch>
                            <a:fillRect/>
                          </a:stretch>
                        </pic:blipFill>
                        <pic:spPr>
                          <a:xfrm>
                            <a:off x="0" y="0"/>
                            <a:ext cx="5150485" cy="396240"/>
                          </a:xfrm>
                          <a:prstGeom prst="rect">
                            <a:avLst/>
                          </a:prstGeom>
                        </pic:spPr>
                      </pic:pic>
                    </a:graphicData>
                  </a:graphic>
                </wp:inline>
              </w:drawing>
            </w:r>
          </w:p>
          <w:p w14:paraId="613F4C9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图2-</w:t>
            </w:r>
            <w:r>
              <w:rPr>
                <w:rFonts w:hint="eastAsia" w:ascii="Times New Roman" w:hAnsi="Times New Roman" w:cs="Times New Roman"/>
                <w:b/>
                <w:bCs/>
                <w:color w:val="000000" w:themeColor="text1"/>
                <w:lang w:val="en-US" w:eastAsia="zh-CN"/>
                <w14:textFill>
                  <w14:solidFill>
                    <w14:schemeClr w14:val="tx1"/>
                  </w14:solidFill>
                </w14:textFill>
              </w:rPr>
              <w:t>11</w:t>
            </w:r>
            <w:r>
              <w:rPr>
                <w:rFonts w:hint="default" w:ascii="Times New Roman" w:hAnsi="Times New Roman" w:eastAsia="宋体" w:cs="Times New Roman"/>
                <w:b/>
                <w:bCs/>
                <w:color w:val="000000" w:themeColor="text1"/>
                <w:lang w:val="en-US" w:eastAsia="zh-CN"/>
                <w14:textFill>
                  <w14:solidFill>
                    <w14:schemeClr w14:val="tx1"/>
                  </w14:solidFill>
                </w14:textFill>
              </w:rPr>
              <w:t>取水头部施工工艺流程</w:t>
            </w:r>
          </w:p>
          <w:p w14:paraId="4A0ED6B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szCs w:val="24"/>
                <w:lang w:val="en-US" w:eastAsia="zh-CN" w:bidi="en-US"/>
                <w14:textFill>
                  <w14:solidFill>
                    <w14:schemeClr w14:val="tx1"/>
                  </w14:solidFill>
                </w14:textFill>
              </w:rPr>
            </w:pPr>
            <w:r>
              <w:rPr>
                <w:rFonts w:hint="default" w:ascii="Times New Roman" w:hAnsi="Times New Roman" w:eastAsia="宋体" w:cs="Times New Roman"/>
                <w:b/>
                <w:color w:val="000000" w:themeColor="text1"/>
                <w:sz w:val="24"/>
                <w:szCs w:val="24"/>
                <w:lang w:val="en-US" w:eastAsia="zh-CN" w:bidi="en-US"/>
                <w14:textFill>
                  <w14:solidFill>
                    <w14:schemeClr w14:val="tx1"/>
                  </w14:solidFill>
                </w14:textFill>
              </w:rPr>
              <w:t>4、</w:t>
            </w:r>
            <w:r>
              <w:rPr>
                <w:rFonts w:hint="default" w:ascii="Times New Roman" w:hAnsi="Times New Roman" w:eastAsia="宋体" w:cs="Times New Roman"/>
                <w:b/>
                <w:color w:val="000000" w:themeColor="text1"/>
                <w:sz w:val="24"/>
                <w:szCs w:val="24"/>
                <w:lang w:bidi="en-US"/>
                <w14:textFill>
                  <w14:solidFill>
                    <w14:schemeClr w14:val="tx1"/>
                  </w14:solidFill>
                </w14:textFill>
              </w:rPr>
              <w:t>管线工程施工</w:t>
            </w:r>
            <w:r>
              <w:rPr>
                <w:rFonts w:hint="default" w:ascii="Times New Roman" w:hAnsi="Times New Roman" w:eastAsia="宋体" w:cs="Times New Roman"/>
                <w:b/>
                <w:color w:val="000000" w:themeColor="text1"/>
                <w:sz w:val="24"/>
                <w:szCs w:val="24"/>
                <w:lang w:val="en-US" w:eastAsia="zh-CN" w:bidi="en-US"/>
                <w14:textFill>
                  <w14:solidFill>
                    <w14:schemeClr w14:val="tx1"/>
                  </w14:solidFill>
                </w14:textFill>
              </w:rPr>
              <w:t>工艺流程</w:t>
            </w:r>
          </w:p>
          <w:p w14:paraId="04A1F8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管线工程主要的施工内容为供水、配水管的敷设，敷设过程应按照开挖、安装、测试、回填的顺序进行。</w:t>
            </w:r>
          </w:p>
          <w:p w14:paraId="529E9253">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路线清理：项目路线清理范围为管道沿线35m范围内。路线清理过程中主要产生扬尘、噪声和废弃的地表植被。</w:t>
            </w:r>
          </w:p>
          <w:p w14:paraId="21C7B7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管道开挖：原水管线开挖方式采用机械开挖，开挖作业范围控制在管道沿线35m范围内，管沟开挖宽度1.2m，开挖深度1.8m。开挖管沟应达到设计图纸挖深的要求，沟壁应顺直，转弯处应圆顺，沟底应平整，无石块，树根或其他坚硬物，沟壁不得有欲坠的石头。项目管道开挖采用人力及机械施工的作业方式，作业带宽度为2~3m。</w:t>
            </w:r>
          </w:p>
          <w:p w14:paraId="0ACD8C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采用分层开挖、分层堆放，即表土、开挖土方、开挖石方分别堆放，便于后期分层回填。管道沟槽开挖时，沟槽一侧用于临时堆放开挖土方，表层土在下，底层土在上；另一侧用于修建施工道路、管道临时存放以及施工机械布置。</w:t>
            </w:r>
          </w:p>
          <w:p w14:paraId="0B8A7D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土方开挖采用人工开挖，并堆放两侧。石方开挖采用手风钻造孔，人工撬挖，沟槽底部人工修坡正平，人工装车，机动翻斗车运输。沟槽开挖成形后，对于基础为岩石的管段，采用10cm厚中粗砂回填，采用蛙夯夯填密实，表面平整；对于基础为原状土的管段，直接将管沟表面平整。</w:t>
            </w:r>
          </w:p>
          <w:p w14:paraId="778D35B5">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管沟开挖过程中主要产生扬尘、噪声和废弃土石方。</w:t>
            </w:r>
          </w:p>
          <w:p w14:paraId="41D3D1D1">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管道焊接：</w:t>
            </w:r>
            <w:r>
              <w:rPr>
                <w:rFonts w:hint="default" w:ascii="Times New Roman" w:hAnsi="Times New Roman" w:eastAsia="宋体" w:cs="Times New Roman"/>
                <w:color w:val="000000" w:themeColor="text1"/>
                <w:kern w:val="0"/>
                <w:sz w:val="24"/>
                <w:szCs w:val="24"/>
                <w14:textFill>
                  <w14:solidFill>
                    <w14:schemeClr w14:val="tx1"/>
                  </w14:solidFill>
                </w14:textFill>
              </w:rPr>
              <w:t>管道的安装在管沟土石方工程施工的同时，及时做好施工各项准备，施工人员和机械及时进场，施工人员熟悉施工图和本方案的技术要求，对管材及成品管件及时组织进厂验收，一旦管沟成型，经基础验收合格以后及时进行管道安装工作。</w:t>
            </w:r>
          </w:p>
          <w:p w14:paraId="13876D41">
            <w:pPr>
              <w:spacing w:line="360" w:lineRule="auto"/>
              <w:ind w:firstLine="480" w:firstLineChars="200"/>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管材和管件的验收对管件进场后的质量标准进行检验。管材应质地良好、管道内外壁应光洁、平整无裂纹、无脱皮和无明显痕纹凹陷，管材的色泽基本一致。管材轴向不得有异向弯曲，管端口必须平整，并且垂直于轴线。为了保证管的安装质量，管材和管件检验合格后，应加标识堆放。不合格的管材和管件应退回生产厂家，不合格的管材、管件不准使用。</w:t>
            </w:r>
          </w:p>
          <w:p w14:paraId="217B1281">
            <w:pPr>
              <w:spacing w:line="360" w:lineRule="auto"/>
              <w:ind w:firstLine="480" w:firstLineChars="200"/>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管道安装要求：</w:t>
            </w:r>
          </w:p>
          <w:p w14:paraId="77CC9910">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A.管沟开挖成型后，管基施工经监理验收后，可进行管道的安装工作</w:t>
            </w:r>
            <w:r>
              <w:rPr>
                <w:rFonts w:hint="default" w:ascii="Times New Roman" w:hAnsi="Times New Roman" w:eastAsia="宋体" w:cs="Times New Roman"/>
                <w:color w:val="000000" w:themeColor="text1"/>
                <w:sz w:val="24"/>
                <w:szCs w:val="24"/>
                <w14:textFill>
                  <w14:solidFill>
                    <w14:schemeClr w14:val="tx1"/>
                  </w14:solidFill>
                </w14:textFill>
              </w:rPr>
              <w:t>。</w:t>
            </w:r>
          </w:p>
          <w:p w14:paraId="28F3B0B1">
            <w:pPr>
              <w:spacing w:line="360" w:lineRule="auto"/>
              <w:ind w:firstLine="480" w:firstLineChars="200"/>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B.管道下沟后，在管道对口时不能发生位移，保证管口对接的严密性。</w:t>
            </w:r>
          </w:p>
          <w:p w14:paraId="6B4BF646">
            <w:pPr>
              <w:spacing w:line="360" w:lineRule="auto"/>
              <w:ind w:firstLine="480" w:firstLineChars="200"/>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C.安装时，清洗干净管口内侧和外口外侧，法兰与管道连接处于自由受力状态进行法兰焊接，螺栓紧固。</w:t>
            </w:r>
          </w:p>
          <w:p w14:paraId="32BD0191">
            <w:pPr>
              <w:spacing w:line="360" w:lineRule="auto"/>
              <w:ind w:firstLine="480" w:firstLineChars="200"/>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D.安装前根据管的安装特征在管口处用尺子画出安装线位置，以控制安装长度。</w:t>
            </w:r>
          </w:p>
          <w:p w14:paraId="53057843">
            <w:pPr>
              <w:spacing w:line="360" w:lineRule="auto"/>
              <w:ind w:firstLine="480" w:firstLineChars="200"/>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E.安装时保证两根管节在同一条直线上。</w:t>
            </w:r>
          </w:p>
          <w:p w14:paraId="363AA9A3">
            <w:pPr>
              <w:spacing w:line="360" w:lineRule="auto"/>
              <w:ind w:firstLine="482" w:firstLineChars="200"/>
              <w:rPr>
                <w:rFonts w:hint="default" w:ascii="Times New Roman" w:hAnsi="Times New Roman" w:eastAsia="宋体" w:cs="Times New Roman"/>
                <w:b/>
                <w:bCs/>
                <w:i/>
                <w:iCs/>
                <w:color w:val="000000" w:themeColor="text1"/>
                <w:kern w:val="0"/>
                <w:sz w:val="24"/>
                <w:szCs w:val="24"/>
                <w14:textFill>
                  <w14:solidFill>
                    <w14:schemeClr w14:val="tx1"/>
                  </w14:solidFill>
                </w14:textFill>
              </w:rPr>
            </w:pPr>
            <w:r>
              <w:rPr>
                <w:rFonts w:hint="default" w:ascii="Times New Roman" w:hAnsi="Times New Roman" w:eastAsia="宋体" w:cs="Times New Roman"/>
                <w:b/>
                <w:bCs/>
                <w:i/>
                <w:iCs/>
                <w:color w:val="000000" w:themeColor="text1"/>
                <w:kern w:val="0"/>
                <w:sz w:val="24"/>
                <w:szCs w:val="24"/>
                <w14:textFill>
                  <w14:solidFill>
                    <w14:schemeClr w14:val="tx1"/>
                  </w14:solidFill>
                </w14:textFill>
              </w:rPr>
              <w:t>此过程</w:t>
            </w:r>
            <w:r>
              <w:rPr>
                <w:rFonts w:hint="default" w:ascii="Times New Roman" w:hAnsi="Times New Roman" w:eastAsia="宋体" w:cs="Times New Roman"/>
                <w:b/>
                <w:bCs/>
                <w:i/>
                <w:iCs/>
                <w:color w:val="000000" w:themeColor="text1"/>
                <w:sz w:val="24"/>
                <w:szCs w:val="24"/>
                <w14:textFill>
                  <w14:solidFill>
                    <w14:schemeClr w14:val="tx1"/>
                  </w14:solidFill>
                </w14:textFill>
              </w:rPr>
              <w:t>产生的主要污染物为</w:t>
            </w:r>
            <w:r>
              <w:rPr>
                <w:rFonts w:hint="default" w:ascii="Times New Roman" w:hAnsi="Times New Roman" w:eastAsia="宋体" w:cs="Times New Roman"/>
                <w:b/>
                <w:bCs/>
                <w:i/>
                <w:iCs/>
                <w:color w:val="000000" w:themeColor="text1"/>
                <w:kern w:val="0"/>
                <w:sz w:val="24"/>
                <w:szCs w:val="24"/>
                <w14:textFill>
                  <w14:solidFill>
                    <w14:schemeClr w14:val="tx1"/>
                  </w14:solidFill>
                </w14:textFill>
              </w:rPr>
              <w:t>扬尘、焊接烟尘、施工废水、噪声、固废。</w:t>
            </w:r>
          </w:p>
          <w:p w14:paraId="095EC59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③管道配件检验安装</w:t>
            </w:r>
          </w:p>
          <w:p w14:paraId="36EA3B54">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管道配件的型号、规格符合设计外形无损伤，配件完整。对所选用每批配件按10%且不少一个，进行壳体压力试验和密封试验，当不合格时，加倍抽检，仍不合格时，此批配件不得使用。检验合格的配件挂上标志编号按设计图位号进行安装。</w:t>
            </w:r>
          </w:p>
          <w:p w14:paraId="7A4773D8">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A.配件安装，应处于管道关闭位置。</w:t>
            </w:r>
          </w:p>
          <w:p w14:paraId="3439BFA1">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B.配件与法兰临时加螺栓连接，吊装于所处位置，吊运中不能碰伤。</w:t>
            </w:r>
          </w:p>
          <w:p w14:paraId="58ADB8A7">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C.法兰与管道点焊固位，做到配件内无杂物堵塞，手轮处于便于操作的位置，安装的配件应整洁美观。</w:t>
            </w:r>
          </w:p>
          <w:p w14:paraId="3AF58E0E">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D.将法兰、配件和管线调整同轴，法兰与管道连接处于自由受力状态进行法兰焊接，螺栓紧固。</w:t>
            </w:r>
          </w:p>
          <w:p w14:paraId="1279FD54">
            <w:pPr>
              <w:spacing w:line="360" w:lineRule="auto"/>
              <w:ind w:firstLine="480" w:firstLineChars="200"/>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E.配件安装后，做空载启闭试验，做到启闭灵活、关闭严密</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14:paraId="24773187">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⑤阀门井的砌筑</w:t>
            </w:r>
          </w:p>
          <w:p w14:paraId="323E514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A.安装管道时，准确地测定井的位置。</w:t>
            </w:r>
          </w:p>
          <w:p w14:paraId="66C130C3">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B.砌筑时认真操作，管理人员严格检查，选用同厂同规格的合格砖，砌体上下错缝，内外搭砌、灰缝均匀一致，水平灰缝凹面灰缝，宜取5—8cm，井里口竖向灰缝宽度不小于5mm，边铺浆边上砖，一揉一挤，使竖缝进浆，收口时，层层用尺测量，每层收进尺寸，四面收口时不大于3cm，三面收口时不大于4cm，保证收口质量。</w:t>
            </w:r>
          </w:p>
          <w:p w14:paraId="6B900920">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C.安装井盖时，井墙必须清理干净，湿润后，在井盖与井墙之间摊铺水泥浆后稳井盖，露出地面部分的检查井，周围浇筑注砼，压实抹光。</w:t>
            </w:r>
          </w:p>
          <w:p w14:paraId="036E0B94">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原水清水管线均采用钢管，管线预转折处需采用焊接处理，焊接工艺均采用人工氧弧焊焊接，焊接过程中会产生焊接粉尘、噪声。</w:t>
            </w:r>
          </w:p>
          <w:p w14:paraId="18598444">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下管入沟：将焊接好的清水管道采用吊车放入已开挖好的管沟。管沟下放过程中主要产生机械噪声。</w:t>
            </w:r>
          </w:p>
          <w:p w14:paraId="3333A374">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试压运行：管道下放完毕后，进行管道试压，确认管道密封完好，试压采用分段试压，试压用水采用供水水源原水，试压废水就近用于周边洒水降尘或林木浇灌，不外排。试压过程中主要产生试压废水及临时加压水泵噪声。</w:t>
            </w:r>
          </w:p>
          <w:p w14:paraId="2D2C2F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lang w:bidi="en-US"/>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土石方回填：经试压合格后的管道进行土石方回填，</w:t>
            </w:r>
            <w:r>
              <w:rPr>
                <w:rFonts w:hint="default" w:ascii="Times New Roman" w:hAnsi="Times New Roman" w:eastAsia="宋体" w:cs="Times New Roman"/>
                <w:bCs/>
                <w:color w:val="000000" w:themeColor="text1"/>
                <w:sz w:val="24"/>
                <w:szCs w:val="24"/>
                <w:lang w:bidi="en-US"/>
                <w14:textFill>
                  <w14:solidFill>
                    <w14:schemeClr w14:val="tx1"/>
                  </w14:solidFill>
                </w14:textFill>
              </w:rPr>
              <w:t>沟槽回填应在管道安装验收合格后进行。回填前必须清除槽底及管身周围的杂物。回填时沟槽不得有积水，严禁带水回填。凡具备回填条件，均应及时回填，防止管道及沟槽长时间暴露造成管道损坏，边坡坍塌等情况。</w:t>
            </w:r>
          </w:p>
          <w:p w14:paraId="64EEA7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24"/>
                <w:lang w:bidi="en-US"/>
                <w14:textFill>
                  <w14:solidFill>
                    <w14:schemeClr w14:val="tx1"/>
                  </w14:solidFill>
                </w14:textFill>
              </w:rPr>
            </w:pPr>
            <w:r>
              <w:rPr>
                <w:rFonts w:hint="default" w:ascii="Times New Roman" w:hAnsi="Times New Roman" w:eastAsia="宋体" w:cs="Times New Roman"/>
                <w:bCs/>
                <w:color w:val="000000" w:themeColor="text1"/>
                <w:sz w:val="24"/>
                <w:szCs w:val="24"/>
                <w:lang w:bidi="en-US"/>
                <w14:textFill>
                  <w14:solidFill>
                    <w14:schemeClr w14:val="tx1"/>
                  </w14:solidFill>
                </w14:textFill>
              </w:rPr>
              <w:t>沟槽回填包括铺土、摊平和夯实等施工过程。槽底至管顶以上0.5m范围内的回填土，不得含有各种杂物、杂土以及粒径大于50mm的砖石等硬块。</w:t>
            </w:r>
          </w:p>
          <w:p w14:paraId="6F7FEF1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lang w:bidi="en-US"/>
                <w14:textFill>
                  <w14:solidFill>
                    <w14:schemeClr w14:val="tx1"/>
                  </w14:solidFill>
                </w14:textFill>
              </w:rPr>
              <w:t>回填时应按基坑排水方向由上游向下游分层进行，沟槽底至管顶以上50cm范围内采用人工还土，管道两侧回填土应同时上升，每层虚铺厚度不应超过25cm，人工摊平和压实。超过管顶50cm以上可采用推土机还土，每层虚铺厚度不应超过30cm。回填土的压实遍数，应按回填土的要求压实度、采用的压实工具、回填土虚铺厚度和含水量等经现场试验确定</w:t>
            </w:r>
            <w:r>
              <w:rPr>
                <w:rFonts w:hint="default" w:ascii="Times New Roman" w:hAnsi="Times New Roman" w:eastAsia="宋体" w:cs="Times New Roman"/>
                <w:color w:val="000000" w:themeColor="text1"/>
                <w:sz w:val="24"/>
                <w:szCs w:val="24"/>
                <w14:textFill>
                  <w14:solidFill>
                    <w14:schemeClr w14:val="tx1"/>
                  </w14:solidFill>
                </w14:textFill>
              </w:rPr>
              <w:t>。</w:t>
            </w:r>
          </w:p>
          <w:p w14:paraId="64E572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土石方回填过程中产生扬尘、噪声及废弃土石方。</w:t>
            </w:r>
          </w:p>
          <w:p w14:paraId="635F98F5">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植被恢复：土石方回填完毕后，对管道沿线进行植被恢复，恢复植被采用当地潜根植被恢复，灌草结合，管道两侧5m范围内禁止采用深根植被及乔木。植被恢复过程中主要产生扬尘噪声及废弃土石方。</w:t>
            </w:r>
          </w:p>
          <w:p w14:paraId="526E3D6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lang w:bidi="en-US"/>
                <w14:textFill>
                  <w14:solidFill>
                    <w14:schemeClr w14:val="tx1"/>
                  </w14:solidFill>
                </w14:textFill>
              </w:rPr>
              <w:t>项目施工期管线工程施工工艺流程具体见下图所示。</w:t>
            </w:r>
          </w:p>
          <w:p w14:paraId="6A76C498">
            <w:pPr>
              <w:autoSpaceDE w:val="0"/>
              <w:autoSpaceDN w:val="0"/>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drawing>
                <wp:inline distT="0" distB="0" distL="114300" distR="114300">
                  <wp:extent cx="4401820" cy="2376170"/>
                  <wp:effectExtent l="0" t="0" r="17780" b="508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6"/>
                          <a:stretch>
                            <a:fillRect/>
                          </a:stretch>
                        </pic:blipFill>
                        <pic:spPr>
                          <a:xfrm>
                            <a:off x="0" y="0"/>
                            <a:ext cx="4401820" cy="2376170"/>
                          </a:xfrm>
                          <a:prstGeom prst="rect">
                            <a:avLst/>
                          </a:prstGeom>
                          <a:noFill/>
                          <a:ln>
                            <a:noFill/>
                          </a:ln>
                        </pic:spPr>
                      </pic:pic>
                    </a:graphicData>
                  </a:graphic>
                </wp:inline>
              </w:drawing>
            </w:r>
          </w:p>
          <w:p w14:paraId="3CA590A4">
            <w:pPr>
              <w:pStyle w:val="155"/>
              <w:numPr>
                <w:ilvl w:val="0"/>
                <w:numId w:val="0"/>
              </w:numPr>
              <w:spacing w:line="360" w:lineRule="auto"/>
              <w:ind w:left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图2-</w:t>
            </w:r>
            <w:r>
              <w:rPr>
                <w:rFonts w:hint="eastAsia" w:ascii="Times New Roman" w:hAnsi="Times New Roman" w:cs="Times New Roman"/>
                <w:b/>
                <w:bCs/>
                <w:color w:val="000000" w:themeColor="text1"/>
                <w:sz w:val="21"/>
                <w:szCs w:val="21"/>
                <w:lang w:val="en-US" w:eastAsia="zh-CN"/>
                <w14:textFill>
                  <w14:solidFill>
                    <w14:schemeClr w14:val="tx1"/>
                  </w14:solidFill>
                </w14:textFill>
              </w:rPr>
              <w:t>12</w:t>
            </w:r>
            <w:r>
              <w:rPr>
                <w:rFonts w:hint="default" w:ascii="Times New Roman" w:hAnsi="Times New Roman" w:eastAsia="宋体" w:cs="Times New Roman"/>
                <w:b/>
                <w:bCs/>
                <w:color w:val="000000" w:themeColor="text1"/>
                <w:sz w:val="21"/>
                <w:szCs w:val="21"/>
                <w14:textFill>
                  <w14:solidFill>
                    <w14:schemeClr w14:val="tx1"/>
                  </w14:solidFill>
                </w14:textFill>
              </w:rPr>
              <w:t>项目管线工程施工施工工艺及产污环节示意图</w:t>
            </w:r>
          </w:p>
          <w:p w14:paraId="3B7B9137">
            <w:pPr>
              <w:spacing w:line="360" w:lineRule="auto"/>
              <w:ind w:firstLine="482" w:firstLineChars="200"/>
              <w:rPr>
                <w:rFonts w:hint="default" w:ascii="Times New Roman" w:hAnsi="Times New Roman" w:eastAsia="宋体" w:cs="Times New Roman"/>
                <w:b/>
                <w:color w:val="000000" w:themeColor="text1"/>
                <w:sz w:val="24"/>
                <w:szCs w:val="24"/>
                <w:lang w:bidi="en-US"/>
                <w14:textFill>
                  <w14:solidFill>
                    <w14:schemeClr w14:val="tx1"/>
                  </w14:solidFill>
                </w14:textFill>
              </w:rPr>
            </w:pPr>
            <w:r>
              <w:rPr>
                <w:rFonts w:hint="default" w:ascii="Times New Roman" w:hAnsi="Times New Roman" w:eastAsia="宋体" w:cs="Times New Roman"/>
                <w:b/>
                <w:color w:val="000000" w:themeColor="text1"/>
                <w:sz w:val="24"/>
                <w:szCs w:val="24"/>
                <w:lang w:bidi="en-US"/>
                <w14:textFill>
                  <w14:solidFill>
                    <w14:schemeClr w14:val="tx1"/>
                  </w14:solidFill>
                </w14:textFill>
              </w:rPr>
              <w:t>（4）管线铺设方式</w:t>
            </w:r>
          </w:p>
          <w:p w14:paraId="2998024F">
            <w:pPr>
              <w:spacing w:line="360" w:lineRule="auto"/>
              <w:ind w:firstLine="482"/>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项目输水、配水管网除岩石地基地区和山区且无防冻要求外，应埋置于地下。在覆盖层很浅或基岩出露的地区可浅沟埋设。管顶覆土应根据冰冻情况、外部荷载、管材强度、土壤地基、与其他管道交叉等因素确定。非冰冻地区，在松散岩层中，管顶覆土深度不宜小于0.7m，在基岩风化层上埋设时，管顶覆土深度不应小于0.5m，寒冷地区，管顶最小覆土深度应位于土壤冰冻线以下0.15m；穿越道路、农田或沿道路铺设时，管顶覆土不宜小于1.0m。</w:t>
            </w:r>
          </w:p>
          <w:p w14:paraId="0863DEC8">
            <w:pPr>
              <w:spacing w:line="360" w:lineRule="auto"/>
              <w:ind w:firstLine="482"/>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管道应埋设在未经扰动的原状土层上，管道周围0.2m范围内应用细土回填；回填土的压实系数不应小于0.9。在承载力达不到设计要求的软地基上埋设管道应进行地基处理，在岩石或半岩石地基上埋设管道应铺设砂垫层，砂垫层厚度不应小于0.1m。沟槽回填从管底基础部分开始到管顶以上0.5m范围内，应采用人工回填；管顶0.5m以上部位，可用机械从管道轴线两侧同时穷实，每层回填厚度不大于0.2m。</w:t>
            </w:r>
          </w:p>
          <w:p w14:paraId="6698E733">
            <w:pPr>
              <w:spacing w:line="360" w:lineRule="auto"/>
              <w:ind w:firstLine="482"/>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根据项目初设及建设单位介绍，管线全部采用地埋形式。</w:t>
            </w:r>
          </w:p>
          <w:p w14:paraId="403613F1">
            <w:pPr>
              <w:spacing w:line="360" w:lineRule="auto"/>
              <w:ind w:firstLine="482" w:firstLineChars="200"/>
              <w:rPr>
                <w:rFonts w:hint="default" w:ascii="Times New Roman" w:hAnsi="Times New Roman" w:eastAsia="宋体" w:cs="Times New Roman"/>
                <w:b/>
                <w:color w:val="000000" w:themeColor="text1"/>
                <w:sz w:val="24"/>
                <w:szCs w:val="22"/>
                <w:lang w:bidi="en-US"/>
                <w14:textFill>
                  <w14:solidFill>
                    <w14:schemeClr w14:val="tx1"/>
                  </w14:solidFill>
                </w14:textFill>
              </w:rPr>
            </w:pPr>
            <w:r>
              <w:rPr>
                <w:rFonts w:hint="default" w:ascii="Times New Roman" w:hAnsi="Times New Roman" w:eastAsia="宋体" w:cs="Times New Roman"/>
                <w:b/>
                <w:color w:val="000000" w:themeColor="text1"/>
                <w:sz w:val="24"/>
                <w:szCs w:val="22"/>
                <w:lang w:bidi="en-US"/>
                <w14:textFill>
                  <w14:solidFill>
                    <w14:schemeClr w14:val="tx1"/>
                  </w14:solidFill>
                </w14:textFill>
              </w:rPr>
              <w:t>（5）管线穿路工程施工</w:t>
            </w:r>
          </w:p>
          <w:p w14:paraId="3C1D9D41">
            <w:pPr>
              <w:spacing w:line="360" w:lineRule="auto"/>
              <w:ind w:firstLine="482"/>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①</w:t>
            </w:r>
            <w:r>
              <w:rPr>
                <w:rFonts w:hint="eastAsia" w:ascii="Times New Roman" w:hAnsi="Times New Roman" w:cs="Times New Roman"/>
                <w:bCs/>
                <w:color w:val="000000" w:themeColor="text1"/>
                <w:sz w:val="24"/>
                <w:szCs w:val="24"/>
                <w:lang w:val="en-US" w:eastAsia="zh-CN"/>
                <w14:textFill>
                  <w14:solidFill>
                    <w14:schemeClr w14:val="tx1"/>
                  </w14:solidFill>
                </w14:textFill>
              </w:rPr>
              <w:t>输水</w:t>
            </w:r>
            <w:r>
              <w:rPr>
                <w:rFonts w:hint="default" w:ascii="Times New Roman" w:hAnsi="Times New Roman" w:eastAsia="宋体" w:cs="Times New Roman"/>
                <w:bCs/>
                <w:color w:val="000000" w:themeColor="text1"/>
                <w:sz w:val="24"/>
                <w:szCs w:val="24"/>
                <w14:textFill>
                  <w14:solidFill>
                    <w14:schemeClr w14:val="tx1"/>
                  </w14:solidFill>
                </w14:textFill>
              </w:rPr>
              <w:t>管道穿路工程施工</w:t>
            </w:r>
          </w:p>
          <w:p w14:paraId="406AA745">
            <w:pPr>
              <w:spacing w:line="360" w:lineRule="auto"/>
              <w:ind w:firstLine="482"/>
              <w:rPr>
                <w:rFonts w:hint="eastAsia" w:ascii="Times New Roman" w:hAnsi="Times New Roman" w:cs="Times New Roman"/>
                <w:bCs/>
                <w:color w:val="000000" w:themeColor="text1"/>
                <w:sz w:val="24"/>
                <w:szCs w:val="24"/>
                <w:lang w:eastAsia="zh-CN"/>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本工程输水管道</w:t>
            </w:r>
            <w:r>
              <w:rPr>
                <w:rFonts w:hint="default" w:ascii="Times New Roman" w:hAnsi="Times New Roman" w:eastAsia="宋体" w:cs="Times New Roman"/>
                <w:bCs/>
                <w:color w:val="000000" w:themeColor="text1"/>
                <w:sz w:val="24"/>
                <w:szCs w:val="24"/>
                <w:lang w:val="en-US" w:eastAsia="zh-CN"/>
                <w14:textFill>
                  <w14:solidFill>
                    <w14:schemeClr w14:val="tx1"/>
                  </w14:solidFill>
                </w14:textFill>
              </w:rPr>
              <w:t>不穿越河流，</w:t>
            </w:r>
            <w:r>
              <w:rPr>
                <w:rFonts w:hint="default" w:ascii="Times New Roman" w:hAnsi="Times New Roman" w:eastAsia="宋体" w:cs="Times New Roman"/>
                <w:bCs/>
                <w:color w:val="000000" w:themeColor="text1"/>
                <w:sz w:val="24"/>
                <w:szCs w:val="24"/>
                <w14:textFill>
                  <w14:solidFill>
                    <w14:schemeClr w14:val="tx1"/>
                  </w14:solidFill>
                </w14:textFill>
              </w:rPr>
              <w:t>需要穿越的障碍物主要为道路本工程共涉及6处管道穿路位置</w:t>
            </w:r>
            <w:r>
              <w:rPr>
                <w:rFonts w:hint="eastAsia" w:ascii="Times New Roman" w:hAnsi="Times New Roman" w:cs="Times New Roman"/>
                <w:bCs/>
                <w:color w:val="000000" w:themeColor="text1"/>
                <w:sz w:val="24"/>
                <w:szCs w:val="24"/>
                <w:lang w:eastAsia="zh-CN"/>
                <w14:textFill>
                  <w14:solidFill>
                    <w14:schemeClr w14:val="tx1"/>
                  </w14:solidFill>
                </w14:textFill>
              </w:rPr>
              <w:t>。</w:t>
            </w:r>
          </w:p>
          <w:p w14:paraId="336ED4C4">
            <w:pPr>
              <w:spacing w:line="360" w:lineRule="auto"/>
              <w:ind w:firstLine="482"/>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施工对交通及周围环境的影响较小，</w:t>
            </w:r>
            <w:r>
              <w:rPr>
                <w:rFonts w:hint="eastAsia" w:ascii="Times New Roman" w:hAnsi="Times New Roman" w:cs="Times New Roman"/>
                <w:bCs/>
                <w:color w:val="000000" w:themeColor="text1"/>
                <w:sz w:val="24"/>
                <w:szCs w:val="24"/>
                <w:lang w:val="en-US" w:eastAsia="zh-CN"/>
                <w14:textFill>
                  <w14:solidFill>
                    <w14:schemeClr w14:val="tx1"/>
                  </w14:solidFill>
                </w14:textFill>
              </w:rPr>
              <w:t>对于穿越道路的管线段，</w:t>
            </w:r>
            <w:r>
              <w:rPr>
                <w:rFonts w:hint="default" w:ascii="Times New Roman" w:hAnsi="Times New Roman" w:eastAsia="宋体" w:cs="Times New Roman"/>
                <w:bCs/>
                <w:color w:val="000000" w:themeColor="text1"/>
                <w:sz w:val="24"/>
                <w:szCs w:val="24"/>
                <w14:textFill>
                  <w14:solidFill>
                    <w14:schemeClr w14:val="tx1"/>
                  </w14:solidFill>
                </w14:textFill>
              </w:rPr>
              <w:t>穿越道路时，采用明挖施工。明挖施工的交叉段输水管道考虑管道外增加套管，四周回填开挖料，顶面按原路基和路面标准（等级）恢复。</w:t>
            </w:r>
          </w:p>
          <w:p w14:paraId="72FFB40F">
            <w:pPr>
              <w:pStyle w:val="155"/>
              <w:numPr>
                <w:ilvl w:val="0"/>
                <w:numId w:val="17"/>
              </w:numPr>
              <w:spacing w:line="240" w:lineRule="auto"/>
              <w:ind w:left="440" w:leftChars="0" w:hanging="440" w:firstLineChars="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default" w:ascii="Times New Roman" w:hAnsi="Times New Roman" w:eastAsia="宋体" w:cs="Times New Roman"/>
                <w:b/>
                <w:color w:val="000000" w:themeColor="text1"/>
                <w:szCs w:val="21"/>
                <w:lang w:val="en-US" w:eastAsia="zh-CN"/>
                <w14:textFill>
                  <w14:solidFill>
                    <w14:schemeClr w14:val="tx1"/>
                  </w14:solidFill>
                </w14:textFill>
              </w:rPr>
              <w:t>本项目管线穿路工程一览表</w:t>
            </w:r>
          </w:p>
          <w:tbl>
            <w:tblPr>
              <w:tblStyle w:val="5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867"/>
              <w:gridCol w:w="901"/>
              <w:gridCol w:w="678"/>
              <w:gridCol w:w="634"/>
              <w:gridCol w:w="1094"/>
              <w:gridCol w:w="3486"/>
            </w:tblGrid>
            <w:tr w14:paraId="0628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8" w:type="pct"/>
                  <w:noWrap/>
                  <w:vAlign w:val="center"/>
                </w:tcPr>
                <w:p w14:paraId="218A759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序号</w:t>
                  </w:r>
                </w:p>
              </w:tc>
              <w:tc>
                <w:tcPr>
                  <w:tcW w:w="529" w:type="pct"/>
                  <w:noWrap/>
                  <w:vAlign w:val="center"/>
                </w:tcPr>
                <w:p w14:paraId="5BC4CDCD">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穿越公路类别</w:t>
                  </w:r>
                </w:p>
              </w:tc>
              <w:tc>
                <w:tcPr>
                  <w:tcW w:w="550" w:type="pct"/>
                  <w:noWrap/>
                  <w:vAlign w:val="center"/>
                </w:tcPr>
                <w:p w14:paraId="2BC95FE0">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规格</w:t>
                  </w:r>
                </w:p>
              </w:tc>
              <w:tc>
                <w:tcPr>
                  <w:tcW w:w="415" w:type="pct"/>
                  <w:noWrap/>
                  <w:vAlign w:val="center"/>
                </w:tcPr>
                <w:p w14:paraId="424A99E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单位</w:t>
                  </w:r>
                </w:p>
              </w:tc>
              <w:tc>
                <w:tcPr>
                  <w:tcW w:w="387" w:type="pct"/>
                  <w:noWrap/>
                  <w:vAlign w:val="center"/>
                </w:tcPr>
                <w:p w14:paraId="5B3D24C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数量</w:t>
                  </w:r>
                </w:p>
              </w:tc>
              <w:tc>
                <w:tcPr>
                  <w:tcW w:w="667" w:type="pct"/>
                  <w:noWrap/>
                  <w:vAlign w:val="center"/>
                </w:tcPr>
                <w:p w14:paraId="03BE680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穿越方式</w:t>
                  </w:r>
                </w:p>
              </w:tc>
              <w:tc>
                <w:tcPr>
                  <w:tcW w:w="2130" w:type="pct"/>
                  <w:noWrap/>
                  <w:vAlign w:val="center"/>
                </w:tcPr>
                <w:p w14:paraId="632EA521">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备注</w:t>
                  </w:r>
                </w:p>
              </w:tc>
            </w:tr>
            <w:tr w14:paraId="1A96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318" w:type="pct"/>
                  <w:noWrap/>
                  <w:vAlign w:val="center"/>
                </w:tcPr>
                <w:p w14:paraId="117EBA7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1</w:t>
                  </w:r>
                </w:p>
              </w:tc>
              <w:tc>
                <w:tcPr>
                  <w:tcW w:w="529" w:type="pct"/>
                  <w:noWrap/>
                  <w:vAlign w:val="center"/>
                </w:tcPr>
                <w:p w14:paraId="0E3E2F0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高速G4218</w:t>
                  </w:r>
                </w:p>
              </w:tc>
              <w:tc>
                <w:tcPr>
                  <w:tcW w:w="550" w:type="pct"/>
                  <w:noWrap/>
                  <w:vAlign w:val="center"/>
                </w:tcPr>
                <w:p w14:paraId="48D52258">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DN400</w:t>
                  </w:r>
                </w:p>
              </w:tc>
              <w:tc>
                <w:tcPr>
                  <w:tcW w:w="415" w:type="pct"/>
                  <w:noWrap/>
                  <w:vAlign w:val="center"/>
                </w:tcPr>
                <w:p w14:paraId="36223D98">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m</w:t>
                  </w:r>
                </w:p>
              </w:tc>
              <w:tc>
                <w:tcPr>
                  <w:tcW w:w="387" w:type="pct"/>
                  <w:noWrap/>
                  <w:vAlign w:val="center"/>
                </w:tcPr>
                <w:p w14:paraId="6D499C0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46</w:t>
                  </w:r>
                </w:p>
              </w:tc>
              <w:tc>
                <w:tcPr>
                  <w:tcW w:w="667" w:type="pct"/>
                  <w:noWrap/>
                  <w:vAlign w:val="center"/>
                </w:tcPr>
                <w:p w14:paraId="509C67DA">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下穿</w:t>
                  </w:r>
                </w:p>
              </w:tc>
              <w:tc>
                <w:tcPr>
                  <w:tcW w:w="2130" w:type="pct"/>
                  <w:noWrap/>
                  <w:vAlign w:val="center"/>
                </w:tcPr>
                <w:p w14:paraId="45641618">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高速为高架桥梁、管线敷设于下方沿既有村道铺设</w:t>
                  </w:r>
                </w:p>
              </w:tc>
            </w:tr>
            <w:tr w14:paraId="0B90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8" w:type="pct"/>
                  <w:noWrap/>
                  <w:vAlign w:val="center"/>
                </w:tcPr>
                <w:p w14:paraId="64E4FFF1">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2</w:t>
                  </w:r>
                </w:p>
              </w:tc>
              <w:tc>
                <w:tcPr>
                  <w:tcW w:w="529" w:type="pct"/>
                  <w:noWrap/>
                  <w:vAlign w:val="center"/>
                </w:tcPr>
                <w:p w14:paraId="7687C05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乡道</w:t>
                  </w:r>
                </w:p>
              </w:tc>
              <w:tc>
                <w:tcPr>
                  <w:tcW w:w="550" w:type="pct"/>
                  <w:noWrap/>
                  <w:vAlign w:val="center"/>
                </w:tcPr>
                <w:p w14:paraId="1C78ED2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DN400</w:t>
                  </w:r>
                </w:p>
              </w:tc>
              <w:tc>
                <w:tcPr>
                  <w:tcW w:w="415" w:type="pct"/>
                  <w:noWrap/>
                  <w:vAlign w:val="center"/>
                </w:tcPr>
                <w:p w14:paraId="7878581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m</w:t>
                  </w:r>
                </w:p>
              </w:tc>
              <w:tc>
                <w:tcPr>
                  <w:tcW w:w="387" w:type="pct"/>
                  <w:noWrap/>
                  <w:vAlign w:val="center"/>
                </w:tcPr>
                <w:p w14:paraId="7574B33C">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12</w:t>
                  </w:r>
                </w:p>
              </w:tc>
              <w:tc>
                <w:tcPr>
                  <w:tcW w:w="667" w:type="pct"/>
                  <w:noWrap/>
                  <w:vAlign w:val="center"/>
                </w:tcPr>
                <w:p w14:paraId="29DC9634">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下穿</w:t>
                  </w:r>
                </w:p>
              </w:tc>
              <w:tc>
                <w:tcPr>
                  <w:tcW w:w="2130" w:type="pct"/>
                  <w:noWrap/>
                  <w:vAlign w:val="center"/>
                </w:tcPr>
                <w:p w14:paraId="78A638B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明挖</w:t>
                  </w:r>
                  <w:r>
                    <w:rPr>
                      <w:rFonts w:hint="default" w:ascii="Times New Roman" w:hAnsi="Times New Roman" w:eastAsia="宋体" w:cs="Times New Roman"/>
                      <w:color w:val="000000" w:themeColor="text1"/>
                      <w:sz w:val="21"/>
                      <w:szCs w:val="32"/>
                      <w:lang w:val="en-US" w:eastAsia="zh-CN"/>
                      <w14:textFill>
                        <w14:solidFill>
                          <w14:schemeClr w14:val="tx1"/>
                        </w14:solidFill>
                      </w14:textFill>
                    </w:rPr>
                    <w:t>施工</w:t>
                  </w:r>
                </w:p>
              </w:tc>
            </w:tr>
            <w:tr w14:paraId="773A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8" w:type="pct"/>
                  <w:noWrap/>
                  <w:vAlign w:val="center"/>
                </w:tcPr>
                <w:p w14:paraId="29786835">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3</w:t>
                  </w:r>
                </w:p>
              </w:tc>
              <w:tc>
                <w:tcPr>
                  <w:tcW w:w="529" w:type="pct"/>
                  <w:noWrap/>
                  <w:vAlign w:val="center"/>
                </w:tcPr>
                <w:p w14:paraId="09F4AF2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高速连接线</w:t>
                  </w:r>
                </w:p>
              </w:tc>
              <w:tc>
                <w:tcPr>
                  <w:tcW w:w="550" w:type="pct"/>
                  <w:noWrap/>
                  <w:vAlign w:val="center"/>
                </w:tcPr>
                <w:p w14:paraId="6A7C900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DN400</w:t>
                  </w:r>
                </w:p>
              </w:tc>
              <w:tc>
                <w:tcPr>
                  <w:tcW w:w="415" w:type="pct"/>
                  <w:noWrap/>
                  <w:vAlign w:val="center"/>
                </w:tcPr>
                <w:p w14:paraId="4C086F53">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m</w:t>
                  </w:r>
                </w:p>
              </w:tc>
              <w:tc>
                <w:tcPr>
                  <w:tcW w:w="387" w:type="pct"/>
                  <w:noWrap/>
                  <w:vAlign w:val="center"/>
                </w:tcPr>
                <w:p w14:paraId="5F398DD1">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18</w:t>
                  </w:r>
                </w:p>
              </w:tc>
              <w:tc>
                <w:tcPr>
                  <w:tcW w:w="667" w:type="pct"/>
                  <w:noWrap/>
                  <w:vAlign w:val="center"/>
                </w:tcPr>
                <w:p w14:paraId="5BAC4034">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下穿</w:t>
                  </w:r>
                </w:p>
              </w:tc>
              <w:tc>
                <w:tcPr>
                  <w:tcW w:w="2130" w:type="pct"/>
                  <w:shd w:val="clear" w:color="auto" w:fill="auto"/>
                  <w:noWrap/>
                  <w:vAlign w:val="center"/>
                </w:tcPr>
                <w:p w14:paraId="36589C5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为高架桥梁、管线敷设于下方沿既有村道铺设</w:t>
                  </w:r>
                </w:p>
              </w:tc>
            </w:tr>
            <w:tr w14:paraId="460F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318" w:type="pct"/>
                  <w:noWrap/>
                  <w:vAlign w:val="center"/>
                </w:tcPr>
                <w:p w14:paraId="13B62A55">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4</w:t>
                  </w:r>
                </w:p>
              </w:tc>
              <w:tc>
                <w:tcPr>
                  <w:tcW w:w="529" w:type="pct"/>
                  <w:noWrap/>
                  <w:vAlign w:val="center"/>
                </w:tcPr>
                <w:p w14:paraId="265313C9">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村道</w:t>
                  </w:r>
                </w:p>
              </w:tc>
              <w:tc>
                <w:tcPr>
                  <w:tcW w:w="550" w:type="pct"/>
                  <w:noWrap/>
                  <w:vAlign w:val="center"/>
                </w:tcPr>
                <w:p w14:paraId="2F1FC44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DN400</w:t>
                  </w:r>
                </w:p>
              </w:tc>
              <w:tc>
                <w:tcPr>
                  <w:tcW w:w="415" w:type="pct"/>
                  <w:noWrap/>
                  <w:vAlign w:val="center"/>
                </w:tcPr>
                <w:p w14:paraId="562E3E45">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m</w:t>
                  </w:r>
                </w:p>
              </w:tc>
              <w:tc>
                <w:tcPr>
                  <w:tcW w:w="387" w:type="pct"/>
                  <w:noWrap/>
                  <w:vAlign w:val="center"/>
                </w:tcPr>
                <w:p w14:paraId="595DFE4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5</w:t>
                  </w:r>
                </w:p>
              </w:tc>
              <w:tc>
                <w:tcPr>
                  <w:tcW w:w="667" w:type="pct"/>
                  <w:noWrap/>
                  <w:vAlign w:val="center"/>
                </w:tcPr>
                <w:p w14:paraId="5AE20EAF">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下穿</w:t>
                  </w:r>
                </w:p>
              </w:tc>
              <w:tc>
                <w:tcPr>
                  <w:tcW w:w="2130" w:type="pct"/>
                  <w:noWrap/>
                  <w:vAlign w:val="center"/>
                </w:tcPr>
                <w:p w14:paraId="62B3E8A0">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明挖</w:t>
                  </w:r>
                  <w:r>
                    <w:rPr>
                      <w:rFonts w:hint="default" w:ascii="Times New Roman" w:hAnsi="Times New Roman" w:eastAsia="宋体" w:cs="Times New Roman"/>
                      <w:color w:val="000000" w:themeColor="text1"/>
                      <w:sz w:val="21"/>
                      <w:szCs w:val="32"/>
                      <w:lang w:val="en-US" w:eastAsia="zh-CN"/>
                      <w14:textFill>
                        <w14:solidFill>
                          <w14:schemeClr w14:val="tx1"/>
                        </w14:solidFill>
                      </w14:textFill>
                    </w:rPr>
                    <w:t>施工</w:t>
                  </w:r>
                </w:p>
              </w:tc>
            </w:tr>
            <w:tr w14:paraId="49FB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8" w:type="pct"/>
                  <w:noWrap/>
                  <w:vAlign w:val="center"/>
                </w:tcPr>
                <w:p w14:paraId="0FFDDF0D">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5</w:t>
                  </w:r>
                </w:p>
              </w:tc>
              <w:tc>
                <w:tcPr>
                  <w:tcW w:w="529" w:type="pct"/>
                  <w:noWrap/>
                  <w:vAlign w:val="center"/>
                </w:tcPr>
                <w:p w14:paraId="1426FCBB">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村道</w:t>
                  </w:r>
                </w:p>
              </w:tc>
              <w:tc>
                <w:tcPr>
                  <w:tcW w:w="550" w:type="pct"/>
                  <w:noWrap/>
                  <w:vAlign w:val="center"/>
                </w:tcPr>
                <w:p w14:paraId="2C3629B6">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DN400</w:t>
                  </w:r>
                </w:p>
              </w:tc>
              <w:tc>
                <w:tcPr>
                  <w:tcW w:w="415" w:type="pct"/>
                  <w:noWrap/>
                  <w:vAlign w:val="center"/>
                </w:tcPr>
                <w:p w14:paraId="42A748D3">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m</w:t>
                  </w:r>
                </w:p>
              </w:tc>
              <w:tc>
                <w:tcPr>
                  <w:tcW w:w="387" w:type="pct"/>
                  <w:noWrap/>
                  <w:vAlign w:val="center"/>
                </w:tcPr>
                <w:p w14:paraId="3D9E242A">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5</w:t>
                  </w:r>
                </w:p>
              </w:tc>
              <w:tc>
                <w:tcPr>
                  <w:tcW w:w="667" w:type="pct"/>
                  <w:noWrap/>
                  <w:vAlign w:val="center"/>
                </w:tcPr>
                <w:p w14:paraId="2938CD38">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下穿</w:t>
                  </w:r>
                </w:p>
              </w:tc>
              <w:tc>
                <w:tcPr>
                  <w:tcW w:w="2130" w:type="pct"/>
                  <w:noWrap/>
                  <w:vAlign w:val="center"/>
                </w:tcPr>
                <w:p w14:paraId="4F8D47B5">
                  <w:pPr>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明挖</w:t>
                  </w:r>
                  <w:r>
                    <w:rPr>
                      <w:rFonts w:hint="default" w:ascii="Times New Roman" w:hAnsi="Times New Roman" w:eastAsia="宋体" w:cs="Times New Roman"/>
                      <w:color w:val="000000" w:themeColor="text1"/>
                      <w:sz w:val="21"/>
                      <w:szCs w:val="32"/>
                      <w:lang w:val="en-US" w:eastAsia="zh-CN"/>
                      <w14:textFill>
                        <w14:solidFill>
                          <w14:schemeClr w14:val="tx1"/>
                        </w14:solidFill>
                      </w14:textFill>
                    </w:rPr>
                    <w:t>施工</w:t>
                  </w:r>
                </w:p>
              </w:tc>
            </w:tr>
            <w:tr w14:paraId="6C56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8" w:type="pct"/>
                  <w:noWrap/>
                  <w:vAlign w:val="center"/>
                </w:tcPr>
                <w:p w14:paraId="207EEA3A">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6</w:t>
                  </w:r>
                </w:p>
              </w:tc>
              <w:tc>
                <w:tcPr>
                  <w:tcW w:w="529" w:type="pct"/>
                  <w:noWrap/>
                  <w:vAlign w:val="center"/>
                </w:tcPr>
                <w:p w14:paraId="0771297E">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乡道</w:t>
                  </w:r>
                </w:p>
              </w:tc>
              <w:tc>
                <w:tcPr>
                  <w:tcW w:w="550" w:type="pct"/>
                  <w:noWrap/>
                  <w:vAlign w:val="center"/>
                </w:tcPr>
                <w:p w14:paraId="68DFE1B3">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DN400</w:t>
                  </w:r>
                </w:p>
              </w:tc>
              <w:tc>
                <w:tcPr>
                  <w:tcW w:w="415" w:type="pct"/>
                  <w:noWrap/>
                  <w:vAlign w:val="center"/>
                </w:tcPr>
                <w:p w14:paraId="6AA9B6E5">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m</w:t>
                  </w:r>
                </w:p>
              </w:tc>
              <w:tc>
                <w:tcPr>
                  <w:tcW w:w="387" w:type="pct"/>
                  <w:noWrap/>
                  <w:vAlign w:val="center"/>
                </w:tcPr>
                <w:p w14:paraId="16FE1C97">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12</w:t>
                  </w:r>
                </w:p>
              </w:tc>
              <w:tc>
                <w:tcPr>
                  <w:tcW w:w="667" w:type="pct"/>
                  <w:noWrap/>
                  <w:vAlign w:val="center"/>
                </w:tcPr>
                <w:p w14:paraId="2A1F3BFF">
                  <w:pPr>
                    <w:pStyle w:val="117"/>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default" w:ascii="Times New Roman" w:hAnsi="Times New Roman" w:eastAsia="宋体" w:cs="Times New Roman"/>
                      <w:color w:val="000000" w:themeColor="text1"/>
                      <w:sz w:val="21"/>
                      <w:szCs w:val="32"/>
                      <w:lang w:val="en-US" w:eastAsia="zh-CN"/>
                      <w14:textFill>
                        <w14:solidFill>
                          <w14:schemeClr w14:val="tx1"/>
                        </w14:solidFill>
                      </w14:textFill>
                    </w:rPr>
                    <w:t>下穿</w:t>
                  </w:r>
                </w:p>
              </w:tc>
              <w:tc>
                <w:tcPr>
                  <w:tcW w:w="2130" w:type="pct"/>
                  <w:noWrap/>
                  <w:vAlign w:val="center"/>
                </w:tcPr>
                <w:p w14:paraId="53FBCCA5">
                  <w:pPr>
                    <w:keepNext w:val="0"/>
                    <w:keepLines w:val="0"/>
                    <w:pageBreakBefore w:val="0"/>
                    <w:widowControl w:val="0"/>
                    <w:kinsoku w:val="0"/>
                    <w:wordWrap/>
                    <w:overflowPunct w:val="0"/>
                    <w:topLinePunct w:val="0"/>
                    <w:autoSpaceDE/>
                    <w:autoSpaceDN/>
                    <w:bidi w:val="0"/>
                    <w:adjustRightInd w:val="0"/>
                    <w:snapToGrid w:val="0"/>
                    <w:spacing w:beforeLines="0" w:afterLines="0"/>
                    <w:ind w:left="0" w:right="0"/>
                    <w:jc w:val="center"/>
                    <w:textAlignment w:val="auto"/>
                    <w:rPr>
                      <w:rFonts w:hint="default" w:ascii="Times New Roman" w:hAnsi="Times New Roman" w:eastAsia="宋体" w:cs="Times New Roman"/>
                      <w:color w:val="000000" w:themeColor="text1"/>
                      <w:sz w:val="21"/>
                      <w:szCs w:val="32"/>
                      <w:lang w:val="en-US" w:eastAsia="zh-CN"/>
                      <w14:textFill>
                        <w14:solidFill>
                          <w14:schemeClr w14:val="tx1"/>
                        </w14:solidFill>
                      </w14:textFill>
                    </w:rPr>
                  </w:pPr>
                  <w:r>
                    <w:rPr>
                      <w:rFonts w:hint="eastAsia" w:ascii="Times New Roman" w:hAnsi="Times New Roman" w:cs="Times New Roman"/>
                      <w:color w:val="000000" w:themeColor="text1"/>
                      <w:sz w:val="21"/>
                      <w:szCs w:val="32"/>
                      <w:lang w:val="en-US" w:eastAsia="zh-CN"/>
                      <w14:textFill>
                        <w14:solidFill>
                          <w14:schemeClr w14:val="tx1"/>
                        </w14:solidFill>
                      </w14:textFill>
                    </w:rPr>
                    <w:t>明挖</w:t>
                  </w:r>
                  <w:r>
                    <w:rPr>
                      <w:rFonts w:hint="default" w:ascii="Times New Roman" w:hAnsi="Times New Roman" w:eastAsia="宋体" w:cs="Times New Roman"/>
                      <w:color w:val="000000" w:themeColor="text1"/>
                      <w:sz w:val="21"/>
                      <w:szCs w:val="32"/>
                      <w:lang w:val="en-US" w:eastAsia="zh-CN"/>
                      <w14:textFill>
                        <w14:solidFill>
                          <w14:schemeClr w14:val="tx1"/>
                        </w14:solidFill>
                      </w14:textFill>
                    </w:rPr>
                    <w:t>施工</w:t>
                  </w:r>
                </w:p>
              </w:tc>
            </w:tr>
          </w:tbl>
          <w:p w14:paraId="169BE786">
            <w:pPr>
              <w:spacing w:line="360" w:lineRule="auto"/>
              <w:ind w:firstLine="482" w:firstLineChars="200"/>
              <w:rPr>
                <w:rFonts w:hint="default" w:ascii="Times New Roman" w:hAnsi="Times New Roman" w:eastAsia="宋体" w:cs="Times New Roman"/>
                <w:b/>
                <w:color w:val="000000" w:themeColor="text1"/>
                <w:sz w:val="24"/>
                <w:szCs w:val="22"/>
                <w:lang w:bidi="en-US"/>
                <w14:textFill>
                  <w14:solidFill>
                    <w14:schemeClr w14:val="tx1"/>
                  </w14:solidFill>
                </w14:textFill>
              </w:rPr>
            </w:pPr>
            <w:r>
              <w:rPr>
                <w:rFonts w:hint="default" w:ascii="Times New Roman" w:hAnsi="Times New Roman" w:eastAsia="宋体" w:cs="Times New Roman"/>
                <w:b/>
                <w:color w:val="000000" w:themeColor="text1"/>
                <w:sz w:val="24"/>
                <w:szCs w:val="22"/>
                <w:lang w:bidi="en-US"/>
                <w14:textFill>
                  <w14:solidFill>
                    <w14:schemeClr w14:val="tx1"/>
                  </w14:solidFill>
                </w14:textFill>
              </w:rPr>
              <w:t>（</w:t>
            </w:r>
            <w:r>
              <w:rPr>
                <w:rFonts w:hint="eastAsia" w:ascii="Times New Roman" w:hAnsi="Times New Roman" w:cs="Times New Roman"/>
                <w:b/>
                <w:color w:val="000000" w:themeColor="text1"/>
                <w:sz w:val="24"/>
                <w:szCs w:val="22"/>
                <w:lang w:val="en-US" w:eastAsia="zh-CN" w:bidi="en-US"/>
                <w14:textFill>
                  <w14:solidFill>
                    <w14:schemeClr w14:val="tx1"/>
                  </w14:solidFill>
                </w14:textFill>
              </w:rPr>
              <w:t>6</w:t>
            </w:r>
            <w:r>
              <w:rPr>
                <w:rFonts w:hint="default" w:ascii="Times New Roman" w:hAnsi="Times New Roman" w:eastAsia="宋体" w:cs="Times New Roman"/>
                <w:b/>
                <w:color w:val="000000" w:themeColor="text1"/>
                <w:sz w:val="24"/>
                <w:szCs w:val="22"/>
                <w:lang w:bidi="en-US"/>
                <w14:textFill>
                  <w14:solidFill>
                    <w14:schemeClr w14:val="tx1"/>
                  </w14:solidFill>
                </w14:textFill>
              </w:rPr>
              <w:t>）管线穿河工程</w:t>
            </w:r>
          </w:p>
          <w:p w14:paraId="4F4A0200">
            <w:pPr>
              <w:spacing w:line="360" w:lineRule="auto"/>
              <w:ind w:firstLine="482"/>
              <w:rPr>
                <w:rFonts w:hint="default" w:ascii="Times New Roman" w:hAnsi="Times New Roman" w:eastAsia="宋体" w:cs="Times New Roman"/>
                <w:bCs/>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bCs/>
                <w:color w:val="000000" w:themeColor="text1"/>
                <w:sz w:val="24"/>
                <w:szCs w:val="32"/>
                <w14:textFill>
                  <w14:solidFill>
                    <w14:schemeClr w14:val="tx1"/>
                  </w14:solidFill>
                </w14:textFill>
              </w:rPr>
              <w:t>本工程供水管线</w:t>
            </w:r>
            <w:r>
              <w:rPr>
                <w:rFonts w:hint="default" w:ascii="Times New Roman" w:hAnsi="Times New Roman" w:eastAsia="宋体" w:cs="Times New Roman"/>
                <w:bCs/>
                <w:color w:val="000000" w:themeColor="text1"/>
                <w:sz w:val="24"/>
                <w:szCs w:val="32"/>
                <w:lang w:val="en-US" w:eastAsia="zh-CN"/>
                <w14:textFill>
                  <w14:solidFill>
                    <w14:schemeClr w14:val="tx1"/>
                  </w14:solidFill>
                </w14:textFill>
              </w:rPr>
              <w:t>沿道路铺设，不涉及穿越河流。</w:t>
            </w:r>
          </w:p>
          <w:p w14:paraId="07348A4C">
            <w:pPr>
              <w:spacing w:line="360" w:lineRule="auto"/>
              <w:ind w:firstLine="482"/>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w:t>
            </w:r>
            <w:r>
              <w:rPr>
                <w:rFonts w:hint="eastAsia" w:ascii="Times New Roman" w:hAnsi="Times New Roman" w:cs="Times New Roman"/>
                <w:b/>
                <w:bCs/>
                <w:color w:val="000000" w:themeColor="text1"/>
                <w:sz w:val="24"/>
                <w:lang w:val="en-US" w:eastAsia="zh-CN"/>
                <w14:textFill>
                  <w14:solidFill>
                    <w14:schemeClr w14:val="tx1"/>
                  </w14:solidFill>
                </w14:textFill>
              </w:rPr>
              <w:t>7</w:t>
            </w:r>
            <w:r>
              <w:rPr>
                <w:rFonts w:hint="default" w:ascii="Times New Roman" w:hAnsi="Times New Roman" w:eastAsia="宋体" w:cs="Times New Roman"/>
                <w:b/>
                <w:bCs/>
                <w:color w:val="000000" w:themeColor="text1"/>
                <w:sz w:val="24"/>
                <w14:textFill>
                  <w14:solidFill>
                    <w14:schemeClr w14:val="tx1"/>
                  </w14:solidFill>
                </w14:textFill>
              </w:rPr>
              <w:t>）施工组织计划</w:t>
            </w:r>
          </w:p>
          <w:p w14:paraId="558728CA">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工程安排在枯水期施工。合理安排施工时序，要求施工队伍文明施工，制定严密的施工组织设计，合理安排工期，对施工期产生的废渣、建筑垃圾等，应采取有效措施进行处理，禁止直接抛洒于水中。</w:t>
            </w:r>
          </w:p>
          <w:p w14:paraId="0A528B8F">
            <w:pPr>
              <w:spacing w:line="360" w:lineRule="auto"/>
              <w:ind w:firstLine="482"/>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w:t>
            </w:r>
            <w:r>
              <w:rPr>
                <w:rFonts w:hint="eastAsia" w:ascii="Times New Roman" w:hAnsi="Times New Roman" w:cs="Times New Roman"/>
                <w:b/>
                <w:bCs/>
                <w:color w:val="000000" w:themeColor="text1"/>
                <w:sz w:val="24"/>
                <w:lang w:val="en-US" w:eastAsia="zh-CN"/>
                <w14:textFill>
                  <w14:solidFill>
                    <w14:schemeClr w14:val="tx1"/>
                  </w14:solidFill>
                </w14:textFill>
              </w:rPr>
              <w:t>8</w:t>
            </w:r>
            <w:r>
              <w:rPr>
                <w:rFonts w:hint="default" w:ascii="Times New Roman" w:hAnsi="Times New Roman" w:eastAsia="宋体" w:cs="Times New Roman"/>
                <w:b/>
                <w:bCs/>
                <w:color w:val="000000" w:themeColor="text1"/>
                <w:sz w:val="24"/>
                <w14:textFill>
                  <w14:solidFill>
                    <w14:schemeClr w14:val="tx1"/>
                  </w14:solidFill>
                </w14:textFill>
              </w:rPr>
              <w:t>）施工工期及进度安排</w:t>
            </w:r>
          </w:p>
          <w:p w14:paraId="7719B9DC">
            <w:pPr>
              <w:spacing w:line="360" w:lineRule="auto"/>
              <w:ind w:firstLine="482"/>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施工总工期包括施工准备期、主体工程施工期和工程完建期，共计</w:t>
            </w:r>
            <w:r>
              <w:rPr>
                <w:rFonts w:hint="default" w:ascii="Times New Roman" w:hAnsi="Times New Roman" w:eastAsia="宋体" w:cs="Times New Roman"/>
                <w:color w:val="000000" w:themeColor="text1"/>
                <w:sz w:val="24"/>
                <w:lang w:eastAsia="zh-CN"/>
                <w14:textFill>
                  <w14:solidFill>
                    <w14:schemeClr w14:val="tx1"/>
                  </w14:solidFill>
                </w14:textFill>
              </w:rPr>
              <w:t>8个月</w:t>
            </w:r>
            <w:r>
              <w:rPr>
                <w:rFonts w:hint="default" w:ascii="Times New Roman" w:hAnsi="Times New Roman" w:eastAsia="宋体"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施工时间为</w:t>
            </w:r>
            <w:r>
              <w:rPr>
                <w:rFonts w:hint="eastAsia" w:ascii="Times New Roman" w:hAnsi="Times New Roman" w:cs="Times New Roman"/>
                <w:color w:val="000000" w:themeColor="text1"/>
                <w:sz w:val="24"/>
                <w:lang w:val="en-US" w:eastAsia="zh-CN"/>
                <w14:textFill>
                  <w14:solidFill>
                    <w14:schemeClr w14:val="tx1"/>
                  </w14:solidFill>
                </w14:textFill>
              </w:rPr>
              <w:t>2026年11月-2027年6月</w:t>
            </w:r>
            <w:r>
              <w:rPr>
                <w:rFonts w:hint="default" w:ascii="Times New Roman" w:hAnsi="Times New Roman" w:eastAsia="宋体" w:cs="Times New Roman"/>
                <w:color w:val="000000" w:themeColor="text1"/>
                <w:sz w:val="24"/>
                <w:lang w:val="en-US" w:eastAsia="zh-CN"/>
                <w14:textFill>
                  <w14:solidFill>
                    <w14:schemeClr w14:val="tx1"/>
                  </w14:solidFill>
                </w14:textFill>
              </w:rPr>
              <w:t>。本项目取水头部建设安排在11月，11月是五里沟的枯水期，不影响取水头部工程的施工；其余管线工程均按现有道路敷设，近邻河沟的洪汛不影响管线工程的建设。</w:t>
            </w:r>
          </w:p>
          <w:p w14:paraId="782C6E0E">
            <w:pPr>
              <w:spacing w:line="360" w:lineRule="auto"/>
              <w:ind w:firstLine="482"/>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w:t>
            </w:r>
            <w:r>
              <w:rPr>
                <w:rFonts w:hint="eastAsia" w:ascii="Times New Roman" w:hAnsi="Times New Roman" w:cs="Times New Roman"/>
                <w:b/>
                <w:bCs/>
                <w:color w:val="000000" w:themeColor="text1"/>
                <w:sz w:val="24"/>
                <w:lang w:val="en-US" w:eastAsia="zh-CN"/>
                <w14:textFill>
                  <w14:solidFill>
                    <w14:schemeClr w14:val="tx1"/>
                  </w14:solidFill>
                </w14:textFill>
              </w:rPr>
              <w:t>9</w:t>
            </w:r>
            <w:r>
              <w:rPr>
                <w:rFonts w:hint="default" w:ascii="Times New Roman" w:hAnsi="Times New Roman" w:eastAsia="宋体" w:cs="Times New Roman"/>
                <w:b/>
                <w:bCs/>
                <w:color w:val="000000" w:themeColor="text1"/>
                <w:sz w:val="24"/>
                <w14:textFill>
                  <w14:solidFill>
                    <w14:schemeClr w14:val="tx1"/>
                  </w14:solidFill>
                </w14:textFill>
              </w:rPr>
              <w:t>）施工人数</w:t>
            </w:r>
          </w:p>
          <w:p w14:paraId="0D956BF4">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根据建筑物工程量和施工总进度，</w:t>
            </w:r>
            <w:r>
              <w:rPr>
                <w:rFonts w:hint="default" w:ascii="Times New Roman" w:hAnsi="Times New Roman" w:eastAsia="宋体" w:cs="Times New Roman"/>
                <w:color w:val="000000" w:themeColor="text1"/>
                <w:sz w:val="24"/>
                <w:lang w:val="en-US" w:eastAsia="zh-CN"/>
                <w14:textFill>
                  <w14:solidFill>
                    <w14:schemeClr w14:val="tx1"/>
                  </w14:solidFill>
                </w14:textFill>
              </w:rPr>
              <w:t>施工高峰期</w:t>
            </w:r>
            <w:r>
              <w:rPr>
                <w:rFonts w:hint="default" w:ascii="Times New Roman" w:hAnsi="Times New Roman" w:eastAsia="宋体" w:cs="Times New Roman"/>
                <w:color w:val="000000" w:themeColor="text1"/>
                <w:sz w:val="24"/>
                <w14:textFill>
                  <w14:solidFill>
                    <w14:schemeClr w14:val="tx1"/>
                  </w14:solidFill>
                </w14:textFill>
              </w:rPr>
              <w:t>施工人数</w:t>
            </w:r>
            <w:r>
              <w:rPr>
                <w:rFonts w:hint="default" w:ascii="Times New Roman" w:hAnsi="Times New Roman" w:eastAsia="宋体" w:cs="Times New Roman"/>
                <w:color w:val="000000" w:themeColor="text1"/>
                <w:sz w:val="24"/>
                <w:lang w:val="en-US" w:eastAsia="zh-CN"/>
                <w14:textFill>
                  <w14:solidFill>
                    <w14:schemeClr w14:val="tx1"/>
                  </w14:solidFill>
                </w14:textFill>
              </w:rPr>
              <w:t>4</w:t>
            </w:r>
            <w:r>
              <w:rPr>
                <w:rFonts w:hint="default" w:ascii="Times New Roman" w:hAnsi="Times New Roman" w:eastAsia="宋体" w:cs="Times New Roman"/>
                <w:color w:val="000000" w:themeColor="text1"/>
                <w:sz w:val="24"/>
                <w14:textFill>
                  <w14:solidFill>
                    <w14:schemeClr w14:val="tx1"/>
                  </w14:solidFill>
                </w14:textFill>
              </w:rPr>
              <w:t>0人。</w:t>
            </w:r>
          </w:p>
          <w:p w14:paraId="1C4352D6">
            <w:pPr>
              <w:spacing w:line="360" w:lineRule="auto"/>
              <w:ind w:firstLine="482"/>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2、施工期主要污染物</w:t>
            </w:r>
          </w:p>
          <w:p w14:paraId="004A997A">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废气：主要为施工扬尘、焊接烟尘、燃油废气、车辆尾气。</w:t>
            </w:r>
          </w:p>
          <w:p w14:paraId="42B6DC80">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废水：主要为混凝土搅拌废水、施工废水、工人生活污水</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管道试压废水</w:t>
            </w:r>
            <w:r>
              <w:rPr>
                <w:rFonts w:hint="default" w:ascii="Times New Roman" w:hAnsi="Times New Roman" w:eastAsia="宋体" w:cs="Times New Roman"/>
                <w:color w:val="000000" w:themeColor="text1"/>
                <w:sz w:val="24"/>
                <w14:textFill>
                  <w14:solidFill>
                    <w14:schemeClr w14:val="tx1"/>
                  </w14:solidFill>
                </w14:textFill>
              </w:rPr>
              <w:t>。</w:t>
            </w:r>
          </w:p>
          <w:p w14:paraId="632DBBAB">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噪声：主要为施工机械噪声。</w:t>
            </w:r>
          </w:p>
          <w:p w14:paraId="7AD1E9EB">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固废：主要为建渣及工人生活垃圾等。</w:t>
            </w:r>
          </w:p>
          <w:p w14:paraId="3F627B2D">
            <w:pPr>
              <w:rPr>
                <w:rFonts w:hint="default" w:ascii="Times New Roman" w:hAnsi="Times New Roman" w:eastAsia="宋体" w:cs="Times New Roman"/>
                <w:color w:val="000000" w:themeColor="text1"/>
                <w14:textFill>
                  <w14:solidFill>
                    <w14:schemeClr w14:val="tx1"/>
                  </w14:solidFill>
                </w14:textFill>
              </w:rPr>
            </w:pPr>
          </w:p>
          <w:p w14:paraId="3B546102">
            <w:pPr>
              <w:rPr>
                <w:rFonts w:hint="default" w:ascii="Times New Roman" w:hAnsi="Times New Roman" w:eastAsia="宋体" w:cs="Times New Roman"/>
                <w:color w:val="000000" w:themeColor="text1"/>
                <w14:textFill>
                  <w14:solidFill>
                    <w14:schemeClr w14:val="tx1"/>
                  </w14:solidFill>
                </w14:textFill>
              </w:rPr>
            </w:pPr>
          </w:p>
        </w:tc>
      </w:tr>
      <w:tr w14:paraId="34D451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67" w:hRule="atLeast"/>
        </w:trPr>
        <w:tc>
          <w:tcPr>
            <w:tcW w:w="472" w:type="dxa"/>
            <w:vAlign w:val="center"/>
          </w:tcPr>
          <w:p w14:paraId="52BAF781">
            <w:pPr>
              <w:topLinePunct/>
              <w:spacing w:line="360" w:lineRule="auto"/>
              <w:jc w:val="center"/>
              <w:rPr>
                <w:rFonts w:hint="default" w:ascii="Times New Roman" w:hAnsi="Times New Roman" w:eastAsia="宋体" w:cs="Times New Roman"/>
                <w:b/>
                <w:color w:val="000000" w:themeColor="text1"/>
                <w:sz w:val="24"/>
                <w:szCs w:val="20"/>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与项目有关的原有环境污染问题</w:t>
            </w:r>
          </w:p>
        </w:tc>
        <w:tc>
          <w:tcPr>
            <w:tcW w:w="8542" w:type="dxa"/>
            <w:vAlign w:val="center"/>
          </w:tcPr>
          <w:p w14:paraId="7D1808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本项目为新建项目，根据现场踏勘情况，项目</w:t>
            </w:r>
            <w:r>
              <w:rPr>
                <w:rFonts w:hint="default" w:ascii="Times New Roman" w:hAnsi="Times New Roman" w:eastAsia="宋体" w:cs="Times New Roman"/>
                <w:color w:val="000000" w:themeColor="text1"/>
                <w:sz w:val="24"/>
                <w:lang w:val="en-US" w:eastAsia="zh-CN"/>
                <w14:textFill>
                  <w14:solidFill>
                    <w14:schemeClr w14:val="tx1"/>
                  </w14:solidFill>
                </w14:textFill>
              </w:rPr>
              <w:t>取水口周边及上游</w:t>
            </w:r>
            <w:r>
              <w:rPr>
                <w:rFonts w:hint="default" w:ascii="Times New Roman" w:hAnsi="Times New Roman" w:eastAsia="宋体" w:cs="Times New Roman"/>
                <w:color w:val="000000" w:themeColor="text1"/>
                <w:sz w:val="24"/>
                <w14:textFill>
                  <w14:solidFill>
                    <w14:schemeClr w14:val="tx1"/>
                  </w14:solidFill>
                </w14:textFill>
              </w:rPr>
              <w:t>现状为</w:t>
            </w:r>
            <w:r>
              <w:rPr>
                <w:rFonts w:hint="eastAsia" w:ascii="Times New Roman" w:hAnsi="Times New Roman" w:cs="Times New Roman"/>
                <w:color w:val="000000" w:themeColor="text1"/>
                <w:sz w:val="24"/>
                <w:lang w:eastAsia="zh-CN"/>
                <w14:textFill>
                  <w14:solidFill>
                    <w14:schemeClr w14:val="tx1"/>
                  </w14:solidFill>
                </w14:textFill>
              </w:rPr>
              <w:t>G4218施工废弃仓库（</w:t>
            </w:r>
            <w:r>
              <w:rPr>
                <w:rFonts w:hint="eastAsia" w:ascii="Times New Roman" w:hAnsi="Times New Roman" w:cs="Times New Roman"/>
                <w:color w:val="000000" w:themeColor="text1"/>
                <w:sz w:val="24"/>
                <w:lang w:val="en-US" w:eastAsia="zh-CN"/>
                <w14:textFill>
                  <w14:solidFill>
                    <w14:schemeClr w14:val="tx1"/>
                  </w14:solidFill>
                </w14:textFill>
              </w:rPr>
              <w:t>根据调查，现状已进行清理，没有遗留环境污染问题</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、及荒地</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林地</w:t>
            </w:r>
            <w:r>
              <w:rPr>
                <w:rFonts w:hint="default" w:ascii="Times New Roman" w:hAnsi="Times New Roman" w:eastAsia="宋体" w:cs="Times New Roman"/>
                <w:color w:val="000000" w:themeColor="text1"/>
                <w:sz w:val="24"/>
                <w14:textFill>
                  <w14:solidFill>
                    <w14:schemeClr w14:val="tx1"/>
                  </w14:solidFill>
                </w14:textFill>
              </w:rPr>
              <w:t>，无现有污染源存在。同时本次对</w:t>
            </w:r>
            <w:r>
              <w:rPr>
                <w:rFonts w:hint="default" w:ascii="Times New Roman" w:hAnsi="Times New Roman" w:eastAsia="宋体" w:cs="Times New Roman"/>
                <w:color w:val="000000" w:themeColor="text1"/>
                <w:sz w:val="24"/>
                <w:lang w:val="en-US" w:eastAsia="zh-CN"/>
                <w14:textFill>
                  <w14:solidFill>
                    <w14:schemeClr w14:val="tx1"/>
                  </w14:solidFill>
                </w14:textFill>
              </w:rPr>
              <w:t>五里沟</w:t>
            </w:r>
            <w:r>
              <w:rPr>
                <w:rFonts w:hint="default" w:ascii="Times New Roman" w:hAnsi="Times New Roman" w:eastAsia="宋体" w:cs="Times New Roman"/>
                <w:color w:val="000000" w:themeColor="text1"/>
                <w:sz w:val="24"/>
                <w14:textFill>
                  <w14:solidFill>
                    <w14:schemeClr w14:val="tx1"/>
                  </w14:solidFill>
                </w14:textFill>
              </w:rPr>
              <w:t>的水质监测结果均满足《地表水环境质量标准》（GB3838-2002）</w:t>
            </w:r>
            <w:r>
              <w:rPr>
                <w:rFonts w:hint="eastAsia" w:ascii="Times New Roman" w:hAnsi="Times New Roman" w:cs="Times New Roman"/>
                <w:color w:val="000000" w:themeColor="text1"/>
                <w:sz w:val="24"/>
                <w:lang w:val="en-US" w:eastAsia="zh-CN"/>
                <w14:textFill>
                  <w14:solidFill>
                    <w14:schemeClr w14:val="tx1"/>
                  </w14:solidFill>
                </w14:textFill>
              </w:rPr>
              <w:t>III类标准限值</w:t>
            </w:r>
            <w:r>
              <w:rPr>
                <w:rFonts w:hint="default" w:ascii="Times New Roman" w:hAnsi="Times New Roman" w:eastAsia="宋体" w:cs="Times New Roman"/>
                <w:color w:val="000000" w:themeColor="text1"/>
                <w:sz w:val="24"/>
                <w14:textFill>
                  <w14:solidFill>
                    <w14:schemeClr w14:val="tx1"/>
                  </w14:solidFill>
                </w14:textFill>
              </w:rPr>
              <w:t>以及集中式饮用水源补充项目标准限值。本项目选取的水源水质情况较好，因此项目无原有环境污染问题。</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8"/>
              <w:gridCol w:w="4168"/>
            </w:tblGrid>
            <w:tr w14:paraId="7898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68" w:type="dxa"/>
                  <w:vAlign w:val="center"/>
                </w:tcPr>
                <w:p w14:paraId="4CBCD3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eastAsia="zh-CN"/>
                      <w14:textFill>
                        <w14:solidFill>
                          <w14:schemeClr w14:val="tx1"/>
                        </w14:solidFill>
                      </w14:textFill>
                    </w:rPr>
                    <w:drawing>
                      <wp:inline distT="0" distB="0" distL="114300" distR="114300">
                        <wp:extent cx="2520315" cy="1889760"/>
                        <wp:effectExtent l="0" t="0" r="13335" b="15240"/>
                        <wp:docPr id="13" name="图片 13" descr="IMG_20260520_14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60520_141257"/>
                                <pic:cNvPicPr>
                                  <a:picLocks noChangeAspect="1"/>
                                </pic:cNvPicPr>
                              </pic:nvPicPr>
                              <pic:blipFill>
                                <a:blip r:embed="rId27"/>
                                <a:stretch>
                                  <a:fillRect/>
                                </a:stretch>
                              </pic:blipFill>
                              <pic:spPr>
                                <a:xfrm>
                                  <a:off x="0" y="0"/>
                                  <a:ext cx="2520315" cy="1889760"/>
                                </a:xfrm>
                                <a:prstGeom prst="rect">
                                  <a:avLst/>
                                </a:prstGeom>
                              </pic:spPr>
                            </pic:pic>
                          </a:graphicData>
                        </a:graphic>
                      </wp:inline>
                    </w:drawing>
                  </w:r>
                </w:p>
                <w:p w14:paraId="6C6AB8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取水口附近G4218施工废弃仓库</w:t>
                  </w:r>
                </w:p>
              </w:tc>
              <w:tc>
                <w:tcPr>
                  <w:tcW w:w="4168" w:type="dxa"/>
                  <w:vAlign w:val="center"/>
                </w:tcPr>
                <w:p w14:paraId="62B7A0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eastAsia="zh-CN"/>
                      <w14:textFill>
                        <w14:solidFill>
                          <w14:schemeClr w14:val="tx1"/>
                        </w14:solidFill>
                      </w14:textFill>
                    </w:rPr>
                    <w:drawing>
                      <wp:inline distT="0" distB="0" distL="114300" distR="114300">
                        <wp:extent cx="2520315" cy="2102485"/>
                        <wp:effectExtent l="0" t="0" r="13335" b="12065"/>
                        <wp:docPr id="14" name="图片 14" descr="IMG_20260520_14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0260520_143803"/>
                                <pic:cNvPicPr>
                                  <a:picLocks noChangeAspect="1"/>
                                </pic:cNvPicPr>
                              </pic:nvPicPr>
                              <pic:blipFill>
                                <a:blip r:embed="rId28"/>
                                <a:stretch>
                                  <a:fillRect/>
                                </a:stretch>
                              </pic:blipFill>
                              <pic:spPr>
                                <a:xfrm>
                                  <a:off x="0" y="0"/>
                                  <a:ext cx="2520315" cy="2102485"/>
                                </a:xfrm>
                                <a:prstGeom prst="rect">
                                  <a:avLst/>
                                </a:prstGeom>
                              </pic:spPr>
                            </pic:pic>
                          </a:graphicData>
                        </a:graphic>
                      </wp:inline>
                    </w:drawing>
                  </w:r>
                </w:p>
                <w:p w14:paraId="5B2A66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上游现状</w:t>
                  </w:r>
                </w:p>
              </w:tc>
            </w:tr>
            <w:tr w14:paraId="3D80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68" w:type="dxa"/>
                  <w:vAlign w:val="center"/>
                </w:tcPr>
                <w:p w14:paraId="19ED0D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eastAsia="zh-CN"/>
                      <w14:textFill>
                        <w14:solidFill>
                          <w14:schemeClr w14:val="tx1"/>
                        </w14:solidFill>
                      </w14:textFill>
                    </w:rPr>
                    <w:drawing>
                      <wp:inline distT="0" distB="0" distL="114300" distR="114300">
                        <wp:extent cx="2520315" cy="1421130"/>
                        <wp:effectExtent l="0" t="0" r="13335" b="7620"/>
                        <wp:docPr id="15" name="图片 15" descr="DJI_20260520142600_0006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JI_20260520142600_0006_D"/>
                                <pic:cNvPicPr>
                                  <a:picLocks noChangeAspect="1"/>
                                </pic:cNvPicPr>
                              </pic:nvPicPr>
                              <pic:blipFill>
                                <a:blip r:embed="rId29"/>
                                <a:stretch>
                                  <a:fillRect/>
                                </a:stretch>
                              </pic:blipFill>
                              <pic:spPr>
                                <a:xfrm>
                                  <a:off x="0" y="0"/>
                                  <a:ext cx="2520315" cy="1421130"/>
                                </a:xfrm>
                                <a:prstGeom prst="rect">
                                  <a:avLst/>
                                </a:prstGeom>
                              </pic:spPr>
                            </pic:pic>
                          </a:graphicData>
                        </a:graphic>
                      </wp:inline>
                    </w:drawing>
                  </w:r>
                </w:p>
                <w:p w14:paraId="770AF5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vertAlign w:val="baseline"/>
                      <w:lang w:val="en-US" w:eastAsia="zh-CN"/>
                      <w14:textFill>
                        <w14:solidFill>
                          <w14:schemeClr w14:val="tx1"/>
                        </w14:solidFill>
                      </w14:textFill>
                    </w:rPr>
                    <w:t>上游现状</w:t>
                  </w:r>
                </w:p>
              </w:tc>
              <w:tc>
                <w:tcPr>
                  <w:tcW w:w="4168" w:type="dxa"/>
                  <w:vAlign w:val="center"/>
                </w:tcPr>
                <w:p w14:paraId="794713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drawing>
                      <wp:inline distT="0" distB="0" distL="114300" distR="114300">
                        <wp:extent cx="2520315" cy="1852930"/>
                        <wp:effectExtent l="0" t="0" r="13335" b="1397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30"/>
                                <a:stretch>
                                  <a:fillRect/>
                                </a:stretch>
                              </pic:blipFill>
                              <pic:spPr>
                                <a:xfrm>
                                  <a:off x="0" y="0"/>
                                  <a:ext cx="2520315" cy="1852930"/>
                                </a:xfrm>
                                <a:prstGeom prst="rect">
                                  <a:avLst/>
                                </a:prstGeom>
                                <a:noFill/>
                                <a:ln>
                                  <a:noFill/>
                                </a:ln>
                              </pic:spPr>
                            </pic:pic>
                          </a:graphicData>
                        </a:graphic>
                      </wp:inline>
                    </w:drawing>
                  </w:r>
                </w:p>
                <w:p w14:paraId="09E952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下游现状</w:t>
                  </w:r>
                </w:p>
              </w:tc>
            </w:tr>
          </w:tbl>
          <w:p w14:paraId="4342D0D8">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p>
          <w:p w14:paraId="0753BD51">
            <w:pPr>
              <w:spacing w:line="360" w:lineRule="auto"/>
              <w:ind w:firstLine="482" w:firstLineChars="200"/>
              <w:rPr>
                <w:rFonts w:hint="default" w:ascii="Times New Roman" w:hAnsi="Times New Roman" w:eastAsia="宋体" w:cs="Times New Roman"/>
                <w:b/>
                <w:bCs/>
                <w:color w:val="000000" w:themeColor="text1"/>
                <w:sz w:val="24"/>
                <w14:textFill>
                  <w14:solidFill>
                    <w14:schemeClr w14:val="tx1"/>
                  </w14:solidFill>
                </w14:textFill>
              </w:rPr>
            </w:pPr>
          </w:p>
          <w:p w14:paraId="1BC4508A">
            <w:pPr>
              <w:rPr>
                <w:rFonts w:hint="default" w:ascii="Times New Roman" w:hAnsi="Times New Roman" w:eastAsia="宋体" w:cs="Times New Roman"/>
                <w:color w:val="000000" w:themeColor="text1"/>
                <w14:textFill>
                  <w14:solidFill>
                    <w14:schemeClr w14:val="tx1"/>
                  </w14:solidFill>
                </w14:textFill>
              </w:rPr>
            </w:pPr>
          </w:p>
          <w:p w14:paraId="6FFC17EB">
            <w:pPr>
              <w:rPr>
                <w:rFonts w:hint="default" w:ascii="Times New Roman" w:hAnsi="Times New Roman" w:eastAsia="宋体" w:cs="Times New Roman"/>
                <w:color w:val="000000" w:themeColor="text1"/>
                <w14:textFill>
                  <w14:solidFill>
                    <w14:schemeClr w14:val="tx1"/>
                  </w14:solidFill>
                </w14:textFill>
              </w:rPr>
            </w:pPr>
          </w:p>
        </w:tc>
      </w:tr>
    </w:tbl>
    <w:p w14:paraId="4D7A9918">
      <w:pPr>
        <w:spacing w:line="360" w:lineRule="auto"/>
        <w:ind w:firstLine="420" w:firstLineChars="200"/>
        <w:rPr>
          <w:rFonts w:hint="default" w:ascii="Times New Roman" w:hAnsi="Times New Roman" w:eastAsia="宋体" w:cs="Times New Roman"/>
          <w:color w:val="000000" w:themeColor="text1"/>
          <w14:textFill>
            <w14:solidFill>
              <w14:schemeClr w14:val="tx1"/>
            </w14:solidFill>
          </w14:textFill>
        </w:rPr>
        <w:sectPr>
          <w:pgSz w:w="11906" w:h="16838"/>
          <w:pgMar w:top="1418" w:right="1531" w:bottom="1418" w:left="1531" w:header="851" w:footer="851" w:gutter="0"/>
          <w:pgBorders>
            <w:top w:val="none" w:sz="0" w:space="0"/>
            <w:left w:val="none" w:sz="0" w:space="0"/>
            <w:bottom w:val="none" w:sz="0" w:space="0"/>
            <w:right w:val="none" w:sz="0" w:space="0"/>
          </w:pgBorders>
          <w:cols w:space="720" w:num="1"/>
          <w:docGrid w:type="lines" w:linePitch="312" w:charSpace="0"/>
        </w:sectPr>
      </w:pPr>
    </w:p>
    <w:p w14:paraId="1CD7FEF3">
      <w:pPr>
        <w:pStyle w:val="3"/>
        <w:keepLines/>
        <w:overflowPunct/>
        <w:snapToGrid/>
        <w:spacing w:before="0" w:after="0" w:line="360" w:lineRule="auto"/>
        <w:ind w:left="0" w:firstLine="0"/>
        <w:jc w:val="center"/>
        <w:rPr>
          <w:rFonts w:hint="default" w:ascii="Times New Roman" w:hAnsi="Times New Roman" w:eastAsia="宋体" w:cs="Times New Roman"/>
          <w:b/>
          <w:bCs w:val="0"/>
          <w:snapToGrid w:val="0"/>
          <w:color w:val="000000" w:themeColor="text1"/>
          <w:kern w:val="21"/>
          <w:sz w:val="30"/>
          <w:szCs w:val="30"/>
          <w14:textFill>
            <w14:solidFill>
              <w14:schemeClr w14:val="tx1"/>
            </w14:solidFill>
          </w14:textFill>
        </w:rPr>
      </w:pPr>
      <w:r>
        <w:rPr>
          <w:rFonts w:hint="default" w:ascii="Times New Roman" w:hAnsi="Times New Roman" w:eastAsia="宋体" w:cs="Times New Roman"/>
          <w:b/>
          <w:bCs w:val="0"/>
          <w:snapToGrid w:val="0"/>
          <w:color w:val="000000" w:themeColor="text1"/>
          <w:kern w:val="21"/>
          <w:sz w:val="30"/>
          <w:szCs w:val="30"/>
          <w14:textFill>
            <w14:solidFill>
              <w14:schemeClr w14:val="tx1"/>
            </w14:solidFill>
          </w14:textFill>
        </w:rPr>
        <w:t>三、区域环境质量现状、环境保护目标及评价标准</w:t>
      </w:r>
    </w:p>
    <w:tbl>
      <w:tblPr>
        <w:tblStyle w:val="5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85" w:type="dxa"/>
          <w:bottom w:w="0" w:type="dxa"/>
          <w:right w:w="85" w:type="dxa"/>
        </w:tblCellMar>
      </w:tblPr>
      <w:tblGrid>
        <w:gridCol w:w="417"/>
        <w:gridCol w:w="8408"/>
      </w:tblGrid>
      <w:tr w14:paraId="30B8F6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236" w:type="pct"/>
            <w:vAlign w:val="center"/>
          </w:tcPr>
          <w:p w14:paraId="255C7570">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区域</w:t>
            </w:r>
          </w:p>
          <w:p w14:paraId="67121643">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环境</w:t>
            </w:r>
          </w:p>
          <w:p w14:paraId="3BECFA9B">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质量</w:t>
            </w:r>
          </w:p>
          <w:p w14:paraId="0D56E63A">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现状</w:t>
            </w:r>
          </w:p>
        </w:tc>
        <w:tc>
          <w:tcPr>
            <w:tcW w:w="4764" w:type="pct"/>
            <w:vAlign w:val="center"/>
          </w:tcPr>
          <w:p w14:paraId="503FA27B">
            <w:pPr>
              <w:spacing w:line="360" w:lineRule="auto"/>
              <w:outlineLvl w:val="3"/>
              <w:rPr>
                <w:rFonts w:hint="default" w:ascii="Times New Roman" w:hAnsi="Times New Roman" w:eastAsia="宋体" w:cs="Times New Roman"/>
                <w:b/>
                <w:bCs/>
                <w:color w:val="000000" w:themeColor="text1"/>
                <w:sz w:val="24"/>
                <w:szCs w:val="28"/>
                <w14:textFill>
                  <w14:solidFill>
                    <w14:schemeClr w14:val="tx1"/>
                  </w14:solidFill>
                </w14:textFill>
              </w:rPr>
            </w:pPr>
            <w:r>
              <w:rPr>
                <w:rFonts w:hint="default" w:ascii="Times New Roman" w:hAnsi="Times New Roman" w:eastAsia="宋体" w:cs="Times New Roman"/>
                <w:b/>
                <w:color w:val="000000" w:themeColor="text1"/>
                <w:sz w:val="24"/>
                <w:szCs w:val="22"/>
                <w14:textFill>
                  <w14:solidFill>
                    <w14:schemeClr w14:val="tx1"/>
                  </w14:solidFill>
                </w14:textFill>
              </w:rPr>
              <w:t>1、</w:t>
            </w:r>
            <w:r>
              <w:rPr>
                <w:rFonts w:hint="default" w:ascii="Times New Roman" w:hAnsi="Times New Roman" w:eastAsia="宋体" w:cs="Times New Roman"/>
                <w:b/>
                <w:color w:val="000000" w:themeColor="text1"/>
                <w:sz w:val="24"/>
                <w14:textFill>
                  <w14:solidFill>
                    <w14:schemeClr w14:val="tx1"/>
                  </w14:solidFill>
                </w14:textFill>
              </w:rPr>
              <w:t>环境空气</w:t>
            </w:r>
            <w:r>
              <w:rPr>
                <w:rFonts w:hint="default" w:ascii="Times New Roman" w:hAnsi="Times New Roman" w:eastAsia="宋体" w:cs="Times New Roman"/>
                <w:b/>
                <w:bCs/>
                <w:color w:val="000000" w:themeColor="text1"/>
                <w:sz w:val="24"/>
                <w:szCs w:val="28"/>
                <w14:textFill>
                  <w14:solidFill>
                    <w14:schemeClr w14:val="tx1"/>
                  </w14:solidFill>
                </w14:textFill>
              </w:rPr>
              <w:t>质量现状评价</w:t>
            </w:r>
          </w:p>
          <w:p w14:paraId="3449376E">
            <w:pPr>
              <w:spacing w:line="360" w:lineRule="auto"/>
              <w:ind w:firstLine="480"/>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1.1基本污染物</w:t>
            </w:r>
          </w:p>
          <w:p w14:paraId="77E03C44">
            <w:pPr>
              <w:spacing w:line="360" w:lineRule="auto"/>
              <w:ind w:firstLine="480" w:firstLineChars="200"/>
              <w:textAlignment w:val="baseline"/>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根据《建设项目环境影响报告表编制技术指南》（污染影响类）（试行）的要求，</w:t>
            </w:r>
            <w:r>
              <w:rPr>
                <w:rFonts w:hint="default" w:ascii="Times New Roman" w:hAnsi="Times New Roman" w:eastAsia="宋体" w:cs="Times New Roman"/>
                <w:bCs/>
                <w:i/>
                <w:iCs/>
                <w:color w:val="000000" w:themeColor="text1"/>
                <w:sz w:val="24"/>
                <w14:textFill>
                  <w14:solidFill>
                    <w14:schemeClr w14:val="tx1"/>
                  </w14:solidFill>
                </w14:textFill>
              </w:rPr>
              <w:t>常规污染物引用与建设项目距离近的有效数据，包括近3年的规划环境影响评价的监测数据，国家、地方环境空气质量监测网数据或生态环境主管部门公开发布的质量数据等。</w:t>
            </w:r>
          </w:p>
          <w:p w14:paraId="45DF7AD0">
            <w:pPr>
              <w:widowControl/>
              <w:autoSpaceDE w:val="0"/>
              <w:autoSpaceDN w:val="0"/>
              <w:adjustRightInd w:val="0"/>
              <w:spacing w:line="360" w:lineRule="auto"/>
              <w:ind w:firstLine="480" w:firstLineChars="200"/>
              <w:jc w:val="left"/>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本项目位于</w:t>
            </w:r>
            <w:r>
              <w:rPr>
                <w:rFonts w:hint="default" w:ascii="Times New Roman" w:hAnsi="Times New Roman" w:eastAsia="宋体" w:cs="Times New Roman"/>
                <w:color w:val="000000" w:themeColor="text1"/>
                <w:spacing w:val="-2"/>
                <w:sz w:val="24"/>
                <w:szCs w:val="24"/>
                <w:lang w:eastAsia="zh-CN"/>
                <w14:textFill>
                  <w14:solidFill>
                    <w14:schemeClr w14:val="tx1"/>
                  </w14:solidFill>
                </w14:textFill>
              </w:rPr>
              <w:t>甘孜藏族自治州泸定县</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bCs/>
                <w:color w:val="000000" w:themeColor="text1"/>
                <w:sz w:val="24"/>
                <w:szCs w:val="24"/>
                <w:highlight w:val="none"/>
                <w14:textFill>
                  <w14:solidFill>
                    <w14:schemeClr w14:val="tx1"/>
                  </w14:solidFill>
                </w14:textFill>
              </w:rPr>
              <w:t>本次评价环境空气质量基本污染物引用泸定县人民政府发布的泸定县2024年环境空气质量</w:t>
            </w:r>
            <w:r>
              <w:rPr>
                <w:rFonts w:hint="default" w:ascii="Times New Roman" w:hAnsi="Times New Roman" w:eastAsia="宋体" w:cs="Times New Roman"/>
                <w:color w:val="000000" w:themeColor="text1"/>
                <w:sz w:val="24"/>
                <w:szCs w:val="24"/>
                <w:highlight w:val="none"/>
                <w14:textFill>
                  <w14:solidFill>
                    <w14:schemeClr w14:val="tx1"/>
                  </w14:solidFill>
                </w14:textFill>
              </w:rPr>
              <w:t>状况公开</w:t>
            </w:r>
            <w:r>
              <w:rPr>
                <w:rFonts w:hint="default" w:ascii="Times New Roman" w:hAnsi="Times New Roman" w:eastAsia="宋体" w:cs="Times New Roman"/>
                <w:bCs/>
                <w:color w:val="000000" w:themeColor="text1"/>
                <w:sz w:val="24"/>
                <w:szCs w:val="24"/>
                <w:highlight w:val="none"/>
                <w14:textFill>
                  <w14:solidFill>
                    <w14:schemeClr w14:val="tx1"/>
                  </w14:solidFill>
                </w14:textFill>
              </w:rPr>
              <w:t>中的数据来说明当地环境空气质量达标情况。</w:t>
            </w:r>
          </w:p>
          <w:p w14:paraId="0E2C82F6">
            <w:pPr>
              <w:widowControl/>
              <w:autoSpaceDE w:val="0"/>
              <w:autoSpaceDN w:val="0"/>
              <w:adjustRightInd w:val="0"/>
              <w:spacing w:line="360" w:lineRule="auto"/>
              <w:ind w:firstLine="480" w:firstLineChars="200"/>
              <w:jc w:val="left"/>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2024年1-3月环境空气质量应监测天数91天，有效监测天数91天，其中空气质量一级（优）为87天，二级（良）为4天，优良率100%。</w:t>
            </w:r>
          </w:p>
          <w:p w14:paraId="78AC8553">
            <w:pPr>
              <w:widowControl/>
              <w:autoSpaceDE w:val="0"/>
              <w:autoSpaceDN w:val="0"/>
              <w:adjustRightInd w:val="0"/>
              <w:spacing w:line="360" w:lineRule="auto"/>
              <w:ind w:firstLine="480" w:firstLineChars="200"/>
              <w:jc w:val="left"/>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2024年4-6月环境空气质量应监测天数91天，有效监测天数91天，其中空气质量一级（优）为86天，二级（良）为5天，优良率100%。</w:t>
            </w:r>
          </w:p>
          <w:p w14:paraId="79F52764">
            <w:pPr>
              <w:widowControl/>
              <w:autoSpaceDE w:val="0"/>
              <w:autoSpaceDN w:val="0"/>
              <w:adjustRightInd w:val="0"/>
              <w:spacing w:line="360" w:lineRule="auto"/>
              <w:ind w:firstLine="480" w:firstLineChars="200"/>
              <w:jc w:val="left"/>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2024年7-9月环境空气质量应监测天数92天，有效监测天数92天，其中空气质量一级（优）为92天，二级（良）为0天，优良率100%。</w:t>
            </w:r>
          </w:p>
          <w:p w14:paraId="0E80AA4F">
            <w:pPr>
              <w:widowControl/>
              <w:autoSpaceDE w:val="0"/>
              <w:autoSpaceDN w:val="0"/>
              <w:adjustRightInd w:val="0"/>
              <w:spacing w:line="360" w:lineRule="auto"/>
              <w:ind w:firstLine="480" w:firstLineChars="200"/>
              <w:jc w:val="left"/>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2024年10-12月环境空气质量应监测天数92天，有效监测天数92天，其中空气质量一级（优）为91天，二级（良）为1天，优良率100%。</w:t>
            </w:r>
          </w:p>
          <w:p w14:paraId="62A618FD">
            <w:pPr>
              <w:widowControl/>
              <w:autoSpaceDE w:val="0"/>
              <w:autoSpaceDN w:val="0"/>
              <w:adjustRightInd w:val="0"/>
              <w:spacing w:line="360" w:lineRule="auto"/>
              <w:ind w:firstLine="480" w:firstLineChars="200"/>
              <w:jc w:val="left"/>
              <w:rPr>
                <w:rFonts w:hint="default" w:ascii="Times New Roman" w:hAnsi="Times New Roman" w:eastAsia="宋体" w:cs="Times New Roman"/>
                <w:bCs/>
                <w:color w:val="000000" w:themeColor="text1"/>
                <w:sz w:val="24"/>
                <w:szCs w:val="24"/>
                <w:highlight w:val="none"/>
                <w14:textFill>
                  <w14:solidFill>
                    <w14:schemeClr w14:val="tx1"/>
                  </w14:solidFill>
                </w14:textFill>
              </w:rPr>
            </w:pPr>
            <w:r>
              <w:rPr>
                <w:rFonts w:hint="default" w:ascii="Times New Roman" w:hAnsi="Times New Roman" w:eastAsia="宋体" w:cs="Times New Roman"/>
                <w:bCs/>
                <w:color w:val="000000" w:themeColor="text1"/>
                <w:sz w:val="24"/>
                <w:szCs w:val="24"/>
                <w:highlight w:val="none"/>
                <w14:textFill>
                  <w14:solidFill>
                    <w14:schemeClr w14:val="tx1"/>
                  </w14:solidFill>
                </w14:textFill>
              </w:rPr>
              <w:t>甘孜州泸定县环境空气基本污染物SO</w:t>
            </w:r>
            <w:r>
              <w:rPr>
                <w:rFonts w:hint="default" w:ascii="Times New Roman" w:hAnsi="Times New Roman" w:eastAsia="宋体" w:cs="Times New Roman"/>
                <w:bCs/>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bCs/>
                <w:color w:val="000000" w:themeColor="text1"/>
                <w:sz w:val="24"/>
                <w:szCs w:val="24"/>
                <w:highlight w:val="none"/>
                <w14:textFill>
                  <w14:solidFill>
                    <w14:schemeClr w14:val="tx1"/>
                  </w14:solidFill>
                </w14:textFill>
              </w:rPr>
              <w:t>、NO</w:t>
            </w:r>
            <w:r>
              <w:rPr>
                <w:rFonts w:hint="default" w:ascii="Times New Roman" w:hAnsi="Times New Roman" w:eastAsia="宋体" w:cs="Times New Roman"/>
                <w:bCs/>
                <w:color w:val="000000" w:themeColor="text1"/>
                <w:sz w:val="24"/>
                <w:szCs w:val="24"/>
                <w:highlight w:val="none"/>
                <w:vertAlign w:val="subscript"/>
                <w14:textFill>
                  <w14:solidFill>
                    <w14:schemeClr w14:val="tx1"/>
                  </w14:solidFill>
                </w14:textFill>
              </w:rPr>
              <w:t>2</w:t>
            </w:r>
            <w:r>
              <w:rPr>
                <w:rFonts w:hint="default" w:ascii="Times New Roman" w:hAnsi="Times New Roman" w:eastAsia="宋体" w:cs="Times New Roman"/>
                <w:bCs/>
                <w:color w:val="000000" w:themeColor="text1"/>
                <w:sz w:val="24"/>
                <w:szCs w:val="24"/>
                <w:highlight w:val="none"/>
                <w14:textFill>
                  <w14:solidFill>
                    <w14:schemeClr w14:val="tx1"/>
                  </w14:solidFill>
                </w14:textFill>
              </w:rPr>
              <w:t>、PM</w:t>
            </w:r>
            <w:r>
              <w:rPr>
                <w:rFonts w:hint="default" w:ascii="Times New Roman" w:hAnsi="Times New Roman" w:eastAsia="宋体" w:cs="Times New Roman"/>
                <w:bCs/>
                <w:color w:val="000000" w:themeColor="text1"/>
                <w:sz w:val="24"/>
                <w:szCs w:val="24"/>
                <w:highlight w:val="none"/>
                <w:vertAlign w:val="subscript"/>
                <w14:textFill>
                  <w14:solidFill>
                    <w14:schemeClr w14:val="tx1"/>
                  </w14:solidFill>
                </w14:textFill>
              </w:rPr>
              <w:t>10</w:t>
            </w:r>
            <w:r>
              <w:rPr>
                <w:rFonts w:hint="default" w:ascii="Times New Roman" w:hAnsi="Times New Roman" w:eastAsia="宋体" w:cs="Times New Roman"/>
                <w:bCs/>
                <w:color w:val="000000" w:themeColor="text1"/>
                <w:sz w:val="24"/>
                <w:szCs w:val="24"/>
                <w:highlight w:val="none"/>
                <w14:textFill>
                  <w14:solidFill>
                    <w14:schemeClr w14:val="tx1"/>
                  </w14:solidFill>
                </w14:textFill>
              </w:rPr>
              <w:t>、PM</w:t>
            </w:r>
            <w:r>
              <w:rPr>
                <w:rFonts w:hint="default" w:ascii="Times New Roman" w:hAnsi="Times New Roman" w:eastAsia="宋体" w:cs="Times New Roman"/>
                <w:bCs/>
                <w:color w:val="000000" w:themeColor="text1"/>
                <w:sz w:val="24"/>
                <w:szCs w:val="24"/>
                <w:highlight w:val="none"/>
                <w:vertAlign w:val="subscript"/>
                <w14:textFill>
                  <w14:solidFill>
                    <w14:schemeClr w14:val="tx1"/>
                  </w14:solidFill>
                </w14:textFill>
              </w:rPr>
              <w:t>2.5</w:t>
            </w:r>
            <w:r>
              <w:rPr>
                <w:rFonts w:hint="default" w:ascii="Times New Roman" w:hAnsi="Times New Roman" w:eastAsia="宋体" w:cs="Times New Roman"/>
                <w:bCs/>
                <w:color w:val="000000" w:themeColor="text1"/>
                <w:sz w:val="24"/>
                <w:szCs w:val="24"/>
                <w:highlight w:val="none"/>
                <w14:textFill>
                  <w14:solidFill>
                    <w14:schemeClr w14:val="tx1"/>
                  </w14:solidFill>
                </w14:textFill>
              </w:rPr>
              <w:t>浓度分别为4μg/</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m</w:t>
            </w:r>
            <w:r>
              <w:rPr>
                <w:rFonts w:hint="eastAsia" w:ascii="Times New Roman" w:hAnsi="Times New Roman" w:cs="Times New Roman"/>
                <w:bCs/>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、12μg/</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m</w:t>
            </w:r>
            <w:r>
              <w:rPr>
                <w:rFonts w:hint="eastAsia" w:ascii="Times New Roman" w:hAnsi="Times New Roman" w:cs="Times New Roman"/>
                <w:bCs/>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、19μg/</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m</w:t>
            </w:r>
            <w:r>
              <w:rPr>
                <w:rFonts w:hint="eastAsia" w:ascii="Times New Roman" w:hAnsi="Times New Roman" w:cs="Times New Roman"/>
                <w:bCs/>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、11μg/</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m</w:t>
            </w:r>
            <w:r>
              <w:rPr>
                <w:rFonts w:hint="eastAsia" w:ascii="Times New Roman" w:hAnsi="Times New Roman" w:cs="Times New Roman"/>
                <w:bCs/>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；CO日均值第95百分位数为0.6mg/</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m</w:t>
            </w:r>
            <w:r>
              <w:rPr>
                <w:rFonts w:hint="eastAsia" w:ascii="Times New Roman" w:hAnsi="Times New Roman" w:cs="Times New Roman"/>
                <w:bCs/>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，O</w:t>
            </w:r>
            <w:r>
              <w:rPr>
                <w:rFonts w:hint="default" w:ascii="Times New Roman" w:hAnsi="Times New Roman" w:eastAsia="宋体" w:cs="Times New Roman"/>
                <w:bCs/>
                <w:color w:val="000000" w:themeColor="text1"/>
                <w:sz w:val="24"/>
                <w:szCs w:val="24"/>
                <w:highlight w:val="none"/>
                <w:vertAlign w:val="subscript"/>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日最大8小时平均浓度值第90百分位数为108μg/</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m</w:t>
            </w:r>
            <w:r>
              <w:rPr>
                <w:rFonts w:hint="eastAsia" w:ascii="Times New Roman" w:hAnsi="Times New Roman" w:cs="Times New Roman"/>
                <w:bCs/>
                <w:color w:val="000000" w:themeColor="text1"/>
                <w:sz w:val="24"/>
                <w:szCs w:val="24"/>
                <w:highlight w:val="none"/>
                <w:vertAlign w:val="superscript"/>
                <w:lang w:eastAsia="zh-CN"/>
                <w14:textFill>
                  <w14:solidFill>
                    <w14:schemeClr w14:val="tx1"/>
                  </w14:solidFill>
                </w14:textFill>
              </w:rPr>
              <w:t>3</w:t>
            </w:r>
            <w:r>
              <w:rPr>
                <w:rFonts w:hint="default" w:ascii="Times New Roman" w:hAnsi="Times New Roman" w:eastAsia="宋体" w:cs="Times New Roman"/>
                <w:bCs/>
                <w:color w:val="000000" w:themeColor="text1"/>
                <w:sz w:val="24"/>
                <w:szCs w:val="24"/>
                <w:highlight w:val="none"/>
                <w14:textFill>
                  <w14:solidFill>
                    <w14:schemeClr w14:val="tx1"/>
                  </w14:solidFill>
                </w14:textFill>
              </w:rPr>
              <w:t>。</w:t>
            </w:r>
          </w:p>
          <w:p w14:paraId="0E314F29">
            <w:pPr>
              <w:widowControl/>
              <w:spacing w:line="360" w:lineRule="auto"/>
              <w:ind w:firstLine="480" w:firstLineChars="200"/>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项目所在区域环境空气质量达标判定如下表。</w:t>
            </w:r>
          </w:p>
          <w:p w14:paraId="71851F7C">
            <w:pPr>
              <w:pStyle w:val="155"/>
              <w:numPr>
                <w:ilvl w:val="0"/>
                <w:numId w:val="19"/>
              </w:numPr>
              <w:spacing w:line="360" w:lineRule="auto"/>
              <w:ind w:firstLineChars="0"/>
              <w:jc w:val="center"/>
              <w:rPr>
                <w:rFonts w:hint="default" w:ascii="Times New Roman" w:hAnsi="Times New Roman" w:eastAsia="宋体" w:cs="Times New Roman"/>
                <w:b/>
                <w:color w:val="000000" w:themeColor="text1"/>
                <w:szCs w:val="21"/>
                <w:lang w:val="en-US" w:eastAsia="zh-CN"/>
                <w14:textFill>
                  <w14:solidFill>
                    <w14:schemeClr w14:val="tx1"/>
                  </w14:solidFill>
                </w14:textFill>
              </w:rPr>
            </w:pPr>
            <w:r>
              <w:rPr>
                <w:rFonts w:hint="default" w:ascii="Times New Roman" w:hAnsi="Times New Roman" w:eastAsia="宋体" w:cs="Times New Roman"/>
                <w:b/>
                <w:color w:val="000000" w:themeColor="text1"/>
                <w:szCs w:val="21"/>
                <w:lang w:val="en-US" w:eastAsia="zh-CN"/>
                <w14:textFill>
                  <w14:solidFill>
                    <w14:schemeClr w14:val="tx1"/>
                  </w14:solidFill>
                </w14:textFill>
              </w:rPr>
              <w:t>泸定县2024年环境空气质量现状数据一览表</w:t>
            </w:r>
          </w:p>
          <w:tbl>
            <w:tblPr>
              <w:tblStyle w:val="5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850"/>
              <w:gridCol w:w="1893"/>
              <w:gridCol w:w="1360"/>
              <w:gridCol w:w="1410"/>
              <w:gridCol w:w="1026"/>
              <w:gridCol w:w="1021"/>
            </w:tblGrid>
            <w:tr w14:paraId="350F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404" w:type="pct"/>
                  <w:noWrap w:val="0"/>
                  <w:vAlign w:val="center"/>
                </w:tcPr>
                <w:p w14:paraId="02ADA877">
                  <w:pPr>
                    <w:pStyle w:val="107"/>
                    <w:spacing w:line="240" w:lineRule="auto"/>
                    <w:jc w:val="center"/>
                    <w:rPr>
                      <w:rFonts w:hint="default" w:ascii="Times New Roman" w:hAnsi="Times New Roman" w:eastAsia="宋体" w:cs="Times New Roman"/>
                      <w:b/>
                      <w:bCs/>
                      <w:color w:val="000000" w:themeColor="text1"/>
                      <w:sz w:val="21"/>
                      <w:highlight w:val="none"/>
                      <w14:textFill>
                        <w14:solidFill>
                          <w14:schemeClr w14:val="tx1"/>
                        </w14:solidFill>
                      </w14:textFill>
                    </w:rPr>
                  </w:pPr>
                  <w:r>
                    <w:rPr>
                      <w:rFonts w:hint="default" w:ascii="Times New Roman" w:hAnsi="Times New Roman" w:eastAsia="宋体" w:cs="Times New Roman"/>
                      <w:b/>
                      <w:bCs/>
                      <w:color w:val="000000" w:themeColor="text1"/>
                      <w:sz w:val="21"/>
                      <w:highlight w:val="none"/>
                      <w14:textFill>
                        <w14:solidFill>
                          <w14:schemeClr w14:val="tx1"/>
                        </w14:solidFill>
                      </w14:textFill>
                    </w:rPr>
                    <w:t>地点</w:t>
                  </w:r>
                </w:p>
              </w:tc>
              <w:tc>
                <w:tcPr>
                  <w:tcW w:w="1668" w:type="pct"/>
                  <w:gridSpan w:val="2"/>
                  <w:noWrap w:val="0"/>
                  <w:vAlign w:val="center"/>
                </w:tcPr>
                <w:p w14:paraId="3A7FDC91">
                  <w:pPr>
                    <w:pStyle w:val="107"/>
                    <w:spacing w:line="240" w:lineRule="auto"/>
                    <w:jc w:val="center"/>
                    <w:rPr>
                      <w:rFonts w:hint="default" w:ascii="Times New Roman" w:hAnsi="Times New Roman" w:eastAsia="宋体" w:cs="Times New Roman"/>
                      <w:b/>
                      <w:bCs/>
                      <w:color w:val="000000" w:themeColor="text1"/>
                      <w:sz w:val="21"/>
                      <w:highlight w:val="none"/>
                      <w14:textFill>
                        <w14:solidFill>
                          <w14:schemeClr w14:val="tx1"/>
                        </w14:solidFill>
                      </w14:textFill>
                    </w:rPr>
                  </w:pPr>
                  <w:r>
                    <w:rPr>
                      <w:rFonts w:hint="default" w:ascii="Times New Roman" w:hAnsi="Times New Roman" w:eastAsia="宋体" w:cs="Times New Roman"/>
                      <w:b/>
                      <w:bCs/>
                      <w:color w:val="000000" w:themeColor="text1"/>
                      <w:sz w:val="21"/>
                      <w:highlight w:val="none"/>
                      <w14:textFill>
                        <w14:solidFill>
                          <w14:schemeClr w14:val="tx1"/>
                        </w14:solidFill>
                      </w14:textFill>
                    </w:rPr>
                    <w:t>监测因子</w:t>
                  </w:r>
                </w:p>
              </w:tc>
              <w:tc>
                <w:tcPr>
                  <w:tcW w:w="827" w:type="pct"/>
                  <w:noWrap w:val="0"/>
                  <w:vAlign w:val="center"/>
                </w:tcPr>
                <w:p w14:paraId="34143D60">
                  <w:pPr>
                    <w:pStyle w:val="107"/>
                    <w:spacing w:line="240" w:lineRule="auto"/>
                    <w:jc w:val="center"/>
                    <w:rPr>
                      <w:rFonts w:hint="default" w:ascii="Times New Roman" w:hAnsi="Times New Roman" w:eastAsia="宋体" w:cs="Times New Roman"/>
                      <w:b/>
                      <w:bCs/>
                      <w:color w:val="000000" w:themeColor="text1"/>
                      <w:sz w:val="21"/>
                      <w:highlight w:val="none"/>
                      <w14:textFill>
                        <w14:solidFill>
                          <w14:schemeClr w14:val="tx1"/>
                        </w14:solidFill>
                      </w14:textFill>
                    </w:rPr>
                  </w:pPr>
                  <w:r>
                    <w:rPr>
                      <w:rFonts w:hint="default" w:ascii="Times New Roman" w:hAnsi="Times New Roman" w:eastAsia="宋体" w:cs="Times New Roman"/>
                      <w:b/>
                      <w:bCs/>
                      <w:color w:val="000000" w:themeColor="text1"/>
                      <w:sz w:val="21"/>
                      <w:highlight w:val="none"/>
                      <w14:textFill>
                        <w14:solidFill>
                          <w14:schemeClr w14:val="tx1"/>
                        </w14:solidFill>
                      </w14:textFill>
                    </w:rPr>
                    <w:t>现状浓度（ug/</w:t>
                  </w:r>
                  <w:r>
                    <w:rPr>
                      <w:rFonts w:hint="eastAsia" w:ascii="Times New Roman" w:hAnsi="Times New Roman" w:cs="Times New Roman"/>
                      <w:b/>
                      <w:bCs/>
                      <w:color w:val="000000" w:themeColor="text1"/>
                      <w:sz w:val="21"/>
                      <w:highlight w:val="none"/>
                      <w:lang w:eastAsia="zh-CN"/>
                      <w14:textFill>
                        <w14:solidFill>
                          <w14:schemeClr w14:val="tx1"/>
                        </w14:solidFill>
                      </w14:textFill>
                    </w:rPr>
                    <w:t>m</w:t>
                  </w:r>
                  <w:r>
                    <w:rPr>
                      <w:rFonts w:hint="eastAsia" w:ascii="Times New Roman" w:hAnsi="Times New Roman" w:cs="Times New Roman"/>
                      <w:b/>
                      <w:bCs/>
                      <w:color w:val="000000" w:themeColor="text1"/>
                      <w:sz w:val="21"/>
                      <w:highlight w:val="none"/>
                      <w:vertAlign w:val="superscript"/>
                      <w:lang w:eastAsia="zh-CN"/>
                      <w14:textFill>
                        <w14:solidFill>
                          <w14:schemeClr w14:val="tx1"/>
                        </w14:solidFill>
                      </w14:textFill>
                    </w:rPr>
                    <w:t>3</w:t>
                  </w:r>
                  <w:r>
                    <w:rPr>
                      <w:rFonts w:hint="default" w:ascii="Times New Roman" w:hAnsi="Times New Roman" w:eastAsia="宋体" w:cs="Times New Roman"/>
                      <w:b/>
                      <w:bCs/>
                      <w:color w:val="000000" w:themeColor="text1"/>
                      <w:sz w:val="21"/>
                      <w:highlight w:val="none"/>
                      <w14:textFill>
                        <w14:solidFill>
                          <w14:schemeClr w14:val="tx1"/>
                        </w14:solidFill>
                      </w14:textFill>
                    </w:rPr>
                    <w:t>）</w:t>
                  </w:r>
                </w:p>
              </w:tc>
              <w:tc>
                <w:tcPr>
                  <w:tcW w:w="857" w:type="pct"/>
                  <w:noWrap w:val="0"/>
                  <w:vAlign w:val="center"/>
                </w:tcPr>
                <w:p w14:paraId="18ADD64F">
                  <w:pPr>
                    <w:pStyle w:val="107"/>
                    <w:spacing w:line="240" w:lineRule="auto"/>
                    <w:jc w:val="center"/>
                    <w:rPr>
                      <w:rFonts w:hint="eastAsia" w:ascii="Times New Roman" w:hAnsi="Times New Roman" w:eastAsia="宋体" w:cs="Times New Roman"/>
                      <w:b/>
                      <w:bCs/>
                      <w:color w:val="000000" w:themeColor="text1"/>
                      <w:sz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z w:val="21"/>
                      <w:highlight w:val="none"/>
                      <w14:textFill>
                        <w14:solidFill>
                          <w14:schemeClr w14:val="tx1"/>
                        </w14:solidFill>
                      </w14:textFill>
                    </w:rPr>
                    <w:t>标准值（二级）ug/</w:t>
                  </w:r>
                  <w:r>
                    <w:rPr>
                      <w:rFonts w:hint="eastAsia" w:ascii="Times New Roman" w:hAnsi="Times New Roman" w:cs="Times New Roman"/>
                      <w:b/>
                      <w:bCs/>
                      <w:color w:val="000000" w:themeColor="text1"/>
                      <w:sz w:val="21"/>
                      <w:highlight w:val="none"/>
                      <w:lang w:eastAsia="zh-CN"/>
                      <w14:textFill>
                        <w14:solidFill>
                          <w14:schemeClr w14:val="tx1"/>
                        </w14:solidFill>
                      </w14:textFill>
                    </w:rPr>
                    <w:t>m</w:t>
                  </w:r>
                  <w:r>
                    <w:rPr>
                      <w:rFonts w:hint="eastAsia" w:ascii="Times New Roman" w:hAnsi="Times New Roman" w:cs="Times New Roman"/>
                      <w:b/>
                      <w:bCs/>
                      <w:color w:val="000000" w:themeColor="text1"/>
                      <w:sz w:val="21"/>
                      <w:highlight w:val="none"/>
                      <w:vertAlign w:val="superscript"/>
                      <w:lang w:eastAsia="zh-CN"/>
                      <w14:textFill>
                        <w14:solidFill>
                          <w14:schemeClr w14:val="tx1"/>
                        </w14:solidFill>
                      </w14:textFill>
                    </w:rPr>
                    <w:t>3</w:t>
                  </w:r>
                </w:p>
              </w:tc>
              <w:tc>
                <w:tcPr>
                  <w:tcW w:w="624" w:type="pct"/>
                  <w:noWrap w:val="0"/>
                  <w:vAlign w:val="center"/>
                </w:tcPr>
                <w:p w14:paraId="52992E79">
                  <w:pPr>
                    <w:pStyle w:val="107"/>
                    <w:spacing w:line="240" w:lineRule="auto"/>
                    <w:jc w:val="center"/>
                    <w:rPr>
                      <w:rFonts w:hint="default" w:ascii="Times New Roman" w:hAnsi="Times New Roman" w:eastAsia="宋体" w:cs="Times New Roman"/>
                      <w:b/>
                      <w:bCs/>
                      <w:color w:val="000000" w:themeColor="text1"/>
                      <w:sz w:val="21"/>
                      <w:highlight w:val="none"/>
                      <w14:textFill>
                        <w14:solidFill>
                          <w14:schemeClr w14:val="tx1"/>
                        </w14:solidFill>
                      </w14:textFill>
                    </w:rPr>
                  </w:pPr>
                  <w:r>
                    <w:rPr>
                      <w:rFonts w:hint="default" w:ascii="Times New Roman" w:hAnsi="Times New Roman" w:eastAsia="宋体" w:cs="Times New Roman"/>
                      <w:b/>
                      <w:bCs/>
                      <w:color w:val="000000" w:themeColor="text1"/>
                      <w:sz w:val="21"/>
                      <w:highlight w:val="none"/>
                      <w14:textFill>
                        <w14:solidFill>
                          <w14:schemeClr w14:val="tx1"/>
                        </w14:solidFill>
                      </w14:textFill>
                    </w:rPr>
                    <w:t>占标率%</w:t>
                  </w:r>
                </w:p>
              </w:tc>
              <w:tc>
                <w:tcPr>
                  <w:tcW w:w="620" w:type="pct"/>
                  <w:noWrap w:val="0"/>
                  <w:vAlign w:val="center"/>
                </w:tcPr>
                <w:p w14:paraId="7E5C19F6">
                  <w:pPr>
                    <w:pStyle w:val="107"/>
                    <w:spacing w:line="240" w:lineRule="auto"/>
                    <w:jc w:val="center"/>
                    <w:rPr>
                      <w:rFonts w:hint="default" w:ascii="Times New Roman" w:hAnsi="Times New Roman" w:eastAsia="宋体" w:cs="Times New Roman"/>
                      <w:b/>
                      <w:bCs/>
                      <w:color w:val="000000" w:themeColor="text1"/>
                      <w:sz w:val="21"/>
                      <w:highlight w:val="none"/>
                      <w14:textFill>
                        <w14:solidFill>
                          <w14:schemeClr w14:val="tx1"/>
                        </w14:solidFill>
                      </w14:textFill>
                    </w:rPr>
                  </w:pPr>
                  <w:r>
                    <w:rPr>
                      <w:rFonts w:hint="default" w:ascii="Times New Roman" w:hAnsi="Times New Roman" w:eastAsia="宋体" w:cs="Times New Roman"/>
                      <w:b/>
                      <w:bCs/>
                      <w:color w:val="000000" w:themeColor="text1"/>
                      <w:sz w:val="21"/>
                      <w:highlight w:val="none"/>
                      <w14:textFill>
                        <w14:solidFill>
                          <w14:schemeClr w14:val="tx1"/>
                        </w14:solidFill>
                      </w14:textFill>
                    </w:rPr>
                    <w:t>达标判定</w:t>
                  </w:r>
                </w:p>
              </w:tc>
            </w:tr>
            <w:tr w14:paraId="1967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404" w:type="pct"/>
                  <w:vMerge w:val="restart"/>
                  <w:noWrap w:val="0"/>
                  <w:vAlign w:val="center"/>
                </w:tcPr>
                <w:p w14:paraId="7E16AC54">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泸定县政府综合大楼</w:t>
                  </w:r>
                </w:p>
              </w:tc>
              <w:tc>
                <w:tcPr>
                  <w:tcW w:w="517" w:type="pct"/>
                  <w:noWrap w:val="0"/>
                  <w:vAlign w:val="center"/>
                </w:tcPr>
                <w:p w14:paraId="73D030EC">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SO</w:t>
                  </w:r>
                  <w:r>
                    <w:rPr>
                      <w:rFonts w:hint="default" w:ascii="Times New Roman" w:hAnsi="Times New Roman" w:eastAsia="宋体" w:cs="Times New Roman"/>
                      <w:color w:val="000000" w:themeColor="text1"/>
                      <w:sz w:val="21"/>
                      <w:highlight w:val="none"/>
                      <w:vertAlign w:val="subscript"/>
                      <w14:textFill>
                        <w14:solidFill>
                          <w14:schemeClr w14:val="tx1"/>
                        </w14:solidFill>
                      </w14:textFill>
                    </w:rPr>
                    <w:t>2</w:t>
                  </w:r>
                </w:p>
              </w:tc>
              <w:tc>
                <w:tcPr>
                  <w:tcW w:w="1151" w:type="pct"/>
                  <w:noWrap w:val="0"/>
                  <w:vAlign w:val="center"/>
                </w:tcPr>
                <w:p w14:paraId="39179416">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年平均质量浓度</w:t>
                  </w:r>
                </w:p>
              </w:tc>
              <w:tc>
                <w:tcPr>
                  <w:tcW w:w="827" w:type="pct"/>
                  <w:noWrap w:val="0"/>
                  <w:vAlign w:val="center"/>
                </w:tcPr>
                <w:p w14:paraId="64C95A92">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4</w:t>
                  </w:r>
                </w:p>
              </w:tc>
              <w:tc>
                <w:tcPr>
                  <w:tcW w:w="857" w:type="pct"/>
                  <w:noWrap w:val="0"/>
                  <w:vAlign w:val="center"/>
                </w:tcPr>
                <w:p w14:paraId="15CC2E97">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60</w:t>
                  </w:r>
                </w:p>
              </w:tc>
              <w:tc>
                <w:tcPr>
                  <w:tcW w:w="624" w:type="pct"/>
                  <w:noWrap w:val="0"/>
                  <w:vAlign w:val="center"/>
                </w:tcPr>
                <w:p w14:paraId="25A089AB">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6.7</w:t>
                  </w:r>
                </w:p>
              </w:tc>
              <w:tc>
                <w:tcPr>
                  <w:tcW w:w="620" w:type="pct"/>
                  <w:noWrap w:val="0"/>
                  <w:vAlign w:val="center"/>
                </w:tcPr>
                <w:p w14:paraId="341586BF">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达标</w:t>
                  </w:r>
                </w:p>
              </w:tc>
            </w:tr>
            <w:tr w14:paraId="18EF5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404" w:type="pct"/>
                  <w:vMerge w:val="continue"/>
                  <w:noWrap w:val="0"/>
                  <w:vAlign w:val="center"/>
                </w:tcPr>
                <w:p w14:paraId="6974D4CD">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p>
              </w:tc>
              <w:tc>
                <w:tcPr>
                  <w:tcW w:w="517" w:type="pct"/>
                  <w:noWrap w:val="0"/>
                  <w:vAlign w:val="center"/>
                </w:tcPr>
                <w:p w14:paraId="2DA939DC">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NO</w:t>
                  </w:r>
                  <w:r>
                    <w:rPr>
                      <w:rFonts w:hint="default" w:ascii="Times New Roman" w:hAnsi="Times New Roman" w:eastAsia="宋体" w:cs="Times New Roman"/>
                      <w:color w:val="000000" w:themeColor="text1"/>
                      <w:sz w:val="21"/>
                      <w:highlight w:val="none"/>
                      <w:vertAlign w:val="subscript"/>
                      <w14:textFill>
                        <w14:solidFill>
                          <w14:schemeClr w14:val="tx1"/>
                        </w14:solidFill>
                      </w14:textFill>
                    </w:rPr>
                    <w:t>2</w:t>
                  </w:r>
                </w:p>
              </w:tc>
              <w:tc>
                <w:tcPr>
                  <w:tcW w:w="1151" w:type="pct"/>
                  <w:noWrap w:val="0"/>
                  <w:vAlign w:val="center"/>
                </w:tcPr>
                <w:p w14:paraId="4E5B3F46">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年平均质量浓度</w:t>
                  </w:r>
                </w:p>
              </w:tc>
              <w:tc>
                <w:tcPr>
                  <w:tcW w:w="827" w:type="pct"/>
                  <w:noWrap w:val="0"/>
                  <w:vAlign w:val="center"/>
                </w:tcPr>
                <w:p w14:paraId="50FF9DFE">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12</w:t>
                  </w:r>
                </w:p>
              </w:tc>
              <w:tc>
                <w:tcPr>
                  <w:tcW w:w="857" w:type="pct"/>
                  <w:noWrap w:val="0"/>
                  <w:vAlign w:val="center"/>
                </w:tcPr>
                <w:p w14:paraId="505BF850">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40</w:t>
                  </w:r>
                </w:p>
              </w:tc>
              <w:tc>
                <w:tcPr>
                  <w:tcW w:w="624" w:type="pct"/>
                  <w:noWrap w:val="0"/>
                  <w:vAlign w:val="center"/>
                </w:tcPr>
                <w:p w14:paraId="6743AFFB">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30</w:t>
                  </w:r>
                </w:p>
              </w:tc>
              <w:tc>
                <w:tcPr>
                  <w:tcW w:w="620" w:type="pct"/>
                  <w:noWrap w:val="0"/>
                  <w:vAlign w:val="center"/>
                </w:tcPr>
                <w:p w14:paraId="6BB53CF7">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达标</w:t>
                  </w:r>
                </w:p>
              </w:tc>
            </w:tr>
            <w:tr w14:paraId="2F67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04" w:type="pct"/>
                  <w:vMerge w:val="continue"/>
                  <w:noWrap w:val="0"/>
                  <w:vAlign w:val="center"/>
                </w:tcPr>
                <w:p w14:paraId="3947EDE7">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p>
              </w:tc>
              <w:tc>
                <w:tcPr>
                  <w:tcW w:w="517" w:type="pct"/>
                  <w:noWrap w:val="0"/>
                  <w:vAlign w:val="center"/>
                </w:tcPr>
                <w:p w14:paraId="7D1F4684">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CO</w:t>
                  </w:r>
                </w:p>
              </w:tc>
              <w:tc>
                <w:tcPr>
                  <w:tcW w:w="1151" w:type="pct"/>
                  <w:noWrap w:val="0"/>
                  <w:vAlign w:val="center"/>
                </w:tcPr>
                <w:p w14:paraId="11FF20DB">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日均值第95百分位数（mg/</w:t>
                  </w:r>
                  <w:r>
                    <w:rPr>
                      <w:rFonts w:hint="eastAsia" w:ascii="Times New Roman" w:hAnsi="Times New Roman" w:cs="Times New Roman"/>
                      <w:color w:val="000000" w:themeColor="text1"/>
                      <w:sz w:val="21"/>
                      <w:highlight w:val="none"/>
                      <w:lang w:eastAsia="zh-CN"/>
                      <w14:textFill>
                        <w14:solidFill>
                          <w14:schemeClr w14:val="tx1"/>
                        </w14:solidFill>
                      </w14:textFill>
                    </w:rPr>
                    <w:t>m</w:t>
                  </w:r>
                  <w:r>
                    <w:rPr>
                      <w:rFonts w:hint="eastAsia" w:ascii="Times New Roman" w:hAnsi="Times New Roman" w:cs="Times New Roman"/>
                      <w:color w:val="000000" w:themeColor="text1"/>
                      <w:sz w:val="21"/>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1"/>
                      <w:highlight w:val="none"/>
                      <w14:textFill>
                        <w14:solidFill>
                          <w14:schemeClr w14:val="tx1"/>
                        </w14:solidFill>
                      </w14:textFill>
                    </w:rPr>
                    <w:t>）</w:t>
                  </w:r>
                </w:p>
              </w:tc>
              <w:tc>
                <w:tcPr>
                  <w:tcW w:w="827" w:type="pct"/>
                  <w:noWrap w:val="0"/>
                  <w:vAlign w:val="center"/>
                </w:tcPr>
                <w:p w14:paraId="6BD46920">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0.6</w:t>
                  </w:r>
                </w:p>
              </w:tc>
              <w:tc>
                <w:tcPr>
                  <w:tcW w:w="857" w:type="pct"/>
                  <w:noWrap w:val="0"/>
                  <w:vAlign w:val="center"/>
                </w:tcPr>
                <w:p w14:paraId="3E7E064E">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4</w:t>
                  </w:r>
                </w:p>
              </w:tc>
              <w:tc>
                <w:tcPr>
                  <w:tcW w:w="624" w:type="pct"/>
                  <w:noWrap w:val="0"/>
                  <w:vAlign w:val="center"/>
                </w:tcPr>
                <w:p w14:paraId="6F369BE9">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15</w:t>
                  </w:r>
                </w:p>
              </w:tc>
              <w:tc>
                <w:tcPr>
                  <w:tcW w:w="620" w:type="pct"/>
                  <w:noWrap w:val="0"/>
                  <w:vAlign w:val="center"/>
                </w:tcPr>
                <w:p w14:paraId="40BCA697">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达标</w:t>
                  </w:r>
                </w:p>
              </w:tc>
            </w:tr>
            <w:tr w14:paraId="78A5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404" w:type="pct"/>
                  <w:vMerge w:val="continue"/>
                  <w:noWrap w:val="0"/>
                  <w:vAlign w:val="center"/>
                </w:tcPr>
                <w:p w14:paraId="6AC69D68">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p>
              </w:tc>
              <w:tc>
                <w:tcPr>
                  <w:tcW w:w="517" w:type="pct"/>
                  <w:noWrap w:val="0"/>
                  <w:vAlign w:val="center"/>
                </w:tcPr>
                <w:p w14:paraId="628CA8EB">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O</w:t>
                  </w:r>
                  <w:r>
                    <w:rPr>
                      <w:rFonts w:hint="default" w:ascii="Times New Roman" w:hAnsi="Times New Roman" w:eastAsia="宋体" w:cs="Times New Roman"/>
                      <w:color w:val="000000" w:themeColor="text1"/>
                      <w:sz w:val="21"/>
                      <w:highlight w:val="none"/>
                      <w:vertAlign w:val="subscript"/>
                      <w14:textFill>
                        <w14:solidFill>
                          <w14:schemeClr w14:val="tx1"/>
                        </w14:solidFill>
                      </w14:textFill>
                    </w:rPr>
                    <w:t>3</w:t>
                  </w:r>
                </w:p>
              </w:tc>
              <w:tc>
                <w:tcPr>
                  <w:tcW w:w="1151" w:type="pct"/>
                  <w:noWrap w:val="0"/>
                  <w:vAlign w:val="center"/>
                </w:tcPr>
                <w:p w14:paraId="2C4F00F5">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日最大8小时滑动第90百分位数</w:t>
                  </w:r>
                </w:p>
              </w:tc>
              <w:tc>
                <w:tcPr>
                  <w:tcW w:w="827" w:type="pct"/>
                  <w:noWrap w:val="0"/>
                  <w:vAlign w:val="center"/>
                </w:tcPr>
                <w:p w14:paraId="17B2B127">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108</w:t>
                  </w:r>
                </w:p>
              </w:tc>
              <w:tc>
                <w:tcPr>
                  <w:tcW w:w="857" w:type="pct"/>
                  <w:noWrap w:val="0"/>
                  <w:vAlign w:val="center"/>
                </w:tcPr>
                <w:p w14:paraId="2C004713">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160</w:t>
                  </w:r>
                </w:p>
              </w:tc>
              <w:tc>
                <w:tcPr>
                  <w:tcW w:w="624" w:type="pct"/>
                  <w:noWrap w:val="0"/>
                  <w:vAlign w:val="center"/>
                </w:tcPr>
                <w:p w14:paraId="3F20CC83">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67.5</w:t>
                  </w:r>
                </w:p>
              </w:tc>
              <w:tc>
                <w:tcPr>
                  <w:tcW w:w="620" w:type="pct"/>
                  <w:noWrap w:val="0"/>
                  <w:vAlign w:val="center"/>
                </w:tcPr>
                <w:p w14:paraId="0BE47452">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达标</w:t>
                  </w:r>
                </w:p>
              </w:tc>
            </w:tr>
            <w:tr w14:paraId="45E3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404" w:type="pct"/>
                  <w:vMerge w:val="continue"/>
                  <w:noWrap w:val="0"/>
                  <w:vAlign w:val="center"/>
                </w:tcPr>
                <w:p w14:paraId="1813CF01">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p>
              </w:tc>
              <w:tc>
                <w:tcPr>
                  <w:tcW w:w="517" w:type="pct"/>
                  <w:noWrap w:val="0"/>
                  <w:vAlign w:val="center"/>
                </w:tcPr>
                <w:p w14:paraId="0B032DD7">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PM</w:t>
                  </w:r>
                  <w:r>
                    <w:rPr>
                      <w:rFonts w:hint="default" w:ascii="Times New Roman" w:hAnsi="Times New Roman" w:eastAsia="宋体" w:cs="Times New Roman"/>
                      <w:color w:val="000000" w:themeColor="text1"/>
                      <w:sz w:val="21"/>
                      <w:highlight w:val="none"/>
                      <w:vertAlign w:val="subscript"/>
                      <w14:textFill>
                        <w14:solidFill>
                          <w14:schemeClr w14:val="tx1"/>
                        </w14:solidFill>
                      </w14:textFill>
                    </w:rPr>
                    <w:t>10</w:t>
                  </w:r>
                </w:p>
              </w:tc>
              <w:tc>
                <w:tcPr>
                  <w:tcW w:w="1151" w:type="pct"/>
                  <w:noWrap w:val="0"/>
                  <w:vAlign w:val="center"/>
                </w:tcPr>
                <w:p w14:paraId="1DB210E4">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年平均质量浓度</w:t>
                  </w:r>
                </w:p>
              </w:tc>
              <w:tc>
                <w:tcPr>
                  <w:tcW w:w="827" w:type="pct"/>
                  <w:noWrap w:val="0"/>
                  <w:vAlign w:val="center"/>
                </w:tcPr>
                <w:p w14:paraId="3DCB4440">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19</w:t>
                  </w:r>
                </w:p>
              </w:tc>
              <w:tc>
                <w:tcPr>
                  <w:tcW w:w="857" w:type="pct"/>
                  <w:noWrap w:val="0"/>
                  <w:vAlign w:val="center"/>
                </w:tcPr>
                <w:p w14:paraId="6AB7558A">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60</w:t>
                  </w:r>
                </w:p>
              </w:tc>
              <w:tc>
                <w:tcPr>
                  <w:tcW w:w="624" w:type="pct"/>
                  <w:noWrap w:val="0"/>
                  <w:vAlign w:val="center"/>
                </w:tcPr>
                <w:p w14:paraId="1824567D">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31.7</w:t>
                  </w:r>
                </w:p>
              </w:tc>
              <w:tc>
                <w:tcPr>
                  <w:tcW w:w="620" w:type="pct"/>
                  <w:noWrap w:val="0"/>
                  <w:vAlign w:val="center"/>
                </w:tcPr>
                <w:p w14:paraId="629D6800">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达标</w:t>
                  </w:r>
                </w:p>
              </w:tc>
            </w:tr>
            <w:tr w14:paraId="766E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404" w:type="pct"/>
                  <w:vMerge w:val="continue"/>
                  <w:noWrap w:val="0"/>
                  <w:vAlign w:val="center"/>
                </w:tcPr>
                <w:p w14:paraId="3EEEEA25">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p>
              </w:tc>
              <w:tc>
                <w:tcPr>
                  <w:tcW w:w="517" w:type="pct"/>
                  <w:noWrap w:val="0"/>
                  <w:vAlign w:val="center"/>
                </w:tcPr>
                <w:p w14:paraId="2D62FB71">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PM</w:t>
                  </w:r>
                  <w:r>
                    <w:rPr>
                      <w:rFonts w:hint="default" w:ascii="Times New Roman" w:hAnsi="Times New Roman" w:eastAsia="宋体" w:cs="Times New Roman"/>
                      <w:color w:val="000000" w:themeColor="text1"/>
                      <w:sz w:val="21"/>
                      <w:highlight w:val="none"/>
                      <w:vertAlign w:val="subscript"/>
                      <w14:textFill>
                        <w14:solidFill>
                          <w14:schemeClr w14:val="tx1"/>
                        </w14:solidFill>
                      </w14:textFill>
                    </w:rPr>
                    <w:t>2.5</w:t>
                  </w:r>
                </w:p>
              </w:tc>
              <w:tc>
                <w:tcPr>
                  <w:tcW w:w="1151" w:type="pct"/>
                  <w:noWrap w:val="0"/>
                  <w:vAlign w:val="center"/>
                </w:tcPr>
                <w:p w14:paraId="00C7D65B">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年平均质量浓度</w:t>
                  </w:r>
                </w:p>
              </w:tc>
              <w:tc>
                <w:tcPr>
                  <w:tcW w:w="827" w:type="pct"/>
                  <w:noWrap w:val="0"/>
                  <w:vAlign w:val="center"/>
                </w:tcPr>
                <w:p w14:paraId="1FA83C79">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11</w:t>
                  </w:r>
                </w:p>
              </w:tc>
              <w:tc>
                <w:tcPr>
                  <w:tcW w:w="857" w:type="pct"/>
                  <w:noWrap w:val="0"/>
                  <w:vAlign w:val="center"/>
                </w:tcPr>
                <w:p w14:paraId="25F1B7A1">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30</w:t>
                  </w:r>
                </w:p>
              </w:tc>
              <w:tc>
                <w:tcPr>
                  <w:tcW w:w="624" w:type="pct"/>
                  <w:noWrap w:val="0"/>
                  <w:vAlign w:val="center"/>
                </w:tcPr>
                <w:p w14:paraId="65314944">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36.7</w:t>
                  </w:r>
                </w:p>
              </w:tc>
              <w:tc>
                <w:tcPr>
                  <w:tcW w:w="620" w:type="pct"/>
                  <w:noWrap w:val="0"/>
                  <w:vAlign w:val="center"/>
                </w:tcPr>
                <w:p w14:paraId="1D731471">
                  <w:pPr>
                    <w:pStyle w:val="107"/>
                    <w:spacing w:line="240" w:lineRule="auto"/>
                    <w:jc w:val="center"/>
                    <w:rPr>
                      <w:rFonts w:hint="default" w:ascii="Times New Roman" w:hAnsi="Times New Roman" w:eastAsia="宋体" w:cs="Times New Roman"/>
                      <w:color w:val="000000" w:themeColor="text1"/>
                      <w:sz w:val="21"/>
                      <w:highlight w:val="none"/>
                      <w14:textFill>
                        <w14:solidFill>
                          <w14:schemeClr w14:val="tx1"/>
                        </w14:solidFill>
                      </w14:textFill>
                    </w:rPr>
                  </w:pPr>
                  <w:r>
                    <w:rPr>
                      <w:rFonts w:hint="default" w:ascii="Times New Roman" w:hAnsi="Times New Roman" w:eastAsia="宋体" w:cs="Times New Roman"/>
                      <w:color w:val="000000" w:themeColor="text1"/>
                      <w:sz w:val="21"/>
                      <w:highlight w:val="none"/>
                      <w14:textFill>
                        <w14:solidFill>
                          <w14:schemeClr w14:val="tx1"/>
                        </w14:solidFill>
                      </w14:textFill>
                    </w:rPr>
                    <w:t>达标</w:t>
                  </w:r>
                </w:p>
              </w:tc>
            </w:tr>
          </w:tbl>
          <w:p w14:paraId="047375B0">
            <w:pPr>
              <w:widowControl/>
              <w:spacing w:line="360" w:lineRule="auto"/>
              <w:ind w:firstLine="480" w:firstLineChars="200"/>
              <w:jc w:val="left"/>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由上表可知，2024年泸定县六项基本污染物年平均质量浓度或相应百分位数的短期浓度均达到《环境空气质量标准》（GB3095-2026）过渡阶段二级标准限值要求。因此，本项目所在地为环境空气质量达标区。</w:t>
            </w:r>
          </w:p>
          <w:p w14:paraId="310911F4">
            <w:pPr>
              <w:spacing w:line="358" w:lineRule="auto"/>
              <w:ind w:firstLine="482"/>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1.2特征污染物</w:t>
            </w:r>
          </w:p>
          <w:p w14:paraId="44029A2D">
            <w:pPr>
              <w:spacing w:line="360" w:lineRule="auto"/>
              <w:ind w:firstLine="480" w:firstLineChars="200"/>
              <w:textAlignment w:val="baseline"/>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根据《建设项目环境影响报告表编制技术指南》（污染影响类）（试行）的要求，</w:t>
            </w:r>
            <w:r>
              <w:rPr>
                <w:rFonts w:hint="default" w:ascii="Times New Roman" w:hAnsi="Times New Roman" w:eastAsia="宋体" w:cs="Times New Roman"/>
                <w:bCs/>
                <w:i/>
                <w:iCs/>
                <w:color w:val="000000" w:themeColor="text1"/>
                <w:sz w:val="24"/>
                <w14:textFill>
                  <w14:solidFill>
                    <w14:schemeClr w14:val="tx1"/>
                  </w14:solidFill>
                </w14:textFill>
              </w:rPr>
              <w:t>排放国家、地方环境空气质量标准中有标准限值要求的特征污染物时，引用建设项目周边5千米范围内近3年的现有监测数据，无相关数据的选择当季主导风向下风向1个点位补充不少于3天的监测数据。</w:t>
            </w:r>
          </w:p>
          <w:p w14:paraId="32E196B3">
            <w:pPr>
              <w:spacing w:line="360" w:lineRule="auto"/>
              <w:ind w:firstLine="480" w:firstLineChars="200"/>
              <w:textAlignment w:val="baseline"/>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本项目排放的特征污染物为颗粒物（施工工区），具有国家环境空气质量标准限</w:t>
            </w:r>
            <w:r>
              <w:rPr>
                <w:rFonts w:hint="default" w:ascii="Times New Roman" w:hAnsi="Times New Roman" w:eastAsia="宋体" w:cs="Times New Roman"/>
                <w:color w:val="000000" w:themeColor="text1"/>
                <w:sz w:val="24"/>
                <w14:textFill>
                  <w14:solidFill>
                    <w14:schemeClr w14:val="tx1"/>
                  </w14:solidFill>
                </w14:textFill>
              </w:rPr>
              <w:t>值。故本次评价委托</w:t>
            </w:r>
            <w:r>
              <w:rPr>
                <w:rFonts w:hint="default" w:ascii="Times New Roman" w:hAnsi="Times New Roman" w:eastAsia="宋体" w:cs="Times New Roman"/>
                <w:color w:val="000000" w:themeColor="text1"/>
                <w:sz w:val="24"/>
                <w:lang w:eastAsia="zh-CN"/>
                <w14:textFill>
                  <w14:solidFill>
                    <w14:schemeClr w14:val="tx1"/>
                  </w14:solidFill>
                </w14:textFill>
              </w:rPr>
              <w:t>四川山水蓝环境科技有限公司</w:t>
            </w:r>
            <w:r>
              <w:rPr>
                <w:rFonts w:hint="default" w:ascii="Times New Roman" w:hAnsi="Times New Roman" w:eastAsia="宋体" w:cs="Times New Roman"/>
                <w:color w:val="000000" w:themeColor="text1"/>
                <w:sz w:val="24"/>
                <w14:textFill>
                  <w14:solidFill>
                    <w14:schemeClr w14:val="tx1"/>
                  </w14:solidFill>
                </w14:textFill>
              </w:rPr>
              <w:t>于</w:t>
            </w:r>
            <w:r>
              <w:rPr>
                <w:rFonts w:hint="default" w:ascii="Times New Roman" w:hAnsi="Times New Roman" w:eastAsia="宋体" w:cs="Times New Roman"/>
                <w:bCs/>
                <w:color w:val="000000" w:themeColor="text1"/>
                <w:sz w:val="24"/>
                <w14:textFill>
                  <w14:solidFill>
                    <w14:schemeClr w14:val="tx1"/>
                  </w14:solidFill>
                </w14:textFill>
              </w:rPr>
              <w:t>202</w:t>
            </w:r>
            <w:r>
              <w:rPr>
                <w:rFonts w:hint="default" w:ascii="Times New Roman" w:hAnsi="Times New Roman" w:eastAsia="宋体" w:cs="Times New Roman"/>
                <w:bCs/>
                <w:color w:val="000000" w:themeColor="text1"/>
                <w:sz w:val="24"/>
                <w:lang w:val="en-US" w:eastAsia="zh-CN"/>
                <w14:textFill>
                  <w14:solidFill>
                    <w14:schemeClr w14:val="tx1"/>
                  </w14:solidFill>
                </w14:textFill>
              </w:rPr>
              <w:t>6</w:t>
            </w:r>
            <w:r>
              <w:rPr>
                <w:rFonts w:hint="default" w:ascii="Times New Roman" w:hAnsi="Times New Roman" w:eastAsia="宋体" w:cs="Times New Roman"/>
                <w:bCs/>
                <w:color w:val="000000" w:themeColor="text1"/>
                <w:sz w:val="24"/>
                <w14:textFill>
                  <w14:solidFill>
                    <w14:schemeClr w14:val="tx1"/>
                  </w14:solidFill>
                </w14:textFill>
              </w:rPr>
              <w:t>年</w:t>
            </w:r>
            <w:bookmarkStart w:id="97" w:name="日期"/>
            <w:r>
              <w:rPr>
                <w:rFonts w:hint="default" w:ascii="Times New Roman" w:hAnsi="Times New Roman" w:eastAsia="宋体" w:cs="Times New Roman"/>
                <w:bCs/>
                <w:color w:val="000000" w:themeColor="text1"/>
                <w:sz w:val="24"/>
                <w14:textFill>
                  <w14:solidFill>
                    <w14:schemeClr w14:val="tx1"/>
                  </w14:solidFill>
                </w14:textFill>
              </w:rPr>
              <w:t>6月24日</w:t>
            </w:r>
            <w:bookmarkEnd w:id="97"/>
            <w:r>
              <w:rPr>
                <w:rFonts w:hint="default" w:ascii="Times New Roman" w:hAnsi="Times New Roman" w:eastAsia="宋体" w:cs="Times New Roman"/>
                <w:bCs/>
                <w:color w:val="000000" w:themeColor="text1"/>
                <w:sz w:val="24"/>
                <w14:textFill>
                  <w14:solidFill>
                    <w14:schemeClr w14:val="tx1"/>
                  </w14:solidFill>
                </w14:textFill>
              </w:rPr>
              <w:t>~7月1日对项目所在地的大气环境进行监测</w:t>
            </w:r>
            <w:r>
              <w:rPr>
                <w:rFonts w:hint="default" w:ascii="Times New Roman" w:hAnsi="Times New Roman" w:eastAsia="宋体" w:cs="Times New Roman"/>
                <w:color w:val="000000" w:themeColor="text1"/>
                <w:sz w:val="24"/>
                <w14:textFill>
                  <w14:solidFill>
                    <w14:schemeClr w14:val="tx1"/>
                  </w14:solidFill>
                </w14:textFill>
              </w:rPr>
              <w:t>。具体监测内容及结果如下。</w:t>
            </w:r>
          </w:p>
          <w:p w14:paraId="135F2F84">
            <w:pPr>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①监测内容</w:t>
            </w:r>
          </w:p>
          <w:p w14:paraId="45AE904D">
            <w:pPr>
              <w:spacing w:line="360" w:lineRule="auto"/>
              <w:ind w:firstLine="480" w:firstLineChars="200"/>
              <w:rPr>
                <w:rFonts w:hint="default" w:ascii="Times New Roman" w:hAnsi="Times New Roman" w:eastAsia="宋体" w:cs="Times New Roman"/>
                <w:bCs/>
                <w:color w:val="000000" w:themeColor="text1"/>
                <w:sz w:val="24"/>
                <w:lang w:bidi="ar"/>
                <w14:textFill>
                  <w14:solidFill>
                    <w14:schemeClr w14:val="tx1"/>
                  </w14:solidFill>
                </w14:textFill>
              </w:rPr>
            </w:pPr>
            <w:r>
              <w:rPr>
                <w:rFonts w:hint="default" w:ascii="Times New Roman" w:hAnsi="Times New Roman" w:eastAsia="宋体" w:cs="Times New Roman"/>
                <w:bCs/>
                <w:color w:val="000000" w:themeColor="text1"/>
                <w:sz w:val="24"/>
                <w:lang w:bidi="ar"/>
                <w14:textFill>
                  <w14:solidFill>
                    <w14:schemeClr w14:val="tx1"/>
                  </w14:solidFill>
                </w14:textFill>
              </w:rPr>
              <w:t>检测相关内容见下表。</w:t>
            </w:r>
          </w:p>
          <w:p w14:paraId="54E2C066">
            <w:pPr>
              <w:pStyle w:val="155"/>
              <w:numPr>
                <w:ilvl w:val="0"/>
                <w:numId w:val="19"/>
              </w:numPr>
              <w:spacing w:line="360" w:lineRule="auto"/>
              <w:ind w:firstLineChars="0"/>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环境空气质量检测内容及频次</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43"/>
              <w:gridCol w:w="743"/>
              <w:gridCol w:w="2776"/>
              <w:gridCol w:w="1903"/>
              <w:gridCol w:w="451"/>
              <w:gridCol w:w="1612"/>
            </w:tblGrid>
            <w:tr w14:paraId="18BD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51" w:type="pct"/>
                  <w:vMerge w:val="restart"/>
                  <w:vAlign w:val="center"/>
                </w:tcPr>
                <w:p w14:paraId="19FBEE83">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点位编号</w:t>
                  </w:r>
                </w:p>
              </w:tc>
              <w:tc>
                <w:tcPr>
                  <w:tcW w:w="451" w:type="pct"/>
                  <w:vMerge w:val="restart"/>
                  <w:vAlign w:val="center"/>
                </w:tcPr>
                <w:p w14:paraId="70F9C8D1">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类别</w:t>
                  </w:r>
                </w:p>
              </w:tc>
              <w:tc>
                <w:tcPr>
                  <w:tcW w:w="1686" w:type="pct"/>
                  <w:vMerge w:val="restart"/>
                  <w:vAlign w:val="center"/>
                </w:tcPr>
                <w:p w14:paraId="3999E0BA">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检测点位</w:t>
                  </w:r>
                </w:p>
              </w:tc>
              <w:tc>
                <w:tcPr>
                  <w:tcW w:w="1156" w:type="pct"/>
                  <w:vMerge w:val="restart"/>
                  <w:vAlign w:val="center"/>
                </w:tcPr>
                <w:p w14:paraId="5F4F2180">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检测项目</w:t>
                  </w:r>
                </w:p>
              </w:tc>
              <w:tc>
                <w:tcPr>
                  <w:tcW w:w="1253" w:type="pct"/>
                  <w:gridSpan w:val="2"/>
                  <w:vAlign w:val="center"/>
                </w:tcPr>
                <w:p w14:paraId="79C514D9">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检测频次</w:t>
                  </w:r>
                </w:p>
              </w:tc>
            </w:tr>
            <w:tr w14:paraId="51E6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51" w:type="pct"/>
                  <w:vMerge w:val="continue"/>
                  <w:vAlign w:val="center"/>
                </w:tcPr>
                <w:p w14:paraId="404F98A0">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p>
              </w:tc>
              <w:tc>
                <w:tcPr>
                  <w:tcW w:w="451" w:type="pct"/>
                  <w:vMerge w:val="continue"/>
                  <w:vAlign w:val="center"/>
                </w:tcPr>
                <w:p w14:paraId="489F0824">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p>
              </w:tc>
              <w:tc>
                <w:tcPr>
                  <w:tcW w:w="1686" w:type="pct"/>
                  <w:vMerge w:val="continue"/>
                  <w:vAlign w:val="center"/>
                </w:tcPr>
                <w:p w14:paraId="18083B00">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p>
              </w:tc>
              <w:tc>
                <w:tcPr>
                  <w:tcW w:w="1156" w:type="pct"/>
                  <w:vMerge w:val="continue"/>
                  <w:vAlign w:val="center"/>
                </w:tcPr>
                <w:p w14:paraId="0ECC3463">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p>
              </w:tc>
              <w:tc>
                <w:tcPr>
                  <w:tcW w:w="274" w:type="pct"/>
                  <w:vAlign w:val="center"/>
                </w:tcPr>
                <w:p w14:paraId="4B027515">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天</w:t>
                  </w:r>
                </w:p>
              </w:tc>
              <w:tc>
                <w:tcPr>
                  <w:tcW w:w="979" w:type="pct"/>
                  <w:vAlign w:val="center"/>
                </w:tcPr>
                <w:p w14:paraId="38528C88">
                  <w:pPr>
                    <w:spacing w:line="276"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次/天</w:t>
                  </w:r>
                </w:p>
              </w:tc>
            </w:tr>
            <w:tr w14:paraId="0645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51" w:type="pct"/>
                  <w:vAlign w:val="center"/>
                </w:tcPr>
                <w:p w14:paraId="03449B7E">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Q1</w:t>
                  </w:r>
                </w:p>
              </w:tc>
              <w:tc>
                <w:tcPr>
                  <w:tcW w:w="451" w:type="pct"/>
                  <w:vAlign w:val="center"/>
                </w:tcPr>
                <w:p w14:paraId="7A0DEE96">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环境</w:t>
                  </w:r>
                </w:p>
                <w:p w14:paraId="0386EB15">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空气</w:t>
                  </w:r>
                </w:p>
              </w:tc>
              <w:tc>
                <w:tcPr>
                  <w:tcW w:w="1686" w:type="pct"/>
                  <w:vAlign w:val="center"/>
                </w:tcPr>
                <w:p w14:paraId="69F52F1C">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施工工区所在区域</w:t>
                  </w:r>
                </w:p>
              </w:tc>
              <w:tc>
                <w:tcPr>
                  <w:tcW w:w="1156" w:type="pct"/>
                  <w:vAlign w:val="center"/>
                </w:tcPr>
                <w:p w14:paraId="7E1D44FF">
                  <w:pPr>
                    <w:spacing w:line="276" w:lineRule="auto"/>
                    <w:jc w:val="center"/>
                    <w:rPr>
                      <w:rFonts w:hint="default" w:ascii="Times New Roman" w:hAnsi="Times New Roman" w:eastAsia="宋体" w:cs="Times New Roman"/>
                      <w:color w:val="000000" w:themeColor="text1"/>
                      <w:kern w:val="0"/>
                      <w:szCs w:val="21"/>
                      <w:lang w:bidi="ar"/>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总悬浮颗粒物（TSP）</w:t>
                  </w:r>
                </w:p>
              </w:tc>
              <w:tc>
                <w:tcPr>
                  <w:tcW w:w="274" w:type="pct"/>
                  <w:vAlign w:val="center"/>
                </w:tcPr>
                <w:p w14:paraId="43ECE632">
                  <w:pPr>
                    <w:spacing w:line="276" w:lineRule="auto"/>
                    <w:jc w:val="center"/>
                    <w:rPr>
                      <w:rFonts w:hint="default" w:ascii="Times New Roman" w:hAnsi="Times New Roman" w:eastAsia="宋体" w:cs="Times New Roman"/>
                      <w:bCs/>
                      <w:color w:val="000000" w:themeColor="text1"/>
                      <w:szCs w:val="21"/>
                      <w:lang w:eastAsia="zh-CN" w:bidi="ar"/>
                      <w14:textFill>
                        <w14:solidFill>
                          <w14:schemeClr w14:val="tx1"/>
                        </w14:solidFill>
                      </w14:textFill>
                    </w:rPr>
                  </w:pPr>
                  <w:r>
                    <w:rPr>
                      <w:rFonts w:hint="default" w:ascii="Times New Roman" w:hAnsi="Times New Roman" w:eastAsia="宋体" w:cs="Times New Roman"/>
                      <w:bCs/>
                      <w:color w:val="000000" w:themeColor="text1"/>
                      <w:szCs w:val="21"/>
                      <w:lang w:val="en-US" w:eastAsia="zh-CN" w:bidi="ar"/>
                      <w14:textFill>
                        <w14:solidFill>
                          <w14:schemeClr w14:val="tx1"/>
                        </w14:solidFill>
                      </w14:textFill>
                    </w:rPr>
                    <w:t>3</w:t>
                  </w:r>
                </w:p>
              </w:tc>
              <w:tc>
                <w:tcPr>
                  <w:tcW w:w="979" w:type="pct"/>
                  <w:vAlign w:val="center"/>
                </w:tcPr>
                <w:p w14:paraId="7247D3DE">
                  <w:pPr>
                    <w:spacing w:line="276" w:lineRule="auto"/>
                    <w:jc w:val="center"/>
                    <w:rPr>
                      <w:rFonts w:hint="default" w:ascii="Times New Roman" w:hAnsi="Times New Roman" w:eastAsia="宋体" w:cs="Times New Roman"/>
                      <w:bCs/>
                      <w:color w:val="000000" w:themeColor="text1"/>
                      <w:szCs w:val="21"/>
                      <w:lang w:bidi="ar"/>
                      <w14:textFill>
                        <w14:solidFill>
                          <w14:schemeClr w14:val="tx1"/>
                        </w14:solidFill>
                      </w14:textFill>
                    </w:rPr>
                  </w:pPr>
                  <w:r>
                    <w:rPr>
                      <w:rFonts w:hint="default" w:ascii="Times New Roman" w:hAnsi="Times New Roman" w:eastAsia="宋体" w:cs="Times New Roman"/>
                      <w:bCs/>
                      <w:color w:val="000000" w:themeColor="text1"/>
                      <w:szCs w:val="21"/>
                      <w:lang w:bidi="ar"/>
                      <w14:textFill>
                        <w14:solidFill>
                          <w14:schemeClr w14:val="tx1"/>
                        </w14:solidFill>
                      </w14:textFill>
                    </w:rPr>
                    <w:t>1</w:t>
                  </w:r>
                </w:p>
                <w:p w14:paraId="4897E555">
                  <w:pPr>
                    <w:spacing w:line="276" w:lineRule="auto"/>
                    <w:jc w:val="center"/>
                    <w:rPr>
                      <w:rFonts w:hint="default" w:ascii="Times New Roman" w:hAnsi="Times New Roman" w:eastAsia="宋体" w:cs="Times New Roman"/>
                      <w:bCs/>
                      <w:color w:val="000000" w:themeColor="text1"/>
                      <w:szCs w:val="21"/>
                      <w:lang w:bidi="ar"/>
                      <w14:textFill>
                        <w14:solidFill>
                          <w14:schemeClr w14:val="tx1"/>
                        </w14:solidFill>
                      </w14:textFill>
                    </w:rPr>
                  </w:pPr>
                  <w:r>
                    <w:rPr>
                      <w:rFonts w:hint="default" w:ascii="Times New Roman" w:hAnsi="Times New Roman" w:eastAsia="宋体" w:cs="Times New Roman"/>
                      <w:bCs/>
                      <w:color w:val="000000" w:themeColor="text1"/>
                      <w:szCs w:val="21"/>
                      <w:lang w:bidi="ar"/>
                      <w14:textFill>
                        <w14:solidFill>
                          <w14:schemeClr w14:val="tx1"/>
                        </w14:solidFill>
                      </w14:textFill>
                    </w:rPr>
                    <w:t>（日均值）</w:t>
                  </w:r>
                </w:p>
              </w:tc>
            </w:tr>
          </w:tbl>
          <w:p w14:paraId="348170C3">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②评价方法</w:t>
            </w:r>
          </w:p>
          <w:p w14:paraId="64CFB5B7">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采用单因子指数法进行评价</w:t>
            </w:r>
          </w:p>
          <w:p w14:paraId="0F7B1542">
            <w:pPr>
              <w:spacing w:line="360" w:lineRule="auto"/>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P</w:t>
            </w:r>
            <w:r>
              <w:rPr>
                <w:rFonts w:hint="default" w:ascii="Times New Roman" w:hAnsi="Times New Roman" w:eastAsia="宋体" w:cs="Times New Roman"/>
                <w:color w:val="000000" w:themeColor="text1"/>
                <w:sz w:val="24"/>
                <w:szCs w:val="24"/>
                <w:vertAlign w:val="subscript"/>
                <w14:textFill>
                  <w14:solidFill>
                    <w14:schemeClr w14:val="tx1"/>
                  </w14:solidFill>
                </w14:textFill>
              </w:rPr>
              <w:t>i</w:t>
            </w:r>
            <w:r>
              <w:rPr>
                <w:rFonts w:hint="default" w:ascii="Times New Roman" w:hAnsi="Times New Roman" w:eastAsia="宋体" w:cs="Times New Roman"/>
                <w:color w:val="000000" w:themeColor="text1"/>
                <w:sz w:val="24"/>
                <w:szCs w:val="24"/>
                <w14:textFill>
                  <w14:solidFill>
                    <w14:schemeClr w14:val="tx1"/>
                  </w14:solidFill>
                </w14:textFill>
              </w:rPr>
              <w:t>=C</w:t>
            </w:r>
            <w:r>
              <w:rPr>
                <w:rFonts w:hint="default" w:ascii="Times New Roman" w:hAnsi="Times New Roman" w:eastAsia="宋体" w:cs="Times New Roman"/>
                <w:color w:val="000000" w:themeColor="text1"/>
                <w:sz w:val="24"/>
                <w:szCs w:val="24"/>
                <w:vertAlign w:val="subscript"/>
                <w14:textFill>
                  <w14:solidFill>
                    <w14:schemeClr w14:val="tx1"/>
                  </w14:solidFill>
                </w14:textFill>
              </w:rPr>
              <w:t>i</w:t>
            </w:r>
            <w:r>
              <w:rPr>
                <w:rFonts w:hint="default" w:ascii="Times New Roman" w:hAnsi="Times New Roman" w:eastAsia="宋体" w:cs="Times New Roman"/>
                <w:color w:val="000000" w:themeColor="text1"/>
                <w:sz w:val="24"/>
                <w:szCs w:val="24"/>
                <w14:textFill>
                  <w14:solidFill>
                    <w14:schemeClr w14:val="tx1"/>
                  </w14:solidFill>
                </w14:textFill>
              </w:rPr>
              <w:t>/C</w:t>
            </w:r>
            <w:r>
              <w:rPr>
                <w:rFonts w:hint="default" w:ascii="Times New Roman" w:hAnsi="Times New Roman" w:eastAsia="宋体" w:cs="Times New Roman"/>
                <w:color w:val="000000" w:themeColor="text1"/>
                <w:sz w:val="24"/>
                <w:szCs w:val="24"/>
                <w:vertAlign w:val="subscript"/>
                <w14:textFill>
                  <w14:solidFill>
                    <w14:schemeClr w14:val="tx1"/>
                  </w14:solidFill>
                </w14:textFill>
              </w:rPr>
              <w:t>0</w:t>
            </w:r>
          </w:p>
          <w:p w14:paraId="7FEB4E67">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式中：P</w:t>
            </w:r>
            <w:r>
              <w:rPr>
                <w:rFonts w:hint="default" w:ascii="Times New Roman" w:hAnsi="Times New Roman" w:eastAsia="宋体" w:cs="Times New Roman"/>
                <w:color w:val="000000" w:themeColor="text1"/>
                <w:sz w:val="24"/>
                <w:szCs w:val="24"/>
                <w:vertAlign w:val="subscript"/>
                <w14:textFill>
                  <w14:solidFill>
                    <w14:schemeClr w14:val="tx1"/>
                  </w14:solidFill>
                </w14:textFill>
              </w:rPr>
              <w:t>i</w:t>
            </w:r>
            <w:r>
              <w:rPr>
                <w:rFonts w:hint="default" w:ascii="Times New Roman" w:hAnsi="Times New Roman" w:eastAsia="宋体" w:cs="Times New Roman"/>
                <w:color w:val="000000" w:themeColor="text1"/>
                <w:sz w:val="24"/>
                <w:szCs w:val="24"/>
                <w14:textFill>
                  <w14:solidFill>
                    <w14:schemeClr w14:val="tx1"/>
                  </w14:solidFill>
                </w14:textFill>
              </w:rPr>
              <w:t>—单因子指数；</w:t>
            </w:r>
          </w:p>
          <w:p w14:paraId="012BC5ED">
            <w:pPr>
              <w:spacing w:line="360" w:lineRule="auto"/>
              <w:ind w:firstLine="1200" w:firstLineChars="5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C</w:t>
            </w:r>
            <w:r>
              <w:rPr>
                <w:rFonts w:hint="default" w:ascii="Times New Roman" w:hAnsi="Times New Roman" w:eastAsia="宋体" w:cs="Times New Roman"/>
                <w:color w:val="000000" w:themeColor="text1"/>
                <w:sz w:val="24"/>
                <w:szCs w:val="24"/>
                <w:vertAlign w:val="subscript"/>
                <w14:textFill>
                  <w14:solidFill>
                    <w14:schemeClr w14:val="tx1"/>
                  </w14:solidFill>
                </w14:textFill>
              </w:rPr>
              <w:t>i</w:t>
            </w:r>
            <w:r>
              <w:rPr>
                <w:rFonts w:hint="default" w:ascii="Times New Roman" w:hAnsi="Times New Roman" w:eastAsia="宋体" w:cs="Times New Roman"/>
                <w:color w:val="000000" w:themeColor="text1"/>
                <w:sz w:val="24"/>
                <w:szCs w:val="24"/>
                <w14:textFill>
                  <w14:solidFill>
                    <w14:schemeClr w14:val="tx1"/>
                  </w14:solidFill>
                </w14:textFill>
              </w:rPr>
              <w:t>—实测值；</w:t>
            </w:r>
          </w:p>
          <w:p w14:paraId="0754B5FF">
            <w:pPr>
              <w:spacing w:line="360" w:lineRule="auto"/>
              <w:ind w:firstLine="1200" w:firstLineChars="5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C</w:t>
            </w:r>
            <w:r>
              <w:rPr>
                <w:rFonts w:hint="default" w:ascii="Times New Roman" w:hAnsi="Times New Roman" w:eastAsia="宋体" w:cs="Times New Roman"/>
                <w:color w:val="000000" w:themeColor="text1"/>
                <w:sz w:val="24"/>
                <w:szCs w:val="24"/>
                <w:vertAlign w:val="subscript"/>
                <w14:textFill>
                  <w14:solidFill>
                    <w14:schemeClr w14:val="tx1"/>
                  </w14:solidFill>
                </w14:textFill>
              </w:rPr>
              <w:t>0</w:t>
            </w:r>
            <w:r>
              <w:rPr>
                <w:rFonts w:hint="default" w:ascii="Times New Roman" w:hAnsi="Times New Roman" w:eastAsia="宋体" w:cs="Times New Roman"/>
                <w:color w:val="000000" w:themeColor="text1"/>
                <w:sz w:val="24"/>
                <w:szCs w:val="24"/>
                <w14:textFill>
                  <w14:solidFill>
                    <w14:schemeClr w14:val="tx1"/>
                  </w14:solidFill>
                </w14:textFill>
              </w:rPr>
              <w:t>—单因子标准值。</w:t>
            </w:r>
          </w:p>
          <w:p w14:paraId="57D6A126">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当P</w:t>
            </w:r>
            <w:r>
              <w:rPr>
                <w:rFonts w:hint="default" w:ascii="Times New Roman" w:hAnsi="Times New Roman" w:eastAsia="宋体" w:cs="Times New Roman"/>
                <w:color w:val="000000" w:themeColor="text1"/>
                <w:sz w:val="24"/>
                <w:szCs w:val="24"/>
                <w:vertAlign w:val="subscript"/>
                <w14:textFill>
                  <w14:solidFill>
                    <w14:schemeClr w14:val="tx1"/>
                  </w14:solidFill>
                </w14:textFill>
              </w:rPr>
              <w:t>i</w:t>
            </w:r>
            <w:r>
              <w:rPr>
                <w:rFonts w:hint="default" w:ascii="Times New Roman" w:hAnsi="Times New Roman" w:eastAsia="宋体" w:cs="Times New Roman"/>
                <w:color w:val="000000" w:themeColor="text1"/>
                <w:sz w:val="24"/>
                <w:szCs w:val="24"/>
                <w14:textFill>
                  <w14:solidFill>
                    <w14:schemeClr w14:val="tx1"/>
                  </w14:solidFill>
                </w14:textFill>
              </w:rPr>
              <w:t>值大于1.0时，表明评价区域环境空气已受到该项评价因子所表征的污染物的影响，P</w:t>
            </w:r>
            <w:r>
              <w:rPr>
                <w:rFonts w:hint="default" w:ascii="Times New Roman" w:hAnsi="Times New Roman" w:eastAsia="宋体" w:cs="Times New Roman"/>
                <w:color w:val="000000" w:themeColor="text1"/>
                <w:sz w:val="24"/>
                <w:szCs w:val="24"/>
                <w:vertAlign w:val="subscript"/>
                <w14:textFill>
                  <w14:solidFill>
                    <w14:schemeClr w14:val="tx1"/>
                  </w14:solidFill>
                </w14:textFill>
              </w:rPr>
              <w:t>i</w:t>
            </w:r>
            <w:r>
              <w:rPr>
                <w:rFonts w:hint="default" w:ascii="Times New Roman" w:hAnsi="Times New Roman" w:eastAsia="宋体" w:cs="Times New Roman"/>
                <w:color w:val="000000" w:themeColor="text1"/>
                <w:sz w:val="24"/>
                <w:szCs w:val="24"/>
                <w14:textFill>
                  <w14:solidFill>
                    <w14:schemeClr w14:val="tx1"/>
                  </w14:solidFill>
                </w14:textFill>
              </w:rPr>
              <w:t>值愈大，受污染程度愈重，反之亦然；</w:t>
            </w:r>
          </w:p>
          <w:p w14:paraId="5FF105E8">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③评价标准</w:t>
            </w:r>
          </w:p>
          <w:p w14:paraId="3C7C885F">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总悬浮颗粒物（TSP）执行《环境空气质量标准》（</w:t>
            </w:r>
            <w:r>
              <w:rPr>
                <w:rFonts w:hint="default" w:ascii="Times New Roman" w:hAnsi="Times New Roman" w:eastAsia="宋体" w:cs="Times New Roman"/>
                <w:color w:val="000000" w:themeColor="text1"/>
                <w:sz w:val="24"/>
                <w:szCs w:val="24"/>
                <w:lang w:eastAsia="zh-CN"/>
                <w14:textFill>
                  <w14:solidFill>
                    <w14:schemeClr w14:val="tx1"/>
                  </w14:solidFill>
                </w14:textFill>
              </w:rPr>
              <w:t>GB3095-2026</w:t>
            </w:r>
            <w:r>
              <w:rPr>
                <w:rFonts w:hint="default" w:ascii="Times New Roman" w:hAnsi="Times New Roman" w:eastAsia="宋体" w:cs="Times New Roman"/>
                <w:color w:val="000000" w:themeColor="text1"/>
                <w:sz w:val="24"/>
                <w:szCs w:val="24"/>
                <w14:textFill>
                  <w14:solidFill>
                    <w14:schemeClr w14:val="tx1"/>
                  </w14:solidFill>
                </w14:textFill>
              </w:rPr>
              <w:t>）表2中</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一</w:t>
            </w:r>
            <w:r>
              <w:rPr>
                <w:rFonts w:hint="default" w:ascii="Times New Roman" w:hAnsi="Times New Roman" w:eastAsia="宋体" w:cs="Times New Roman"/>
                <w:color w:val="000000" w:themeColor="text1"/>
                <w:sz w:val="24"/>
                <w:szCs w:val="24"/>
                <w14:textFill>
                  <w14:solidFill>
                    <w14:schemeClr w14:val="tx1"/>
                  </w14:solidFill>
                </w14:textFill>
              </w:rPr>
              <w:t>级标准。</w:t>
            </w:r>
          </w:p>
          <w:p w14:paraId="10887E5B">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④监测结果及评价结果</w:t>
            </w:r>
          </w:p>
          <w:p w14:paraId="5F64145E">
            <w:pPr>
              <w:pStyle w:val="155"/>
              <w:numPr>
                <w:ilvl w:val="0"/>
                <w:numId w:val="19"/>
              </w:numPr>
              <w:spacing w:line="240" w:lineRule="auto"/>
              <w:ind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环境空气质量检测结果表</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018"/>
              <w:gridCol w:w="1018"/>
              <w:gridCol w:w="1237"/>
              <w:gridCol w:w="661"/>
              <w:gridCol w:w="2253"/>
              <w:gridCol w:w="1019"/>
              <w:gridCol w:w="1019"/>
            </w:tblGrid>
            <w:tr w14:paraId="0DC0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1" w:hRule="atLeast"/>
                <w:jc w:val="center"/>
              </w:trPr>
              <w:tc>
                <w:tcPr>
                  <w:tcW w:w="619" w:type="pct"/>
                  <w:vAlign w:val="center"/>
                </w:tcPr>
                <w:p w14:paraId="1D6E338A">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点位编号</w:t>
                  </w:r>
                </w:p>
              </w:tc>
              <w:tc>
                <w:tcPr>
                  <w:tcW w:w="619" w:type="pct"/>
                  <w:tcBorders>
                    <w:bottom w:val="single" w:color="auto" w:sz="4" w:space="0"/>
                  </w:tcBorders>
                  <w:vAlign w:val="center"/>
                </w:tcPr>
                <w:p w14:paraId="27BC035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检测点位</w:t>
                  </w:r>
                </w:p>
              </w:tc>
              <w:tc>
                <w:tcPr>
                  <w:tcW w:w="752" w:type="pct"/>
                  <w:vAlign w:val="center"/>
                </w:tcPr>
                <w:p w14:paraId="72D9AC2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检测项目</w:t>
                  </w:r>
                </w:p>
              </w:tc>
              <w:tc>
                <w:tcPr>
                  <w:tcW w:w="402" w:type="pct"/>
                  <w:vAlign w:val="center"/>
                </w:tcPr>
                <w:p w14:paraId="23AF065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单位</w:t>
                  </w:r>
                </w:p>
              </w:tc>
              <w:tc>
                <w:tcPr>
                  <w:tcW w:w="1369" w:type="pct"/>
                  <w:vAlign w:val="center"/>
                </w:tcPr>
                <w:p w14:paraId="0C927F3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采样日期</w:t>
                  </w:r>
                </w:p>
              </w:tc>
              <w:tc>
                <w:tcPr>
                  <w:tcW w:w="619" w:type="pct"/>
                  <w:vAlign w:val="center"/>
                </w:tcPr>
                <w:p w14:paraId="6B26108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检测结果</w:t>
                  </w:r>
                </w:p>
              </w:tc>
              <w:tc>
                <w:tcPr>
                  <w:tcW w:w="619" w:type="pct"/>
                  <w:vAlign w:val="center"/>
                </w:tcPr>
                <w:p w14:paraId="2E54FECF">
                  <w:pPr>
                    <w:spacing w:line="240" w:lineRule="auto"/>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标准限值</w:t>
                  </w:r>
                </w:p>
              </w:tc>
            </w:tr>
            <w:tr w14:paraId="0740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619" w:type="pct"/>
                  <w:vMerge w:val="restart"/>
                  <w:vAlign w:val="center"/>
                </w:tcPr>
                <w:p w14:paraId="1D431A5D">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Q1</w:t>
                  </w:r>
                </w:p>
              </w:tc>
              <w:tc>
                <w:tcPr>
                  <w:tcW w:w="619" w:type="pct"/>
                  <w:vMerge w:val="restart"/>
                  <w:tcBorders>
                    <w:top w:val="single" w:color="auto" w:sz="4" w:space="0"/>
                  </w:tcBorders>
                  <w:vAlign w:val="center"/>
                </w:tcPr>
                <w:p w14:paraId="32571410">
                  <w:pPr>
                    <w:spacing w:line="240" w:lineRule="auto"/>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施工工区</w:t>
                  </w:r>
                </w:p>
                <w:p w14:paraId="51A97F15">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所在区域</w:t>
                  </w:r>
                </w:p>
              </w:tc>
              <w:tc>
                <w:tcPr>
                  <w:tcW w:w="752" w:type="pct"/>
                  <w:vMerge w:val="restart"/>
                  <w:vAlign w:val="center"/>
                </w:tcPr>
                <w:p w14:paraId="6E7D173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总悬浮</w:t>
                  </w:r>
                </w:p>
                <w:p w14:paraId="4FF0FAA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颗粒物</w:t>
                  </w:r>
                </w:p>
                <w:p w14:paraId="6ACD297E">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（日均值）</w:t>
                  </w:r>
                </w:p>
              </w:tc>
              <w:tc>
                <w:tcPr>
                  <w:tcW w:w="402" w:type="pct"/>
                  <w:vMerge w:val="restart"/>
                  <w:vAlign w:val="center"/>
                </w:tcPr>
                <w:p w14:paraId="5BBDA987">
                  <w:pPr>
                    <w:spacing w:line="240" w:lineRule="auto"/>
                    <w:jc w:val="center"/>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μg</w:t>
                  </w:r>
                  <w:r>
                    <w:rPr>
                      <w:rFonts w:hint="default" w:ascii="Times New Roman" w:hAnsi="Times New Roman" w:eastAsia="宋体" w:cs="Times New Roman"/>
                      <w:bCs/>
                      <w:color w:val="000000" w:themeColor="text1"/>
                      <w:kern w:val="0"/>
                      <w:sz w:val="21"/>
                      <w:szCs w:val="21"/>
                      <w:lang w:bidi="ar"/>
                      <w14:textFill>
                        <w14:solidFill>
                          <w14:schemeClr w14:val="tx1"/>
                        </w14:solidFill>
                      </w14:textFill>
                    </w:rPr>
                    <w:t>/</w:t>
                  </w:r>
                  <w:r>
                    <w:rPr>
                      <w:rFonts w:hint="eastAsia" w:ascii="Times New Roman" w:hAnsi="Times New Roman" w:cs="Times New Roman"/>
                      <w:bCs/>
                      <w:color w:val="000000" w:themeColor="text1"/>
                      <w:kern w:val="0"/>
                      <w:sz w:val="21"/>
                      <w:szCs w:val="21"/>
                      <w:lang w:eastAsia="zh-CN" w:bidi="ar"/>
                      <w14:textFill>
                        <w14:solidFill>
                          <w14:schemeClr w14:val="tx1"/>
                        </w14:solidFill>
                      </w14:textFill>
                    </w:rPr>
                    <w:t>m</w:t>
                  </w:r>
                  <w:r>
                    <w:rPr>
                      <w:rFonts w:hint="eastAsia" w:ascii="Times New Roman" w:hAnsi="Times New Roman" w:cs="Times New Roman"/>
                      <w:bCs/>
                      <w:color w:val="000000" w:themeColor="text1"/>
                      <w:kern w:val="0"/>
                      <w:sz w:val="21"/>
                      <w:szCs w:val="21"/>
                      <w:vertAlign w:val="superscript"/>
                      <w:lang w:eastAsia="zh-CN" w:bidi="ar"/>
                      <w14:textFill>
                        <w14:solidFill>
                          <w14:schemeClr w14:val="tx1"/>
                        </w14:solidFill>
                      </w14:textFill>
                    </w:rPr>
                    <w:t>3</w:t>
                  </w:r>
                </w:p>
              </w:tc>
              <w:tc>
                <w:tcPr>
                  <w:tcW w:w="1369" w:type="pct"/>
                  <w:vAlign w:val="center"/>
                </w:tcPr>
                <w:p w14:paraId="161D8978">
                  <w:pPr>
                    <w:pStyle w:val="434"/>
                    <w:widowControl w:val="0"/>
                    <w:kinsoku/>
                    <w:autoSpaceDE/>
                    <w:autoSpaceDN/>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t>2026.06.02~2026.06.03</w:t>
                  </w:r>
                </w:p>
              </w:tc>
              <w:tc>
                <w:tcPr>
                  <w:tcW w:w="619" w:type="pct"/>
                  <w:vAlign w:val="center"/>
                </w:tcPr>
                <w:p w14:paraId="062F89E1">
                  <w:pPr>
                    <w:widowControl w:val="0"/>
                    <w:kinsoku/>
                    <w:autoSpaceDE/>
                    <w:autoSpaceDN/>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98</w:t>
                  </w:r>
                </w:p>
              </w:tc>
              <w:tc>
                <w:tcPr>
                  <w:tcW w:w="619" w:type="pct"/>
                  <w:vMerge w:val="restart"/>
                  <w:vAlign w:val="center"/>
                </w:tcPr>
                <w:p w14:paraId="68C9229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14:textFill>
                        <w14:solidFill>
                          <w14:schemeClr w14:val="tx1"/>
                        </w14:solidFill>
                      </w14:textFill>
                    </w:rPr>
                    <w:t>0</w:t>
                  </w:r>
                </w:p>
              </w:tc>
            </w:tr>
            <w:tr w14:paraId="4955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619" w:type="pct"/>
                  <w:vMerge w:val="continue"/>
                  <w:vAlign w:val="center"/>
                </w:tcPr>
                <w:p w14:paraId="4A5DBAF5">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619" w:type="pct"/>
                  <w:vMerge w:val="continue"/>
                  <w:vAlign w:val="center"/>
                </w:tcPr>
                <w:p w14:paraId="08DA1FC6">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752" w:type="pct"/>
                  <w:vMerge w:val="continue"/>
                  <w:vAlign w:val="center"/>
                </w:tcPr>
                <w:p w14:paraId="3301AF72">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402" w:type="pct"/>
                  <w:vMerge w:val="continue"/>
                  <w:vAlign w:val="center"/>
                </w:tcPr>
                <w:p w14:paraId="62B46AF3">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69" w:type="pct"/>
                  <w:vAlign w:val="center"/>
                </w:tcPr>
                <w:p w14:paraId="3E77D182">
                  <w:pPr>
                    <w:pStyle w:val="434"/>
                    <w:widowControl w:val="0"/>
                    <w:kinsoku/>
                    <w:autoSpaceDE/>
                    <w:autoSpaceDN/>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t>2026.06.03~2026.06.04</w:t>
                  </w:r>
                </w:p>
              </w:tc>
              <w:tc>
                <w:tcPr>
                  <w:tcW w:w="619" w:type="pct"/>
                  <w:vAlign w:val="center"/>
                </w:tcPr>
                <w:p w14:paraId="15AD2AEA">
                  <w:pPr>
                    <w:widowControl w:val="0"/>
                    <w:kinsoku/>
                    <w:autoSpaceDE/>
                    <w:autoSpaceDN/>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72</w:t>
                  </w:r>
                </w:p>
              </w:tc>
              <w:tc>
                <w:tcPr>
                  <w:tcW w:w="619" w:type="pct"/>
                  <w:vMerge w:val="continue"/>
                  <w:vAlign w:val="center"/>
                </w:tcPr>
                <w:p w14:paraId="2F541FD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01F7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619" w:type="pct"/>
                  <w:vMerge w:val="continue"/>
                  <w:vAlign w:val="center"/>
                </w:tcPr>
                <w:p w14:paraId="6312FF47">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619" w:type="pct"/>
                  <w:vMerge w:val="continue"/>
                  <w:vAlign w:val="center"/>
                </w:tcPr>
                <w:p w14:paraId="6AD8208E">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752" w:type="pct"/>
                  <w:vMerge w:val="continue"/>
                  <w:vAlign w:val="center"/>
                </w:tcPr>
                <w:p w14:paraId="0065D8A8">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402" w:type="pct"/>
                  <w:vMerge w:val="continue"/>
                  <w:vAlign w:val="center"/>
                </w:tcPr>
                <w:p w14:paraId="5E355C40">
                  <w:pPr>
                    <w:spacing w:line="240" w:lineRule="auto"/>
                    <w:jc w:val="center"/>
                    <w:rPr>
                      <w:rFonts w:hint="default" w:ascii="Times New Roman" w:hAnsi="Times New Roman" w:eastAsia="宋体" w:cs="Times New Roman"/>
                      <w:bCs/>
                      <w:color w:val="000000" w:themeColor="text1"/>
                      <w:sz w:val="21"/>
                      <w:szCs w:val="21"/>
                      <w14:textFill>
                        <w14:solidFill>
                          <w14:schemeClr w14:val="tx1"/>
                        </w14:solidFill>
                      </w14:textFill>
                    </w:rPr>
                  </w:pPr>
                </w:p>
              </w:tc>
              <w:tc>
                <w:tcPr>
                  <w:tcW w:w="1369" w:type="pct"/>
                  <w:vAlign w:val="center"/>
                </w:tcPr>
                <w:p w14:paraId="4020FE6F">
                  <w:pPr>
                    <w:pStyle w:val="434"/>
                    <w:widowControl w:val="0"/>
                    <w:kinsoku/>
                    <w:autoSpaceDE/>
                    <w:autoSpaceDN/>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t>2026.06.04~2026.06.05</w:t>
                  </w:r>
                </w:p>
              </w:tc>
              <w:tc>
                <w:tcPr>
                  <w:tcW w:w="619" w:type="pct"/>
                  <w:vAlign w:val="center"/>
                </w:tcPr>
                <w:p w14:paraId="4CCDC1DD">
                  <w:pPr>
                    <w:widowControl w:val="0"/>
                    <w:kinsoku/>
                    <w:autoSpaceDE/>
                    <w:autoSpaceDN/>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94</w:t>
                  </w:r>
                </w:p>
              </w:tc>
              <w:tc>
                <w:tcPr>
                  <w:tcW w:w="619" w:type="pct"/>
                  <w:vMerge w:val="continue"/>
                  <w:vAlign w:val="center"/>
                </w:tcPr>
                <w:p w14:paraId="0C93177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bl>
          <w:p w14:paraId="196FED62">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⑤评价结果</w:t>
            </w:r>
          </w:p>
          <w:p w14:paraId="75F28E6F">
            <w:pPr>
              <w:spacing w:line="360" w:lineRule="auto"/>
              <w:ind w:firstLine="480" w:firstLineChars="200"/>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监测评价结果见下表。</w:t>
            </w:r>
          </w:p>
          <w:p w14:paraId="754F1D40">
            <w:pPr>
              <w:pStyle w:val="155"/>
              <w:numPr>
                <w:ilvl w:val="0"/>
                <w:numId w:val="19"/>
              </w:numPr>
              <w:spacing w:line="240" w:lineRule="auto"/>
              <w:ind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大气环境质量监测现状评价结果一览表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84"/>
              <w:gridCol w:w="1501"/>
              <w:gridCol w:w="1046"/>
              <w:gridCol w:w="738"/>
              <w:gridCol w:w="585"/>
              <w:gridCol w:w="1097"/>
              <w:gridCol w:w="1277"/>
              <w:gridCol w:w="817"/>
              <w:gridCol w:w="583"/>
            </w:tblGrid>
            <w:tr w14:paraId="435D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55" w:type="pct"/>
                  <w:vAlign w:val="center"/>
                </w:tcPr>
                <w:p w14:paraId="772213DC">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w:t>
                  </w:r>
                </w:p>
                <w:p w14:paraId="7160E99D">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点位</w:t>
                  </w:r>
                </w:p>
              </w:tc>
              <w:tc>
                <w:tcPr>
                  <w:tcW w:w="911" w:type="pct"/>
                  <w:vAlign w:val="center"/>
                </w:tcPr>
                <w:p w14:paraId="2DEF0E45">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污染物</w:t>
                  </w:r>
                </w:p>
              </w:tc>
              <w:tc>
                <w:tcPr>
                  <w:tcW w:w="635" w:type="pct"/>
                  <w:vAlign w:val="center"/>
                </w:tcPr>
                <w:p w14:paraId="470325A3">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平均时间</w:t>
                  </w:r>
                </w:p>
              </w:tc>
              <w:tc>
                <w:tcPr>
                  <w:tcW w:w="448" w:type="pct"/>
                </w:tcPr>
                <w:p w14:paraId="5EC7BD5F">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单位</w:t>
                  </w:r>
                </w:p>
              </w:tc>
              <w:tc>
                <w:tcPr>
                  <w:tcW w:w="355" w:type="pct"/>
                  <w:vAlign w:val="center"/>
                </w:tcPr>
                <w:p w14:paraId="2FB8D994">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评价</w:t>
                  </w:r>
                </w:p>
                <w:p w14:paraId="617FC41A">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w:t>
                  </w:r>
                </w:p>
              </w:tc>
              <w:tc>
                <w:tcPr>
                  <w:tcW w:w="666" w:type="pct"/>
                  <w:vAlign w:val="center"/>
                </w:tcPr>
                <w:p w14:paraId="7D930244">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监测浓度</w:t>
                  </w:r>
                </w:p>
                <w:p w14:paraId="0BCAEF54">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范围</w:t>
                  </w:r>
                </w:p>
              </w:tc>
              <w:tc>
                <w:tcPr>
                  <w:tcW w:w="775" w:type="pct"/>
                  <w:vAlign w:val="center"/>
                </w:tcPr>
                <w:p w14:paraId="034C307A">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Pi值</w:t>
                  </w:r>
                </w:p>
                <w:p w14:paraId="1CEC6C53">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（最大值）</w:t>
                  </w:r>
                </w:p>
              </w:tc>
              <w:tc>
                <w:tcPr>
                  <w:tcW w:w="496" w:type="pct"/>
                  <w:vAlign w:val="center"/>
                </w:tcPr>
                <w:p w14:paraId="350461E1">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超标率</w:t>
                  </w:r>
                </w:p>
                <w:p w14:paraId="042BC84A">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w:t>
                  </w:r>
                </w:p>
              </w:tc>
              <w:tc>
                <w:tcPr>
                  <w:tcW w:w="354" w:type="pct"/>
                  <w:vAlign w:val="center"/>
                </w:tcPr>
                <w:p w14:paraId="1EAF604E">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w:t>
                  </w:r>
                </w:p>
                <w:p w14:paraId="490E4443">
                  <w:pPr>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情况</w:t>
                  </w:r>
                </w:p>
              </w:tc>
            </w:tr>
            <w:tr w14:paraId="4EF9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355" w:type="pct"/>
                  <w:vAlign w:val="center"/>
                </w:tcPr>
                <w:p w14:paraId="77EED68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Q1</w:t>
                  </w:r>
                </w:p>
              </w:tc>
              <w:tc>
                <w:tcPr>
                  <w:tcW w:w="911" w:type="pct"/>
                  <w:vAlign w:val="center"/>
                </w:tcPr>
                <w:p w14:paraId="20A8EFE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总悬浮颗粒物</w:t>
                  </w:r>
                </w:p>
                <w:p w14:paraId="0C0767E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（日均值）</w:t>
                  </w:r>
                </w:p>
              </w:tc>
              <w:tc>
                <w:tcPr>
                  <w:tcW w:w="635" w:type="pct"/>
                  <w:vAlign w:val="center"/>
                </w:tcPr>
                <w:p w14:paraId="1328CDC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日均值</w:t>
                  </w:r>
                </w:p>
              </w:tc>
              <w:tc>
                <w:tcPr>
                  <w:tcW w:w="448" w:type="pct"/>
                  <w:vAlign w:val="center"/>
                </w:tcPr>
                <w:p w14:paraId="1F69FC45">
                  <w:pPr>
                    <w:spacing w:line="240" w:lineRule="auto"/>
                    <w:jc w:val="center"/>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μg</w:t>
                  </w:r>
                  <w:r>
                    <w:rPr>
                      <w:rFonts w:hint="default" w:ascii="Times New Roman" w:hAnsi="Times New Roman" w:eastAsia="宋体" w:cs="Times New Roman"/>
                      <w:bCs/>
                      <w:color w:val="000000" w:themeColor="text1"/>
                      <w:kern w:val="0"/>
                      <w:sz w:val="21"/>
                      <w:szCs w:val="21"/>
                      <w:lang w:bidi="ar"/>
                      <w14:textFill>
                        <w14:solidFill>
                          <w14:schemeClr w14:val="tx1"/>
                        </w14:solidFill>
                      </w14:textFill>
                    </w:rPr>
                    <w:t>/</w:t>
                  </w:r>
                  <w:r>
                    <w:rPr>
                      <w:rFonts w:hint="eastAsia" w:ascii="Times New Roman" w:hAnsi="Times New Roman" w:cs="Times New Roman"/>
                      <w:bCs/>
                      <w:color w:val="000000" w:themeColor="text1"/>
                      <w:kern w:val="0"/>
                      <w:sz w:val="21"/>
                      <w:szCs w:val="21"/>
                      <w:lang w:eastAsia="zh-CN" w:bidi="ar"/>
                      <w14:textFill>
                        <w14:solidFill>
                          <w14:schemeClr w14:val="tx1"/>
                        </w14:solidFill>
                      </w14:textFill>
                    </w:rPr>
                    <w:t>m</w:t>
                  </w:r>
                  <w:r>
                    <w:rPr>
                      <w:rFonts w:hint="eastAsia" w:ascii="Times New Roman" w:hAnsi="Times New Roman" w:cs="Times New Roman"/>
                      <w:bCs/>
                      <w:color w:val="000000" w:themeColor="text1"/>
                      <w:kern w:val="0"/>
                      <w:sz w:val="21"/>
                      <w:szCs w:val="21"/>
                      <w:vertAlign w:val="superscript"/>
                      <w:lang w:eastAsia="zh-CN" w:bidi="ar"/>
                      <w14:textFill>
                        <w14:solidFill>
                          <w14:schemeClr w14:val="tx1"/>
                        </w14:solidFill>
                      </w14:textFill>
                    </w:rPr>
                    <w:t>3</w:t>
                  </w:r>
                </w:p>
              </w:tc>
              <w:tc>
                <w:tcPr>
                  <w:tcW w:w="355" w:type="pct"/>
                  <w:vAlign w:val="center"/>
                </w:tcPr>
                <w:p w14:paraId="3FFF9B6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14:textFill>
                        <w14:solidFill>
                          <w14:schemeClr w14:val="tx1"/>
                        </w14:solidFill>
                      </w14:textFill>
                    </w:rPr>
                    <w:t>0</w:t>
                  </w:r>
                </w:p>
              </w:tc>
              <w:tc>
                <w:tcPr>
                  <w:tcW w:w="666" w:type="pct"/>
                  <w:vAlign w:val="center"/>
                </w:tcPr>
                <w:p w14:paraId="4BF9FBC3">
                  <w:pPr>
                    <w:pStyle w:val="3"/>
                    <w:snapToGrid/>
                    <w:spacing w:before="0" w:after="0" w:line="240" w:lineRule="auto"/>
                    <w:ind w:left="0" w:firstLine="0"/>
                    <w:jc w:val="center"/>
                    <w:rPr>
                      <w:rFonts w:hint="default" w:ascii="Times New Roman" w:hAnsi="Times New Roman" w:eastAsia="宋体" w:cs="Times New Roman"/>
                      <w:b w:val="0"/>
                      <w:bCs w:val="0"/>
                      <w:color w:val="000000" w:themeColor="text1"/>
                      <w:kern w:val="2"/>
                      <w:sz w:val="21"/>
                      <w:szCs w:val="21"/>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lang w:val="en-US" w:eastAsia="zh-CN"/>
                      <w14:textFill>
                        <w14:solidFill>
                          <w14:schemeClr w14:val="tx1"/>
                        </w14:solidFill>
                      </w14:textFill>
                    </w:rPr>
                    <w:t>72</w:t>
                  </w:r>
                  <w:r>
                    <w:rPr>
                      <w:rFonts w:hint="default" w:ascii="Times New Roman" w:hAnsi="Times New Roman" w:eastAsia="宋体" w:cs="Times New Roman"/>
                      <w:b w:val="0"/>
                      <w:bCs w:val="0"/>
                      <w:color w:val="000000" w:themeColor="text1"/>
                      <w:kern w:val="2"/>
                      <w:sz w:val="21"/>
                      <w:szCs w:val="21"/>
                      <w14:textFill>
                        <w14:solidFill>
                          <w14:schemeClr w14:val="tx1"/>
                        </w14:solidFill>
                      </w14:textFill>
                    </w:rPr>
                    <w:t>~</w:t>
                  </w:r>
                  <w:r>
                    <w:rPr>
                      <w:rFonts w:hint="default" w:ascii="Times New Roman" w:hAnsi="Times New Roman" w:eastAsia="宋体" w:cs="Times New Roman"/>
                      <w:b w:val="0"/>
                      <w:bCs w:val="0"/>
                      <w:color w:val="000000" w:themeColor="text1"/>
                      <w:kern w:val="2"/>
                      <w:sz w:val="21"/>
                      <w:szCs w:val="21"/>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kern w:val="2"/>
                      <w:sz w:val="21"/>
                      <w:szCs w:val="21"/>
                      <w14:textFill>
                        <w14:solidFill>
                          <w14:schemeClr w14:val="tx1"/>
                        </w14:solidFill>
                      </w14:textFill>
                    </w:rPr>
                    <w:t>8</w:t>
                  </w:r>
                </w:p>
              </w:tc>
              <w:tc>
                <w:tcPr>
                  <w:tcW w:w="775" w:type="pct"/>
                  <w:vAlign w:val="center"/>
                </w:tcPr>
                <w:p w14:paraId="503C41E7">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817</w:t>
                  </w:r>
                </w:p>
              </w:tc>
              <w:tc>
                <w:tcPr>
                  <w:tcW w:w="496" w:type="pct"/>
                  <w:vAlign w:val="center"/>
                </w:tcPr>
                <w:p w14:paraId="32B9217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c>
                <w:tcPr>
                  <w:tcW w:w="354" w:type="pct"/>
                  <w:vAlign w:val="center"/>
                </w:tcPr>
                <w:p w14:paraId="0346D22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r>
          </w:tbl>
          <w:p w14:paraId="42A4CA5E">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根据上表可知，本次评价总悬浮颗粒物满足《环境空气质量标准》（</w:t>
            </w:r>
            <w:r>
              <w:rPr>
                <w:rFonts w:hint="default" w:ascii="Times New Roman" w:hAnsi="Times New Roman" w:eastAsia="宋体" w:cs="Times New Roman"/>
                <w:color w:val="000000" w:themeColor="text1"/>
                <w:sz w:val="24"/>
                <w:lang w:eastAsia="zh-CN"/>
                <w14:textFill>
                  <w14:solidFill>
                    <w14:schemeClr w14:val="tx1"/>
                  </w14:solidFill>
                </w14:textFill>
              </w:rPr>
              <w:t>GB3095-2026</w:t>
            </w:r>
            <w:r>
              <w:rPr>
                <w:rFonts w:hint="default" w:ascii="Times New Roman" w:hAnsi="Times New Roman" w:eastAsia="宋体" w:cs="Times New Roman"/>
                <w:color w:val="000000" w:themeColor="text1"/>
                <w:sz w:val="24"/>
                <w14:textFill>
                  <w14:solidFill>
                    <w14:schemeClr w14:val="tx1"/>
                  </w14:solidFill>
                </w14:textFill>
              </w:rPr>
              <w:t>）表2中</w:t>
            </w:r>
            <w:r>
              <w:rPr>
                <w:rFonts w:hint="default" w:ascii="Times New Roman" w:hAnsi="Times New Roman" w:eastAsia="宋体" w:cs="Times New Roman"/>
                <w:color w:val="000000" w:themeColor="text1"/>
                <w:sz w:val="24"/>
                <w:lang w:val="en-US" w:eastAsia="zh-CN"/>
                <w14:textFill>
                  <w14:solidFill>
                    <w14:schemeClr w14:val="tx1"/>
                  </w14:solidFill>
                </w14:textFill>
              </w:rPr>
              <w:t>一</w:t>
            </w:r>
            <w:r>
              <w:rPr>
                <w:rFonts w:hint="default" w:ascii="Times New Roman" w:hAnsi="Times New Roman" w:eastAsia="宋体" w:cs="Times New Roman"/>
                <w:color w:val="000000" w:themeColor="text1"/>
                <w:sz w:val="24"/>
                <w14:textFill>
                  <w14:solidFill>
                    <w14:schemeClr w14:val="tx1"/>
                  </w14:solidFill>
                </w14:textFill>
              </w:rPr>
              <w:t>级标准。因此，项目区域空气环境质量较好。</w:t>
            </w:r>
          </w:p>
          <w:p w14:paraId="46F45AAE">
            <w:pPr>
              <w:autoSpaceDE w:val="0"/>
              <w:autoSpaceDN w:val="0"/>
              <w:spacing w:line="360" w:lineRule="auto"/>
              <w:rPr>
                <w:rFonts w:hint="default" w:ascii="Times New Roman" w:hAnsi="Times New Roman" w:eastAsia="宋体" w:cs="Times New Roman"/>
                <w:b/>
                <w:bCs/>
                <w:color w:val="000000" w:themeColor="text1"/>
                <w:sz w:val="24"/>
                <w:szCs w:val="28"/>
                <w14:textFill>
                  <w14:solidFill>
                    <w14:schemeClr w14:val="tx1"/>
                  </w14:solidFill>
                </w14:textFill>
              </w:rPr>
            </w:pPr>
            <w:r>
              <w:rPr>
                <w:rFonts w:hint="default" w:ascii="Times New Roman" w:hAnsi="Times New Roman" w:eastAsia="宋体" w:cs="Times New Roman"/>
                <w:b/>
                <w:bCs/>
                <w:color w:val="000000" w:themeColor="text1"/>
                <w:sz w:val="24"/>
                <w:szCs w:val="28"/>
                <w14:textFill>
                  <w14:solidFill>
                    <w14:schemeClr w14:val="tx1"/>
                  </w14:solidFill>
                </w14:textFill>
              </w:rPr>
              <w:t>2、地表水环境质量现状评价</w:t>
            </w:r>
          </w:p>
          <w:p w14:paraId="27479995">
            <w:pPr>
              <w:widowControl/>
              <w:spacing w:line="360" w:lineRule="auto"/>
              <w:ind w:firstLine="482" w:firstLineChars="200"/>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2.1国家、地方控制断面监测数据</w:t>
            </w:r>
          </w:p>
          <w:p w14:paraId="00DBB0D7">
            <w:pPr>
              <w:widowControl/>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根据《建设项目环境影响报告表编制技术指南》（污染影响类）（试行）的要求，</w:t>
            </w:r>
            <w:r>
              <w:rPr>
                <w:rFonts w:hint="default" w:ascii="Times New Roman" w:hAnsi="Times New Roman" w:eastAsia="宋体" w:cs="Times New Roman"/>
                <w:color w:val="000000" w:themeColor="text1"/>
                <w:sz w:val="24"/>
                <w:szCs w:val="22"/>
                <w14:textFill>
                  <w14:solidFill>
                    <w14:schemeClr w14:val="tx1"/>
                  </w14:solidFill>
                </w14:textFill>
              </w:rPr>
              <w:t>引用与建设项目距离近的有效数据，包括近3年的规划环境影响评价的监测数据，所在流域控制单元内国家、地方控制断面监测数据，生态环境主管部门发布的水环境质量数据或地表水达标情况的结论。</w:t>
            </w:r>
          </w:p>
          <w:p w14:paraId="522FA809">
            <w:pPr>
              <w:wordWrap w:val="0"/>
              <w:spacing w:line="360" w:lineRule="auto"/>
              <w:ind w:firstLine="482"/>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本项目的地表水体主要为</w:t>
            </w:r>
            <w:r>
              <w:rPr>
                <w:rFonts w:hint="default" w:ascii="Times New Roman" w:hAnsi="Times New Roman" w:eastAsia="宋体" w:cs="Times New Roman"/>
                <w:color w:val="000000" w:themeColor="text1"/>
                <w:sz w:val="24"/>
                <w:lang w:eastAsia="zh-CN"/>
                <w14:textFill>
                  <w14:solidFill>
                    <w14:schemeClr w14:val="tx1"/>
                  </w14:solidFill>
                </w14:textFill>
              </w:rPr>
              <w:t>五里沟</w:t>
            </w:r>
            <w:r>
              <w:rPr>
                <w:rFonts w:hint="default" w:ascii="Times New Roman" w:hAnsi="Times New Roman" w:eastAsia="宋体" w:cs="Times New Roman"/>
                <w:color w:val="000000" w:themeColor="text1"/>
                <w:sz w:val="24"/>
                <w14:textFill>
                  <w14:solidFill>
                    <w14:schemeClr w14:val="tx1"/>
                  </w14:solidFill>
                </w14:textFill>
              </w:rPr>
              <w:t>，最终汇入下游</w:t>
            </w:r>
            <w:r>
              <w:rPr>
                <w:rFonts w:hint="default" w:ascii="Times New Roman" w:hAnsi="Times New Roman" w:eastAsia="宋体" w:cs="Times New Roman"/>
                <w:color w:val="000000" w:themeColor="text1"/>
                <w:sz w:val="24"/>
                <w:lang w:eastAsia="zh-CN"/>
                <w14:textFill>
                  <w14:solidFill>
                    <w14:schemeClr w14:val="tx1"/>
                  </w14:solidFill>
                </w14:textFill>
              </w:rPr>
              <w:t>大渡河</w:t>
            </w:r>
            <w:r>
              <w:rPr>
                <w:rFonts w:hint="default" w:ascii="Times New Roman" w:hAnsi="Times New Roman" w:eastAsia="宋体" w:cs="Times New Roman"/>
                <w:color w:val="000000" w:themeColor="text1"/>
                <w:sz w:val="24"/>
                <w14:textFill>
                  <w14:solidFill>
                    <w14:schemeClr w14:val="tx1"/>
                  </w14:solidFill>
                </w14:textFill>
              </w:rPr>
              <w:t>。本次评价引用</w:t>
            </w:r>
            <w:r>
              <w:rPr>
                <w:rFonts w:hint="default" w:ascii="Times New Roman" w:hAnsi="Times New Roman" w:eastAsia="宋体" w:cs="Times New Roman"/>
                <w:color w:val="000000" w:themeColor="text1"/>
                <w:spacing w:val="-2"/>
                <w:sz w:val="24"/>
                <w:lang w:eastAsia="zh-CN"/>
                <w14:textFill>
                  <w14:solidFill>
                    <w14:schemeClr w14:val="tx1"/>
                  </w14:solidFill>
                </w14:textFill>
              </w:rPr>
              <w:t>甘孜藏族自治州</w:t>
            </w:r>
            <w:r>
              <w:rPr>
                <w:rFonts w:hint="default" w:ascii="Times New Roman" w:hAnsi="Times New Roman" w:eastAsia="宋体" w:cs="Times New Roman"/>
                <w:color w:val="000000" w:themeColor="text1"/>
                <w:spacing w:val="-2"/>
                <w:sz w:val="24"/>
                <w14:textFill>
                  <w14:solidFill>
                    <w14:schemeClr w14:val="tx1"/>
                  </w14:solidFill>
                </w14:textFill>
              </w:rPr>
              <w:t>人民政府网站</w:t>
            </w:r>
            <w:r>
              <w:rPr>
                <w:rFonts w:hint="default" w:ascii="Times New Roman" w:hAnsi="Times New Roman" w:eastAsia="宋体" w:cs="Times New Roman"/>
                <w:color w:val="000000" w:themeColor="text1"/>
                <w:sz w:val="24"/>
                <w14:textFill>
                  <w14:solidFill>
                    <w14:schemeClr w14:val="tx1"/>
                  </w14:solidFill>
                </w14:textFill>
              </w:rPr>
              <w:t>公布的《泸定县2025年第四季度环境空气质量、大渡河流域地表水水质状况公开》（网址：https://www.luding.gov.cn/gsgg1/article/698072）中的数据作为依据。</w:t>
            </w:r>
          </w:p>
          <w:p w14:paraId="59189B1B">
            <w:pPr>
              <w:widowControl/>
              <w:spacing w:line="360" w:lineRule="auto"/>
              <w:ind w:firstLine="482" w:firstLineChars="200"/>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14:textFill>
                  <w14:solidFill>
                    <w14:schemeClr w14:val="tx1"/>
                  </w14:solidFill>
                </w14:textFill>
              </w:rPr>
              <w:t>1.监测情况</w:t>
            </w:r>
          </w:p>
          <w:p w14:paraId="026767A1">
            <w:pPr>
              <w:widowControl/>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2025年10-12月，泸定生态环境局委托中煤水文局集团（四川）水环科技检测有限公司对鸳鸯坝入境断面和大岗山出境断面地表水开展了例行监测。</w:t>
            </w:r>
          </w:p>
          <w:p w14:paraId="4C8C3E4B">
            <w:pPr>
              <w:widowControl/>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监测项目：水温、pH值、溶解氧、高锰酸盐指数、化学需氧量、五日生化需氧量、氨氮、总氮、总磷、铜、锌、硒、砷、汞、铅、镉、六价铬、氟化物、氰化物、挥发酚、石油类、硫化物、阴离子表面</w:t>
            </w:r>
            <w:r>
              <w:rPr>
                <w:rFonts w:hint="default" w:ascii="Times New Roman" w:hAnsi="Times New Roman" w:eastAsia="宋体" w:cs="Times New Roman"/>
                <w:bCs/>
                <w:color w:val="000000" w:themeColor="text1"/>
                <w:sz w:val="24"/>
                <w:lang w:eastAsia="zh-CN"/>
                <w14:textFill>
                  <w14:solidFill>
                    <w14:schemeClr w14:val="tx1"/>
                  </w14:solidFill>
                </w14:textFill>
              </w:rPr>
              <w:t>活动</w:t>
            </w:r>
            <w:r>
              <w:rPr>
                <w:rFonts w:hint="default" w:ascii="Times New Roman" w:hAnsi="Times New Roman" w:eastAsia="宋体" w:cs="Times New Roman"/>
                <w:bCs/>
                <w:color w:val="000000" w:themeColor="text1"/>
                <w:sz w:val="24"/>
                <w14:textFill>
                  <w14:solidFill>
                    <w14:schemeClr w14:val="tx1"/>
                  </w14:solidFill>
                </w14:textFill>
              </w:rPr>
              <w:t>剂、电导率、浊度共25项。</w:t>
            </w:r>
          </w:p>
          <w:p w14:paraId="5F5F486D">
            <w:pPr>
              <w:widowControl/>
              <w:spacing w:line="360" w:lineRule="auto"/>
              <w:ind w:firstLine="482" w:firstLineChars="200"/>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14:textFill>
                  <w14:solidFill>
                    <w14:schemeClr w14:val="tx1"/>
                  </w14:solidFill>
                </w14:textFill>
              </w:rPr>
              <w:t>2.评价标准</w:t>
            </w:r>
          </w:p>
          <w:p w14:paraId="1DBBB3B1">
            <w:pPr>
              <w:widowControl/>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执行《地表水环境质量标准》（GB3838-2002）表1中Ⅱ类标准。</w:t>
            </w:r>
          </w:p>
          <w:p w14:paraId="38E46BF1">
            <w:pPr>
              <w:widowControl/>
              <w:spacing w:line="360" w:lineRule="auto"/>
              <w:ind w:firstLine="482" w:firstLineChars="200"/>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14:textFill>
                  <w14:solidFill>
                    <w14:schemeClr w14:val="tx1"/>
                  </w14:solidFill>
                </w14:textFill>
              </w:rPr>
              <w:t>3.评价结果</w:t>
            </w:r>
          </w:p>
          <w:p w14:paraId="77280F1D">
            <w:pPr>
              <w:widowControl/>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2025年10-12月鸳鸯坝入境断面和大岗山出境断面2个监测断面监测值均达到《地表水环境质量标准》（GB3838-2002）Ⅱ类及以上标准限值要求，达标率100%。</w:t>
            </w:r>
          </w:p>
          <w:p w14:paraId="67557729">
            <w:pPr>
              <w:widowControl/>
              <w:spacing w:line="360" w:lineRule="auto"/>
              <w:ind w:firstLine="480" w:firstLineChars="200"/>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由上表可知，2024年项目区域地表水体</w:t>
            </w:r>
            <w:r>
              <w:rPr>
                <w:rFonts w:hint="default" w:ascii="Times New Roman" w:hAnsi="Times New Roman" w:eastAsia="宋体" w:cs="Times New Roman"/>
                <w:bCs/>
                <w:color w:val="000000" w:themeColor="text1"/>
                <w:sz w:val="24"/>
                <w:lang w:eastAsia="zh-CN"/>
                <w14:textFill>
                  <w14:solidFill>
                    <w14:schemeClr w14:val="tx1"/>
                  </w14:solidFill>
                </w14:textFill>
              </w:rPr>
              <w:t>大渡河</w:t>
            </w:r>
            <w:r>
              <w:rPr>
                <w:rFonts w:hint="default" w:ascii="Times New Roman" w:hAnsi="Times New Roman" w:eastAsia="宋体" w:cs="Times New Roman"/>
                <w:bCs/>
                <w:color w:val="000000" w:themeColor="text1"/>
                <w:sz w:val="24"/>
                <w14:textFill>
                  <w14:solidFill>
                    <w14:schemeClr w14:val="tx1"/>
                  </w14:solidFill>
                </w14:textFill>
              </w:rPr>
              <w:t>各监测断面能稳定达到《地表水环境质量标准》（GB3838-2002）表1中</w:t>
            </w:r>
            <w:r>
              <w:rPr>
                <w:rFonts w:hint="default" w:ascii="Times New Roman" w:hAnsi="Times New Roman" w:eastAsia="宋体" w:cs="Times New Roman"/>
                <w:bCs/>
                <w:color w:val="000000" w:themeColor="text1"/>
                <w:sz w:val="24"/>
                <w:lang w:val="en-US" w:eastAsia="zh-CN"/>
                <w14:textFill>
                  <w14:solidFill>
                    <w14:schemeClr w14:val="tx1"/>
                  </w14:solidFill>
                </w14:textFill>
              </w:rPr>
              <w:t>II</w:t>
            </w:r>
            <w:r>
              <w:rPr>
                <w:rFonts w:hint="default" w:ascii="Times New Roman" w:hAnsi="Times New Roman" w:eastAsia="宋体" w:cs="Times New Roman"/>
                <w:bCs/>
                <w:color w:val="000000" w:themeColor="text1"/>
                <w:sz w:val="24"/>
                <w14:textFill>
                  <w14:solidFill>
                    <w14:schemeClr w14:val="tx1"/>
                  </w14:solidFill>
                </w14:textFill>
              </w:rPr>
              <w:t>类水质要求。</w:t>
            </w:r>
          </w:p>
          <w:p w14:paraId="54C93CBB">
            <w:pPr>
              <w:wordWrap w:val="0"/>
              <w:spacing w:line="360" w:lineRule="auto"/>
              <w:ind w:firstLine="482"/>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2.2补充监测</w:t>
            </w:r>
          </w:p>
          <w:p w14:paraId="472BADCC">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为全面了解</w:t>
            </w:r>
            <w:r>
              <w:rPr>
                <w:rFonts w:hint="eastAsia" w:ascii="Times New Roman" w:hAnsi="Times New Roman" w:cs="Times New Roman"/>
                <w:color w:val="000000" w:themeColor="text1"/>
                <w:sz w:val="24"/>
                <w:lang w:val="en-US" w:eastAsia="zh-CN"/>
                <w14:textFill>
                  <w14:solidFill>
                    <w14:schemeClr w14:val="tx1"/>
                  </w14:solidFill>
                </w14:textFill>
              </w:rPr>
              <w:t>五里沟</w:t>
            </w:r>
            <w:r>
              <w:rPr>
                <w:rFonts w:hint="default" w:ascii="Times New Roman" w:hAnsi="Times New Roman" w:eastAsia="宋体" w:cs="Times New Roman"/>
                <w:color w:val="000000" w:themeColor="text1"/>
                <w:sz w:val="24"/>
                <w14:textFill>
                  <w14:solidFill>
                    <w14:schemeClr w14:val="tx1"/>
                  </w14:solidFill>
                </w14:textFill>
              </w:rPr>
              <w:t>的水质现状，建设单位委托</w:t>
            </w:r>
            <w:r>
              <w:rPr>
                <w:rFonts w:hint="default" w:ascii="Times New Roman" w:hAnsi="Times New Roman" w:eastAsia="宋体" w:cs="Times New Roman"/>
                <w:color w:val="000000" w:themeColor="text1"/>
                <w:sz w:val="24"/>
                <w:lang w:eastAsia="zh-CN"/>
                <w14:textFill>
                  <w14:solidFill>
                    <w14:schemeClr w14:val="tx1"/>
                  </w14:solidFill>
                </w14:textFill>
              </w:rPr>
              <w:t>四川山水蓝环境科技有限公司</w:t>
            </w:r>
            <w:r>
              <w:rPr>
                <w:rFonts w:hint="default" w:ascii="Times New Roman" w:hAnsi="Times New Roman" w:eastAsia="宋体" w:cs="Times New Roman"/>
                <w:color w:val="000000" w:themeColor="text1"/>
                <w:sz w:val="24"/>
                <w14:textFill>
                  <w14:solidFill>
                    <w14:schemeClr w14:val="tx1"/>
                  </w14:solidFill>
                </w14:textFill>
              </w:rPr>
              <w:t>，于202</w:t>
            </w:r>
            <w:r>
              <w:rPr>
                <w:rFonts w:hint="default" w:ascii="Times New Roman" w:hAnsi="Times New Roman" w:eastAsia="宋体" w:cs="Times New Roman"/>
                <w:color w:val="000000" w:themeColor="text1"/>
                <w:sz w:val="24"/>
                <w:lang w:val="en-US" w:eastAsia="zh-CN"/>
                <w14:textFill>
                  <w14:solidFill>
                    <w14:schemeClr w14:val="tx1"/>
                  </w14:solidFill>
                </w14:textFill>
              </w:rPr>
              <w:t>6</w:t>
            </w:r>
            <w:r>
              <w:rPr>
                <w:rFonts w:hint="default" w:ascii="Times New Roman" w:hAnsi="Times New Roman" w:eastAsia="宋体" w:cs="Times New Roman"/>
                <w:color w:val="000000" w:themeColor="text1"/>
                <w:sz w:val="24"/>
                <w14:textFill>
                  <w14:solidFill>
                    <w14:schemeClr w14:val="tx1"/>
                  </w14:solidFill>
                </w14:textFill>
              </w:rPr>
              <w:t>年</w:t>
            </w:r>
            <w:r>
              <w:rPr>
                <w:rFonts w:hint="default" w:ascii="Times New Roman" w:hAnsi="Times New Roman" w:eastAsia="宋体" w:cs="Times New Roman"/>
                <w:color w:val="000000" w:themeColor="text1"/>
                <w:sz w:val="24"/>
                <w:lang w:val="en-US" w:eastAsia="zh-CN"/>
                <w14:textFill>
                  <w14:solidFill>
                    <w14:schemeClr w14:val="tx1"/>
                  </w14:solidFill>
                </w14:textFill>
              </w:rPr>
              <w:t>6</w:t>
            </w:r>
            <w:r>
              <w:rPr>
                <w:rFonts w:hint="default" w:ascii="Times New Roman" w:hAnsi="Times New Roman" w:eastAsia="宋体" w:cs="Times New Roman"/>
                <w:color w:val="000000" w:themeColor="text1"/>
                <w:sz w:val="24"/>
                <w14:textFill>
                  <w14:solidFill>
                    <w14:schemeClr w14:val="tx1"/>
                  </w14:solidFill>
                </w14:textFill>
              </w:rPr>
              <w:t>月</w:t>
            </w:r>
            <w:r>
              <w:rPr>
                <w:rFonts w:hint="default" w:ascii="Times New Roman" w:hAnsi="Times New Roman" w:eastAsia="宋体" w:cs="Times New Roman"/>
                <w:color w:val="000000" w:themeColor="text1"/>
                <w:sz w:val="24"/>
                <w:lang w:val="en-US"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日</w:t>
            </w:r>
            <w:r>
              <w:rPr>
                <w:rFonts w:hint="default" w:ascii="Times New Roman" w:hAnsi="Times New Roman" w:eastAsia="宋体" w:cs="Times New Roman"/>
                <w:color w:val="000000" w:themeColor="text1"/>
                <w:sz w:val="24"/>
                <w:lang w:val="en-US" w:eastAsia="zh-CN"/>
                <w14:textFill>
                  <w14:solidFill>
                    <w14:schemeClr w14:val="tx1"/>
                  </w14:solidFill>
                </w14:textFill>
              </w:rPr>
              <w:t>~2026年6月5日</w:t>
            </w:r>
            <w:r>
              <w:rPr>
                <w:rFonts w:hint="default" w:ascii="Times New Roman" w:hAnsi="Times New Roman" w:eastAsia="宋体" w:cs="Times New Roman"/>
                <w:color w:val="000000" w:themeColor="text1"/>
                <w:sz w:val="24"/>
                <w14:textFill>
                  <w14:solidFill>
                    <w14:schemeClr w14:val="tx1"/>
                  </w14:solidFill>
                </w14:textFill>
              </w:rPr>
              <w:t>对位于项目地表水进行了检测。</w:t>
            </w:r>
          </w:p>
          <w:p w14:paraId="71B7391B">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①监测内容</w:t>
            </w:r>
          </w:p>
          <w:p w14:paraId="1D16C463">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本项目监测点位、项目及频次如下。</w:t>
            </w:r>
          </w:p>
          <w:p w14:paraId="0D78BBF2">
            <w:pPr>
              <w:pStyle w:val="155"/>
              <w:numPr>
                <w:ilvl w:val="0"/>
                <w:numId w:val="19"/>
              </w:numPr>
              <w:spacing w:line="360" w:lineRule="auto"/>
              <w:ind w:firstLineChars="0"/>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地表水检测点位表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499"/>
              <w:gridCol w:w="836"/>
              <w:gridCol w:w="1470"/>
              <w:gridCol w:w="4609"/>
              <w:gridCol w:w="814"/>
            </w:tblGrid>
            <w:tr w14:paraId="39DF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303" w:type="pct"/>
                  <w:vAlign w:val="center"/>
                </w:tcPr>
                <w:p w14:paraId="6BCEEC4F">
                  <w:pPr>
                    <w:adjustRightInd w:val="0"/>
                    <w:spacing w:line="240"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类别</w:t>
                  </w:r>
                </w:p>
              </w:tc>
              <w:tc>
                <w:tcPr>
                  <w:tcW w:w="508" w:type="pct"/>
                  <w:vAlign w:val="center"/>
                </w:tcPr>
                <w:p w14:paraId="7C4C71C8">
                  <w:pPr>
                    <w:adjustRightInd w:val="0"/>
                    <w:spacing w:line="240"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点位</w:t>
                  </w:r>
                </w:p>
                <w:p w14:paraId="1BB5F2D4">
                  <w:pPr>
                    <w:adjustRightInd w:val="0"/>
                    <w:spacing w:line="240"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编号</w:t>
                  </w:r>
                </w:p>
              </w:tc>
              <w:tc>
                <w:tcPr>
                  <w:tcW w:w="893" w:type="pct"/>
                  <w:vAlign w:val="center"/>
                </w:tcPr>
                <w:p w14:paraId="2E317B85">
                  <w:pPr>
                    <w:adjustRightInd w:val="0"/>
                    <w:spacing w:line="240"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检测点位</w:t>
                  </w:r>
                </w:p>
              </w:tc>
              <w:tc>
                <w:tcPr>
                  <w:tcW w:w="2800" w:type="pct"/>
                  <w:vAlign w:val="center"/>
                </w:tcPr>
                <w:p w14:paraId="3B5C6240">
                  <w:pPr>
                    <w:adjustRightInd w:val="0"/>
                    <w:spacing w:line="240"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检测项目</w:t>
                  </w:r>
                </w:p>
              </w:tc>
              <w:tc>
                <w:tcPr>
                  <w:tcW w:w="494" w:type="pct"/>
                  <w:vAlign w:val="center"/>
                </w:tcPr>
                <w:p w14:paraId="62320F49">
                  <w:pPr>
                    <w:adjustRightInd w:val="0"/>
                    <w:spacing w:line="240"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检测</w:t>
                  </w:r>
                </w:p>
                <w:p w14:paraId="35813BC9">
                  <w:pPr>
                    <w:adjustRightInd w:val="0"/>
                    <w:spacing w:line="240" w:lineRule="auto"/>
                    <w:jc w:val="center"/>
                    <w:rPr>
                      <w:rFonts w:hint="default" w:ascii="Times New Roman" w:hAnsi="Times New Roman" w:eastAsia="宋体" w:cs="Times New Roman"/>
                      <w:b/>
                      <w:color w:val="000000" w:themeColor="text1"/>
                      <w:szCs w:val="21"/>
                      <w:lang w:bidi="ar"/>
                      <w14:textFill>
                        <w14:solidFill>
                          <w14:schemeClr w14:val="tx1"/>
                        </w14:solidFill>
                      </w14:textFill>
                    </w:rPr>
                  </w:pPr>
                  <w:r>
                    <w:rPr>
                      <w:rFonts w:hint="default" w:ascii="Times New Roman" w:hAnsi="Times New Roman" w:eastAsia="宋体" w:cs="Times New Roman"/>
                      <w:b/>
                      <w:color w:val="000000" w:themeColor="text1"/>
                      <w:szCs w:val="21"/>
                      <w:lang w:bidi="ar"/>
                      <w14:textFill>
                        <w14:solidFill>
                          <w14:schemeClr w14:val="tx1"/>
                        </w14:solidFill>
                      </w14:textFill>
                    </w:rPr>
                    <w:t>频次</w:t>
                  </w:r>
                </w:p>
              </w:tc>
            </w:tr>
            <w:tr w14:paraId="7963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303" w:type="pct"/>
                  <w:vAlign w:val="center"/>
                </w:tcPr>
                <w:p w14:paraId="4A77F667">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地表水</w:t>
                  </w:r>
                </w:p>
              </w:tc>
              <w:tc>
                <w:tcPr>
                  <w:tcW w:w="508" w:type="pct"/>
                  <w:vAlign w:val="center"/>
                </w:tcPr>
                <w:p w14:paraId="7734BA23">
                  <w:pPr>
                    <w:tabs>
                      <w:tab w:val="left" w:pos="2130"/>
                    </w:tabs>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c>
                <w:tcPr>
                  <w:tcW w:w="893" w:type="pct"/>
                  <w:vAlign w:val="center"/>
                </w:tcPr>
                <w:p w14:paraId="6F35D64A">
                  <w:pPr>
                    <w:kinsoku/>
                    <w:autoSpaceDE/>
                    <w:autoSpaceDN/>
                    <w:spacing w:line="240" w:lineRule="auto"/>
                    <w:ind w:left="42" w:leftChars="20"/>
                    <w:jc w:val="center"/>
                    <w:textAlignment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kern w:val="2"/>
                      <w:lang w:eastAsia="zh-CN"/>
                      <w14:textFill>
                        <w14:solidFill>
                          <w14:schemeClr w14:val="tx1"/>
                        </w14:solidFill>
                      </w14:textFill>
                    </w:rPr>
                    <w:t>项目取水口上游约 100米</w:t>
                  </w:r>
                </w:p>
              </w:tc>
              <w:tc>
                <w:tcPr>
                  <w:tcW w:w="2800" w:type="pct"/>
                  <w:vAlign w:val="center"/>
                </w:tcPr>
                <w:p w14:paraId="7F6AC2B9">
                  <w:pPr>
                    <w:kinsoku/>
                    <w:autoSpaceDE/>
                    <w:autoSpaceDN/>
                    <w:spacing w:line="240" w:lineRule="auto"/>
                    <w:ind w:left="42" w:leftChars="20"/>
                    <w:jc w:val="center"/>
                    <w:textAlignment w:val="center"/>
                    <w:rPr>
                      <w:rFonts w:hint="default" w:ascii="Times New Roman" w:hAnsi="Times New Roman" w:eastAsia="宋体" w:cs="Times New Roman"/>
                      <w:color w:val="000000" w:themeColor="text1"/>
                      <w:szCs w:val="21"/>
                      <w:shd w:val="clear" w:color="auto" w:fill="FFFFFF"/>
                      <w14:textFill>
                        <w14:solidFill>
                          <w14:schemeClr w14:val="tx1"/>
                        </w14:solidFill>
                      </w14:textFill>
                    </w:rPr>
                  </w:pPr>
                  <w:r>
                    <w:rPr>
                      <w:rFonts w:hint="default" w:ascii="Times New Roman" w:hAnsi="Times New Roman" w:eastAsia="宋体" w:cs="Times New Roman"/>
                      <w:bCs/>
                      <w:color w:val="000000" w:themeColor="text1"/>
                      <w:kern w:val="2"/>
                      <w:lang w:eastAsia="zh-CN"/>
                      <w14:textFill>
                        <w14:solidFill>
                          <w14:schemeClr w14:val="tx1"/>
                        </w14:solidFill>
                      </w14:textFill>
                    </w:rPr>
                    <w:t>浊度、水温、pH 值、溶解氧、化学需氧量、五日生化需氧量、氨氮、总磷、总氮、铜、锌、氟化物、硒、砷、汞、镉、六价铬、总铬、铅、氰化物、挥发酚、石油类、阴离子表面活性剂、硫化物、粪大肠菌群、氯化物</w:t>
                  </w:r>
                </w:p>
              </w:tc>
              <w:tc>
                <w:tcPr>
                  <w:tcW w:w="494" w:type="pct"/>
                  <w:vAlign w:val="center"/>
                </w:tcPr>
                <w:p w14:paraId="3DBD3E80">
                  <w:pPr>
                    <w:pStyle w:val="117"/>
                    <w:adjustRightInd w:val="0"/>
                    <w:spacing w:line="240" w:lineRule="auto"/>
                    <w:rPr>
                      <w:rFonts w:hint="default" w:ascii="Times New Roman" w:hAnsi="Times New Roman" w:eastAsia="宋体" w:cs="Times New Roman"/>
                      <w:color w:val="000000" w:themeColor="text1"/>
                      <w:w w:val="105"/>
                      <w:sz w:val="21"/>
                      <w:szCs w:val="21"/>
                      <w:lang w:eastAsia="zh-CN"/>
                      <w14:textFill>
                        <w14:solidFill>
                          <w14:schemeClr w14:val="tx1"/>
                        </w14:solidFill>
                      </w14:textFill>
                    </w:rPr>
                  </w:pPr>
                  <w:r>
                    <w:rPr>
                      <w:rFonts w:hint="default" w:ascii="Times New Roman" w:hAnsi="Times New Roman" w:eastAsia="宋体" w:cs="Times New Roman"/>
                      <w:color w:val="000000" w:themeColor="text1"/>
                      <w:w w:val="105"/>
                      <w:sz w:val="21"/>
                      <w:szCs w:val="21"/>
                      <w14:textFill>
                        <w14:solidFill>
                          <w14:schemeClr w14:val="tx1"/>
                        </w14:solidFill>
                      </w14:textFill>
                    </w:rPr>
                    <w:t>检测</w:t>
                  </w:r>
                </w:p>
                <w:p w14:paraId="201381C1">
                  <w:pPr>
                    <w:pStyle w:val="117"/>
                    <w:adjustRightInd w:val="0"/>
                    <w:spacing w:line="240" w:lineRule="auto"/>
                    <w:rPr>
                      <w:rFonts w:hint="default" w:ascii="Times New Roman" w:hAnsi="Times New Roman" w:eastAsia="宋体" w:cs="Times New Roman"/>
                      <w:color w:val="000000" w:themeColor="text1"/>
                      <w:w w:val="105"/>
                      <w:sz w:val="21"/>
                      <w:szCs w:val="21"/>
                      <w:lang w:eastAsia="zh-CN"/>
                      <w14:textFill>
                        <w14:solidFill>
                          <w14:schemeClr w14:val="tx1"/>
                        </w14:solidFill>
                      </w14:textFill>
                    </w:rPr>
                  </w:pPr>
                  <w:r>
                    <w:rPr>
                      <w:rFonts w:hint="default" w:ascii="Times New Roman" w:hAnsi="Times New Roman" w:eastAsia="宋体" w:cs="Times New Roman"/>
                      <w:color w:val="000000" w:themeColor="text1"/>
                      <w:w w:val="105"/>
                      <w:sz w:val="21"/>
                      <w:szCs w:val="21"/>
                      <w14:textFill>
                        <w14:solidFill>
                          <w14:schemeClr w14:val="tx1"/>
                        </w14:solidFill>
                      </w14:textFill>
                    </w:rPr>
                    <w:t>3天</w:t>
                  </w:r>
                  <w:r>
                    <w:rPr>
                      <w:rFonts w:hint="default" w:ascii="Times New Roman" w:hAnsi="Times New Roman" w:eastAsia="宋体" w:cs="Times New Roman"/>
                      <w:color w:val="000000" w:themeColor="text1"/>
                      <w:w w:val="105"/>
                      <w:sz w:val="21"/>
                      <w:szCs w:val="21"/>
                      <w:lang w:eastAsia="zh-CN"/>
                      <w14:textFill>
                        <w14:solidFill>
                          <w14:schemeClr w14:val="tx1"/>
                        </w14:solidFill>
                      </w14:textFill>
                    </w:rPr>
                    <w:t>，</w:t>
                  </w:r>
                </w:p>
                <w:p w14:paraId="27658702">
                  <w:pPr>
                    <w:pStyle w:val="117"/>
                    <w:adjustRightInd w:val="0"/>
                    <w:spacing w:line="240" w:lineRule="auto"/>
                    <w:rPr>
                      <w:rFonts w:hint="default" w:ascii="Times New Roman" w:hAnsi="Times New Roman" w:eastAsia="宋体" w:cs="Times New Roman"/>
                      <w:color w:val="000000" w:themeColor="text1"/>
                      <w:w w:val="105"/>
                      <w:sz w:val="21"/>
                      <w:szCs w:val="21"/>
                      <w:lang w:eastAsia="zh-CN"/>
                      <w14:textFill>
                        <w14:solidFill>
                          <w14:schemeClr w14:val="tx1"/>
                        </w14:solidFill>
                      </w14:textFill>
                    </w:rPr>
                  </w:pPr>
                  <w:r>
                    <w:rPr>
                      <w:rFonts w:hint="default" w:ascii="Times New Roman" w:hAnsi="Times New Roman" w:eastAsia="宋体" w:cs="Times New Roman"/>
                      <w:color w:val="000000" w:themeColor="text1"/>
                      <w:w w:val="105"/>
                      <w:sz w:val="21"/>
                      <w:szCs w:val="21"/>
                      <w14:textFill>
                        <w14:solidFill>
                          <w14:schemeClr w14:val="tx1"/>
                        </w14:solidFill>
                      </w14:textFill>
                    </w:rPr>
                    <w:t>每天</w:t>
                  </w:r>
                </w:p>
                <w:p w14:paraId="7CF90C8C">
                  <w:pPr>
                    <w:pStyle w:val="117"/>
                    <w:adjustRightInd w:val="0"/>
                    <w:spacing w:line="240" w:lineRule="auto"/>
                    <w:rPr>
                      <w:rFonts w:hint="default" w:ascii="Times New Roman" w:hAnsi="Times New Roman" w:eastAsia="宋体" w:cs="Times New Roman"/>
                      <w:bCs/>
                      <w:color w:val="000000" w:themeColor="text1"/>
                      <w:sz w:val="21"/>
                      <w:szCs w:val="21"/>
                      <w:lang w:bidi="ar"/>
                      <w14:textFill>
                        <w14:solidFill>
                          <w14:schemeClr w14:val="tx1"/>
                        </w14:solidFill>
                      </w14:textFill>
                    </w:rPr>
                  </w:pPr>
                  <w:r>
                    <w:rPr>
                      <w:rFonts w:hint="default" w:ascii="Times New Roman" w:hAnsi="Times New Roman" w:eastAsia="宋体" w:cs="Times New Roman"/>
                      <w:color w:val="000000" w:themeColor="text1"/>
                      <w:w w:val="105"/>
                      <w:sz w:val="21"/>
                      <w:szCs w:val="21"/>
                      <w14:textFill>
                        <w14:solidFill>
                          <w14:schemeClr w14:val="tx1"/>
                        </w14:solidFill>
                      </w14:textFill>
                    </w:rPr>
                    <w:t>1次</w:t>
                  </w:r>
                </w:p>
              </w:tc>
            </w:tr>
          </w:tbl>
          <w:p w14:paraId="7A0E5798">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②监测分析方法</w:t>
            </w:r>
          </w:p>
          <w:p w14:paraId="13435490">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采用《地表水环境质量标准》（GB3838-2002）中规定方法监测。</w:t>
            </w:r>
          </w:p>
          <w:p w14:paraId="190FD2FC">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③评价方法</w:t>
            </w:r>
          </w:p>
          <w:p w14:paraId="0F1DC9A5">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根据《环境影响评价技术导则-地表水环境》（HJ2.3-2018），本次地表水环境影响评价采用水质指数法评价。其计算公式为：</w:t>
            </w:r>
          </w:p>
          <w:p w14:paraId="04CD65FC">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一般性水质因子的指数计算公式为：</w:t>
            </w:r>
          </w:p>
          <w:p w14:paraId="56CE1A03">
            <w:pPr>
              <w:overflowPunct w:val="0"/>
              <w:snapToGrid w:val="0"/>
              <w:spacing w:line="360" w:lineRule="auto"/>
              <w:ind w:firstLine="420"/>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drawing>
                <wp:inline distT="0" distB="0" distL="0" distR="0">
                  <wp:extent cx="1137920" cy="414655"/>
                  <wp:effectExtent l="0" t="0" r="5080" b="444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137920" cy="414655"/>
                          </a:xfrm>
                          <a:prstGeom prst="rect">
                            <a:avLst/>
                          </a:prstGeom>
                          <a:noFill/>
                          <a:ln>
                            <a:noFill/>
                          </a:ln>
                        </pic:spPr>
                      </pic:pic>
                    </a:graphicData>
                  </a:graphic>
                </wp:inline>
              </w:drawing>
            </w:r>
          </w:p>
          <w:p w14:paraId="3BC8B809">
            <w:pPr>
              <w:overflowPunct w:val="0"/>
              <w:snapToGrid w:val="0"/>
              <w:spacing w:line="360" w:lineRule="auto"/>
              <w:ind w:firstLine="42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drawing>
                <wp:inline distT="0" distB="0" distL="0" distR="0">
                  <wp:extent cx="4153535" cy="1064260"/>
                  <wp:effectExtent l="0" t="0" r="0" b="2540"/>
                  <wp:docPr id="558936494" name="图片 55893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936494" name="图片 55893649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4174290" cy="1069577"/>
                          </a:xfrm>
                          <a:prstGeom prst="rect">
                            <a:avLst/>
                          </a:prstGeom>
                          <a:noFill/>
                          <a:ln>
                            <a:noFill/>
                          </a:ln>
                        </pic:spPr>
                      </pic:pic>
                    </a:graphicData>
                  </a:graphic>
                </wp:inline>
              </w:drawing>
            </w:r>
          </w:p>
          <w:p w14:paraId="1E490E08">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pH值的指数计算公式为：</w:t>
            </w:r>
          </w:p>
          <w:p w14:paraId="73AC1DCC">
            <w:pPr>
              <w:overflowPunct w:val="0"/>
              <w:spacing w:line="360" w:lineRule="auto"/>
              <w:jc w:val="center"/>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drawing>
                <wp:inline distT="0" distB="0" distL="0" distR="0">
                  <wp:extent cx="2472690" cy="514985"/>
                  <wp:effectExtent l="0" t="0" r="381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33"/>
                          <a:stretch>
                            <a:fillRect/>
                          </a:stretch>
                        </pic:blipFill>
                        <pic:spPr>
                          <a:xfrm>
                            <a:off x="0" y="0"/>
                            <a:ext cx="2496527" cy="520111"/>
                          </a:xfrm>
                          <a:prstGeom prst="rect">
                            <a:avLst/>
                          </a:prstGeom>
                        </pic:spPr>
                      </pic:pic>
                    </a:graphicData>
                  </a:graphic>
                </wp:inline>
              </w:drawing>
            </w:r>
          </w:p>
          <w:p w14:paraId="2D001398">
            <w:pPr>
              <w:overflowPunct w:val="0"/>
              <w:spacing w:line="360" w:lineRule="auto"/>
              <w:jc w:val="center"/>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drawing>
                <wp:inline distT="0" distB="0" distL="0" distR="0">
                  <wp:extent cx="2564130" cy="46101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4"/>
                          <a:stretch>
                            <a:fillRect/>
                          </a:stretch>
                        </pic:blipFill>
                        <pic:spPr>
                          <a:xfrm>
                            <a:off x="0" y="0"/>
                            <a:ext cx="2584593" cy="465120"/>
                          </a:xfrm>
                          <a:prstGeom prst="rect">
                            <a:avLst/>
                          </a:prstGeom>
                        </pic:spPr>
                      </pic:pic>
                    </a:graphicData>
                  </a:graphic>
                </wp:inline>
              </w:drawing>
            </w:r>
          </w:p>
          <w:p w14:paraId="76FC8B0D">
            <w:pPr>
              <w:overflowPunct w:val="0"/>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式中，S</w:t>
            </w:r>
            <w:r>
              <w:rPr>
                <w:rFonts w:hint="default" w:ascii="Times New Roman" w:hAnsi="Times New Roman" w:eastAsia="宋体" w:cs="Times New Roman"/>
                <w:color w:val="000000" w:themeColor="text1"/>
                <w:kern w:val="0"/>
                <w:sz w:val="24"/>
                <w:vertAlign w:val="subscript"/>
                <w14:textFill>
                  <w14:solidFill>
                    <w14:schemeClr w14:val="tx1"/>
                  </w14:solidFill>
                </w14:textFill>
              </w:rPr>
              <w:t>pH，j</w:t>
            </w:r>
            <w:r>
              <w:rPr>
                <w:rFonts w:hint="default" w:ascii="Times New Roman" w:hAnsi="Times New Roman" w:eastAsia="宋体" w:cs="Times New Roman"/>
                <w:color w:val="000000" w:themeColor="text1"/>
                <w:kern w:val="0"/>
                <w:sz w:val="24"/>
                <w14:textFill>
                  <w14:solidFill>
                    <w14:schemeClr w14:val="tx1"/>
                  </w14:solidFill>
                </w14:textFill>
              </w:rPr>
              <w:t>－pH值的指数，大于1表明该水质因子超标；</w:t>
            </w:r>
          </w:p>
          <w:p w14:paraId="516F73F3">
            <w:pPr>
              <w:overflowPunct w:val="0"/>
              <w:spacing w:line="360" w:lineRule="auto"/>
              <w:ind w:firstLine="1200" w:firstLineChars="50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pH</w:t>
            </w:r>
            <w:r>
              <w:rPr>
                <w:rFonts w:hint="default" w:ascii="Times New Roman" w:hAnsi="Times New Roman" w:eastAsia="宋体" w:cs="Times New Roman"/>
                <w:color w:val="000000" w:themeColor="text1"/>
                <w:sz w:val="24"/>
                <w:vertAlign w:val="subscript"/>
                <w14:textFill>
                  <w14:solidFill>
                    <w14:schemeClr w14:val="tx1"/>
                  </w14:solidFill>
                </w14:textFill>
              </w:rPr>
              <w:t>j</w:t>
            </w:r>
            <w:r>
              <w:rPr>
                <w:rFonts w:hint="default" w:ascii="Times New Roman" w:hAnsi="Times New Roman" w:eastAsia="宋体" w:cs="Times New Roman"/>
                <w:color w:val="000000" w:themeColor="text1"/>
                <w:sz w:val="24"/>
                <w14:textFill>
                  <w14:solidFill>
                    <w14:schemeClr w14:val="tx1"/>
                  </w14:solidFill>
                </w14:textFill>
              </w:rPr>
              <w:t>－pH值实测统计代表值；</w:t>
            </w:r>
          </w:p>
          <w:p w14:paraId="3BBFFF6E">
            <w:pPr>
              <w:overflowPunct w:val="0"/>
              <w:spacing w:line="360" w:lineRule="auto"/>
              <w:ind w:firstLine="1200" w:firstLineChars="50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pH</w:t>
            </w:r>
            <w:r>
              <w:rPr>
                <w:rFonts w:hint="default" w:ascii="Times New Roman" w:hAnsi="Times New Roman" w:eastAsia="宋体" w:cs="Times New Roman"/>
                <w:color w:val="000000" w:themeColor="text1"/>
                <w:sz w:val="24"/>
                <w:vertAlign w:val="subscript"/>
                <w14:textFill>
                  <w14:solidFill>
                    <w14:schemeClr w14:val="tx1"/>
                  </w14:solidFill>
                </w14:textFill>
              </w:rPr>
              <w:t>sd</w:t>
            </w:r>
            <w:r>
              <w:rPr>
                <w:rFonts w:hint="default" w:ascii="Times New Roman" w:hAnsi="Times New Roman" w:eastAsia="宋体" w:cs="Times New Roman"/>
                <w:color w:val="000000" w:themeColor="text1"/>
                <w:sz w:val="24"/>
                <w14:textFill>
                  <w14:solidFill>
                    <w14:schemeClr w14:val="tx1"/>
                  </w14:solidFill>
                </w14:textFill>
              </w:rPr>
              <w:t>－评价标准中pH值的下限值。</w:t>
            </w:r>
          </w:p>
          <w:p w14:paraId="4FB6E3BF">
            <w:pPr>
              <w:overflowPunct w:val="0"/>
              <w:spacing w:line="360" w:lineRule="auto"/>
              <w:ind w:firstLine="1200" w:firstLineChars="50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pH</w:t>
            </w:r>
            <w:r>
              <w:rPr>
                <w:rFonts w:hint="default" w:ascii="Times New Roman" w:hAnsi="Times New Roman" w:eastAsia="宋体" w:cs="Times New Roman"/>
                <w:color w:val="000000" w:themeColor="text1"/>
                <w:sz w:val="24"/>
                <w:vertAlign w:val="subscript"/>
                <w14:textFill>
                  <w14:solidFill>
                    <w14:schemeClr w14:val="tx1"/>
                  </w14:solidFill>
                </w14:textFill>
              </w:rPr>
              <w:t>su</w:t>
            </w:r>
            <w:r>
              <w:rPr>
                <w:rFonts w:hint="default" w:ascii="Times New Roman" w:hAnsi="Times New Roman" w:eastAsia="宋体" w:cs="Times New Roman"/>
                <w:color w:val="000000" w:themeColor="text1"/>
                <w:sz w:val="24"/>
                <w14:textFill>
                  <w14:solidFill>
                    <w14:schemeClr w14:val="tx1"/>
                  </w14:solidFill>
                </w14:textFill>
              </w:rPr>
              <w:t>－评价标准中pH值的上限值。</w:t>
            </w:r>
          </w:p>
          <w:p w14:paraId="364BE67C">
            <w:pPr>
              <w:overflowPunct w:val="0"/>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溶解氧（Do）的标准</w:t>
            </w:r>
            <w:r>
              <w:rPr>
                <w:rFonts w:hint="eastAsia" w:ascii="Times New Roman" w:hAnsi="Times New Roman" w:cs="Times New Roman"/>
                <w:color w:val="000000" w:themeColor="text1"/>
                <w:kern w:val="0"/>
                <w:sz w:val="24"/>
                <w:lang w:val="en-US" w:eastAsia="zh-CN"/>
                <w14:textFill>
                  <w14:solidFill>
                    <w14:schemeClr w14:val="tx1"/>
                  </w14:solidFill>
                </w14:textFill>
              </w:rPr>
              <w:t>指数</w:t>
            </w:r>
            <w:r>
              <w:rPr>
                <w:rFonts w:hint="default" w:ascii="Times New Roman" w:hAnsi="Times New Roman" w:eastAsia="宋体" w:cs="Times New Roman"/>
                <w:color w:val="000000" w:themeColor="text1"/>
                <w:kern w:val="0"/>
                <w:sz w:val="24"/>
                <w14:textFill>
                  <w14:solidFill>
                    <w14:schemeClr w14:val="tx1"/>
                  </w14:solidFill>
                </w14:textFill>
              </w:rPr>
              <w:t>计算公式：</w:t>
            </w:r>
          </w:p>
          <w:p w14:paraId="18D6038F">
            <w:pPr>
              <w:overflowPunct w:val="0"/>
              <w:spacing w:line="360" w:lineRule="auto"/>
              <w:jc w:val="center"/>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drawing>
                <wp:inline distT="0" distB="0" distL="0" distR="0">
                  <wp:extent cx="3751580" cy="883920"/>
                  <wp:effectExtent l="0" t="0" r="127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5"/>
                          <a:stretch>
                            <a:fillRect/>
                          </a:stretch>
                        </pic:blipFill>
                        <pic:spPr>
                          <a:xfrm>
                            <a:off x="0" y="0"/>
                            <a:ext cx="3784824" cy="892026"/>
                          </a:xfrm>
                          <a:prstGeom prst="rect">
                            <a:avLst/>
                          </a:prstGeom>
                        </pic:spPr>
                      </pic:pic>
                    </a:graphicData>
                  </a:graphic>
                </wp:inline>
              </w:drawing>
            </w:r>
          </w:p>
          <w:p w14:paraId="655336A0">
            <w:pPr>
              <w:overflowPunct w:val="0"/>
              <w:spacing w:line="360" w:lineRule="auto"/>
              <w:ind w:firstLine="480"/>
              <w:contextualSpacing/>
              <w:jc w:val="left"/>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式中，S</w:t>
            </w:r>
            <w:r>
              <w:rPr>
                <w:rFonts w:hint="default" w:ascii="Times New Roman" w:hAnsi="Times New Roman" w:eastAsia="宋体" w:cs="Times New Roman"/>
                <w:color w:val="000000" w:themeColor="text1"/>
                <w:sz w:val="24"/>
                <w:vertAlign w:val="subscript"/>
                <w14:textFill>
                  <w14:solidFill>
                    <w14:schemeClr w14:val="tx1"/>
                  </w14:solidFill>
                </w14:textFill>
              </w:rPr>
              <w:t>DO，j</w:t>
            </w:r>
            <w:r>
              <w:rPr>
                <w:rFonts w:hint="default" w:ascii="Times New Roman" w:hAnsi="Times New Roman" w:eastAsia="宋体" w:cs="Times New Roman"/>
                <w:color w:val="000000" w:themeColor="text1"/>
                <w:sz w:val="24"/>
                <w14:textFill>
                  <w14:solidFill>
                    <w14:schemeClr w14:val="tx1"/>
                  </w14:solidFill>
                </w14:textFill>
              </w:rPr>
              <w:t>－溶解氧的标准</w:t>
            </w:r>
            <w:r>
              <w:rPr>
                <w:rFonts w:hint="eastAsia" w:ascii="Times New Roman" w:hAnsi="Times New Roman" w:cs="Times New Roman"/>
                <w:color w:val="000000" w:themeColor="text1"/>
                <w:sz w:val="24"/>
                <w:lang w:val="en-US" w:eastAsia="zh-CN"/>
                <w14:textFill>
                  <w14:solidFill>
                    <w14:schemeClr w14:val="tx1"/>
                  </w14:solidFill>
                </w14:textFill>
              </w:rPr>
              <w:t>指数</w:t>
            </w:r>
            <w:r>
              <w:rPr>
                <w:rFonts w:hint="default" w:ascii="Times New Roman" w:hAnsi="Times New Roman" w:eastAsia="宋体" w:cs="Times New Roman"/>
                <w:color w:val="000000" w:themeColor="text1"/>
                <w:sz w:val="24"/>
                <w14:textFill>
                  <w14:solidFill>
                    <w14:schemeClr w14:val="tx1"/>
                  </w14:solidFill>
                </w14:textFill>
              </w:rPr>
              <w:t>，大于1表明该水质因子超标；</w:t>
            </w:r>
          </w:p>
          <w:p w14:paraId="44638260">
            <w:pPr>
              <w:overflowPunct w:val="0"/>
              <w:spacing w:line="360" w:lineRule="auto"/>
              <w:ind w:firstLine="1200" w:firstLineChars="500"/>
              <w:contextualSpacing/>
              <w:jc w:val="left"/>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DO</w:t>
            </w:r>
            <w:r>
              <w:rPr>
                <w:rFonts w:hint="default" w:ascii="Times New Roman" w:hAnsi="Times New Roman" w:eastAsia="宋体" w:cs="Times New Roman"/>
                <w:color w:val="000000" w:themeColor="text1"/>
                <w:sz w:val="24"/>
                <w:vertAlign w:val="subscript"/>
                <w14:textFill>
                  <w14:solidFill>
                    <w14:schemeClr w14:val="tx1"/>
                  </w14:solidFill>
                </w14:textFill>
              </w:rPr>
              <w:t>j</w:t>
            </w:r>
            <w:r>
              <w:rPr>
                <w:rFonts w:hint="default" w:ascii="Times New Roman" w:hAnsi="Times New Roman" w:eastAsia="宋体" w:cs="Times New Roman"/>
                <w:color w:val="000000" w:themeColor="text1"/>
                <w:sz w:val="24"/>
                <w14:textFill>
                  <w14:solidFill>
                    <w14:schemeClr w14:val="tx1"/>
                  </w14:solidFill>
                </w14:textFill>
              </w:rPr>
              <w:t>－溶解氧在j点的实测统计代表值，mg/L；</w:t>
            </w:r>
          </w:p>
          <w:p w14:paraId="388D6615">
            <w:pPr>
              <w:overflowPunct w:val="0"/>
              <w:spacing w:line="360" w:lineRule="auto"/>
              <w:ind w:firstLine="1200" w:firstLineChars="500"/>
              <w:contextualSpacing/>
              <w:jc w:val="left"/>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DO</w:t>
            </w:r>
            <w:r>
              <w:rPr>
                <w:rFonts w:hint="default" w:ascii="Times New Roman" w:hAnsi="Times New Roman" w:eastAsia="宋体" w:cs="Times New Roman"/>
                <w:color w:val="000000" w:themeColor="text1"/>
                <w:sz w:val="24"/>
                <w:vertAlign w:val="subscript"/>
                <w14:textFill>
                  <w14:solidFill>
                    <w14:schemeClr w14:val="tx1"/>
                  </w14:solidFill>
                </w14:textFill>
              </w:rPr>
              <w:t>s</w:t>
            </w:r>
            <w:r>
              <w:rPr>
                <w:rFonts w:hint="default" w:ascii="Times New Roman" w:hAnsi="Times New Roman" w:eastAsia="宋体" w:cs="Times New Roman"/>
                <w:color w:val="000000" w:themeColor="text1"/>
                <w:sz w:val="24"/>
                <w14:textFill>
                  <w14:solidFill>
                    <w14:schemeClr w14:val="tx1"/>
                  </w14:solidFill>
                </w14:textFill>
              </w:rPr>
              <w:t>－溶解氧的水质评价标准限值，mg/L；</w:t>
            </w:r>
          </w:p>
          <w:p w14:paraId="2391F8DD">
            <w:pPr>
              <w:overflowPunct w:val="0"/>
              <w:spacing w:line="360" w:lineRule="auto"/>
              <w:ind w:firstLine="1200" w:firstLineChars="500"/>
              <w:contextualSpacing/>
              <w:jc w:val="left"/>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DO</w:t>
            </w:r>
            <w:r>
              <w:rPr>
                <w:rFonts w:hint="default" w:ascii="Times New Roman" w:hAnsi="Times New Roman" w:eastAsia="宋体" w:cs="Times New Roman"/>
                <w:color w:val="000000" w:themeColor="text1"/>
                <w:sz w:val="24"/>
                <w:vertAlign w:val="subscript"/>
                <w14:textFill>
                  <w14:solidFill>
                    <w14:schemeClr w14:val="tx1"/>
                  </w14:solidFill>
                </w14:textFill>
              </w:rPr>
              <w:t>f</w:t>
            </w:r>
            <w:r>
              <w:rPr>
                <w:rFonts w:hint="default" w:ascii="Times New Roman" w:hAnsi="Times New Roman" w:eastAsia="宋体" w:cs="Times New Roman"/>
                <w:color w:val="000000" w:themeColor="text1"/>
                <w:sz w:val="24"/>
                <w14:textFill>
                  <w14:solidFill>
                    <w14:schemeClr w14:val="tx1"/>
                  </w14:solidFill>
                </w14:textFill>
              </w:rPr>
              <w:t>－饱和溶解氧浓度，mg/L，对于河流，DO</w:t>
            </w:r>
            <w:r>
              <w:rPr>
                <w:rFonts w:hint="default" w:ascii="Times New Roman" w:hAnsi="Times New Roman" w:eastAsia="宋体" w:cs="Times New Roman"/>
                <w:color w:val="000000" w:themeColor="text1"/>
                <w:sz w:val="24"/>
                <w:vertAlign w:val="subscript"/>
                <w14:textFill>
                  <w14:solidFill>
                    <w14:schemeClr w14:val="tx1"/>
                  </w14:solidFill>
                </w14:textFill>
              </w:rPr>
              <w:t>f</w:t>
            </w:r>
            <w:r>
              <w:rPr>
                <w:rFonts w:hint="default" w:ascii="Times New Roman" w:hAnsi="Times New Roman" w:eastAsia="宋体" w:cs="Times New Roman"/>
                <w:color w:val="000000" w:themeColor="text1"/>
                <w:sz w:val="24"/>
                <w14:textFill>
                  <w14:solidFill>
                    <w14:schemeClr w14:val="tx1"/>
                  </w14:solidFill>
                </w14:textFill>
              </w:rPr>
              <w:t>=468/（31.6+T）；对于盐度比较高的湖泊、水库及入海河口、近岸海域，DO</w:t>
            </w:r>
            <w:r>
              <w:rPr>
                <w:rFonts w:hint="default" w:ascii="Times New Roman" w:hAnsi="Times New Roman" w:eastAsia="宋体" w:cs="Times New Roman"/>
                <w:color w:val="000000" w:themeColor="text1"/>
                <w:sz w:val="24"/>
                <w:vertAlign w:val="subscript"/>
                <w14:textFill>
                  <w14:solidFill>
                    <w14:schemeClr w14:val="tx1"/>
                  </w14:solidFill>
                </w14:textFill>
              </w:rPr>
              <w:t>f</w:t>
            </w:r>
            <w:r>
              <w:rPr>
                <w:rFonts w:hint="default" w:ascii="Times New Roman" w:hAnsi="Times New Roman" w:eastAsia="宋体" w:cs="Times New Roman"/>
                <w:color w:val="000000" w:themeColor="text1"/>
                <w:sz w:val="24"/>
                <w14:textFill>
                  <w14:solidFill>
                    <w14:schemeClr w14:val="tx1"/>
                  </w14:solidFill>
                </w14:textFill>
              </w:rPr>
              <w:t>=（491-2.65.S）/（33.5+T）；S——实用盐度符号，量纲为1；T——水温，℃。</w:t>
            </w:r>
          </w:p>
          <w:p w14:paraId="320509D5">
            <w:pPr>
              <w:overflowPunct w:val="0"/>
              <w:spacing w:line="360" w:lineRule="auto"/>
              <w:ind w:firstLine="480"/>
              <w:contextualSpacing/>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水质参数的标准指数&gt;1，表明该项水质参数超过了规定的指数水质指标，已不能满足使用要求；水质参数的标准指数≤1，表明该项水质参数到达或优于规定的水质，完全符合国家标准，可以满足使用要求。</w:t>
            </w:r>
          </w:p>
          <w:p w14:paraId="0656F82A">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④评价结果</w:t>
            </w:r>
          </w:p>
          <w:p w14:paraId="517B172F">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地表水环境质量评价结果见下表所示。</w:t>
            </w:r>
          </w:p>
          <w:p w14:paraId="5FED6141">
            <w:pPr>
              <w:pStyle w:val="3"/>
              <w:ind w:left="0" w:firstLine="0"/>
              <w:rPr>
                <w:rFonts w:hint="default" w:ascii="Times New Roman" w:hAnsi="Times New Roman" w:eastAsia="宋体" w:cs="Times New Roman"/>
                <w:color w:val="000000" w:themeColor="text1"/>
                <w14:textFill>
                  <w14:solidFill>
                    <w14:schemeClr w14:val="tx1"/>
                  </w14:solidFill>
                </w14:textFill>
              </w:rPr>
            </w:pPr>
          </w:p>
        </w:tc>
      </w:tr>
    </w:tbl>
    <w:p w14:paraId="37741F37">
      <w:pPr>
        <w:spacing w:line="360" w:lineRule="auto"/>
        <w:rPr>
          <w:rFonts w:hint="default" w:ascii="Times New Roman" w:hAnsi="Times New Roman" w:eastAsia="宋体" w:cs="Times New Roman"/>
          <w:snapToGrid w:val="0"/>
          <w:color w:val="000000" w:themeColor="text1"/>
          <w:kern w:val="21"/>
          <w:sz w:val="36"/>
          <w:szCs w:val="36"/>
          <w14:textFill>
            <w14:solidFill>
              <w14:schemeClr w14:val="tx1"/>
            </w14:solidFill>
          </w14:textFill>
        </w:rPr>
        <w:sectPr>
          <w:pgSz w:w="11907" w:h="16840"/>
          <w:pgMar w:top="1418" w:right="1531" w:bottom="1418" w:left="1531" w:header="851" w:footer="851" w:gutter="0"/>
          <w:pgBorders>
            <w:top w:val="none" w:sz="0" w:space="0"/>
            <w:left w:val="none" w:sz="0" w:space="0"/>
            <w:bottom w:val="none" w:sz="0" w:space="0"/>
            <w:right w:val="none" w:sz="0" w:space="0"/>
          </w:pgBorders>
          <w:cols w:space="720" w:num="1"/>
          <w:docGrid w:type="lines" w:linePitch="312" w:charSpace="0"/>
        </w:sectPr>
      </w:pP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
        <w:gridCol w:w="13715"/>
      </w:tblGrid>
      <w:tr w14:paraId="50CE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09E84443">
            <w:pPr>
              <w:spacing w:line="360" w:lineRule="auto"/>
              <w:rPr>
                <w:rFonts w:hint="default" w:ascii="Times New Roman" w:hAnsi="Times New Roman" w:eastAsia="宋体" w:cs="Times New Roman"/>
                <w:snapToGrid w:val="0"/>
                <w:color w:val="000000" w:themeColor="text1"/>
                <w:kern w:val="21"/>
                <w:sz w:val="36"/>
                <w:szCs w:val="36"/>
                <w14:textFill>
                  <w14:solidFill>
                    <w14:schemeClr w14:val="tx1"/>
                  </w14:solidFill>
                </w14:textFill>
              </w:rPr>
            </w:pPr>
          </w:p>
        </w:tc>
        <w:tc>
          <w:tcPr>
            <w:tcW w:w="13715" w:type="dxa"/>
          </w:tcPr>
          <w:p w14:paraId="50C73F40">
            <w:pPr>
              <w:pStyle w:val="155"/>
              <w:numPr>
                <w:ilvl w:val="0"/>
                <w:numId w:val="19"/>
              </w:numPr>
              <w:spacing w:line="360" w:lineRule="auto"/>
              <w:ind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项目地表水监测结果</w:t>
            </w:r>
          </w:p>
          <w:tbl>
            <w:tblPr>
              <w:tblStyle w:val="5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96"/>
              <w:gridCol w:w="2001"/>
              <w:gridCol w:w="1400"/>
              <w:gridCol w:w="1400"/>
              <w:gridCol w:w="1408"/>
              <w:gridCol w:w="779"/>
              <w:gridCol w:w="1613"/>
              <w:gridCol w:w="938"/>
              <w:gridCol w:w="887"/>
              <w:gridCol w:w="1613"/>
              <w:gridCol w:w="949"/>
            </w:tblGrid>
            <w:tr w14:paraId="17FE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blHeader/>
                <w:jc w:val="center"/>
              </w:trPr>
              <w:tc>
                <w:tcPr>
                  <w:tcW w:w="184" w:type="pct"/>
                  <w:vMerge w:val="restart"/>
                  <w:vAlign w:val="center"/>
                </w:tcPr>
                <w:p w14:paraId="06D24AF4">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采样</w:t>
                  </w:r>
                </w:p>
                <w:p w14:paraId="4C9217CE">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点位</w:t>
                  </w:r>
                </w:p>
              </w:tc>
              <w:tc>
                <w:tcPr>
                  <w:tcW w:w="742" w:type="pct"/>
                  <w:vMerge w:val="restart"/>
                  <w:vAlign w:val="center"/>
                </w:tcPr>
                <w:p w14:paraId="1BA81746">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项目</w:t>
                  </w:r>
                </w:p>
              </w:tc>
              <w:tc>
                <w:tcPr>
                  <w:tcW w:w="1560" w:type="pct"/>
                  <w:gridSpan w:val="3"/>
                  <w:vAlign w:val="center"/>
                </w:tcPr>
                <w:p w14:paraId="1A919F51">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监测值（mg/L）</w:t>
                  </w:r>
                </w:p>
              </w:tc>
              <w:tc>
                <w:tcPr>
                  <w:tcW w:w="1235" w:type="pct"/>
                  <w:gridSpan w:val="3"/>
                  <w:vAlign w:val="center"/>
                </w:tcPr>
                <w:p w14:paraId="5F999375">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III类标准</w:t>
                  </w:r>
                </w:p>
              </w:tc>
              <w:tc>
                <w:tcPr>
                  <w:tcW w:w="1276" w:type="pct"/>
                  <w:gridSpan w:val="3"/>
                </w:tcPr>
                <w:p w14:paraId="462BC3AD">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II类标准</w:t>
                  </w:r>
                </w:p>
              </w:tc>
            </w:tr>
            <w:tr w14:paraId="0584D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2" w:hRule="atLeast"/>
                <w:tblHeader/>
                <w:jc w:val="center"/>
              </w:trPr>
              <w:tc>
                <w:tcPr>
                  <w:tcW w:w="184" w:type="pct"/>
                  <w:vMerge w:val="continue"/>
                  <w:vAlign w:val="center"/>
                </w:tcPr>
                <w:p w14:paraId="1B3C99E9">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742" w:type="pct"/>
                  <w:vMerge w:val="continue"/>
                  <w:vAlign w:val="center"/>
                </w:tcPr>
                <w:p w14:paraId="7EE93284">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519" w:type="pct"/>
                  <w:vAlign w:val="center"/>
                </w:tcPr>
                <w:p w14:paraId="5343FEF8">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20</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26</w:t>
                  </w: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3</w:t>
                  </w:r>
                </w:p>
              </w:tc>
              <w:tc>
                <w:tcPr>
                  <w:tcW w:w="519" w:type="pct"/>
                  <w:vAlign w:val="center"/>
                </w:tcPr>
                <w:p w14:paraId="7BD92E1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20</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26</w:t>
                  </w: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eastAsia" w:ascii="Times New Roman" w:hAnsi="Times New Roman" w:cs="Times New Roman"/>
                      <w:b/>
                      <w:bCs/>
                      <w:color w:val="000000" w:themeColor="text1"/>
                      <w:sz w:val="21"/>
                      <w:szCs w:val="21"/>
                      <w:lang w:val="en-US" w:eastAsia="zh-CN"/>
                      <w14:textFill>
                        <w14:solidFill>
                          <w14:schemeClr w14:val="tx1"/>
                        </w14:solidFill>
                      </w14:textFill>
                    </w:rPr>
                    <w:t>4</w:t>
                  </w:r>
                </w:p>
              </w:tc>
              <w:tc>
                <w:tcPr>
                  <w:tcW w:w="520" w:type="pct"/>
                  <w:vAlign w:val="center"/>
                </w:tcPr>
                <w:p w14:paraId="4273B9B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20</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26</w:t>
                  </w: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z w:val="21"/>
                      <w:szCs w:val="21"/>
                      <w14:textFill>
                        <w14:solidFill>
                          <w14:schemeClr w14:val="tx1"/>
                        </w14:solidFill>
                      </w14:textFill>
                    </w:rPr>
                    <w:t>.</w:t>
                  </w:r>
                  <w:r>
                    <w:rPr>
                      <w:rFonts w:hint="eastAsia" w:ascii="Times New Roman" w:hAnsi="Times New Roman" w:cs="Times New Roman"/>
                      <w:b/>
                      <w:bCs/>
                      <w:color w:val="000000" w:themeColor="text1"/>
                      <w:sz w:val="21"/>
                      <w:szCs w:val="21"/>
                      <w:lang w:val="en-US" w:eastAsia="zh-CN"/>
                      <w14:textFill>
                        <w14:solidFill>
                          <w14:schemeClr w14:val="tx1"/>
                        </w14:solidFill>
                      </w14:textFill>
                    </w:rPr>
                    <w:t>5</w:t>
                  </w:r>
                </w:p>
              </w:tc>
              <w:tc>
                <w:tcPr>
                  <w:tcW w:w="289" w:type="pct"/>
                  <w:vAlign w:val="center"/>
                </w:tcPr>
                <w:p w14:paraId="7299443C">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标准值</w:t>
                  </w:r>
                </w:p>
              </w:tc>
              <w:tc>
                <w:tcPr>
                  <w:tcW w:w="598" w:type="pct"/>
                  <w:vAlign w:val="center"/>
                </w:tcPr>
                <w:p w14:paraId="132E9CFD">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最大标准指数Si</w:t>
                  </w:r>
                </w:p>
              </w:tc>
              <w:tc>
                <w:tcPr>
                  <w:tcW w:w="348" w:type="pct"/>
                  <w:vAlign w:val="center"/>
                </w:tcPr>
                <w:p w14:paraId="5E68976D">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达标情况</w:t>
                  </w:r>
                </w:p>
              </w:tc>
              <w:tc>
                <w:tcPr>
                  <w:tcW w:w="329" w:type="pct"/>
                  <w:vAlign w:val="center"/>
                </w:tcPr>
                <w:p w14:paraId="6D8618D2">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标准值</w:t>
                  </w:r>
                </w:p>
              </w:tc>
              <w:tc>
                <w:tcPr>
                  <w:tcW w:w="598" w:type="pct"/>
                  <w:vAlign w:val="center"/>
                </w:tcPr>
                <w:p w14:paraId="4C732387">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最大标准指数Si</w:t>
                  </w:r>
                </w:p>
              </w:tc>
              <w:tc>
                <w:tcPr>
                  <w:tcW w:w="348" w:type="pct"/>
                  <w:vAlign w:val="center"/>
                </w:tcPr>
                <w:p w14:paraId="7826D9F7">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达标情况</w:t>
                  </w:r>
                </w:p>
              </w:tc>
            </w:tr>
            <w:tr w14:paraId="2ABB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restart"/>
                  <w:vAlign w:val="center"/>
                </w:tcPr>
                <w:p w14:paraId="49874F5B">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742" w:type="pct"/>
                  <w:vAlign w:val="center"/>
                </w:tcPr>
                <w:p w14:paraId="66FC2C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水温（℃）</w:t>
                  </w:r>
                </w:p>
              </w:tc>
              <w:tc>
                <w:tcPr>
                  <w:tcW w:w="519" w:type="pct"/>
                  <w:vAlign w:val="center"/>
                </w:tcPr>
                <w:p w14:paraId="7330E2F3">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14.4</w:t>
                  </w:r>
                </w:p>
              </w:tc>
              <w:tc>
                <w:tcPr>
                  <w:tcW w:w="519" w:type="pct"/>
                  <w:vAlign w:val="center"/>
                </w:tcPr>
                <w:p w14:paraId="357F7425">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14.7</w:t>
                  </w:r>
                </w:p>
              </w:tc>
              <w:tc>
                <w:tcPr>
                  <w:tcW w:w="520" w:type="pct"/>
                  <w:vAlign w:val="center"/>
                </w:tcPr>
                <w:p w14:paraId="7597909F">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14.2</w:t>
                  </w:r>
                </w:p>
              </w:tc>
              <w:tc>
                <w:tcPr>
                  <w:tcW w:w="289" w:type="pct"/>
                  <w:vAlign w:val="center"/>
                </w:tcPr>
                <w:p w14:paraId="529414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598" w:type="pct"/>
                  <w:vAlign w:val="center"/>
                </w:tcPr>
                <w:p w14:paraId="15D607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4EF1DD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29" w:type="pct"/>
                  <w:vAlign w:val="center"/>
                </w:tcPr>
                <w:p w14:paraId="2FD9CC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598" w:type="pct"/>
                  <w:vAlign w:val="center"/>
                </w:tcPr>
                <w:p w14:paraId="518C89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17837F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r>
            <w:tr w14:paraId="6D86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03C4D2E6">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6B8203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pH值（无量纲）</w:t>
                  </w:r>
                </w:p>
              </w:tc>
              <w:tc>
                <w:tcPr>
                  <w:tcW w:w="519" w:type="pct"/>
                  <w:vAlign w:val="center"/>
                </w:tcPr>
                <w:p w14:paraId="75DF23D9">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6.9</w:t>
                  </w:r>
                </w:p>
              </w:tc>
              <w:tc>
                <w:tcPr>
                  <w:tcW w:w="519" w:type="pct"/>
                  <w:vAlign w:val="center"/>
                </w:tcPr>
                <w:p w14:paraId="0C6F2542">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6.8</w:t>
                  </w:r>
                </w:p>
              </w:tc>
              <w:tc>
                <w:tcPr>
                  <w:tcW w:w="520" w:type="pct"/>
                  <w:vAlign w:val="center"/>
                </w:tcPr>
                <w:p w14:paraId="1EF51E55">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7.0</w:t>
                  </w:r>
                </w:p>
              </w:tc>
              <w:tc>
                <w:tcPr>
                  <w:tcW w:w="289" w:type="pct"/>
                  <w:vAlign w:val="center"/>
                </w:tcPr>
                <w:p w14:paraId="3C9976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6~9</w:t>
                  </w:r>
                </w:p>
              </w:tc>
              <w:tc>
                <w:tcPr>
                  <w:tcW w:w="598" w:type="pct"/>
                  <w:vAlign w:val="center"/>
                </w:tcPr>
                <w:p w14:paraId="66529C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w:t>
                  </w:r>
                </w:p>
              </w:tc>
              <w:tc>
                <w:tcPr>
                  <w:tcW w:w="348" w:type="pct"/>
                  <w:vAlign w:val="center"/>
                </w:tcPr>
                <w:p w14:paraId="0A3881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34BC89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6~9</w:t>
                  </w:r>
                </w:p>
              </w:tc>
              <w:tc>
                <w:tcPr>
                  <w:tcW w:w="598" w:type="pct"/>
                  <w:vAlign w:val="center"/>
                </w:tcPr>
                <w:p w14:paraId="3FE649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w:t>
                  </w:r>
                </w:p>
              </w:tc>
              <w:tc>
                <w:tcPr>
                  <w:tcW w:w="348" w:type="pct"/>
                  <w:vAlign w:val="center"/>
                </w:tcPr>
                <w:p w14:paraId="008E48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1FD5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6B911258">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37799B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溶解氧</w:t>
                  </w:r>
                </w:p>
              </w:tc>
              <w:tc>
                <w:tcPr>
                  <w:tcW w:w="519" w:type="pct"/>
                  <w:vAlign w:val="center"/>
                </w:tcPr>
                <w:p w14:paraId="4F58F03D">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7.8</w:t>
                  </w:r>
                </w:p>
              </w:tc>
              <w:tc>
                <w:tcPr>
                  <w:tcW w:w="519" w:type="pct"/>
                  <w:vAlign w:val="center"/>
                </w:tcPr>
                <w:p w14:paraId="220525AF">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7.9</w:t>
                  </w:r>
                </w:p>
              </w:tc>
              <w:tc>
                <w:tcPr>
                  <w:tcW w:w="520" w:type="pct"/>
                  <w:vAlign w:val="center"/>
                </w:tcPr>
                <w:p w14:paraId="3A837607">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7.8</w:t>
                  </w:r>
                </w:p>
              </w:tc>
              <w:tc>
                <w:tcPr>
                  <w:tcW w:w="289" w:type="pct"/>
                  <w:vAlign w:val="center"/>
                </w:tcPr>
                <w:p w14:paraId="6053C1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≥5</w:t>
                  </w:r>
                </w:p>
              </w:tc>
              <w:tc>
                <w:tcPr>
                  <w:tcW w:w="598" w:type="pct"/>
                  <w:vAlign w:val="center"/>
                </w:tcPr>
                <w:p w14:paraId="08205B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0.58</w:t>
                  </w:r>
                </w:p>
              </w:tc>
              <w:tc>
                <w:tcPr>
                  <w:tcW w:w="348" w:type="pct"/>
                  <w:vAlign w:val="center"/>
                </w:tcPr>
                <w:p w14:paraId="5C537A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tcPr>
                <w:p w14:paraId="099888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≥6</w:t>
                  </w:r>
                </w:p>
              </w:tc>
              <w:tc>
                <w:tcPr>
                  <w:tcW w:w="598" w:type="pct"/>
                </w:tcPr>
                <w:p w14:paraId="3BB535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0.77</w:t>
                  </w:r>
                </w:p>
              </w:tc>
              <w:tc>
                <w:tcPr>
                  <w:tcW w:w="348" w:type="pct"/>
                </w:tcPr>
                <w:p w14:paraId="31C2F8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097A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73321911">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63F88B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化学需氧量</w:t>
                  </w:r>
                </w:p>
              </w:tc>
              <w:tc>
                <w:tcPr>
                  <w:tcW w:w="519" w:type="pct"/>
                  <w:vAlign w:val="center"/>
                </w:tcPr>
                <w:p w14:paraId="50FB3E86">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4</w:t>
                  </w:r>
                </w:p>
              </w:tc>
              <w:tc>
                <w:tcPr>
                  <w:tcW w:w="519" w:type="pct"/>
                  <w:vAlign w:val="center"/>
                </w:tcPr>
                <w:p w14:paraId="519A7B7C">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5</w:t>
                  </w:r>
                </w:p>
              </w:tc>
              <w:tc>
                <w:tcPr>
                  <w:tcW w:w="520" w:type="pct"/>
                  <w:vAlign w:val="center"/>
                </w:tcPr>
                <w:p w14:paraId="2E8037F6">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5</w:t>
                  </w:r>
                </w:p>
              </w:tc>
              <w:tc>
                <w:tcPr>
                  <w:tcW w:w="289" w:type="pct"/>
                  <w:vAlign w:val="center"/>
                </w:tcPr>
                <w:p w14:paraId="07EFB2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≤20</w:t>
                  </w:r>
                </w:p>
              </w:tc>
              <w:tc>
                <w:tcPr>
                  <w:tcW w:w="598" w:type="pct"/>
                  <w:vAlign w:val="bottom"/>
                </w:tcPr>
                <w:p w14:paraId="11918D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0.50</w:t>
                  </w:r>
                </w:p>
              </w:tc>
              <w:tc>
                <w:tcPr>
                  <w:tcW w:w="348" w:type="pct"/>
                  <w:vAlign w:val="center"/>
                </w:tcPr>
                <w:p w14:paraId="17DD2F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1B77CE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≤15</w:t>
                  </w:r>
                </w:p>
              </w:tc>
              <w:tc>
                <w:tcPr>
                  <w:tcW w:w="598" w:type="pct"/>
                  <w:vAlign w:val="center"/>
                </w:tcPr>
                <w:p w14:paraId="5E3747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0.67</w:t>
                  </w:r>
                </w:p>
              </w:tc>
              <w:tc>
                <w:tcPr>
                  <w:tcW w:w="348" w:type="pct"/>
                </w:tcPr>
                <w:p w14:paraId="09C299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35EF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450879D5">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7136A9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五日生化需氧量</w:t>
                  </w:r>
                </w:p>
              </w:tc>
              <w:tc>
                <w:tcPr>
                  <w:tcW w:w="519" w:type="pct"/>
                  <w:vAlign w:val="center"/>
                </w:tcPr>
                <w:p w14:paraId="59230414">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1.6</w:t>
                  </w:r>
                </w:p>
              </w:tc>
              <w:tc>
                <w:tcPr>
                  <w:tcW w:w="519" w:type="pct"/>
                  <w:vAlign w:val="center"/>
                </w:tcPr>
                <w:p w14:paraId="2F6058A5">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1.7</w:t>
                  </w:r>
                </w:p>
              </w:tc>
              <w:tc>
                <w:tcPr>
                  <w:tcW w:w="520" w:type="pct"/>
                  <w:vAlign w:val="center"/>
                </w:tcPr>
                <w:p w14:paraId="1E358291">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1.7</w:t>
                  </w:r>
                </w:p>
              </w:tc>
              <w:tc>
                <w:tcPr>
                  <w:tcW w:w="289" w:type="pct"/>
                  <w:vAlign w:val="center"/>
                </w:tcPr>
                <w:p w14:paraId="05DEB9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≤4</w:t>
                  </w:r>
                </w:p>
              </w:tc>
              <w:tc>
                <w:tcPr>
                  <w:tcW w:w="598" w:type="pct"/>
                  <w:vAlign w:val="bottom"/>
                </w:tcPr>
                <w:p w14:paraId="4C7514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0.58</w:t>
                  </w:r>
                </w:p>
              </w:tc>
              <w:tc>
                <w:tcPr>
                  <w:tcW w:w="348" w:type="pct"/>
                  <w:vAlign w:val="center"/>
                </w:tcPr>
                <w:p w14:paraId="429AAD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43016A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≤4</w:t>
                  </w:r>
                </w:p>
              </w:tc>
              <w:tc>
                <w:tcPr>
                  <w:tcW w:w="598" w:type="pct"/>
                  <w:vAlign w:val="center"/>
                </w:tcPr>
                <w:p w14:paraId="286317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0.58</w:t>
                  </w:r>
                </w:p>
              </w:tc>
              <w:tc>
                <w:tcPr>
                  <w:tcW w:w="348" w:type="pct"/>
                </w:tcPr>
                <w:p w14:paraId="7C8FDB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2F78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378E0426">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5E41F6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氨氮</w:t>
                  </w:r>
                </w:p>
              </w:tc>
              <w:tc>
                <w:tcPr>
                  <w:tcW w:w="519" w:type="pct"/>
                  <w:vAlign w:val="center"/>
                </w:tcPr>
                <w:p w14:paraId="23A31E01">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0.033</w:t>
                  </w:r>
                </w:p>
              </w:tc>
              <w:tc>
                <w:tcPr>
                  <w:tcW w:w="519" w:type="pct"/>
                  <w:vAlign w:val="center"/>
                </w:tcPr>
                <w:p w14:paraId="43C2DD70">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0.025L</w:t>
                  </w:r>
                </w:p>
              </w:tc>
              <w:tc>
                <w:tcPr>
                  <w:tcW w:w="520" w:type="pct"/>
                  <w:vAlign w:val="center"/>
                </w:tcPr>
                <w:p w14:paraId="25B5D9B2">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0.037</w:t>
                  </w:r>
                </w:p>
              </w:tc>
              <w:tc>
                <w:tcPr>
                  <w:tcW w:w="289" w:type="pct"/>
                  <w:vAlign w:val="center"/>
                </w:tcPr>
                <w:p w14:paraId="4C6D4A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bottom"/>
                </w:tcPr>
                <w:p w14:paraId="17CFB2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0.10</w:t>
                  </w:r>
                </w:p>
              </w:tc>
              <w:tc>
                <w:tcPr>
                  <w:tcW w:w="348" w:type="pct"/>
                  <w:vAlign w:val="center"/>
                </w:tcPr>
                <w:p w14:paraId="160EBC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4E74AF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≤0.5</w:t>
                  </w:r>
                </w:p>
              </w:tc>
              <w:tc>
                <w:tcPr>
                  <w:tcW w:w="598" w:type="pct"/>
                  <w:vAlign w:val="center"/>
                </w:tcPr>
                <w:p w14:paraId="6D6DF1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0.20</w:t>
                  </w:r>
                </w:p>
              </w:tc>
              <w:tc>
                <w:tcPr>
                  <w:tcW w:w="348" w:type="pct"/>
                </w:tcPr>
                <w:p w14:paraId="2DCD13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287D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38C20851">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06C5CE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总磷</w:t>
                  </w:r>
                </w:p>
              </w:tc>
              <w:tc>
                <w:tcPr>
                  <w:tcW w:w="519" w:type="pct"/>
                  <w:vAlign w:val="center"/>
                </w:tcPr>
                <w:p w14:paraId="6D899AF2">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0.07</w:t>
                  </w:r>
                </w:p>
              </w:tc>
              <w:tc>
                <w:tcPr>
                  <w:tcW w:w="519" w:type="pct"/>
                  <w:vAlign w:val="center"/>
                </w:tcPr>
                <w:p w14:paraId="530A30B8">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0.08</w:t>
                  </w:r>
                </w:p>
              </w:tc>
              <w:tc>
                <w:tcPr>
                  <w:tcW w:w="520" w:type="pct"/>
                  <w:vAlign w:val="center"/>
                </w:tcPr>
                <w:p w14:paraId="48FBF7F5">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0.09</w:t>
                  </w:r>
                </w:p>
              </w:tc>
              <w:tc>
                <w:tcPr>
                  <w:tcW w:w="289" w:type="pct"/>
                  <w:vAlign w:val="center"/>
                </w:tcPr>
                <w:p w14:paraId="056448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≤0.05</w:t>
                  </w:r>
                </w:p>
              </w:tc>
              <w:tc>
                <w:tcPr>
                  <w:tcW w:w="598" w:type="pct"/>
                  <w:vAlign w:val="bottom"/>
                </w:tcPr>
                <w:p w14:paraId="733195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0.20</w:t>
                  </w:r>
                </w:p>
              </w:tc>
              <w:tc>
                <w:tcPr>
                  <w:tcW w:w="348" w:type="pct"/>
                  <w:vAlign w:val="center"/>
                </w:tcPr>
                <w:p w14:paraId="50404C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4DD01C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≤0.025</w:t>
                  </w:r>
                </w:p>
              </w:tc>
              <w:tc>
                <w:tcPr>
                  <w:tcW w:w="598" w:type="pct"/>
                  <w:vAlign w:val="center"/>
                </w:tcPr>
                <w:p w14:paraId="43F0E8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0.40</w:t>
                  </w:r>
                </w:p>
              </w:tc>
              <w:tc>
                <w:tcPr>
                  <w:tcW w:w="348" w:type="pct"/>
                </w:tcPr>
                <w:p w14:paraId="0C25FD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712E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6491F4E4">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4E6CBB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总氮</w:t>
                  </w:r>
                </w:p>
              </w:tc>
              <w:tc>
                <w:tcPr>
                  <w:tcW w:w="519" w:type="pct"/>
                  <w:vAlign w:val="center"/>
                </w:tcPr>
                <w:p w14:paraId="3C5579DA">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0.66</w:t>
                  </w:r>
                </w:p>
              </w:tc>
              <w:tc>
                <w:tcPr>
                  <w:tcW w:w="519" w:type="pct"/>
                  <w:vAlign w:val="center"/>
                </w:tcPr>
                <w:p w14:paraId="36306521">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0.52</w:t>
                  </w:r>
                </w:p>
              </w:tc>
              <w:tc>
                <w:tcPr>
                  <w:tcW w:w="520" w:type="pct"/>
                  <w:vAlign w:val="center"/>
                </w:tcPr>
                <w:p w14:paraId="79A48105">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0.75</w:t>
                  </w:r>
                </w:p>
              </w:tc>
              <w:tc>
                <w:tcPr>
                  <w:tcW w:w="289" w:type="pct"/>
                  <w:vAlign w:val="center"/>
                </w:tcPr>
                <w:p w14:paraId="36F69B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bottom"/>
                </w:tcPr>
                <w:p w14:paraId="2DB63D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0.34</w:t>
                  </w:r>
                </w:p>
              </w:tc>
              <w:tc>
                <w:tcPr>
                  <w:tcW w:w="348" w:type="pct"/>
                  <w:vAlign w:val="center"/>
                </w:tcPr>
                <w:p w14:paraId="435C96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521374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center"/>
                </w:tcPr>
                <w:p w14:paraId="4F5E78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0.34</w:t>
                  </w:r>
                </w:p>
              </w:tc>
              <w:tc>
                <w:tcPr>
                  <w:tcW w:w="348" w:type="pct"/>
                </w:tcPr>
                <w:p w14:paraId="763F3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6B56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13FFEAE5">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5BE2FC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铁</w:t>
                  </w:r>
                </w:p>
              </w:tc>
              <w:tc>
                <w:tcPr>
                  <w:tcW w:w="519" w:type="pct"/>
                  <w:vAlign w:val="center"/>
                </w:tcPr>
                <w:p w14:paraId="2DFCB1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0.03</w:t>
                  </w:r>
                </w:p>
              </w:tc>
              <w:tc>
                <w:tcPr>
                  <w:tcW w:w="519" w:type="pct"/>
                  <w:vAlign w:val="center"/>
                </w:tcPr>
                <w:p w14:paraId="522DC7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0.03</w:t>
                  </w:r>
                </w:p>
              </w:tc>
              <w:tc>
                <w:tcPr>
                  <w:tcW w:w="520" w:type="pct"/>
                  <w:vAlign w:val="center"/>
                </w:tcPr>
                <w:p w14:paraId="413859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0.04</w:t>
                  </w:r>
                </w:p>
              </w:tc>
              <w:tc>
                <w:tcPr>
                  <w:tcW w:w="289" w:type="pct"/>
                  <w:vAlign w:val="center"/>
                </w:tcPr>
                <w:p w14:paraId="29C923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0.3</w:t>
                  </w:r>
                </w:p>
              </w:tc>
              <w:tc>
                <w:tcPr>
                  <w:tcW w:w="598" w:type="pct"/>
                  <w:vAlign w:val="bottom"/>
                </w:tcPr>
                <w:p w14:paraId="24552A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0.13</w:t>
                  </w:r>
                </w:p>
              </w:tc>
              <w:tc>
                <w:tcPr>
                  <w:tcW w:w="348" w:type="pct"/>
                  <w:vAlign w:val="center"/>
                </w:tcPr>
                <w:p w14:paraId="723A89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4ACAA0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0.3</w:t>
                  </w:r>
                </w:p>
              </w:tc>
              <w:tc>
                <w:tcPr>
                  <w:tcW w:w="598" w:type="pct"/>
                  <w:vAlign w:val="center"/>
                </w:tcPr>
                <w:p w14:paraId="5A8B29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0.13</w:t>
                  </w:r>
                </w:p>
              </w:tc>
              <w:tc>
                <w:tcPr>
                  <w:tcW w:w="348" w:type="pct"/>
                </w:tcPr>
                <w:p w14:paraId="27C27D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7567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5F8F97EA">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22C3E2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锰</w:t>
                  </w:r>
                </w:p>
              </w:tc>
              <w:tc>
                <w:tcPr>
                  <w:tcW w:w="519" w:type="pct"/>
                  <w:vAlign w:val="center"/>
                </w:tcPr>
                <w:p w14:paraId="4FE535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519" w:type="pct"/>
                  <w:vAlign w:val="center"/>
                </w:tcPr>
                <w:p w14:paraId="273B96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520" w:type="pct"/>
                  <w:vAlign w:val="center"/>
                </w:tcPr>
                <w:p w14:paraId="34162F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289" w:type="pct"/>
                  <w:vAlign w:val="center"/>
                </w:tcPr>
                <w:p w14:paraId="52298F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0.1</w:t>
                  </w:r>
                </w:p>
              </w:tc>
              <w:tc>
                <w:tcPr>
                  <w:tcW w:w="598" w:type="pct"/>
                  <w:vAlign w:val="bottom"/>
                </w:tcPr>
                <w:p w14:paraId="1F60E2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0.10</w:t>
                  </w:r>
                </w:p>
              </w:tc>
              <w:tc>
                <w:tcPr>
                  <w:tcW w:w="348" w:type="pct"/>
                  <w:vAlign w:val="center"/>
                </w:tcPr>
                <w:p w14:paraId="62E1E6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0F4F75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0.1</w:t>
                  </w:r>
                </w:p>
              </w:tc>
              <w:tc>
                <w:tcPr>
                  <w:tcW w:w="598" w:type="pct"/>
                  <w:vAlign w:val="center"/>
                </w:tcPr>
                <w:p w14:paraId="765693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0.10</w:t>
                  </w:r>
                </w:p>
              </w:tc>
              <w:tc>
                <w:tcPr>
                  <w:tcW w:w="348" w:type="pct"/>
                </w:tcPr>
                <w:p w14:paraId="7263B0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312C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17CFF5A2">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200F09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铜</w:t>
                  </w:r>
                </w:p>
              </w:tc>
              <w:tc>
                <w:tcPr>
                  <w:tcW w:w="519" w:type="pct"/>
                  <w:vAlign w:val="center"/>
                </w:tcPr>
                <w:p w14:paraId="7BF47E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&lt;0.05</w:t>
                  </w:r>
                </w:p>
              </w:tc>
              <w:tc>
                <w:tcPr>
                  <w:tcW w:w="519" w:type="pct"/>
                  <w:vAlign w:val="center"/>
                </w:tcPr>
                <w:p w14:paraId="6DA050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&lt;0.05</w:t>
                  </w:r>
                </w:p>
              </w:tc>
              <w:tc>
                <w:tcPr>
                  <w:tcW w:w="520" w:type="pct"/>
                  <w:vAlign w:val="center"/>
                </w:tcPr>
                <w:p w14:paraId="3A49EB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&lt;0.05</w:t>
                  </w:r>
                </w:p>
              </w:tc>
              <w:tc>
                <w:tcPr>
                  <w:tcW w:w="289" w:type="pct"/>
                  <w:vAlign w:val="center"/>
                </w:tcPr>
                <w:p w14:paraId="40D2B1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bottom"/>
                </w:tcPr>
                <w:p w14:paraId="6DDFC9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3D44AB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0E6890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bottom"/>
                </w:tcPr>
                <w:p w14:paraId="5C7007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50DFB4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3A1B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17398980">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155CAD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锌</w:t>
                  </w:r>
                </w:p>
              </w:tc>
              <w:tc>
                <w:tcPr>
                  <w:tcW w:w="519" w:type="pct"/>
                  <w:vAlign w:val="center"/>
                </w:tcPr>
                <w:p w14:paraId="1F78AB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&lt;0.05</w:t>
                  </w:r>
                </w:p>
              </w:tc>
              <w:tc>
                <w:tcPr>
                  <w:tcW w:w="519" w:type="pct"/>
                  <w:vAlign w:val="center"/>
                </w:tcPr>
                <w:p w14:paraId="734E35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&lt;0.05</w:t>
                  </w:r>
                </w:p>
              </w:tc>
              <w:tc>
                <w:tcPr>
                  <w:tcW w:w="520" w:type="pct"/>
                  <w:vAlign w:val="center"/>
                </w:tcPr>
                <w:p w14:paraId="1A6D10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&lt;0.05</w:t>
                  </w:r>
                </w:p>
              </w:tc>
              <w:tc>
                <w:tcPr>
                  <w:tcW w:w="289" w:type="pct"/>
                  <w:vAlign w:val="center"/>
                </w:tcPr>
                <w:p w14:paraId="651067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bottom"/>
                </w:tcPr>
                <w:p w14:paraId="4171BF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43C02D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3EB11A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bottom"/>
                </w:tcPr>
                <w:p w14:paraId="2B4FA7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29D70D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631C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3C03F302">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7E8E78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铅</w:t>
                  </w:r>
                </w:p>
              </w:tc>
              <w:tc>
                <w:tcPr>
                  <w:tcW w:w="519" w:type="pct"/>
                  <w:vAlign w:val="center"/>
                </w:tcPr>
                <w:p w14:paraId="3AB792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&lt;0.001</w:t>
                  </w:r>
                </w:p>
              </w:tc>
              <w:tc>
                <w:tcPr>
                  <w:tcW w:w="519" w:type="pct"/>
                  <w:vAlign w:val="center"/>
                </w:tcPr>
                <w:p w14:paraId="2F70D8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&lt;0.001</w:t>
                  </w:r>
                </w:p>
              </w:tc>
              <w:tc>
                <w:tcPr>
                  <w:tcW w:w="520" w:type="pct"/>
                  <w:vAlign w:val="center"/>
                </w:tcPr>
                <w:p w14:paraId="1735C5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&lt;0.001</w:t>
                  </w:r>
                </w:p>
              </w:tc>
              <w:tc>
                <w:tcPr>
                  <w:tcW w:w="289" w:type="pct"/>
                  <w:vAlign w:val="center"/>
                </w:tcPr>
                <w:p w14:paraId="04DA6F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≤0.05</w:t>
                  </w:r>
                </w:p>
              </w:tc>
              <w:tc>
                <w:tcPr>
                  <w:tcW w:w="598" w:type="pct"/>
                  <w:vAlign w:val="bottom"/>
                </w:tcPr>
                <w:p w14:paraId="4AF32E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6E5751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26CB67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598" w:type="pct"/>
                  <w:vAlign w:val="bottom"/>
                </w:tcPr>
                <w:p w14:paraId="64575F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06EA3C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7529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6893989E">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0152D8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氟化物</w:t>
                  </w:r>
                </w:p>
              </w:tc>
              <w:tc>
                <w:tcPr>
                  <w:tcW w:w="519" w:type="pct"/>
                  <w:vAlign w:val="center"/>
                </w:tcPr>
                <w:p w14:paraId="6250ACDC">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0.170</w:t>
                  </w:r>
                </w:p>
              </w:tc>
              <w:tc>
                <w:tcPr>
                  <w:tcW w:w="519" w:type="pct"/>
                  <w:vAlign w:val="center"/>
                </w:tcPr>
                <w:p w14:paraId="4C045F98">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0.160</w:t>
                  </w:r>
                </w:p>
              </w:tc>
              <w:tc>
                <w:tcPr>
                  <w:tcW w:w="520" w:type="pct"/>
                  <w:vAlign w:val="center"/>
                </w:tcPr>
                <w:p w14:paraId="5ED43032">
                  <w:pPr>
                    <w:pStyle w:val="434"/>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eastAsia="zh-CN"/>
                      <w14:textFill>
                        <w14:solidFill>
                          <w14:schemeClr w14:val="tx1"/>
                        </w14:solidFill>
                      </w14:textFill>
                    </w:rPr>
                    <w:t>0.172</w:t>
                  </w:r>
                </w:p>
              </w:tc>
              <w:tc>
                <w:tcPr>
                  <w:tcW w:w="289" w:type="pct"/>
                  <w:vAlign w:val="center"/>
                </w:tcPr>
                <w:p w14:paraId="0D49D0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bottom"/>
                </w:tcPr>
                <w:p w14:paraId="63C3F1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6F2568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093011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bottom"/>
                </w:tcPr>
                <w:p w14:paraId="1424B1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5EC636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6690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582ED54F">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17BA14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硒</w:t>
                  </w:r>
                </w:p>
              </w:tc>
              <w:tc>
                <w:tcPr>
                  <w:tcW w:w="519" w:type="pct"/>
                  <w:vAlign w:val="center"/>
                </w:tcPr>
                <w:p w14:paraId="58B2A7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&lt;0.0004</w:t>
                  </w:r>
                </w:p>
              </w:tc>
              <w:tc>
                <w:tcPr>
                  <w:tcW w:w="519" w:type="pct"/>
                  <w:vAlign w:val="center"/>
                </w:tcPr>
                <w:p w14:paraId="58D5BF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&lt;0.0004</w:t>
                  </w:r>
                </w:p>
              </w:tc>
              <w:tc>
                <w:tcPr>
                  <w:tcW w:w="520" w:type="pct"/>
                  <w:vAlign w:val="center"/>
                </w:tcPr>
                <w:p w14:paraId="1B2DEB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&lt;0.0004</w:t>
                  </w:r>
                </w:p>
              </w:tc>
              <w:tc>
                <w:tcPr>
                  <w:tcW w:w="289" w:type="pct"/>
                  <w:vAlign w:val="center"/>
                </w:tcPr>
                <w:p w14:paraId="4BACCD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598" w:type="pct"/>
                  <w:vAlign w:val="bottom"/>
                </w:tcPr>
                <w:p w14:paraId="3F45FE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7B2EE4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511038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598" w:type="pct"/>
                  <w:vAlign w:val="bottom"/>
                </w:tcPr>
                <w:p w14:paraId="765A24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7B28C8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7FFE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4C2C6ECD">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5FA39E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砷</w:t>
                  </w:r>
                </w:p>
              </w:tc>
              <w:tc>
                <w:tcPr>
                  <w:tcW w:w="519" w:type="pct"/>
                  <w:vAlign w:val="center"/>
                </w:tcPr>
                <w:p w14:paraId="22F5B1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&lt;0.0003</w:t>
                  </w:r>
                </w:p>
              </w:tc>
              <w:tc>
                <w:tcPr>
                  <w:tcW w:w="519" w:type="pct"/>
                  <w:vAlign w:val="center"/>
                </w:tcPr>
                <w:p w14:paraId="469801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&lt;0.0003</w:t>
                  </w:r>
                </w:p>
              </w:tc>
              <w:tc>
                <w:tcPr>
                  <w:tcW w:w="520" w:type="pct"/>
                  <w:vAlign w:val="center"/>
                </w:tcPr>
                <w:p w14:paraId="508C90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&lt;0.0003</w:t>
                  </w:r>
                </w:p>
              </w:tc>
              <w:tc>
                <w:tcPr>
                  <w:tcW w:w="289" w:type="pct"/>
                  <w:vAlign w:val="center"/>
                </w:tcPr>
                <w:p w14:paraId="3B8398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≤0.05</w:t>
                  </w:r>
                </w:p>
              </w:tc>
              <w:tc>
                <w:tcPr>
                  <w:tcW w:w="598" w:type="pct"/>
                  <w:vAlign w:val="bottom"/>
                </w:tcPr>
                <w:p w14:paraId="4279F4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5BB2C5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743C9C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≤0.05</w:t>
                  </w:r>
                </w:p>
              </w:tc>
              <w:tc>
                <w:tcPr>
                  <w:tcW w:w="598" w:type="pct"/>
                  <w:vAlign w:val="bottom"/>
                </w:tcPr>
                <w:p w14:paraId="545035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2430D2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77ED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50BF7A05">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5CB8EC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汞</w:t>
                  </w:r>
                </w:p>
              </w:tc>
              <w:tc>
                <w:tcPr>
                  <w:tcW w:w="519" w:type="pct"/>
                  <w:vAlign w:val="center"/>
                </w:tcPr>
                <w:p w14:paraId="3D521C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&lt;0.00004</w:t>
                  </w:r>
                </w:p>
              </w:tc>
              <w:tc>
                <w:tcPr>
                  <w:tcW w:w="519" w:type="pct"/>
                  <w:vAlign w:val="center"/>
                </w:tcPr>
                <w:p w14:paraId="1218BE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&lt;0.00004</w:t>
                  </w:r>
                </w:p>
              </w:tc>
              <w:tc>
                <w:tcPr>
                  <w:tcW w:w="520" w:type="pct"/>
                  <w:vAlign w:val="center"/>
                </w:tcPr>
                <w:p w14:paraId="5A5837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&lt;0.00004</w:t>
                  </w:r>
                </w:p>
              </w:tc>
              <w:tc>
                <w:tcPr>
                  <w:tcW w:w="289" w:type="pct"/>
                  <w:vAlign w:val="center"/>
                </w:tcPr>
                <w:p w14:paraId="0565B4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≤0.0001</w:t>
                  </w:r>
                </w:p>
              </w:tc>
              <w:tc>
                <w:tcPr>
                  <w:tcW w:w="598" w:type="pct"/>
                  <w:vAlign w:val="bottom"/>
                </w:tcPr>
                <w:p w14:paraId="29CC1C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16720D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30711B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≤0.00005</w:t>
                  </w:r>
                </w:p>
              </w:tc>
              <w:tc>
                <w:tcPr>
                  <w:tcW w:w="598" w:type="pct"/>
                  <w:vAlign w:val="bottom"/>
                </w:tcPr>
                <w:p w14:paraId="7E35B3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6D2322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2622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7C6F87E0">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5DBCA2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镉</w:t>
                  </w:r>
                </w:p>
              </w:tc>
              <w:tc>
                <w:tcPr>
                  <w:tcW w:w="519" w:type="pct"/>
                  <w:vAlign w:val="center"/>
                </w:tcPr>
                <w:p w14:paraId="28C120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&lt;0.0001</w:t>
                  </w:r>
                </w:p>
              </w:tc>
              <w:tc>
                <w:tcPr>
                  <w:tcW w:w="519" w:type="pct"/>
                  <w:vAlign w:val="center"/>
                </w:tcPr>
                <w:p w14:paraId="140E5F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0.0002</w:t>
                  </w:r>
                </w:p>
              </w:tc>
              <w:tc>
                <w:tcPr>
                  <w:tcW w:w="520" w:type="pct"/>
                  <w:vAlign w:val="center"/>
                </w:tcPr>
                <w:p w14:paraId="067CA5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0.0001</w:t>
                  </w:r>
                </w:p>
              </w:tc>
              <w:tc>
                <w:tcPr>
                  <w:tcW w:w="289" w:type="pct"/>
                  <w:vAlign w:val="center"/>
                </w:tcPr>
                <w:p w14:paraId="76E2AA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≤0.005</w:t>
                  </w:r>
                </w:p>
              </w:tc>
              <w:tc>
                <w:tcPr>
                  <w:tcW w:w="598" w:type="pct"/>
                  <w:vAlign w:val="bottom"/>
                </w:tcPr>
                <w:p w14:paraId="70BC65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0.04</w:t>
                  </w:r>
                </w:p>
              </w:tc>
              <w:tc>
                <w:tcPr>
                  <w:tcW w:w="348" w:type="pct"/>
                  <w:vAlign w:val="center"/>
                </w:tcPr>
                <w:p w14:paraId="068FE2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58F70F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≤0.005</w:t>
                  </w:r>
                </w:p>
              </w:tc>
              <w:tc>
                <w:tcPr>
                  <w:tcW w:w="598" w:type="pct"/>
                  <w:vAlign w:val="center"/>
                </w:tcPr>
                <w:p w14:paraId="190E7B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0.04</w:t>
                  </w:r>
                </w:p>
              </w:tc>
              <w:tc>
                <w:tcPr>
                  <w:tcW w:w="348" w:type="pct"/>
                </w:tcPr>
                <w:p w14:paraId="5B9960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01E5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076952AD">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6E9579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铬（六价）</w:t>
                  </w:r>
                </w:p>
              </w:tc>
              <w:tc>
                <w:tcPr>
                  <w:tcW w:w="519" w:type="pct"/>
                  <w:vAlign w:val="center"/>
                </w:tcPr>
                <w:p w14:paraId="776449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&lt;0.004</w:t>
                  </w:r>
                </w:p>
              </w:tc>
              <w:tc>
                <w:tcPr>
                  <w:tcW w:w="519" w:type="pct"/>
                  <w:vAlign w:val="center"/>
                </w:tcPr>
                <w:p w14:paraId="5D6746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0.004</w:t>
                  </w:r>
                </w:p>
              </w:tc>
              <w:tc>
                <w:tcPr>
                  <w:tcW w:w="520" w:type="pct"/>
                  <w:vAlign w:val="center"/>
                </w:tcPr>
                <w:p w14:paraId="5E18A0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&lt;0.004</w:t>
                  </w:r>
                </w:p>
              </w:tc>
              <w:tc>
                <w:tcPr>
                  <w:tcW w:w="289" w:type="pct"/>
                  <w:vAlign w:val="center"/>
                </w:tcPr>
                <w:p w14:paraId="71CB93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≤0.05</w:t>
                  </w:r>
                </w:p>
              </w:tc>
              <w:tc>
                <w:tcPr>
                  <w:tcW w:w="598" w:type="pct"/>
                  <w:vAlign w:val="center"/>
                </w:tcPr>
                <w:p w14:paraId="29D81F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0.08</w:t>
                  </w:r>
                </w:p>
              </w:tc>
              <w:tc>
                <w:tcPr>
                  <w:tcW w:w="348" w:type="pct"/>
                  <w:vAlign w:val="center"/>
                </w:tcPr>
                <w:p w14:paraId="634E61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50F99C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≤0.05</w:t>
                  </w:r>
                </w:p>
              </w:tc>
              <w:tc>
                <w:tcPr>
                  <w:tcW w:w="598" w:type="pct"/>
                  <w:vAlign w:val="center"/>
                </w:tcPr>
                <w:p w14:paraId="12FF50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0.08</w:t>
                  </w:r>
                </w:p>
              </w:tc>
              <w:tc>
                <w:tcPr>
                  <w:tcW w:w="348" w:type="pct"/>
                </w:tcPr>
                <w:p w14:paraId="67C168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43B9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63595AEE">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76024C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氰化物</w:t>
                  </w:r>
                </w:p>
              </w:tc>
              <w:tc>
                <w:tcPr>
                  <w:tcW w:w="519" w:type="pct"/>
                  <w:vAlign w:val="center"/>
                </w:tcPr>
                <w:p w14:paraId="51372A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&lt;0.004</w:t>
                  </w:r>
                </w:p>
              </w:tc>
              <w:tc>
                <w:tcPr>
                  <w:tcW w:w="519" w:type="pct"/>
                  <w:vAlign w:val="center"/>
                </w:tcPr>
                <w:p w14:paraId="4C6B1C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&lt;0.004</w:t>
                  </w:r>
                </w:p>
              </w:tc>
              <w:tc>
                <w:tcPr>
                  <w:tcW w:w="520" w:type="pct"/>
                  <w:vAlign w:val="center"/>
                </w:tcPr>
                <w:p w14:paraId="44336B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&lt;0.004</w:t>
                  </w:r>
                </w:p>
              </w:tc>
              <w:tc>
                <w:tcPr>
                  <w:tcW w:w="289" w:type="pct"/>
                  <w:vAlign w:val="center"/>
                </w:tcPr>
                <w:p w14:paraId="039D8D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w:t>
                  </w:r>
                </w:p>
              </w:tc>
              <w:tc>
                <w:tcPr>
                  <w:tcW w:w="598" w:type="pct"/>
                  <w:vAlign w:val="center"/>
                </w:tcPr>
                <w:p w14:paraId="4E3E33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4341A6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48A9AE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≤0.05</w:t>
                  </w:r>
                </w:p>
              </w:tc>
              <w:tc>
                <w:tcPr>
                  <w:tcW w:w="598" w:type="pct"/>
                  <w:vAlign w:val="center"/>
                </w:tcPr>
                <w:p w14:paraId="3095EA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0263A4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6481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50DE001E">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6FB771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挥发酚</w:t>
                  </w:r>
                </w:p>
              </w:tc>
              <w:tc>
                <w:tcPr>
                  <w:tcW w:w="519" w:type="pct"/>
                  <w:vAlign w:val="center"/>
                </w:tcPr>
                <w:p w14:paraId="6B9151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0.0003</w:t>
                  </w:r>
                </w:p>
              </w:tc>
              <w:tc>
                <w:tcPr>
                  <w:tcW w:w="519" w:type="pct"/>
                  <w:vAlign w:val="center"/>
                </w:tcPr>
                <w:p w14:paraId="40E77F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0.0003</w:t>
                  </w:r>
                </w:p>
              </w:tc>
              <w:tc>
                <w:tcPr>
                  <w:tcW w:w="520" w:type="pct"/>
                  <w:vAlign w:val="center"/>
                </w:tcPr>
                <w:p w14:paraId="0C23D2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0.0004</w:t>
                  </w:r>
                </w:p>
              </w:tc>
              <w:tc>
                <w:tcPr>
                  <w:tcW w:w="289" w:type="pct"/>
                  <w:vAlign w:val="center"/>
                </w:tcPr>
                <w:p w14:paraId="55593B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≤0.005</w:t>
                  </w:r>
                </w:p>
              </w:tc>
              <w:tc>
                <w:tcPr>
                  <w:tcW w:w="598" w:type="pct"/>
                  <w:vAlign w:val="center"/>
                </w:tcPr>
                <w:p w14:paraId="5B51A9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0.08</w:t>
                  </w:r>
                </w:p>
              </w:tc>
              <w:tc>
                <w:tcPr>
                  <w:tcW w:w="348" w:type="pct"/>
                  <w:vAlign w:val="center"/>
                </w:tcPr>
                <w:p w14:paraId="66F05D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2E47D1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≤0.002</w:t>
                  </w:r>
                </w:p>
              </w:tc>
              <w:tc>
                <w:tcPr>
                  <w:tcW w:w="598" w:type="pct"/>
                  <w:vAlign w:val="center"/>
                </w:tcPr>
                <w:p w14:paraId="143FF9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w:t>
                  </w:r>
                </w:p>
              </w:tc>
              <w:tc>
                <w:tcPr>
                  <w:tcW w:w="348" w:type="pct"/>
                </w:tcPr>
                <w:p w14:paraId="754148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59AA4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54DD9697">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53E701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石油类</w:t>
                  </w:r>
                </w:p>
              </w:tc>
              <w:tc>
                <w:tcPr>
                  <w:tcW w:w="519" w:type="pct"/>
                  <w:vAlign w:val="center"/>
                </w:tcPr>
                <w:p w14:paraId="601EA7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519" w:type="pct"/>
                  <w:vAlign w:val="center"/>
                </w:tcPr>
                <w:p w14:paraId="131F24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520" w:type="pct"/>
                  <w:vAlign w:val="center"/>
                </w:tcPr>
                <w:p w14:paraId="2CC7ED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0.02</w:t>
                  </w:r>
                </w:p>
              </w:tc>
              <w:tc>
                <w:tcPr>
                  <w:tcW w:w="289" w:type="pct"/>
                  <w:vAlign w:val="center"/>
                </w:tcPr>
                <w:p w14:paraId="0CF257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≤0.05</w:t>
                  </w:r>
                </w:p>
              </w:tc>
              <w:tc>
                <w:tcPr>
                  <w:tcW w:w="598" w:type="pct"/>
                  <w:vAlign w:val="center"/>
                </w:tcPr>
                <w:p w14:paraId="4825EC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0.40</w:t>
                  </w:r>
                </w:p>
              </w:tc>
              <w:tc>
                <w:tcPr>
                  <w:tcW w:w="348" w:type="pct"/>
                  <w:vAlign w:val="center"/>
                </w:tcPr>
                <w:p w14:paraId="71EB42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696D7C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≤0.05</w:t>
                  </w:r>
                </w:p>
              </w:tc>
              <w:tc>
                <w:tcPr>
                  <w:tcW w:w="598" w:type="pct"/>
                  <w:vAlign w:val="center"/>
                </w:tcPr>
                <w:p w14:paraId="284D00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0.4</w:t>
                  </w:r>
                </w:p>
              </w:tc>
              <w:tc>
                <w:tcPr>
                  <w:tcW w:w="348" w:type="pct"/>
                </w:tcPr>
                <w:p w14:paraId="2D05FC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66AE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73E92D7E">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6D82CE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阴离子表面</w:t>
                  </w:r>
                  <w:r>
                    <w:rPr>
                      <w:rFonts w:hint="default" w:ascii="Times New Roman" w:hAnsi="Times New Roman" w:eastAsia="宋体" w:cs="Times New Roman"/>
                      <w:bCs/>
                      <w:color w:val="000000" w:themeColor="text1"/>
                      <w:sz w:val="21"/>
                      <w:szCs w:val="21"/>
                      <w:lang w:eastAsia="zh-CN"/>
                      <w14:textFill>
                        <w14:solidFill>
                          <w14:schemeClr w14:val="tx1"/>
                        </w14:solidFill>
                      </w14:textFill>
                    </w:rPr>
                    <w:t>活动</w:t>
                  </w:r>
                  <w:r>
                    <w:rPr>
                      <w:rFonts w:hint="default" w:ascii="Times New Roman" w:hAnsi="Times New Roman" w:eastAsia="宋体" w:cs="Times New Roman"/>
                      <w:bCs/>
                      <w:color w:val="000000" w:themeColor="text1"/>
                      <w:sz w:val="21"/>
                      <w:szCs w:val="21"/>
                      <w14:textFill>
                        <w14:solidFill>
                          <w14:schemeClr w14:val="tx1"/>
                        </w14:solidFill>
                      </w14:textFill>
                    </w:rPr>
                    <w:t>剂</w:t>
                  </w:r>
                </w:p>
              </w:tc>
              <w:tc>
                <w:tcPr>
                  <w:tcW w:w="519" w:type="pct"/>
                  <w:vAlign w:val="center"/>
                </w:tcPr>
                <w:p w14:paraId="4E3F5A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&lt;0.05</w:t>
                  </w:r>
                </w:p>
              </w:tc>
              <w:tc>
                <w:tcPr>
                  <w:tcW w:w="519" w:type="pct"/>
                  <w:vAlign w:val="center"/>
                </w:tcPr>
                <w:p w14:paraId="6F91EF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&lt;0.05</w:t>
                  </w:r>
                </w:p>
              </w:tc>
              <w:tc>
                <w:tcPr>
                  <w:tcW w:w="520" w:type="pct"/>
                  <w:vAlign w:val="center"/>
                </w:tcPr>
                <w:p w14:paraId="4C9180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&lt;0.05</w:t>
                  </w:r>
                </w:p>
              </w:tc>
              <w:tc>
                <w:tcPr>
                  <w:tcW w:w="289" w:type="pct"/>
                  <w:vAlign w:val="center"/>
                </w:tcPr>
                <w:p w14:paraId="0502DD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w:t>
                  </w:r>
                </w:p>
              </w:tc>
              <w:tc>
                <w:tcPr>
                  <w:tcW w:w="598" w:type="pct"/>
                  <w:vAlign w:val="center"/>
                </w:tcPr>
                <w:p w14:paraId="59EA9B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186C91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181734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w:t>
                  </w:r>
                </w:p>
              </w:tc>
              <w:tc>
                <w:tcPr>
                  <w:tcW w:w="598" w:type="pct"/>
                </w:tcPr>
                <w:p w14:paraId="4D3A21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4A1D72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1635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41E4A76F">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7BF833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硫化物</w:t>
                  </w:r>
                </w:p>
              </w:tc>
              <w:tc>
                <w:tcPr>
                  <w:tcW w:w="519" w:type="pct"/>
                  <w:vAlign w:val="center"/>
                </w:tcPr>
                <w:p w14:paraId="7BCF33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&lt;0.01</w:t>
                  </w:r>
                </w:p>
              </w:tc>
              <w:tc>
                <w:tcPr>
                  <w:tcW w:w="519" w:type="pct"/>
                  <w:vAlign w:val="center"/>
                </w:tcPr>
                <w:p w14:paraId="56ED7D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&lt;0.01</w:t>
                  </w:r>
                </w:p>
              </w:tc>
              <w:tc>
                <w:tcPr>
                  <w:tcW w:w="520" w:type="pct"/>
                  <w:vAlign w:val="center"/>
                </w:tcPr>
                <w:p w14:paraId="6FF4AF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&lt;0.01</w:t>
                  </w:r>
                </w:p>
              </w:tc>
              <w:tc>
                <w:tcPr>
                  <w:tcW w:w="289" w:type="pct"/>
                  <w:vAlign w:val="center"/>
                </w:tcPr>
                <w:p w14:paraId="19047C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w:t>
                  </w:r>
                </w:p>
              </w:tc>
              <w:tc>
                <w:tcPr>
                  <w:tcW w:w="598" w:type="pct"/>
                  <w:vAlign w:val="center"/>
                </w:tcPr>
                <w:p w14:paraId="5C2FEA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vAlign w:val="center"/>
                </w:tcPr>
                <w:p w14:paraId="353ED2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46279E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≤0.1</w:t>
                  </w:r>
                </w:p>
              </w:tc>
              <w:tc>
                <w:tcPr>
                  <w:tcW w:w="598" w:type="pct"/>
                </w:tcPr>
                <w:p w14:paraId="78F8D9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48" w:type="pct"/>
                </w:tcPr>
                <w:p w14:paraId="7DADF8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261E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2ABDAC30">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555127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粪大肠菌群（</w:t>
                  </w:r>
                  <w:r>
                    <w:rPr>
                      <w:rFonts w:hint="default" w:ascii="Times New Roman" w:hAnsi="Times New Roman" w:eastAsia="宋体" w:cs="Times New Roman"/>
                      <w:bCs/>
                      <w:color w:val="000000" w:themeColor="text1"/>
                      <w:sz w:val="21"/>
                      <w:szCs w:val="21"/>
                      <w14:textFill>
                        <w14:solidFill>
                          <w14:schemeClr w14:val="tx1"/>
                        </w14:solidFill>
                      </w14:textFill>
                    </w:rPr>
                    <w:t>个/L</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519" w:type="pct"/>
                  <w:vAlign w:val="center"/>
                </w:tcPr>
                <w:p w14:paraId="255E42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4.9×10</w:t>
                  </w:r>
                  <w:r>
                    <w:rPr>
                      <w:rFonts w:hint="default" w:ascii="Times New Roman" w:hAnsi="Times New Roman" w:eastAsia="宋体" w:cs="Times New Roman"/>
                      <w:bCs/>
                      <w:color w:val="000000" w:themeColor="text1"/>
                      <w:sz w:val="21"/>
                      <w:szCs w:val="21"/>
                      <w:vertAlign w:val="superscript"/>
                      <w14:textFill>
                        <w14:solidFill>
                          <w14:schemeClr w14:val="tx1"/>
                        </w14:solidFill>
                      </w14:textFill>
                    </w:rPr>
                    <w:t>2</w:t>
                  </w:r>
                </w:p>
              </w:tc>
              <w:tc>
                <w:tcPr>
                  <w:tcW w:w="519" w:type="pct"/>
                  <w:vAlign w:val="center"/>
                </w:tcPr>
                <w:p w14:paraId="2C26BD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未检出</w:t>
                  </w:r>
                </w:p>
              </w:tc>
              <w:tc>
                <w:tcPr>
                  <w:tcW w:w="520" w:type="pct"/>
                  <w:vAlign w:val="center"/>
                </w:tcPr>
                <w:p w14:paraId="6536BA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80</w:t>
                  </w:r>
                </w:p>
              </w:tc>
              <w:tc>
                <w:tcPr>
                  <w:tcW w:w="289" w:type="pct"/>
                  <w:vAlign w:val="center"/>
                </w:tcPr>
                <w:p w14:paraId="7F8E7B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≤10000</w:t>
                  </w:r>
                </w:p>
              </w:tc>
              <w:tc>
                <w:tcPr>
                  <w:tcW w:w="598" w:type="pct"/>
                  <w:vAlign w:val="center"/>
                </w:tcPr>
                <w:p w14:paraId="182C25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0.049</w:t>
                  </w:r>
                </w:p>
              </w:tc>
              <w:tc>
                <w:tcPr>
                  <w:tcW w:w="348" w:type="pct"/>
                  <w:vAlign w:val="center"/>
                </w:tcPr>
                <w:p w14:paraId="70BA62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395A2C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≤2000</w:t>
                  </w:r>
                </w:p>
              </w:tc>
              <w:tc>
                <w:tcPr>
                  <w:tcW w:w="598" w:type="pct"/>
                  <w:vAlign w:val="center"/>
                </w:tcPr>
                <w:p w14:paraId="537535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0.25</w:t>
                  </w:r>
                </w:p>
              </w:tc>
              <w:tc>
                <w:tcPr>
                  <w:tcW w:w="348" w:type="pct"/>
                </w:tcPr>
                <w:p w14:paraId="528A7E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47D2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0C735248">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3F283B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硫酸盐</w:t>
                  </w:r>
                </w:p>
              </w:tc>
              <w:tc>
                <w:tcPr>
                  <w:tcW w:w="519" w:type="pct"/>
                  <w:vAlign w:val="center"/>
                </w:tcPr>
                <w:p w14:paraId="0584F8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5.67</w:t>
                  </w:r>
                </w:p>
              </w:tc>
              <w:tc>
                <w:tcPr>
                  <w:tcW w:w="519" w:type="pct"/>
                  <w:vAlign w:val="center"/>
                </w:tcPr>
                <w:p w14:paraId="593336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3.46</w:t>
                  </w:r>
                </w:p>
              </w:tc>
              <w:tc>
                <w:tcPr>
                  <w:tcW w:w="520" w:type="pct"/>
                  <w:vAlign w:val="center"/>
                </w:tcPr>
                <w:p w14:paraId="1CC111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4.24</w:t>
                  </w:r>
                </w:p>
              </w:tc>
              <w:tc>
                <w:tcPr>
                  <w:tcW w:w="289" w:type="pct"/>
                  <w:vAlign w:val="center"/>
                </w:tcPr>
                <w:p w14:paraId="35C25C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250</w:t>
                  </w:r>
                </w:p>
              </w:tc>
              <w:tc>
                <w:tcPr>
                  <w:tcW w:w="598" w:type="pct"/>
                  <w:vAlign w:val="center"/>
                </w:tcPr>
                <w:p w14:paraId="7C736C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0.02</w:t>
                  </w:r>
                </w:p>
              </w:tc>
              <w:tc>
                <w:tcPr>
                  <w:tcW w:w="348" w:type="pct"/>
                  <w:vAlign w:val="center"/>
                </w:tcPr>
                <w:p w14:paraId="73278E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4F8CF8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250</w:t>
                  </w:r>
                </w:p>
              </w:tc>
              <w:tc>
                <w:tcPr>
                  <w:tcW w:w="598" w:type="pct"/>
                  <w:vAlign w:val="center"/>
                </w:tcPr>
                <w:p w14:paraId="6E15C1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0.02</w:t>
                  </w:r>
                </w:p>
              </w:tc>
              <w:tc>
                <w:tcPr>
                  <w:tcW w:w="348" w:type="pct"/>
                </w:tcPr>
                <w:p w14:paraId="53B0FC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4E75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733A6892">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22CAA2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氯化物</w:t>
                  </w:r>
                </w:p>
              </w:tc>
              <w:tc>
                <w:tcPr>
                  <w:tcW w:w="519" w:type="pct"/>
                  <w:vAlign w:val="center"/>
                </w:tcPr>
                <w:p w14:paraId="52D44C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2.26</w:t>
                  </w:r>
                </w:p>
              </w:tc>
              <w:tc>
                <w:tcPr>
                  <w:tcW w:w="519" w:type="pct"/>
                  <w:vAlign w:val="center"/>
                </w:tcPr>
                <w:p w14:paraId="358381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0.618</w:t>
                  </w:r>
                </w:p>
              </w:tc>
              <w:tc>
                <w:tcPr>
                  <w:tcW w:w="520" w:type="pct"/>
                  <w:vAlign w:val="center"/>
                </w:tcPr>
                <w:p w14:paraId="111872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1.04</w:t>
                  </w:r>
                </w:p>
              </w:tc>
              <w:tc>
                <w:tcPr>
                  <w:tcW w:w="289" w:type="pct"/>
                  <w:vAlign w:val="center"/>
                </w:tcPr>
                <w:p w14:paraId="71E462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250</w:t>
                  </w:r>
                </w:p>
              </w:tc>
              <w:tc>
                <w:tcPr>
                  <w:tcW w:w="598" w:type="pct"/>
                  <w:vAlign w:val="center"/>
                </w:tcPr>
                <w:p w14:paraId="61AE88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348" w:type="pct"/>
                  <w:vAlign w:val="center"/>
                </w:tcPr>
                <w:p w14:paraId="7FC3A4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0F9DBA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250</w:t>
                  </w:r>
                </w:p>
              </w:tc>
              <w:tc>
                <w:tcPr>
                  <w:tcW w:w="598" w:type="pct"/>
                  <w:vAlign w:val="center"/>
                </w:tcPr>
                <w:p w14:paraId="30FA68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0.01</w:t>
                  </w:r>
                </w:p>
              </w:tc>
              <w:tc>
                <w:tcPr>
                  <w:tcW w:w="348" w:type="pct"/>
                </w:tcPr>
                <w:p w14:paraId="118C4D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568C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4" w:type="pct"/>
                  <w:vMerge w:val="continue"/>
                  <w:vAlign w:val="center"/>
                </w:tcPr>
                <w:p w14:paraId="0507CDF1">
                  <w:pPr>
                    <w:pStyle w:val="84"/>
                    <w:keepNext w:val="0"/>
                    <w:keepLines w:val="0"/>
                    <w:pageBreakBefore w:val="0"/>
                    <w:widowControl w:val="0"/>
                    <w:kinsoku/>
                    <w:wordWrap/>
                    <w:overflowPunct/>
                    <w:topLinePunct w:val="0"/>
                    <w:autoSpaceDE/>
                    <w:autoSpaceDN/>
                    <w:bidi w:val="0"/>
                    <w:adjustRightInd w:val="0"/>
                    <w:snapToGrid w:val="0"/>
                    <w:spacing w:beforeLines="0" w:afterLines="0"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42" w:type="pct"/>
                  <w:vAlign w:val="center"/>
                </w:tcPr>
                <w:p w14:paraId="177459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硝酸盐</w:t>
                  </w:r>
                </w:p>
              </w:tc>
              <w:tc>
                <w:tcPr>
                  <w:tcW w:w="519" w:type="pct"/>
                  <w:vAlign w:val="center"/>
                </w:tcPr>
                <w:p w14:paraId="65AA24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0.370</w:t>
                  </w:r>
                </w:p>
              </w:tc>
              <w:tc>
                <w:tcPr>
                  <w:tcW w:w="519" w:type="pct"/>
                  <w:vAlign w:val="center"/>
                </w:tcPr>
                <w:p w14:paraId="4B5288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0.205</w:t>
                  </w:r>
                </w:p>
              </w:tc>
              <w:tc>
                <w:tcPr>
                  <w:tcW w:w="520" w:type="pct"/>
                  <w:vAlign w:val="center"/>
                </w:tcPr>
                <w:p w14:paraId="383F90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0.621</w:t>
                  </w:r>
                </w:p>
              </w:tc>
              <w:tc>
                <w:tcPr>
                  <w:tcW w:w="289" w:type="pct"/>
                  <w:vAlign w:val="center"/>
                </w:tcPr>
                <w:p w14:paraId="799FE9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bottom"/>
                </w:tcPr>
                <w:p w14:paraId="06D309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0.06</w:t>
                  </w:r>
                </w:p>
              </w:tc>
              <w:tc>
                <w:tcPr>
                  <w:tcW w:w="348" w:type="pct"/>
                  <w:vAlign w:val="center"/>
                </w:tcPr>
                <w:p w14:paraId="692613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达标</w:t>
                  </w:r>
                </w:p>
              </w:tc>
              <w:tc>
                <w:tcPr>
                  <w:tcW w:w="329" w:type="pct"/>
                  <w:vAlign w:val="center"/>
                </w:tcPr>
                <w:p w14:paraId="74D35C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w:t>
                  </w:r>
                </w:p>
              </w:tc>
              <w:tc>
                <w:tcPr>
                  <w:tcW w:w="598" w:type="pct"/>
                  <w:vAlign w:val="center"/>
                </w:tcPr>
                <w:p w14:paraId="6B8D5B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0.06</w:t>
                  </w:r>
                </w:p>
              </w:tc>
              <w:tc>
                <w:tcPr>
                  <w:tcW w:w="348" w:type="pct"/>
                </w:tcPr>
                <w:p w14:paraId="290597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达标</w:t>
                  </w:r>
                </w:p>
              </w:tc>
            </w:tr>
            <w:tr w14:paraId="360E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000" w:type="pct"/>
                  <w:gridSpan w:val="11"/>
                  <w:vAlign w:val="center"/>
                </w:tcPr>
                <w:p w14:paraId="478E382F">
                  <w:pPr>
                    <w:spacing w:line="276"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注：检测值中“＜”表示低于该检出限，低于检出限的水质因子不计算最大指标数。</w:t>
                  </w:r>
                </w:p>
              </w:tc>
            </w:tr>
          </w:tbl>
          <w:p w14:paraId="47C3144A">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根据监测结果分析，</w:t>
            </w:r>
            <w:r>
              <w:rPr>
                <w:rFonts w:hint="eastAsia" w:ascii="Times New Roman" w:hAnsi="Times New Roman" w:cs="Times New Roman"/>
                <w:color w:val="000000" w:themeColor="text1"/>
                <w:sz w:val="24"/>
                <w:lang w:val="en-US" w:eastAsia="zh-CN"/>
                <w14:textFill>
                  <w14:solidFill>
                    <w14:schemeClr w14:val="tx1"/>
                  </w14:solidFill>
                </w14:textFill>
              </w:rPr>
              <w:t>五里沟</w:t>
            </w:r>
            <w:r>
              <w:rPr>
                <w:rFonts w:hint="default" w:ascii="Times New Roman" w:hAnsi="Times New Roman" w:eastAsia="宋体" w:cs="Times New Roman"/>
                <w:color w:val="000000" w:themeColor="text1"/>
                <w:sz w:val="24"/>
                <w14:textFill>
                  <w14:solidFill>
                    <w14:schemeClr w14:val="tx1"/>
                  </w14:solidFill>
                </w14:textFill>
              </w:rPr>
              <w:t>地表水水质监测结果均满足《地表水环境质量标准》（GB3838-2002）Ⅲ类水质标准要求。因此项目所在区域地表水环境质量现状较好。</w:t>
            </w:r>
          </w:p>
          <w:p w14:paraId="0B872B57">
            <w:pPr>
              <w:pStyle w:val="3"/>
              <w:rPr>
                <w:rFonts w:hint="default" w:ascii="Times New Roman" w:hAnsi="Times New Roman" w:eastAsia="宋体" w:cs="Times New Roman"/>
                <w:color w:val="000000" w:themeColor="text1"/>
                <w14:textFill>
                  <w14:solidFill>
                    <w14:schemeClr w14:val="tx1"/>
                  </w14:solidFill>
                </w14:textFill>
              </w:rPr>
            </w:pPr>
          </w:p>
          <w:p w14:paraId="5CC60503">
            <w:pPr>
              <w:rPr>
                <w:rFonts w:hint="default" w:ascii="Times New Roman" w:hAnsi="Times New Roman" w:eastAsia="宋体" w:cs="Times New Roman"/>
                <w:color w:val="000000" w:themeColor="text1"/>
                <w14:textFill>
                  <w14:solidFill>
                    <w14:schemeClr w14:val="tx1"/>
                  </w14:solidFill>
                </w14:textFill>
              </w:rPr>
            </w:pPr>
          </w:p>
          <w:p w14:paraId="2CE26059">
            <w:pPr>
              <w:pStyle w:val="3"/>
              <w:rPr>
                <w:rFonts w:hint="default" w:ascii="Times New Roman" w:hAnsi="Times New Roman" w:eastAsia="宋体" w:cs="Times New Roman"/>
                <w:color w:val="000000" w:themeColor="text1"/>
                <w14:textFill>
                  <w14:solidFill>
                    <w14:schemeClr w14:val="tx1"/>
                  </w14:solidFill>
                </w14:textFill>
              </w:rPr>
            </w:pPr>
          </w:p>
          <w:p w14:paraId="556858C0">
            <w:pPr>
              <w:rPr>
                <w:rFonts w:hint="default" w:ascii="Times New Roman" w:hAnsi="Times New Roman" w:eastAsia="宋体" w:cs="Times New Roman"/>
                <w:color w:val="000000" w:themeColor="text1"/>
                <w14:textFill>
                  <w14:solidFill>
                    <w14:schemeClr w14:val="tx1"/>
                  </w14:solidFill>
                </w14:textFill>
              </w:rPr>
            </w:pPr>
          </w:p>
          <w:p w14:paraId="40101A34">
            <w:pPr>
              <w:pStyle w:val="3"/>
              <w:rPr>
                <w:rFonts w:hint="default" w:ascii="Times New Roman" w:hAnsi="Times New Roman" w:eastAsia="宋体" w:cs="Times New Roman"/>
                <w:color w:val="000000" w:themeColor="text1"/>
                <w14:textFill>
                  <w14:solidFill>
                    <w14:schemeClr w14:val="tx1"/>
                  </w14:solidFill>
                </w14:textFill>
              </w:rPr>
            </w:pPr>
          </w:p>
          <w:p w14:paraId="17249DA0">
            <w:pPr>
              <w:rPr>
                <w:rFonts w:hint="default" w:ascii="Times New Roman" w:hAnsi="Times New Roman" w:eastAsia="宋体" w:cs="Times New Roman"/>
                <w:color w:val="000000" w:themeColor="text1"/>
                <w14:textFill>
                  <w14:solidFill>
                    <w14:schemeClr w14:val="tx1"/>
                  </w14:solidFill>
                </w14:textFill>
              </w:rPr>
            </w:pPr>
          </w:p>
          <w:p w14:paraId="438758AE">
            <w:pPr>
              <w:pStyle w:val="3"/>
              <w:rPr>
                <w:rFonts w:hint="default" w:ascii="Times New Roman" w:hAnsi="Times New Roman" w:eastAsia="宋体" w:cs="Times New Roman"/>
                <w:color w:val="000000" w:themeColor="text1"/>
                <w14:textFill>
                  <w14:solidFill>
                    <w14:schemeClr w14:val="tx1"/>
                  </w14:solidFill>
                </w14:textFill>
              </w:rPr>
            </w:pPr>
          </w:p>
          <w:p w14:paraId="5A7FDFAB">
            <w:pPr>
              <w:rPr>
                <w:rFonts w:hint="default" w:ascii="Times New Roman" w:hAnsi="Times New Roman" w:eastAsia="宋体" w:cs="Times New Roman"/>
                <w:color w:val="000000" w:themeColor="text1"/>
                <w14:textFill>
                  <w14:solidFill>
                    <w14:schemeClr w14:val="tx1"/>
                  </w14:solidFill>
                </w14:textFill>
              </w:rPr>
            </w:pPr>
          </w:p>
          <w:p w14:paraId="350A291C">
            <w:pPr>
              <w:pStyle w:val="3"/>
              <w:rPr>
                <w:rFonts w:hint="default" w:ascii="Times New Roman" w:hAnsi="Times New Roman" w:eastAsia="宋体" w:cs="Times New Roman"/>
                <w:color w:val="000000" w:themeColor="text1"/>
                <w14:textFill>
                  <w14:solidFill>
                    <w14:schemeClr w14:val="tx1"/>
                  </w14:solidFill>
                </w14:textFill>
              </w:rPr>
            </w:pPr>
          </w:p>
          <w:p w14:paraId="2E8F76D6">
            <w:pPr>
              <w:rPr>
                <w:rFonts w:hint="default" w:ascii="Times New Roman" w:hAnsi="Times New Roman" w:eastAsia="宋体" w:cs="Times New Roman"/>
                <w:color w:val="000000" w:themeColor="text1"/>
                <w14:textFill>
                  <w14:solidFill>
                    <w14:schemeClr w14:val="tx1"/>
                  </w14:solidFill>
                </w14:textFill>
              </w:rPr>
            </w:pPr>
          </w:p>
        </w:tc>
      </w:tr>
    </w:tbl>
    <w:p w14:paraId="7E50ADE7">
      <w:pPr>
        <w:spacing w:line="360" w:lineRule="auto"/>
        <w:rPr>
          <w:rFonts w:hint="default" w:ascii="Times New Roman" w:hAnsi="Times New Roman" w:eastAsia="宋体" w:cs="Times New Roman"/>
          <w:snapToGrid w:val="0"/>
          <w:color w:val="000000" w:themeColor="text1"/>
          <w:kern w:val="21"/>
          <w:sz w:val="36"/>
          <w:szCs w:val="36"/>
          <w14:textFill>
            <w14:solidFill>
              <w14:schemeClr w14:val="tx1"/>
            </w14:solidFill>
          </w14:textFill>
        </w:rPr>
        <w:sectPr>
          <w:pgSz w:w="16840" w:h="11907" w:orient="landscape"/>
          <w:pgMar w:top="1644" w:right="1418" w:bottom="1531" w:left="1418" w:header="851" w:footer="851" w:gutter="0"/>
          <w:pgBorders>
            <w:top w:val="none" w:sz="0" w:space="0"/>
            <w:left w:val="none" w:sz="0" w:space="0"/>
            <w:bottom w:val="none" w:sz="0" w:space="0"/>
            <w:right w:val="none" w:sz="0" w:space="0"/>
          </w:pgBorders>
          <w:cols w:space="720" w:num="1"/>
          <w:docGrid w:type="lines" w:linePitch="312" w:charSpace="0"/>
        </w:sectPr>
      </w:pPr>
    </w:p>
    <w:tbl>
      <w:tblPr>
        <w:tblStyle w:val="5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
        <w:gridCol w:w="8312"/>
      </w:tblGrid>
      <w:tr w14:paraId="0BB2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3AACF2AE">
            <w:pPr>
              <w:spacing w:line="360" w:lineRule="auto"/>
              <w:rPr>
                <w:rFonts w:hint="default" w:ascii="Times New Roman" w:hAnsi="Times New Roman" w:eastAsia="宋体" w:cs="Times New Roman"/>
                <w:snapToGrid w:val="0"/>
                <w:color w:val="000000" w:themeColor="text1"/>
                <w:kern w:val="21"/>
                <w:sz w:val="36"/>
                <w:szCs w:val="36"/>
                <w14:textFill>
                  <w14:solidFill>
                    <w14:schemeClr w14:val="tx1"/>
                  </w14:solidFill>
                </w14:textFill>
              </w:rPr>
            </w:pPr>
          </w:p>
        </w:tc>
        <w:tc>
          <w:tcPr>
            <w:tcW w:w="4754" w:type="pct"/>
            <w:vAlign w:val="center"/>
          </w:tcPr>
          <w:p w14:paraId="07E67F7B">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szCs w:val="28"/>
                <w14:textFill>
                  <w14:solidFill>
                    <w14:schemeClr w14:val="tx1"/>
                  </w14:solidFill>
                </w14:textFill>
              </w:rPr>
            </w:pPr>
            <w:r>
              <w:rPr>
                <w:rFonts w:hint="default" w:ascii="Times New Roman" w:hAnsi="Times New Roman" w:eastAsia="宋体" w:cs="Times New Roman"/>
                <w:b/>
                <w:bCs/>
                <w:color w:val="000000" w:themeColor="text1"/>
                <w:sz w:val="24"/>
                <w:szCs w:val="28"/>
                <w14:textFill>
                  <w14:solidFill>
                    <w14:schemeClr w14:val="tx1"/>
                  </w14:solidFill>
                </w14:textFill>
              </w:rPr>
              <w:t>3、声环境质量现状评价</w:t>
            </w:r>
          </w:p>
          <w:p w14:paraId="30B558DE">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根据《建设项目环境影响报告表编制技术指南（污染影响类）》（试行）可知：</w:t>
            </w:r>
            <w:r>
              <w:rPr>
                <w:rFonts w:hint="default" w:ascii="Times New Roman" w:hAnsi="Times New Roman" w:eastAsia="宋体" w:cs="Times New Roman"/>
                <w:i/>
                <w:iCs/>
                <w:color w:val="000000" w:themeColor="text1"/>
                <w:sz w:val="24"/>
                <w14:textFill>
                  <w14:solidFill>
                    <w14:schemeClr w14:val="tx1"/>
                  </w14:solidFill>
                </w14:textFill>
              </w:rPr>
              <w:t>厂界外周边50米范围内存在声环境保护目标，声环境质量现状应监测保护目标并评价达标情况</w:t>
            </w:r>
            <w:r>
              <w:rPr>
                <w:rFonts w:hint="default" w:ascii="Times New Roman" w:hAnsi="Times New Roman" w:eastAsia="宋体" w:cs="Times New Roman"/>
                <w:color w:val="000000" w:themeColor="text1"/>
                <w:sz w:val="24"/>
                <w14:textFill>
                  <w14:solidFill>
                    <w14:schemeClr w14:val="tx1"/>
                  </w14:solidFill>
                </w14:textFill>
              </w:rPr>
              <w:t>。本项目厂界外50m范围内存在声环境保护目标，故为了解项目所在地的声环境质量现状，本次委托</w:t>
            </w:r>
            <w:r>
              <w:rPr>
                <w:rFonts w:hint="default" w:ascii="Times New Roman" w:hAnsi="Times New Roman" w:eastAsia="宋体" w:cs="Times New Roman"/>
                <w:color w:val="000000" w:themeColor="text1"/>
                <w:sz w:val="24"/>
                <w:lang w:eastAsia="zh-CN"/>
                <w14:textFill>
                  <w14:solidFill>
                    <w14:schemeClr w14:val="tx1"/>
                  </w14:solidFill>
                </w14:textFill>
              </w:rPr>
              <w:t>四川山水蓝环境科技有限公司</w:t>
            </w:r>
            <w:r>
              <w:rPr>
                <w:rFonts w:hint="default" w:ascii="Times New Roman" w:hAnsi="Times New Roman" w:eastAsia="宋体" w:cs="Times New Roman"/>
                <w:color w:val="000000" w:themeColor="text1"/>
                <w:sz w:val="24"/>
                <w14:textFill>
                  <w14:solidFill>
                    <w14:schemeClr w14:val="tx1"/>
                  </w14:solidFill>
                </w14:textFill>
              </w:rPr>
              <w:t>，于202</w:t>
            </w:r>
            <w:r>
              <w:rPr>
                <w:rFonts w:hint="default" w:ascii="Times New Roman" w:hAnsi="Times New Roman" w:eastAsia="宋体" w:cs="Times New Roman"/>
                <w:color w:val="000000" w:themeColor="text1"/>
                <w:sz w:val="24"/>
                <w:lang w:val="en-US" w:eastAsia="zh-CN"/>
                <w14:textFill>
                  <w14:solidFill>
                    <w14:schemeClr w14:val="tx1"/>
                  </w14:solidFill>
                </w14:textFill>
              </w:rPr>
              <w:t>6</w:t>
            </w:r>
            <w:r>
              <w:rPr>
                <w:rFonts w:hint="default" w:ascii="Times New Roman" w:hAnsi="Times New Roman" w:eastAsia="宋体" w:cs="Times New Roman"/>
                <w:color w:val="000000" w:themeColor="text1"/>
                <w:sz w:val="24"/>
                <w14:textFill>
                  <w14:solidFill>
                    <w14:schemeClr w14:val="tx1"/>
                  </w14:solidFill>
                </w14:textFill>
              </w:rPr>
              <w:t>年</w:t>
            </w:r>
            <w:r>
              <w:rPr>
                <w:rFonts w:hint="default" w:ascii="Times New Roman" w:hAnsi="Times New Roman" w:eastAsia="宋体" w:cs="Times New Roman"/>
                <w:color w:val="000000" w:themeColor="text1"/>
                <w:sz w:val="24"/>
                <w:lang w:val="en-US" w:eastAsia="zh-CN"/>
                <w14:textFill>
                  <w14:solidFill>
                    <w14:schemeClr w14:val="tx1"/>
                  </w14:solidFill>
                </w14:textFill>
              </w:rPr>
              <w:t>6</w:t>
            </w:r>
            <w:r>
              <w:rPr>
                <w:rFonts w:hint="default" w:ascii="Times New Roman" w:hAnsi="Times New Roman" w:eastAsia="宋体" w:cs="Times New Roman"/>
                <w:color w:val="000000" w:themeColor="text1"/>
                <w:sz w:val="24"/>
                <w14:textFill>
                  <w14:solidFill>
                    <w14:schemeClr w14:val="tx1"/>
                  </w14:solidFill>
                </w14:textFill>
              </w:rPr>
              <w:t>月</w:t>
            </w:r>
            <w:r>
              <w:rPr>
                <w:rFonts w:hint="default" w:ascii="Times New Roman" w:hAnsi="Times New Roman" w:eastAsia="宋体" w:cs="Times New Roman"/>
                <w:color w:val="000000" w:themeColor="text1"/>
                <w:sz w:val="24"/>
                <w:lang w:val="en-US"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日</w:t>
            </w:r>
            <w:r>
              <w:rPr>
                <w:rFonts w:hint="default" w:ascii="Times New Roman" w:hAnsi="Times New Roman" w:eastAsia="宋体" w:cs="Times New Roman"/>
                <w:color w:val="000000" w:themeColor="text1"/>
                <w:sz w:val="24"/>
                <w:lang w:val="en-US" w:eastAsia="zh-CN"/>
                <w14:textFill>
                  <w14:solidFill>
                    <w14:schemeClr w14:val="tx1"/>
                  </w14:solidFill>
                </w14:textFill>
              </w:rPr>
              <w:t>~2026年6月5日</w:t>
            </w:r>
            <w:r>
              <w:rPr>
                <w:rFonts w:hint="default" w:ascii="Times New Roman" w:hAnsi="Times New Roman" w:eastAsia="宋体" w:cs="Times New Roman"/>
                <w:color w:val="000000" w:themeColor="text1"/>
                <w:sz w:val="24"/>
                <w14:textFill>
                  <w14:solidFill>
                    <w14:schemeClr w14:val="tx1"/>
                  </w14:solidFill>
                </w14:textFill>
              </w:rPr>
              <w:t>对项目地声环境质量进行了监测。</w:t>
            </w:r>
          </w:p>
          <w:p w14:paraId="381F058E">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①监测内容</w:t>
            </w:r>
          </w:p>
          <w:p w14:paraId="1924E850">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lang w:bidi="ar"/>
                <w14:textFill>
                  <w14:solidFill>
                    <w14:schemeClr w14:val="tx1"/>
                  </w14:solidFill>
                </w14:textFill>
              </w:rPr>
            </w:pPr>
            <w:r>
              <w:rPr>
                <w:rFonts w:hint="default" w:ascii="Times New Roman" w:hAnsi="Times New Roman" w:eastAsia="宋体" w:cs="Times New Roman"/>
                <w:bCs/>
                <w:color w:val="000000" w:themeColor="text1"/>
                <w:sz w:val="24"/>
                <w:lang w:bidi="ar"/>
                <w14:textFill>
                  <w14:solidFill>
                    <w14:schemeClr w14:val="tx1"/>
                  </w14:solidFill>
                </w14:textFill>
              </w:rPr>
              <w:t>检测相关内容见下表。</w:t>
            </w:r>
          </w:p>
          <w:p w14:paraId="37F102BB">
            <w:pPr>
              <w:pStyle w:val="155"/>
              <w:numPr>
                <w:ilvl w:val="0"/>
                <w:numId w:val="19"/>
              </w:numPr>
              <w:spacing w:line="240" w:lineRule="auto"/>
              <w:ind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声环境质量现状监测结果单位：dB（A）</w:t>
            </w:r>
          </w:p>
          <w:tbl>
            <w:tblPr>
              <w:tblStyle w:val="5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084"/>
              <w:gridCol w:w="1315"/>
              <w:gridCol w:w="2998"/>
              <w:gridCol w:w="1129"/>
              <w:gridCol w:w="1557"/>
            </w:tblGrid>
            <w:tr w14:paraId="0CBB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12" w:hRule="atLeast"/>
                <w:jc w:val="center"/>
              </w:trPr>
              <w:tc>
                <w:tcPr>
                  <w:tcW w:w="670" w:type="pct"/>
                  <w:vMerge w:val="restart"/>
                  <w:vAlign w:val="center"/>
                </w:tcPr>
                <w:p w14:paraId="34028638">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样品类型</w:t>
                  </w:r>
                </w:p>
              </w:tc>
              <w:tc>
                <w:tcPr>
                  <w:tcW w:w="813" w:type="pct"/>
                  <w:vMerge w:val="restart"/>
                  <w:vAlign w:val="center"/>
                </w:tcPr>
                <w:p w14:paraId="5FE3D45B">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点位名称</w:t>
                  </w:r>
                </w:p>
              </w:tc>
              <w:tc>
                <w:tcPr>
                  <w:tcW w:w="1854" w:type="pct"/>
                  <w:vMerge w:val="restart"/>
                  <w:vAlign w:val="center"/>
                </w:tcPr>
                <w:p w14:paraId="425681DF">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采样位置</w:t>
                  </w:r>
                </w:p>
              </w:tc>
              <w:tc>
                <w:tcPr>
                  <w:tcW w:w="698" w:type="pct"/>
                  <w:vMerge w:val="restart"/>
                  <w:vAlign w:val="center"/>
                </w:tcPr>
                <w:p w14:paraId="0C16F00B">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监测指标</w:t>
                  </w:r>
                </w:p>
              </w:tc>
              <w:tc>
                <w:tcPr>
                  <w:tcW w:w="963" w:type="pct"/>
                  <w:vMerge w:val="restart"/>
                  <w:vAlign w:val="center"/>
                </w:tcPr>
                <w:p w14:paraId="670382BA">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监测频次</w:t>
                  </w:r>
                </w:p>
              </w:tc>
            </w:tr>
            <w:tr w14:paraId="0492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12" w:hRule="atLeast"/>
                <w:jc w:val="center"/>
              </w:trPr>
              <w:tc>
                <w:tcPr>
                  <w:tcW w:w="670" w:type="pct"/>
                  <w:vMerge w:val="continue"/>
                  <w:vAlign w:val="center"/>
                </w:tcPr>
                <w:p w14:paraId="7D9F97B7">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813" w:type="pct"/>
                  <w:vMerge w:val="continue"/>
                  <w:vAlign w:val="center"/>
                </w:tcPr>
                <w:p w14:paraId="6E8C40B6">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1854" w:type="pct"/>
                  <w:vMerge w:val="continue"/>
                  <w:vAlign w:val="center"/>
                </w:tcPr>
                <w:p w14:paraId="159B826D">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698" w:type="pct"/>
                  <w:vMerge w:val="continue"/>
                  <w:vAlign w:val="center"/>
                </w:tcPr>
                <w:p w14:paraId="13830A8D">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963" w:type="pct"/>
                  <w:vMerge w:val="continue"/>
                  <w:vAlign w:val="center"/>
                </w:tcPr>
                <w:p w14:paraId="253886A9">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p>
              </w:tc>
            </w:tr>
            <w:tr w14:paraId="31FC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670" w:type="pct"/>
                  <w:vMerge w:val="restart"/>
                  <w:vAlign w:val="center"/>
                </w:tcPr>
                <w:p w14:paraId="0DEF0122">
                  <w:pPr>
                    <w:overflowPunct w:val="0"/>
                    <w:adjustRightInd w:val="0"/>
                    <w:spacing w:line="240" w:lineRule="auto"/>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噪声</w:t>
                  </w:r>
                </w:p>
              </w:tc>
              <w:tc>
                <w:tcPr>
                  <w:tcW w:w="813" w:type="pct"/>
                  <w:vAlign w:val="center"/>
                </w:tcPr>
                <w:p w14:paraId="250B204A">
                  <w:pPr>
                    <w:pStyle w:val="439"/>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N1</w:t>
                  </w:r>
                </w:p>
              </w:tc>
              <w:tc>
                <w:tcPr>
                  <w:tcW w:w="1854" w:type="pct"/>
                  <w:vAlign w:val="center"/>
                </w:tcPr>
                <w:p w14:paraId="36E26D6E">
                  <w:pPr>
                    <w:pStyle w:val="439"/>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建筑物外</w:t>
                  </w:r>
                  <w:r>
                    <w:rPr>
                      <w:rFonts w:hint="default" w:ascii="Times New Roman" w:hAnsi="Times New Roman" w:eastAsia="宋体" w:cs="Times New Roman"/>
                      <w:color w:val="000000" w:themeColor="text1"/>
                      <w:sz w:val="21"/>
                      <w:szCs w:val="21"/>
                      <w14:textFill>
                        <w14:solidFill>
                          <w14:schemeClr w14:val="tx1"/>
                        </w14:solidFill>
                      </w14:textFill>
                    </w:rPr>
                    <w:t>1m处</w:t>
                  </w:r>
                </w:p>
              </w:tc>
              <w:tc>
                <w:tcPr>
                  <w:tcW w:w="698" w:type="pct"/>
                  <w:vMerge w:val="restart"/>
                  <w:vAlign w:val="center"/>
                </w:tcPr>
                <w:p w14:paraId="4CBE07B6">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声环境噪声</w:t>
                  </w:r>
                </w:p>
              </w:tc>
              <w:tc>
                <w:tcPr>
                  <w:tcW w:w="963" w:type="pct"/>
                  <w:vMerge w:val="restart"/>
                  <w:vAlign w:val="center"/>
                </w:tcPr>
                <w:p w14:paraId="313AA5F0">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连续监测两天，昼、夜间分别监测1次，</w:t>
                  </w:r>
                </w:p>
              </w:tc>
            </w:tr>
            <w:tr w14:paraId="1E64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670" w:type="pct"/>
                  <w:vMerge w:val="continue"/>
                  <w:vAlign w:val="center"/>
                </w:tcPr>
                <w:p w14:paraId="4678F190">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3" w:type="pct"/>
                  <w:vAlign w:val="center"/>
                </w:tcPr>
                <w:p w14:paraId="28D7FCCD">
                  <w:pPr>
                    <w:pStyle w:val="439"/>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N2</w:t>
                  </w:r>
                </w:p>
              </w:tc>
              <w:tc>
                <w:tcPr>
                  <w:tcW w:w="1854" w:type="pct"/>
                  <w:vAlign w:val="center"/>
                </w:tcPr>
                <w:p w14:paraId="010A1600">
                  <w:pPr>
                    <w:pStyle w:val="439"/>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居民楼外1m处</w:t>
                  </w:r>
                </w:p>
              </w:tc>
              <w:tc>
                <w:tcPr>
                  <w:tcW w:w="698" w:type="pct"/>
                  <w:vMerge w:val="continue"/>
                  <w:vAlign w:val="center"/>
                </w:tcPr>
                <w:p w14:paraId="10E79833">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63" w:type="pct"/>
                  <w:vMerge w:val="continue"/>
                  <w:vAlign w:val="center"/>
                </w:tcPr>
                <w:p w14:paraId="1FC68836">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76B4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670" w:type="pct"/>
                  <w:vMerge w:val="continue"/>
                  <w:vAlign w:val="center"/>
                </w:tcPr>
                <w:p w14:paraId="0A305609">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3" w:type="pct"/>
                  <w:vAlign w:val="center"/>
                </w:tcPr>
                <w:p w14:paraId="7B613E87">
                  <w:pPr>
                    <w:pStyle w:val="439"/>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N3</w:t>
                  </w:r>
                </w:p>
              </w:tc>
              <w:tc>
                <w:tcPr>
                  <w:tcW w:w="1854" w:type="pct"/>
                  <w:vAlign w:val="center"/>
                </w:tcPr>
                <w:p w14:paraId="5CA8C823">
                  <w:pPr>
                    <w:pStyle w:val="439"/>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居民楼外1m处</w:t>
                  </w:r>
                </w:p>
              </w:tc>
              <w:tc>
                <w:tcPr>
                  <w:tcW w:w="698" w:type="pct"/>
                  <w:vMerge w:val="continue"/>
                  <w:vAlign w:val="center"/>
                </w:tcPr>
                <w:p w14:paraId="55127660">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63" w:type="pct"/>
                  <w:vMerge w:val="continue"/>
                  <w:vAlign w:val="center"/>
                </w:tcPr>
                <w:p w14:paraId="40542248">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6009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670" w:type="pct"/>
                  <w:vMerge w:val="continue"/>
                  <w:vAlign w:val="center"/>
                </w:tcPr>
                <w:p w14:paraId="72E76883">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3" w:type="pct"/>
                  <w:vAlign w:val="center"/>
                </w:tcPr>
                <w:p w14:paraId="32A15DCE">
                  <w:pPr>
                    <w:pStyle w:val="439"/>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N4</w:t>
                  </w:r>
                </w:p>
              </w:tc>
              <w:tc>
                <w:tcPr>
                  <w:tcW w:w="1854" w:type="pct"/>
                  <w:vAlign w:val="center"/>
                </w:tcPr>
                <w:p w14:paraId="7398772F">
                  <w:pPr>
                    <w:pStyle w:val="439"/>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居民楼外1m处</w:t>
                  </w:r>
                </w:p>
              </w:tc>
              <w:tc>
                <w:tcPr>
                  <w:tcW w:w="698" w:type="pct"/>
                  <w:vMerge w:val="continue"/>
                  <w:vAlign w:val="center"/>
                </w:tcPr>
                <w:p w14:paraId="6D57CF55">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63" w:type="pct"/>
                  <w:vMerge w:val="continue"/>
                  <w:vAlign w:val="center"/>
                </w:tcPr>
                <w:p w14:paraId="5CB9D40F">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2EF9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670" w:type="pct"/>
                  <w:vMerge w:val="continue"/>
                  <w:vAlign w:val="center"/>
                </w:tcPr>
                <w:p w14:paraId="5B50538D">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3" w:type="pct"/>
                  <w:vAlign w:val="center"/>
                </w:tcPr>
                <w:p w14:paraId="33A2249C">
                  <w:pPr>
                    <w:pStyle w:val="439"/>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N5</w:t>
                  </w:r>
                </w:p>
              </w:tc>
              <w:tc>
                <w:tcPr>
                  <w:tcW w:w="1854" w:type="pct"/>
                  <w:vAlign w:val="center"/>
                </w:tcPr>
                <w:p w14:paraId="6E634D16">
                  <w:pPr>
                    <w:pStyle w:val="439"/>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居民楼外1m处</w:t>
                  </w:r>
                </w:p>
              </w:tc>
              <w:tc>
                <w:tcPr>
                  <w:tcW w:w="698" w:type="pct"/>
                  <w:vMerge w:val="continue"/>
                  <w:vAlign w:val="center"/>
                </w:tcPr>
                <w:p w14:paraId="2EC60841">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63" w:type="pct"/>
                  <w:vMerge w:val="continue"/>
                  <w:vAlign w:val="center"/>
                </w:tcPr>
                <w:p w14:paraId="7E376A65">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16AC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670" w:type="pct"/>
                  <w:vMerge w:val="continue"/>
                  <w:vAlign w:val="center"/>
                </w:tcPr>
                <w:p w14:paraId="38C207C0">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3" w:type="pct"/>
                  <w:vAlign w:val="center"/>
                </w:tcPr>
                <w:p w14:paraId="06B02FC3">
                  <w:pPr>
                    <w:pStyle w:val="439"/>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N6</w:t>
                  </w:r>
                </w:p>
              </w:tc>
              <w:tc>
                <w:tcPr>
                  <w:tcW w:w="1854" w:type="pct"/>
                  <w:vAlign w:val="center"/>
                </w:tcPr>
                <w:p w14:paraId="30250B9B">
                  <w:pPr>
                    <w:pStyle w:val="439"/>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居民楼外1m处</w:t>
                  </w:r>
                </w:p>
              </w:tc>
              <w:tc>
                <w:tcPr>
                  <w:tcW w:w="698" w:type="pct"/>
                  <w:vMerge w:val="continue"/>
                  <w:vAlign w:val="center"/>
                </w:tcPr>
                <w:p w14:paraId="0703E171">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63" w:type="pct"/>
                  <w:vMerge w:val="continue"/>
                  <w:vAlign w:val="center"/>
                </w:tcPr>
                <w:p w14:paraId="3AEC4F58">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607A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670" w:type="pct"/>
                  <w:vMerge w:val="continue"/>
                  <w:vAlign w:val="center"/>
                </w:tcPr>
                <w:p w14:paraId="7941E07C">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3" w:type="pct"/>
                  <w:vAlign w:val="center"/>
                </w:tcPr>
                <w:p w14:paraId="6F4DE570">
                  <w:pPr>
                    <w:pStyle w:val="439"/>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N7</w:t>
                  </w:r>
                </w:p>
              </w:tc>
              <w:tc>
                <w:tcPr>
                  <w:tcW w:w="1854" w:type="pct"/>
                  <w:vAlign w:val="center"/>
                </w:tcPr>
                <w:p w14:paraId="1A67E536">
                  <w:pPr>
                    <w:pStyle w:val="439"/>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居民楼外1m处</w:t>
                  </w:r>
                </w:p>
              </w:tc>
              <w:tc>
                <w:tcPr>
                  <w:tcW w:w="698" w:type="pct"/>
                  <w:vMerge w:val="continue"/>
                  <w:vAlign w:val="center"/>
                </w:tcPr>
                <w:p w14:paraId="1C5B2EFC">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63" w:type="pct"/>
                  <w:vMerge w:val="continue"/>
                  <w:vAlign w:val="center"/>
                </w:tcPr>
                <w:p w14:paraId="71262C32">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62DD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3" w:hRule="atLeast"/>
                <w:jc w:val="center"/>
              </w:trPr>
              <w:tc>
                <w:tcPr>
                  <w:tcW w:w="670" w:type="pct"/>
                  <w:vMerge w:val="continue"/>
                  <w:vAlign w:val="center"/>
                </w:tcPr>
                <w:p w14:paraId="547EC7DD">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813" w:type="pct"/>
                  <w:vAlign w:val="center"/>
                </w:tcPr>
                <w:p w14:paraId="1EC63A5C">
                  <w:pPr>
                    <w:pStyle w:val="439"/>
                    <w:spacing w:line="240" w:lineRule="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N8</w:t>
                  </w:r>
                </w:p>
              </w:tc>
              <w:tc>
                <w:tcPr>
                  <w:tcW w:w="1854" w:type="pct"/>
                  <w:vAlign w:val="center"/>
                </w:tcPr>
                <w:p w14:paraId="35B9A36E">
                  <w:pPr>
                    <w:pStyle w:val="439"/>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居民楼外1m处</w:t>
                  </w:r>
                </w:p>
              </w:tc>
              <w:tc>
                <w:tcPr>
                  <w:tcW w:w="698" w:type="pct"/>
                  <w:vMerge w:val="continue"/>
                  <w:vAlign w:val="center"/>
                </w:tcPr>
                <w:p w14:paraId="71B08DA6">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963" w:type="pct"/>
                  <w:vMerge w:val="continue"/>
                  <w:vAlign w:val="center"/>
                </w:tcPr>
                <w:p w14:paraId="1D370594">
                  <w:pPr>
                    <w:overflowPunct w:val="0"/>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bl>
          <w:p w14:paraId="51FC5EF5">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（2）监测结果</w:t>
            </w:r>
          </w:p>
          <w:p w14:paraId="59D3C53A">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声环境质量现状监测及评价结果见下表。</w:t>
            </w:r>
          </w:p>
          <w:p w14:paraId="2C423550">
            <w:pPr>
              <w:pStyle w:val="155"/>
              <w:numPr>
                <w:ilvl w:val="0"/>
                <w:numId w:val="19"/>
              </w:numPr>
              <w:spacing w:line="240" w:lineRule="auto"/>
              <w:ind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声环境质量现状监测结果单位：dB（A）</w:t>
            </w:r>
          </w:p>
          <w:tbl>
            <w:tblPr>
              <w:tblStyle w:val="56"/>
              <w:tblW w:w="4998"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1043"/>
              <w:gridCol w:w="842"/>
              <w:gridCol w:w="960"/>
              <w:gridCol w:w="1863"/>
              <w:gridCol w:w="1124"/>
              <w:gridCol w:w="1124"/>
              <w:gridCol w:w="1132"/>
            </w:tblGrid>
            <w:tr w14:paraId="01B788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Align w:val="center"/>
                </w:tcPr>
                <w:p w14:paraId="3B361805">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检测日期</w:t>
                  </w:r>
                </w:p>
              </w:tc>
              <w:tc>
                <w:tcPr>
                  <w:tcW w:w="523" w:type="pct"/>
                  <w:vAlign w:val="center"/>
                </w:tcPr>
                <w:p w14:paraId="25445E05">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kern w:val="2"/>
                      <w:sz w:val="21"/>
                      <w:szCs w:val="21"/>
                      <w:lang w:eastAsia="zh-CN"/>
                      <w14:textFill>
                        <w14:solidFill>
                          <w14:schemeClr w14:val="tx1"/>
                        </w14:solidFill>
                      </w14:textFill>
                    </w:rPr>
                    <w:t>测点编号</w:t>
                  </w:r>
                </w:p>
              </w:tc>
              <w:tc>
                <w:tcPr>
                  <w:tcW w:w="596" w:type="pct"/>
                  <w:vAlign w:val="center"/>
                </w:tcPr>
                <w:p w14:paraId="4AD7B65D">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检测时段</w:t>
                  </w:r>
                </w:p>
              </w:tc>
              <w:tc>
                <w:tcPr>
                  <w:tcW w:w="1154" w:type="pct"/>
                  <w:vAlign w:val="center"/>
                </w:tcPr>
                <w:p w14:paraId="507BF1BD">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检测时间</w:t>
                  </w:r>
                </w:p>
              </w:tc>
              <w:tc>
                <w:tcPr>
                  <w:tcW w:w="697" w:type="pct"/>
                  <w:vAlign w:val="center"/>
                </w:tcPr>
                <w:p w14:paraId="3DF5C557">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测量结果</w:t>
                  </w:r>
                </w:p>
              </w:tc>
              <w:tc>
                <w:tcPr>
                  <w:tcW w:w="697" w:type="pct"/>
                  <w:vAlign w:val="center"/>
                </w:tcPr>
                <w:p w14:paraId="18A060BE">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参考</w:t>
                  </w:r>
                  <w:r>
                    <w:rPr>
                      <w:rFonts w:hint="default" w:ascii="Times New Roman" w:hAnsi="Times New Roman" w:eastAsia="宋体" w:cs="Times New Roman"/>
                      <w:b/>
                      <w:bCs/>
                      <w:color w:val="000000" w:themeColor="text1"/>
                      <w:sz w:val="21"/>
                      <w:szCs w:val="21"/>
                      <w14:textFill>
                        <w14:solidFill>
                          <w14:schemeClr w14:val="tx1"/>
                        </w14:solidFill>
                      </w14:textFill>
                    </w:rPr>
                    <w:t>限值</w:t>
                  </w:r>
                </w:p>
              </w:tc>
              <w:tc>
                <w:tcPr>
                  <w:tcW w:w="699" w:type="pct"/>
                  <w:vAlign w:val="center"/>
                </w:tcPr>
                <w:p w14:paraId="3C85DAF1">
                  <w:pPr>
                    <w:widowControl/>
                    <w:spacing w:line="240" w:lineRule="exact"/>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达标情况</w:t>
                  </w:r>
                </w:p>
              </w:tc>
            </w:tr>
            <w:tr w14:paraId="237AAA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restart"/>
                  <w:vAlign w:val="center"/>
                </w:tcPr>
                <w:p w14:paraId="4A655722">
                  <w:pPr>
                    <w:widowControl/>
                    <w:spacing w:line="240" w:lineRule="exact"/>
                    <w:jc w:val="cente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pPr>
                  <w: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t>2026.06.02~</w:t>
                  </w:r>
                </w:p>
                <w:p w14:paraId="727F5B22">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t>2026.06.03</w:t>
                  </w:r>
                </w:p>
              </w:tc>
              <w:tc>
                <w:tcPr>
                  <w:tcW w:w="523" w:type="pct"/>
                  <w:vMerge w:val="restart"/>
                  <w:vAlign w:val="center"/>
                </w:tcPr>
                <w:p w14:paraId="1AD82C80">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1#</w:t>
                  </w:r>
                </w:p>
              </w:tc>
              <w:tc>
                <w:tcPr>
                  <w:tcW w:w="596" w:type="pct"/>
                  <w:vAlign w:val="center"/>
                </w:tcPr>
                <w:p w14:paraId="722FFBCB">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35DB9E05">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14</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18</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14</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28</w:t>
                  </w:r>
                </w:p>
              </w:tc>
              <w:tc>
                <w:tcPr>
                  <w:tcW w:w="697" w:type="pct"/>
                  <w:vAlign w:val="center"/>
                </w:tcPr>
                <w:p w14:paraId="454A08A6">
                  <w:pPr>
                    <w:widowControl/>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55.7</w:t>
                  </w:r>
                </w:p>
              </w:tc>
              <w:tc>
                <w:tcPr>
                  <w:tcW w:w="697" w:type="pct"/>
                  <w:vAlign w:val="center"/>
                </w:tcPr>
                <w:p w14:paraId="443A922F">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4CAEA693">
                  <w:pPr>
                    <w:widowControl/>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77C08F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23981237">
                  <w:pPr>
                    <w:widowControl w:val="0"/>
                    <w:spacing w:line="240" w:lineRule="exact"/>
                    <w:jc w:val="cente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pPr>
                </w:p>
              </w:tc>
              <w:tc>
                <w:tcPr>
                  <w:tcW w:w="523" w:type="pct"/>
                  <w:vMerge w:val="continue"/>
                  <w:vAlign w:val="center"/>
                </w:tcPr>
                <w:p w14:paraId="1BFF9323">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36BC604F">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73C7922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10</w:t>
                  </w:r>
                </w:p>
              </w:tc>
              <w:tc>
                <w:tcPr>
                  <w:tcW w:w="697" w:type="pct"/>
                  <w:vAlign w:val="center"/>
                </w:tcPr>
                <w:p w14:paraId="4A400CF6">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41.2</w:t>
                  </w:r>
                </w:p>
              </w:tc>
              <w:tc>
                <w:tcPr>
                  <w:tcW w:w="697" w:type="pct"/>
                  <w:vAlign w:val="center"/>
                </w:tcPr>
                <w:p w14:paraId="163E04D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0DB3A5C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25E4F5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497B577B">
                  <w:pPr>
                    <w:widowControl w:val="0"/>
                    <w:spacing w:line="240" w:lineRule="exact"/>
                    <w:jc w:val="cente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pPr>
                </w:p>
              </w:tc>
              <w:tc>
                <w:tcPr>
                  <w:tcW w:w="523" w:type="pct"/>
                  <w:vMerge w:val="restart"/>
                  <w:vAlign w:val="center"/>
                </w:tcPr>
                <w:p w14:paraId="1BD7DCB5">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2#</w:t>
                  </w:r>
                </w:p>
              </w:tc>
              <w:tc>
                <w:tcPr>
                  <w:tcW w:w="596" w:type="pct"/>
                  <w:vAlign w:val="center"/>
                </w:tcPr>
                <w:p w14:paraId="433AC91F">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41427B0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10</w:t>
                  </w:r>
                </w:p>
              </w:tc>
              <w:tc>
                <w:tcPr>
                  <w:tcW w:w="697" w:type="pct"/>
                  <w:vAlign w:val="center"/>
                </w:tcPr>
                <w:p w14:paraId="2E76DAC4">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58.1</w:t>
                  </w:r>
                </w:p>
              </w:tc>
              <w:tc>
                <w:tcPr>
                  <w:tcW w:w="697" w:type="pct"/>
                  <w:vAlign w:val="center"/>
                </w:tcPr>
                <w:p w14:paraId="20B36A8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6163F6A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59B021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0902D248">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4C49B965">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96" w:type="pct"/>
                  <w:vAlign w:val="center"/>
                </w:tcPr>
                <w:p w14:paraId="435A3C18">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77C04DD7">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24</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34</w:t>
                  </w:r>
                </w:p>
              </w:tc>
              <w:tc>
                <w:tcPr>
                  <w:tcW w:w="697" w:type="pct"/>
                  <w:vAlign w:val="center"/>
                </w:tcPr>
                <w:p w14:paraId="27772B3E">
                  <w:pPr>
                    <w:widowControl/>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43.2</w:t>
                  </w:r>
                </w:p>
              </w:tc>
              <w:tc>
                <w:tcPr>
                  <w:tcW w:w="697" w:type="pct"/>
                  <w:vAlign w:val="center"/>
                </w:tcPr>
                <w:p w14:paraId="21C2A000">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1C8CD70C">
                  <w:pPr>
                    <w:widowControl/>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0E48B4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638B5D80">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748ED4B5">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3#</w:t>
                  </w:r>
                </w:p>
              </w:tc>
              <w:tc>
                <w:tcPr>
                  <w:tcW w:w="596" w:type="pct"/>
                  <w:vAlign w:val="center"/>
                </w:tcPr>
                <w:p w14:paraId="26832276">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0FCDC25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p>
              </w:tc>
              <w:tc>
                <w:tcPr>
                  <w:tcW w:w="697" w:type="pct"/>
                  <w:vAlign w:val="center"/>
                </w:tcPr>
                <w:p w14:paraId="63A5434B">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56.6</w:t>
                  </w:r>
                </w:p>
              </w:tc>
              <w:tc>
                <w:tcPr>
                  <w:tcW w:w="697" w:type="pct"/>
                  <w:vAlign w:val="center"/>
                </w:tcPr>
                <w:p w14:paraId="56137D3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6327DDA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0A4012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5755C80F">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10E8DAFE">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5025F932">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5BD5D27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47</w:t>
                  </w:r>
                </w:p>
              </w:tc>
              <w:tc>
                <w:tcPr>
                  <w:tcW w:w="697" w:type="pct"/>
                  <w:vAlign w:val="center"/>
                </w:tcPr>
                <w:p w14:paraId="34F84798">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43.5</w:t>
                  </w:r>
                </w:p>
              </w:tc>
              <w:tc>
                <w:tcPr>
                  <w:tcW w:w="697" w:type="pct"/>
                  <w:vAlign w:val="center"/>
                </w:tcPr>
                <w:p w14:paraId="33DF71A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3F9D46D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1FCC55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3BD97D74">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21AE8F1A">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4#</w:t>
                  </w:r>
                </w:p>
              </w:tc>
              <w:tc>
                <w:tcPr>
                  <w:tcW w:w="596" w:type="pct"/>
                  <w:vAlign w:val="center"/>
                </w:tcPr>
                <w:p w14:paraId="40B4A89E">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6DB59CD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40</w:t>
                  </w:r>
                </w:p>
              </w:tc>
              <w:tc>
                <w:tcPr>
                  <w:tcW w:w="697" w:type="pct"/>
                  <w:vAlign w:val="center"/>
                </w:tcPr>
                <w:p w14:paraId="6B50114B">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57.8</w:t>
                  </w:r>
                </w:p>
              </w:tc>
              <w:tc>
                <w:tcPr>
                  <w:tcW w:w="697" w:type="pct"/>
                  <w:vAlign w:val="center"/>
                </w:tcPr>
                <w:p w14:paraId="79B454D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304973B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6F6178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32ABC79A">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03153737">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5FF3EB68">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2B9AD7F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53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03</w:t>
                  </w:r>
                </w:p>
              </w:tc>
              <w:tc>
                <w:tcPr>
                  <w:tcW w:w="697" w:type="pct"/>
                  <w:vAlign w:val="center"/>
                </w:tcPr>
                <w:p w14:paraId="6E5CE245">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40.4</w:t>
                  </w:r>
                </w:p>
              </w:tc>
              <w:tc>
                <w:tcPr>
                  <w:tcW w:w="697" w:type="pct"/>
                  <w:vAlign w:val="center"/>
                </w:tcPr>
                <w:p w14:paraId="7C61575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0BE8B53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0292EB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3F492ED3">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75963D8D">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5#</w:t>
                  </w:r>
                </w:p>
              </w:tc>
              <w:tc>
                <w:tcPr>
                  <w:tcW w:w="596" w:type="pct"/>
                  <w:vAlign w:val="center"/>
                </w:tcPr>
                <w:p w14:paraId="1FC42F74">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445D37E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28</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38</w:t>
                  </w:r>
                </w:p>
              </w:tc>
              <w:tc>
                <w:tcPr>
                  <w:tcW w:w="697" w:type="pct"/>
                  <w:vAlign w:val="center"/>
                </w:tcPr>
                <w:p w14:paraId="47366CB0">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58.4</w:t>
                  </w:r>
                </w:p>
              </w:tc>
              <w:tc>
                <w:tcPr>
                  <w:tcW w:w="697" w:type="pct"/>
                  <w:vAlign w:val="center"/>
                </w:tcPr>
                <w:p w14:paraId="0DF478A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26B709B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348136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66A5A8F7">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7C4FE843">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208E5F0F">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10E17AB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53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03（次日）</w:t>
                  </w:r>
                </w:p>
              </w:tc>
              <w:tc>
                <w:tcPr>
                  <w:tcW w:w="697" w:type="pct"/>
                  <w:vAlign w:val="center"/>
                </w:tcPr>
                <w:p w14:paraId="352DCE7E">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45.6</w:t>
                  </w:r>
                </w:p>
              </w:tc>
              <w:tc>
                <w:tcPr>
                  <w:tcW w:w="697" w:type="pct"/>
                  <w:vAlign w:val="center"/>
                </w:tcPr>
                <w:p w14:paraId="395795F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4D18136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0F5FBC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332DC7CE">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7E56E780">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6#</w:t>
                  </w:r>
                </w:p>
              </w:tc>
              <w:tc>
                <w:tcPr>
                  <w:tcW w:w="596" w:type="pct"/>
                  <w:vAlign w:val="center"/>
                </w:tcPr>
                <w:p w14:paraId="66FC0625">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6D84A1F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14</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24</w:t>
                  </w:r>
                </w:p>
              </w:tc>
              <w:tc>
                <w:tcPr>
                  <w:tcW w:w="697" w:type="pct"/>
                  <w:vAlign w:val="center"/>
                </w:tcPr>
                <w:p w14:paraId="1446697C">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57.6</w:t>
                  </w:r>
                </w:p>
              </w:tc>
              <w:tc>
                <w:tcPr>
                  <w:tcW w:w="697" w:type="pct"/>
                  <w:vAlign w:val="center"/>
                </w:tcPr>
                <w:p w14:paraId="6C496B1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1CD82AF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3A3E36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1D843CBC">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751AC878">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1F898B12">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7AA9058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39</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49</w:t>
                  </w:r>
                </w:p>
              </w:tc>
              <w:tc>
                <w:tcPr>
                  <w:tcW w:w="697" w:type="pct"/>
                  <w:vAlign w:val="center"/>
                </w:tcPr>
                <w:p w14:paraId="414623FF">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47.2</w:t>
                  </w:r>
                </w:p>
              </w:tc>
              <w:tc>
                <w:tcPr>
                  <w:tcW w:w="697" w:type="pct"/>
                  <w:vAlign w:val="center"/>
                </w:tcPr>
                <w:p w14:paraId="3ADFD59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7738373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11C29B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7789011B">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5DFC571A">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7#</w:t>
                  </w:r>
                </w:p>
              </w:tc>
              <w:tc>
                <w:tcPr>
                  <w:tcW w:w="596" w:type="pct"/>
                  <w:vAlign w:val="center"/>
                </w:tcPr>
                <w:p w14:paraId="34A668AC">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6F0A5B5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01</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11</w:t>
                  </w:r>
                </w:p>
              </w:tc>
              <w:tc>
                <w:tcPr>
                  <w:tcW w:w="697" w:type="pct"/>
                  <w:vAlign w:val="center"/>
                </w:tcPr>
                <w:p w14:paraId="7B5FC032">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58.0</w:t>
                  </w:r>
                </w:p>
              </w:tc>
              <w:tc>
                <w:tcPr>
                  <w:tcW w:w="697" w:type="pct"/>
                  <w:vAlign w:val="center"/>
                </w:tcPr>
                <w:p w14:paraId="235D2E0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440B9E1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5D4D28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67449E62">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4E7D0120">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2CA0F534">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35EB97C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36</w:t>
                  </w:r>
                </w:p>
              </w:tc>
              <w:tc>
                <w:tcPr>
                  <w:tcW w:w="697" w:type="pct"/>
                  <w:vAlign w:val="center"/>
                </w:tcPr>
                <w:p w14:paraId="2A2B20A9">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45.1</w:t>
                  </w:r>
                </w:p>
              </w:tc>
              <w:tc>
                <w:tcPr>
                  <w:tcW w:w="697" w:type="pct"/>
                  <w:vAlign w:val="center"/>
                </w:tcPr>
                <w:p w14:paraId="5390CC0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78BF717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75B991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41685EBC">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5C071A9A">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8#</w:t>
                  </w:r>
                </w:p>
              </w:tc>
              <w:tc>
                <w:tcPr>
                  <w:tcW w:w="596" w:type="pct"/>
                  <w:vAlign w:val="center"/>
                </w:tcPr>
                <w:p w14:paraId="17946AA7">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33CC40F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48</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58</w:t>
                  </w:r>
                </w:p>
              </w:tc>
              <w:tc>
                <w:tcPr>
                  <w:tcW w:w="697" w:type="pct"/>
                  <w:vAlign w:val="center"/>
                </w:tcPr>
                <w:p w14:paraId="3DE420D6">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57.1</w:t>
                  </w:r>
                </w:p>
              </w:tc>
              <w:tc>
                <w:tcPr>
                  <w:tcW w:w="697" w:type="pct"/>
                  <w:vAlign w:val="center"/>
                </w:tcPr>
                <w:p w14:paraId="73CC8FE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27991D5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3AC5E7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4D9A2385">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2D518946">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2C0C01BF">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63ABC28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p>
              </w:tc>
              <w:tc>
                <w:tcPr>
                  <w:tcW w:w="697" w:type="pct"/>
                  <w:vAlign w:val="center"/>
                </w:tcPr>
                <w:p w14:paraId="4F5242C1">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44.3</w:t>
                  </w:r>
                </w:p>
              </w:tc>
              <w:tc>
                <w:tcPr>
                  <w:tcW w:w="697" w:type="pct"/>
                  <w:vAlign w:val="center"/>
                </w:tcPr>
                <w:p w14:paraId="21D7C92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096E0BF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190007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restart"/>
                  <w:vAlign w:val="center"/>
                </w:tcPr>
                <w:p w14:paraId="33575AD0">
                  <w:pPr>
                    <w:widowControl/>
                    <w:spacing w:line="240" w:lineRule="exact"/>
                    <w:jc w:val="cente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pPr>
                  <w: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t>2026.06.03~</w:t>
                  </w:r>
                </w:p>
                <w:p w14:paraId="27D24801">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t>2026.06.04</w:t>
                  </w:r>
                </w:p>
              </w:tc>
              <w:tc>
                <w:tcPr>
                  <w:tcW w:w="523" w:type="pct"/>
                  <w:vMerge w:val="restart"/>
                  <w:vAlign w:val="center"/>
                </w:tcPr>
                <w:p w14:paraId="4921244E">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1#</w:t>
                  </w:r>
                </w:p>
              </w:tc>
              <w:tc>
                <w:tcPr>
                  <w:tcW w:w="596" w:type="pct"/>
                  <w:vAlign w:val="center"/>
                </w:tcPr>
                <w:p w14:paraId="177AAB4A">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5809FF6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40</w:t>
                  </w:r>
                </w:p>
              </w:tc>
              <w:tc>
                <w:tcPr>
                  <w:tcW w:w="697" w:type="pct"/>
                  <w:vAlign w:val="center"/>
                </w:tcPr>
                <w:p w14:paraId="12975A13">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51.6</w:t>
                  </w:r>
                </w:p>
              </w:tc>
              <w:tc>
                <w:tcPr>
                  <w:tcW w:w="697" w:type="pct"/>
                  <w:vAlign w:val="center"/>
                </w:tcPr>
                <w:p w14:paraId="53674DF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0CCE999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34DB70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13872D4C">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43E165AC">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39063FA4">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3FC44D5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10</w:t>
                  </w:r>
                </w:p>
              </w:tc>
              <w:tc>
                <w:tcPr>
                  <w:tcW w:w="697" w:type="pct"/>
                  <w:vAlign w:val="center"/>
                </w:tcPr>
                <w:p w14:paraId="68D80FD8">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42.6</w:t>
                  </w:r>
                </w:p>
              </w:tc>
              <w:tc>
                <w:tcPr>
                  <w:tcW w:w="697" w:type="pct"/>
                  <w:vAlign w:val="center"/>
                </w:tcPr>
                <w:p w14:paraId="43E4BA5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68A9FAC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62BAB4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671284EC">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4C8244E6">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2#</w:t>
                  </w:r>
                </w:p>
              </w:tc>
              <w:tc>
                <w:tcPr>
                  <w:tcW w:w="596" w:type="pct"/>
                  <w:vAlign w:val="center"/>
                </w:tcPr>
                <w:p w14:paraId="3C9A0C5D">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7CD9195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p>
              </w:tc>
              <w:tc>
                <w:tcPr>
                  <w:tcW w:w="697" w:type="pct"/>
                  <w:vAlign w:val="center"/>
                </w:tcPr>
                <w:p w14:paraId="2FADD202">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56.5</w:t>
                  </w:r>
                </w:p>
              </w:tc>
              <w:tc>
                <w:tcPr>
                  <w:tcW w:w="697" w:type="pct"/>
                  <w:vAlign w:val="center"/>
                </w:tcPr>
                <w:p w14:paraId="3A5E619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22C47D2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56C708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0D424198">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41DB0DE1">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0BB04A48">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051E61F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32</w:t>
                  </w:r>
                </w:p>
              </w:tc>
              <w:tc>
                <w:tcPr>
                  <w:tcW w:w="697" w:type="pct"/>
                  <w:vAlign w:val="center"/>
                </w:tcPr>
                <w:p w14:paraId="79A0B783">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42.4</w:t>
                  </w:r>
                </w:p>
              </w:tc>
              <w:tc>
                <w:tcPr>
                  <w:tcW w:w="697" w:type="pct"/>
                  <w:vAlign w:val="center"/>
                </w:tcPr>
                <w:p w14:paraId="25AD0FA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1DD2041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63AC41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4954A465">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4F33903B">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3#</w:t>
                  </w:r>
                </w:p>
              </w:tc>
              <w:tc>
                <w:tcPr>
                  <w:tcW w:w="596" w:type="pct"/>
                  <w:vAlign w:val="center"/>
                </w:tcPr>
                <w:p w14:paraId="08310399">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5B63C81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30</w:t>
                  </w:r>
                </w:p>
              </w:tc>
              <w:tc>
                <w:tcPr>
                  <w:tcW w:w="697" w:type="pct"/>
                  <w:vAlign w:val="center"/>
                </w:tcPr>
                <w:p w14:paraId="1E000D73">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56.2</w:t>
                  </w:r>
                </w:p>
              </w:tc>
              <w:tc>
                <w:tcPr>
                  <w:tcW w:w="697" w:type="pct"/>
                  <w:vAlign w:val="center"/>
                </w:tcPr>
                <w:p w14:paraId="0310A84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66A4B14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741175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579FA4E9">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228663E0">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18B24B10">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0AF6719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35</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45</w:t>
                  </w:r>
                </w:p>
              </w:tc>
              <w:tc>
                <w:tcPr>
                  <w:tcW w:w="697" w:type="pct"/>
                  <w:vAlign w:val="center"/>
                </w:tcPr>
                <w:p w14:paraId="2B7174D8">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44.3</w:t>
                  </w:r>
                </w:p>
              </w:tc>
              <w:tc>
                <w:tcPr>
                  <w:tcW w:w="697" w:type="pct"/>
                  <w:vAlign w:val="center"/>
                </w:tcPr>
                <w:p w14:paraId="3A9C500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010B438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1A62F0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0F9483D6">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4F925FE4">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4#</w:t>
                  </w:r>
                </w:p>
              </w:tc>
              <w:tc>
                <w:tcPr>
                  <w:tcW w:w="596" w:type="pct"/>
                  <w:vAlign w:val="center"/>
                </w:tcPr>
                <w:p w14:paraId="3D757BAE">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5F16917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46</w:t>
                  </w:r>
                </w:p>
              </w:tc>
              <w:tc>
                <w:tcPr>
                  <w:tcW w:w="697" w:type="pct"/>
                  <w:vAlign w:val="center"/>
                </w:tcPr>
                <w:p w14:paraId="7FD822A0">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56.8</w:t>
                  </w:r>
                </w:p>
              </w:tc>
              <w:tc>
                <w:tcPr>
                  <w:tcW w:w="697" w:type="pct"/>
                  <w:vAlign w:val="center"/>
                </w:tcPr>
                <w:p w14:paraId="21B5598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68822AE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5CADC6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741C5148">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7D671F3A">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7825FFCF">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64D39F4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52</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02</w:t>
                  </w:r>
                </w:p>
              </w:tc>
              <w:tc>
                <w:tcPr>
                  <w:tcW w:w="697" w:type="pct"/>
                  <w:vAlign w:val="center"/>
                </w:tcPr>
                <w:p w14:paraId="259198F2">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44.8</w:t>
                  </w:r>
                </w:p>
              </w:tc>
              <w:tc>
                <w:tcPr>
                  <w:tcW w:w="697" w:type="pct"/>
                  <w:vAlign w:val="center"/>
                </w:tcPr>
                <w:p w14:paraId="5DA539F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773DF7E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09F2B3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5FA6A049">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bookmarkStart w:id="98" w:name="_Hlk231464434"/>
                </w:p>
              </w:tc>
              <w:tc>
                <w:tcPr>
                  <w:tcW w:w="523" w:type="pct"/>
                  <w:vMerge w:val="restart"/>
                  <w:vAlign w:val="center"/>
                </w:tcPr>
                <w:p w14:paraId="166008EF">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5#</w:t>
                  </w:r>
                </w:p>
              </w:tc>
              <w:tc>
                <w:tcPr>
                  <w:tcW w:w="596" w:type="pct"/>
                  <w:vAlign w:val="center"/>
                </w:tcPr>
                <w:p w14:paraId="7D436853">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1E063E80">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41</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51</w:t>
                  </w:r>
                </w:p>
              </w:tc>
              <w:tc>
                <w:tcPr>
                  <w:tcW w:w="697" w:type="pct"/>
                  <w:vAlign w:val="center"/>
                </w:tcPr>
                <w:p w14:paraId="70988233">
                  <w:pPr>
                    <w:widowControl/>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53.9</w:t>
                  </w:r>
                </w:p>
              </w:tc>
              <w:tc>
                <w:tcPr>
                  <w:tcW w:w="697" w:type="pct"/>
                  <w:vAlign w:val="center"/>
                </w:tcPr>
                <w:p w14:paraId="25C7C63B">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1791DCB9">
                  <w:pPr>
                    <w:widowControl/>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333BC3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07C63A74">
                  <w:pPr>
                    <w:widowControl w:val="0"/>
                    <w:spacing w:line="240" w:lineRule="exact"/>
                    <w:jc w:val="cente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pPr>
                </w:p>
              </w:tc>
              <w:tc>
                <w:tcPr>
                  <w:tcW w:w="523" w:type="pct"/>
                  <w:vMerge w:val="continue"/>
                  <w:vAlign w:val="center"/>
                </w:tcPr>
                <w:p w14:paraId="5ABD3B19">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28910873">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5EFDD98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59</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09（次日）</w:t>
                  </w:r>
                </w:p>
              </w:tc>
              <w:tc>
                <w:tcPr>
                  <w:tcW w:w="697" w:type="pct"/>
                  <w:vAlign w:val="center"/>
                </w:tcPr>
                <w:p w14:paraId="4B8DE668">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44.5</w:t>
                  </w:r>
                </w:p>
              </w:tc>
              <w:tc>
                <w:tcPr>
                  <w:tcW w:w="697" w:type="pct"/>
                  <w:vAlign w:val="center"/>
                </w:tcPr>
                <w:p w14:paraId="1DCCF4A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432EEFB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bookmarkEnd w:id="98"/>
            <w:tr w14:paraId="2E1906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1BF1C67E">
                  <w:pPr>
                    <w:widowControl w:val="0"/>
                    <w:spacing w:line="240" w:lineRule="exact"/>
                    <w:jc w:val="cente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pPr>
                </w:p>
              </w:tc>
              <w:tc>
                <w:tcPr>
                  <w:tcW w:w="523" w:type="pct"/>
                  <w:vMerge w:val="restart"/>
                  <w:vAlign w:val="center"/>
                </w:tcPr>
                <w:p w14:paraId="25589BC1">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6#</w:t>
                  </w:r>
                </w:p>
              </w:tc>
              <w:tc>
                <w:tcPr>
                  <w:tcW w:w="596" w:type="pct"/>
                  <w:vAlign w:val="center"/>
                </w:tcPr>
                <w:p w14:paraId="535BF5A2">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09EB1C6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37</w:t>
                  </w:r>
                </w:p>
              </w:tc>
              <w:tc>
                <w:tcPr>
                  <w:tcW w:w="697" w:type="pct"/>
                  <w:vAlign w:val="center"/>
                </w:tcPr>
                <w:p w14:paraId="1BAC3E28">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58.2</w:t>
                  </w:r>
                </w:p>
              </w:tc>
              <w:tc>
                <w:tcPr>
                  <w:tcW w:w="697" w:type="pct"/>
                  <w:vAlign w:val="center"/>
                </w:tcPr>
                <w:p w14:paraId="39D94F9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3B30DF5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54A605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23DD4C01">
                  <w:pPr>
                    <w:widowControl w:val="0"/>
                    <w:spacing w:line="240" w:lineRule="exact"/>
                    <w:jc w:val="cente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pPr>
                </w:p>
              </w:tc>
              <w:tc>
                <w:tcPr>
                  <w:tcW w:w="523" w:type="pct"/>
                  <w:vMerge w:val="continue"/>
                  <w:vAlign w:val="center"/>
                </w:tcPr>
                <w:p w14:paraId="7BB99382">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195CD791">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19C69A8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44</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54</w:t>
                  </w:r>
                </w:p>
              </w:tc>
              <w:tc>
                <w:tcPr>
                  <w:tcW w:w="697" w:type="pct"/>
                  <w:vAlign w:val="center"/>
                </w:tcPr>
                <w:p w14:paraId="732350D5">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42.9</w:t>
                  </w:r>
                </w:p>
              </w:tc>
              <w:tc>
                <w:tcPr>
                  <w:tcW w:w="697" w:type="pct"/>
                  <w:vAlign w:val="center"/>
                </w:tcPr>
                <w:p w14:paraId="2CE0FE2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437E91F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1FDC42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36A56ED6">
                  <w:pPr>
                    <w:widowControl w:val="0"/>
                    <w:spacing w:line="240" w:lineRule="exact"/>
                    <w:jc w:val="center"/>
                    <w:rPr>
                      <w:rFonts w:hint="default" w:ascii="Times New Roman" w:hAnsi="Times New Roman" w:eastAsia="宋体" w:cs="Times New Roman"/>
                      <w:color w:val="000000" w:themeColor="text1"/>
                      <w:spacing w:val="-2"/>
                      <w:sz w:val="21"/>
                      <w:szCs w:val="21"/>
                      <w:lang w:eastAsia="zh-CN"/>
                      <w14:textFill>
                        <w14:solidFill>
                          <w14:schemeClr w14:val="tx1"/>
                        </w14:solidFill>
                      </w14:textFill>
                    </w:rPr>
                  </w:pPr>
                </w:p>
              </w:tc>
              <w:tc>
                <w:tcPr>
                  <w:tcW w:w="523" w:type="pct"/>
                  <w:vMerge w:val="restart"/>
                  <w:vAlign w:val="center"/>
                </w:tcPr>
                <w:p w14:paraId="0399CF61">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7#</w:t>
                  </w:r>
                </w:p>
              </w:tc>
              <w:tc>
                <w:tcPr>
                  <w:tcW w:w="596" w:type="pct"/>
                  <w:vAlign w:val="center"/>
                </w:tcPr>
                <w:p w14:paraId="3EB5623A">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4F86286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14</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24</w:t>
                  </w:r>
                </w:p>
              </w:tc>
              <w:tc>
                <w:tcPr>
                  <w:tcW w:w="697" w:type="pct"/>
                  <w:vAlign w:val="center"/>
                </w:tcPr>
                <w:p w14:paraId="68C9EA3C">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bCs/>
                      <w:color w:val="000000" w:themeColor="text1"/>
                      <w:spacing w:val="-1"/>
                      <w:sz w:val="21"/>
                      <w:szCs w:val="21"/>
                      <w:lang w:eastAsia="zh-CN"/>
                      <w14:textFill>
                        <w14:solidFill>
                          <w14:schemeClr w14:val="tx1"/>
                        </w14:solidFill>
                      </w14:textFill>
                    </w:rPr>
                    <w:t>58.9</w:t>
                  </w:r>
                </w:p>
              </w:tc>
              <w:tc>
                <w:tcPr>
                  <w:tcW w:w="697" w:type="pct"/>
                  <w:vAlign w:val="center"/>
                </w:tcPr>
                <w:p w14:paraId="252BFDA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347A249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6CF85E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26D9BA44">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09CB8551">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96" w:type="pct"/>
                  <w:vAlign w:val="center"/>
                </w:tcPr>
                <w:p w14:paraId="5FC63A42">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52B5DAE7">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30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40</w:t>
                  </w:r>
                </w:p>
              </w:tc>
              <w:tc>
                <w:tcPr>
                  <w:tcW w:w="697" w:type="pct"/>
                  <w:vAlign w:val="center"/>
                </w:tcPr>
                <w:p w14:paraId="259BC376">
                  <w:pPr>
                    <w:widowControl/>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44.7</w:t>
                  </w:r>
                </w:p>
              </w:tc>
              <w:tc>
                <w:tcPr>
                  <w:tcW w:w="697" w:type="pct"/>
                  <w:vAlign w:val="center"/>
                </w:tcPr>
                <w:p w14:paraId="63A63CCA">
                  <w:pPr>
                    <w:widowControl/>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269E839B">
                  <w:pPr>
                    <w:widowControl/>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514AEA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1CFC91F1">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restart"/>
                  <w:vAlign w:val="center"/>
                </w:tcPr>
                <w:p w14:paraId="207783B9">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t>8#</w:t>
                  </w:r>
                </w:p>
              </w:tc>
              <w:tc>
                <w:tcPr>
                  <w:tcW w:w="596" w:type="pct"/>
                  <w:vAlign w:val="center"/>
                </w:tcPr>
                <w:p w14:paraId="24051A63">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昼间</w:t>
                  </w:r>
                </w:p>
              </w:tc>
              <w:tc>
                <w:tcPr>
                  <w:tcW w:w="1154" w:type="pct"/>
                  <w:vAlign w:val="center"/>
                </w:tcPr>
                <w:p w14:paraId="72D21B0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00</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10</w:t>
                  </w:r>
                </w:p>
              </w:tc>
              <w:tc>
                <w:tcPr>
                  <w:tcW w:w="697" w:type="pct"/>
                  <w:vAlign w:val="center"/>
                </w:tcPr>
                <w:p w14:paraId="0164F927">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56.9</w:t>
                  </w:r>
                </w:p>
              </w:tc>
              <w:tc>
                <w:tcPr>
                  <w:tcW w:w="697" w:type="pct"/>
                  <w:vAlign w:val="center"/>
                </w:tcPr>
                <w:p w14:paraId="19B6F37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60</w:t>
                  </w:r>
                </w:p>
              </w:tc>
              <w:tc>
                <w:tcPr>
                  <w:tcW w:w="699" w:type="pct"/>
                  <w:vAlign w:val="center"/>
                </w:tcPr>
                <w:p w14:paraId="7FEC76E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68B5CC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Merge w:val="continue"/>
                  <w:vAlign w:val="center"/>
                </w:tcPr>
                <w:p w14:paraId="05B01E2C">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p>
              </w:tc>
              <w:tc>
                <w:tcPr>
                  <w:tcW w:w="523" w:type="pct"/>
                  <w:vMerge w:val="continue"/>
                  <w:vAlign w:val="center"/>
                </w:tcPr>
                <w:p w14:paraId="50823F49">
                  <w:pPr>
                    <w:widowControl w:val="0"/>
                    <w:spacing w:line="240" w:lineRule="exact"/>
                    <w:jc w:val="center"/>
                    <w:rPr>
                      <w:rFonts w:hint="default" w:ascii="Times New Roman" w:hAnsi="Times New Roman" w:eastAsia="宋体" w:cs="Times New Roman"/>
                      <w:bCs/>
                      <w:color w:val="000000" w:themeColor="text1"/>
                      <w:kern w:val="2"/>
                      <w:sz w:val="21"/>
                      <w:szCs w:val="21"/>
                      <w:lang w:eastAsia="zh-CN"/>
                      <w14:textFill>
                        <w14:solidFill>
                          <w14:schemeClr w14:val="tx1"/>
                        </w14:solidFill>
                      </w14:textFill>
                    </w:rPr>
                  </w:pPr>
                </w:p>
              </w:tc>
              <w:tc>
                <w:tcPr>
                  <w:tcW w:w="596" w:type="pct"/>
                  <w:vAlign w:val="center"/>
                </w:tcPr>
                <w:p w14:paraId="2FC2A5AE">
                  <w:pPr>
                    <w:widowControl w:val="0"/>
                    <w:spacing w:line="240" w:lineRule="exact"/>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夜间</w:t>
                  </w:r>
                </w:p>
              </w:tc>
              <w:tc>
                <w:tcPr>
                  <w:tcW w:w="1154" w:type="pct"/>
                  <w:vAlign w:val="center"/>
                </w:tcPr>
                <w:p w14:paraId="595AD16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r>
                    <w:rPr>
                      <w:rFonts w:hint="default" w:ascii="Times New Roman" w:hAnsi="Times New Roman" w:eastAsia="宋体" w:cs="Times New Roman"/>
                      <w:color w:val="000000" w:themeColor="text1"/>
                      <w:sz w:val="21"/>
                      <w:szCs w:val="21"/>
                      <w:lang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27</w:t>
                  </w:r>
                </w:p>
              </w:tc>
              <w:tc>
                <w:tcPr>
                  <w:tcW w:w="697" w:type="pct"/>
                  <w:vAlign w:val="center"/>
                </w:tcPr>
                <w:p w14:paraId="0C1FA041">
                  <w:pPr>
                    <w:widowControl w:val="0"/>
                    <w:spacing w:line="240" w:lineRule="exact"/>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47.3</w:t>
                  </w:r>
                </w:p>
              </w:tc>
              <w:tc>
                <w:tcPr>
                  <w:tcW w:w="697" w:type="pct"/>
                  <w:vAlign w:val="center"/>
                </w:tcPr>
                <w:p w14:paraId="3453968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50</w:t>
                  </w:r>
                </w:p>
              </w:tc>
              <w:tc>
                <w:tcPr>
                  <w:tcW w:w="699" w:type="pct"/>
                  <w:vAlign w:val="center"/>
                </w:tcPr>
                <w:p w14:paraId="4AC720B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达标</w:t>
                  </w:r>
                </w:p>
              </w:tc>
            </w:tr>
            <w:tr w14:paraId="7BE350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Align w:val="center"/>
                </w:tcPr>
                <w:p w14:paraId="16C97175">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参考标准</w:t>
                  </w:r>
                </w:p>
              </w:tc>
              <w:tc>
                <w:tcPr>
                  <w:tcW w:w="4369" w:type="pct"/>
                  <w:gridSpan w:val="6"/>
                  <w:vAlign w:val="center"/>
                </w:tcPr>
                <w:p w14:paraId="1153EC54">
                  <w:pPr>
                    <w:widowControl w:val="0"/>
                    <w:spacing w:line="240" w:lineRule="exact"/>
                    <w:jc w:val="left"/>
                    <w:rPr>
                      <w:rFonts w:hint="default" w:ascii="Times New Roman" w:hAnsi="Times New Roman" w:eastAsia="宋体" w:cs="Times New Roman"/>
                      <w:color w:val="000000" w:themeColor="text1"/>
                      <w:sz w:val="21"/>
                      <w:szCs w:val="21"/>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lang w:val="zh-CN" w:eastAsia="zh-CN"/>
                      <w14:textFill>
                        <w14:solidFill>
                          <w14:schemeClr w14:val="tx1"/>
                        </w14:solidFill>
                      </w14:textFill>
                    </w:rPr>
                    <w:t>《声环境质量标准》（GB 3096-2008）表1中的2类。</w:t>
                  </w:r>
                </w:p>
              </w:tc>
            </w:tr>
            <w:tr w14:paraId="3EB058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630" w:type="pct"/>
                  <w:vAlign w:val="center"/>
                </w:tcPr>
                <w:p w14:paraId="39CFF93D">
                  <w:pPr>
                    <w:widowControl w:val="0"/>
                    <w:spacing w:line="240" w:lineRule="exact"/>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eastAsia="zh-CN"/>
                      <w14:textFill>
                        <w14:solidFill>
                          <w14:schemeClr w14:val="tx1"/>
                        </w14:solidFill>
                      </w14:textFill>
                    </w:rPr>
                    <w:t>备注</w:t>
                  </w:r>
                </w:p>
              </w:tc>
              <w:tc>
                <w:tcPr>
                  <w:tcW w:w="4369" w:type="pct"/>
                  <w:gridSpan w:val="6"/>
                  <w:vAlign w:val="center"/>
                </w:tcPr>
                <w:p w14:paraId="523A167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r>
          </w:tbl>
          <w:p w14:paraId="558BF266">
            <w:pPr>
              <w:wordWrap w:val="0"/>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项目区属于2类声功能区，</w:t>
            </w:r>
            <w:r>
              <w:rPr>
                <w:rFonts w:hint="default" w:ascii="Times New Roman" w:hAnsi="Times New Roman" w:eastAsia="宋体" w:cs="Times New Roman"/>
                <w:color w:val="000000" w:themeColor="text1"/>
                <w:sz w:val="24"/>
                <w14:textFill>
                  <w14:solidFill>
                    <w14:schemeClr w14:val="tx1"/>
                  </w14:solidFill>
                </w14:textFill>
              </w:rPr>
              <w:t>由上表监测结果可知，项目监测点位均满足《声环境质量标准》（GB3096-2008）中的2类标准要求。项目所在地声环境质量较好。</w:t>
            </w:r>
          </w:p>
          <w:p w14:paraId="74DF0FE3">
            <w:pPr>
              <w:spacing w:line="360" w:lineRule="auto"/>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4、生态质量现状</w:t>
            </w:r>
          </w:p>
          <w:p w14:paraId="2C7179B1">
            <w:pPr>
              <w:wordWrap w:val="0"/>
              <w:spacing w:line="360" w:lineRule="auto"/>
              <w:ind w:firstLine="482"/>
              <w:rPr>
                <w:rFonts w:hint="default" w:ascii="Times New Roman" w:hAnsi="Times New Roman" w:eastAsia="宋体"/>
                <w:b/>
                <w:bCs/>
                <w:color w:val="000000" w:themeColor="text1"/>
                <w:sz w:val="24"/>
                <w:lang w:val="en-US" w:eastAsia="zh-CN"/>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4.1生态功能区划</w:t>
            </w:r>
            <w:r>
              <w:rPr>
                <w:rFonts w:hint="eastAsia" w:ascii="Times New Roman" w:hAnsi="Times New Roman"/>
                <w:b/>
                <w:bCs/>
                <w:color w:val="000000" w:themeColor="text1"/>
                <w:sz w:val="24"/>
                <w:lang w:val="en-US" w:eastAsia="zh-CN"/>
                <w14:textFill>
                  <w14:solidFill>
                    <w14:schemeClr w14:val="tx1"/>
                  </w14:solidFill>
                </w14:textFill>
              </w:rPr>
              <w:t>和植被分区</w:t>
            </w:r>
          </w:p>
          <w:p w14:paraId="6845F698">
            <w:pPr>
              <w:wordWrap w:val="0"/>
              <w:spacing w:line="360" w:lineRule="auto"/>
              <w:ind w:firstLine="482"/>
              <w:rPr>
                <w:rFonts w:hint="default" w:ascii="Times New Roman" w:hAnsi="Times New Roman" w:eastAsia="宋体"/>
                <w:b/>
                <w:bCs/>
                <w:color w:val="000000" w:themeColor="text1"/>
                <w:sz w:val="24"/>
                <w:lang w:val="en-US" w:eastAsia="zh-CN"/>
                <w14:textFill>
                  <w14:solidFill>
                    <w14:schemeClr w14:val="tx1"/>
                  </w14:solidFill>
                </w14:textFill>
              </w:rPr>
            </w:pPr>
            <w:r>
              <w:rPr>
                <w:rFonts w:hint="eastAsia" w:ascii="Times New Roman" w:hAnsi="Times New Roman"/>
                <w:b/>
                <w:bCs/>
                <w:color w:val="000000" w:themeColor="text1"/>
                <w:sz w:val="24"/>
                <w:lang w:val="en-US" w:eastAsia="zh-CN"/>
                <w14:textFill>
                  <w14:solidFill>
                    <w14:schemeClr w14:val="tx1"/>
                  </w14:solidFill>
                </w14:textFill>
              </w:rPr>
              <w:t>4.1.1生态功能区划</w:t>
            </w:r>
          </w:p>
          <w:p w14:paraId="47F670D3">
            <w:pPr>
              <w:wordWrap w:val="0"/>
              <w:spacing w:line="360" w:lineRule="auto"/>
              <w:ind w:firstLine="482"/>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本项目</w:t>
            </w:r>
            <w:r>
              <w:rPr>
                <w:rFonts w:hint="eastAsia" w:ascii="Times New Roman" w:hAnsi="Times New Roman"/>
                <w:color w:val="000000" w:themeColor="text1"/>
                <w:sz w:val="24"/>
                <w14:textFill>
                  <w14:solidFill>
                    <w14:schemeClr w14:val="tx1"/>
                  </w14:solidFill>
                </w14:textFill>
              </w:rPr>
              <w:t>位于</w:t>
            </w:r>
            <w:r>
              <w:rPr>
                <w:rFonts w:ascii="宋体" w:hAnsi="宋体" w:eastAsia="宋体" w:cs="宋体"/>
                <w:color w:val="000000" w:themeColor="text1"/>
                <w:spacing w:val="-2"/>
                <w:sz w:val="24"/>
                <w:szCs w:val="24"/>
                <w14:textFill>
                  <w14:solidFill>
                    <w14:schemeClr w14:val="tx1"/>
                  </w14:solidFill>
                </w14:textFill>
              </w:rPr>
              <w:t>四川省甘孜州泸定县泸桥镇</w:t>
            </w:r>
            <w:r>
              <w:rPr>
                <w:rFonts w:hint="eastAsia" w:ascii="Times New Roman" w:hAnsi="Times New Roman"/>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所在地属于《四川省生态功能区划》（2010四川科技）当中的</w:t>
            </w:r>
            <w:r>
              <w:rPr>
                <w:rFonts w:hint="eastAsia" w:ascii="Times New Roman" w:hAnsi="Times New Roman"/>
                <w:color w:val="000000" w:themeColor="text1"/>
                <w:sz w:val="24"/>
                <w14:textFill>
                  <w14:solidFill>
                    <w14:schemeClr w14:val="tx1"/>
                  </w14:solidFill>
                </w14:textFill>
              </w:rPr>
              <w:t>Ⅲ川西高山高原亚热带-温带-寒温带生态区—Ⅲ-</w:t>
            </w:r>
            <w:r>
              <w:rPr>
                <w:rFonts w:hint="eastAsia" w:ascii="Times New Roman" w:hAnsi="Times New Roman"/>
                <w:color w:val="000000" w:themeColor="text1"/>
                <w:sz w:val="24"/>
                <w:lang w:val="en-US" w:eastAsia="zh-CN"/>
                <w14:textFill>
                  <w14:solidFill>
                    <w14:schemeClr w14:val="tx1"/>
                  </w14:solidFill>
                </w14:textFill>
              </w:rPr>
              <w:t>3大雪山一沙鲁里山云杉冷杉林—高山灌丛—高山草甸生态亚区</w:t>
            </w:r>
            <w:r>
              <w:rPr>
                <w:rFonts w:hint="eastAsia" w:ascii="Times New Roman" w:hAnsi="Times New Roman"/>
                <w:color w:val="000000" w:themeColor="text1"/>
                <w:sz w:val="24"/>
                <w14:textFill>
                  <w14:solidFill>
                    <w14:schemeClr w14:val="tx1"/>
                  </w14:solidFill>
                </w14:textFill>
              </w:rPr>
              <w:t>，为贡嘎山冰川与生物多样性保护生态功能区（Ⅲ</w:t>
            </w:r>
            <w:r>
              <w:rPr>
                <w:rFonts w:hint="eastAsia" w:ascii="Times New Roman" w:hAnsi="Times New Roman"/>
                <w:color w:val="000000" w:themeColor="text1"/>
                <w:sz w:val="24"/>
                <w:lang w:val="en-US" w:eastAsia="zh-CN"/>
                <w14:textFill>
                  <w14:solidFill>
                    <w14:schemeClr w14:val="tx1"/>
                  </w14:solidFill>
                </w14:textFill>
              </w:rPr>
              <w:t>3</w:t>
            </w:r>
            <w:r>
              <w:rPr>
                <w:rFonts w:hint="eastAsia" w:ascii="Times New Roman" w:hAnsi="Times New Roman"/>
                <w:color w:val="000000" w:themeColor="text1"/>
                <w:sz w:val="24"/>
                <w14:textFill>
                  <w14:solidFill>
                    <w14:schemeClr w14:val="tx1"/>
                  </w14:solidFill>
                </w14:textFill>
              </w:rPr>
              <w:t>-</w:t>
            </w:r>
            <w:r>
              <w:rPr>
                <w:rFonts w:hint="eastAsia" w:ascii="Times New Roman" w:hAnsi="Times New Roman"/>
                <w:color w:val="000000" w:themeColor="text1"/>
                <w:sz w:val="24"/>
                <w:lang w:val="en-US" w:eastAsia="zh-CN"/>
                <w14:textFill>
                  <w14:solidFill>
                    <w14:schemeClr w14:val="tx1"/>
                  </w14:solidFill>
                </w14:textFill>
              </w:rPr>
              <w:t>1</w:t>
            </w:r>
            <w:r>
              <w:rPr>
                <w:rFonts w:hint="eastAsia" w:ascii="Times New Roman" w:hAnsi="Times New Roman"/>
                <w:color w:val="000000" w:themeColor="text1"/>
                <w:sz w:val="24"/>
                <w14:textFill>
                  <w14:solidFill>
                    <w14:schemeClr w14:val="tx1"/>
                  </w14:solidFill>
                </w14:textFill>
              </w:rPr>
              <w:t>）。项目在生态功能区划中位置如图</w:t>
            </w:r>
            <w:r>
              <w:rPr>
                <w:rFonts w:hint="eastAsia" w:ascii="Times New Roman" w:hAnsi="Times New Roman"/>
                <w:color w:val="000000" w:themeColor="text1"/>
                <w:sz w:val="24"/>
                <w:lang w:val="en-US" w:eastAsia="zh-CN"/>
                <w14:textFill>
                  <w14:solidFill>
                    <w14:schemeClr w14:val="tx1"/>
                  </w14:solidFill>
                </w14:textFill>
              </w:rPr>
              <w:t>3</w:t>
            </w:r>
            <w:r>
              <w:rPr>
                <w:rFonts w:hint="eastAsia" w:ascii="Times New Roman" w:hAnsi="Times New Roman"/>
                <w:color w:val="000000" w:themeColor="text1"/>
                <w:sz w:val="24"/>
                <w14:textFill>
                  <w14:solidFill>
                    <w14:schemeClr w14:val="tx1"/>
                  </w14:solidFill>
                </w14:textFill>
              </w:rPr>
              <w:t>-1所示：</w:t>
            </w:r>
          </w:p>
          <w:p w14:paraId="414CABED">
            <w:pPr>
              <w:adjustRightInd w:val="0"/>
              <w:snapToGrid w:val="0"/>
              <w:spacing w:line="240" w:lineRule="auto"/>
              <w:jc w:val="center"/>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902335</wp:posOffset>
                      </wp:positionH>
                      <wp:positionV relativeFrom="paragraph">
                        <wp:posOffset>1261110</wp:posOffset>
                      </wp:positionV>
                      <wp:extent cx="1081405" cy="292735"/>
                      <wp:effectExtent l="4445" t="4445" r="19050" b="369570"/>
                      <wp:wrapNone/>
                      <wp:docPr id="118" name="圆角矩形标注 118"/>
                      <wp:cNvGraphicFramePr/>
                      <a:graphic xmlns:a="http://schemas.openxmlformats.org/drawingml/2006/main">
                        <a:graphicData uri="http://schemas.microsoft.com/office/word/2010/wordprocessingShape">
                          <wps:wsp>
                            <wps:cNvSpPr/>
                            <wps:spPr>
                              <a:xfrm>
                                <a:off x="0" y="0"/>
                                <a:ext cx="1081405" cy="292735"/>
                              </a:xfrm>
                              <a:prstGeom prst="wedgeRoundRectCallout">
                                <a:avLst>
                                  <a:gd name="adj1" fmla="val 46535"/>
                                  <a:gd name="adj2" fmla="val 164967"/>
                                  <a:gd name="adj3" fmla="val 16667"/>
                                </a:avLst>
                              </a:prstGeom>
                              <a:solidFill>
                                <a:srgbClr val="FFFFFF"/>
                              </a:solidFill>
                              <a:ln w="9525" cap="flat" cmpd="sng">
                                <a:solidFill>
                                  <a:srgbClr val="FF0000"/>
                                </a:solidFill>
                                <a:prstDash val="solid"/>
                                <a:miter/>
                                <a:headEnd type="none" w="med" len="med"/>
                                <a:tailEnd type="none" w="med" len="med"/>
                              </a:ln>
                            </wps:spPr>
                            <wps:txbx>
                              <w:txbxContent>
                                <w:p w14:paraId="059BF42E">
                                  <w:pPr>
                                    <w:adjustRightInd w:val="0"/>
                                    <w:snapToGrid w:val="0"/>
                                    <w:jc w:val="center"/>
                                    <w:rPr>
                                      <w:b/>
                                      <w:bCs/>
                                      <w:color w:val="FF0000"/>
                                    </w:rPr>
                                  </w:pPr>
                                  <w:r>
                                    <w:rPr>
                                      <w:rFonts w:hint="eastAsia"/>
                                      <w:b/>
                                      <w:bCs/>
                                      <w:color w:val="FF0000"/>
                                    </w:rPr>
                                    <w:t>本项目位置</w:t>
                                  </w:r>
                                </w:p>
                                <w:p w14:paraId="4AF33AB0">
                                  <w:pPr>
                                    <w:adjustRightInd w:val="0"/>
                                    <w:snapToGrid w:val="0"/>
                                    <w:jc w:val="center"/>
                                    <w:rPr>
                                      <w:b/>
                                      <w:bCs/>
                                      <w:color w:val="FF0000"/>
                                    </w:rPr>
                                  </w:pPr>
                                </w:p>
                                <w:p w14:paraId="701F51B1">
                                  <w:pPr>
                                    <w:adjustRightInd w:val="0"/>
                                    <w:snapToGrid w:val="0"/>
                                    <w:jc w:val="center"/>
                                    <w:rPr>
                                      <w:b/>
                                      <w:bCs/>
                                      <w:color w:val="FF0000"/>
                                    </w:rPr>
                                  </w:pPr>
                                  <w:r>
                                    <w:rPr>
                                      <w:rFonts w:hint="eastAsia"/>
                                      <w:b/>
                                      <w:bCs/>
                                      <w:color w:val="FF0000"/>
                                    </w:rPr>
                                    <w:t>本项目位置</w:t>
                                  </w:r>
                                </w:p>
                              </w:txbxContent>
                            </wps:txbx>
                            <wps:bodyPr upright="1"/>
                          </wps:wsp>
                        </a:graphicData>
                      </a:graphic>
                    </wp:anchor>
                  </w:drawing>
                </mc:Choice>
                <mc:Fallback>
                  <w:pict>
                    <v:shape id="_x0000_s1026" o:spid="_x0000_s1026" o:spt="62" type="#_x0000_t62" style="position:absolute;left:0pt;margin-left:71.05pt;margin-top:99.3pt;height:23.05pt;width:85.15pt;z-index:251664384;mso-width-relative:page;mso-height-relative:page;" fillcolor="#FFFFFF" filled="t" stroked="t" coordsize="21600,21600" o:gfxdata="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6rAcHZAAAACwEA&#10;AA8AAAAAAAAAAQAgAAAAIgAAAGRycy9kb3ducmV2LnhtbFBLAQIUABQAAAAIAIdO4kAInKqgUgIA&#10;AMAEAAAOAAAAAAAAAAEAIAAAACgBAABkcnMvZTJvRG9jLnhtbFBLBQYAAAAABgAGAFkBAADsBQAA&#10;AAA=&#10;" adj="20852,46433,14400">
                      <v:fill on="t" focussize="0,0"/>
                      <v:stroke color="#FF0000" joinstyle="miter"/>
                      <v:imagedata o:title=""/>
                      <o:lock v:ext="edit" aspectratio="f"/>
                      <v:textbox>
                        <w:txbxContent>
                          <w:p w14:paraId="059BF42E">
                            <w:pPr>
                              <w:adjustRightInd w:val="0"/>
                              <w:snapToGrid w:val="0"/>
                              <w:jc w:val="center"/>
                              <w:rPr>
                                <w:b/>
                                <w:bCs/>
                                <w:color w:val="FF0000"/>
                              </w:rPr>
                            </w:pPr>
                            <w:r>
                              <w:rPr>
                                <w:rFonts w:hint="eastAsia"/>
                                <w:b/>
                                <w:bCs/>
                                <w:color w:val="FF0000"/>
                              </w:rPr>
                              <w:t>本项目位置</w:t>
                            </w:r>
                          </w:p>
                          <w:p w14:paraId="4AF33AB0">
                            <w:pPr>
                              <w:adjustRightInd w:val="0"/>
                              <w:snapToGrid w:val="0"/>
                              <w:jc w:val="center"/>
                              <w:rPr>
                                <w:b/>
                                <w:bCs/>
                                <w:color w:val="FF0000"/>
                              </w:rPr>
                            </w:pPr>
                          </w:p>
                          <w:p w14:paraId="701F51B1">
                            <w:pPr>
                              <w:adjustRightInd w:val="0"/>
                              <w:snapToGrid w:val="0"/>
                              <w:jc w:val="center"/>
                              <w:rPr>
                                <w:b/>
                                <w:bCs/>
                                <w:color w:val="FF0000"/>
                              </w:rPr>
                            </w:pPr>
                            <w:r>
                              <w:rPr>
                                <w:rFonts w:hint="eastAsia"/>
                                <w:b/>
                                <w:bCs/>
                                <w:color w:val="FF0000"/>
                              </w:rPr>
                              <w:t>本项目位置</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3374390</wp:posOffset>
                      </wp:positionH>
                      <wp:positionV relativeFrom="paragraph">
                        <wp:posOffset>1152525</wp:posOffset>
                      </wp:positionV>
                      <wp:extent cx="125730" cy="156210"/>
                      <wp:effectExtent l="6350" t="6350" r="20320" b="8890"/>
                      <wp:wrapNone/>
                      <wp:docPr id="2" name="矩形 2"/>
                      <wp:cNvGraphicFramePr/>
                      <a:graphic xmlns:a="http://schemas.openxmlformats.org/drawingml/2006/main">
                        <a:graphicData uri="http://schemas.microsoft.com/office/word/2010/wordprocessingShape">
                          <wps:wsp>
                            <wps:cNvSpPr/>
                            <wps:spPr>
                              <a:xfrm>
                                <a:off x="4603115" y="6574155"/>
                                <a:ext cx="125730" cy="15621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5.7pt;margin-top:90.75pt;height:12.3pt;width:9.9pt;z-index:251665408;v-text-anchor:middle;mso-width-relative:page;mso-height-relative:page;" filled="f" stroked="t" coordsize="21600,21600" o:gfxdata="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EC8y3NcAAAALAQAADwAAAAAAAAABACAAAAAiAAAAZHJz&#10;L2Rvd25yZXYueG1sUEsBAhQAFAAAAAgAh07iQNgl9Xt3AgAA1gQAAA4AAAAAAAAAAQAgAAAAJgEA&#10;AGRycy9lMm9Eb2MueG1sUEsFBgAAAAAGAAYAWQEAAA8GAAAAAA==&#10;">
                      <v:fill on="f" focussize="0,0"/>
                      <v:stroke weight="1pt" color="#FF0000 [2404]" miterlimit="8" joinstyle="miter"/>
                      <v:imagedata o:title=""/>
                      <o:lock v:ext="edit" aspectratio="f"/>
                    </v:rect>
                  </w:pict>
                </mc:Fallback>
              </mc:AlternateContent>
            </w:r>
            <w:r>
              <w:rPr>
                <w:color w:val="000000" w:themeColor="text1"/>
                <w14:textFill>
                  <w14:solidFill>
                    <w14:schemeClr w14:val="tx1"/>
                  </w14:solidFill>
                </w14:textFill>
              </w:rPr>
              <w:drawing>
                <wp:inline distT="0" distB="0" distL="114300" distR="114300">
                  <wp:extent cx="4961255" cy="3510280"/>
                  <wp:effectExtent l="57150" t="57150" r="67945" b="71120"/>
                  <wp:docPr id="119" name="图片 6" descr="四川省主体功能区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6" descr="四川省主体功能区规划图"/>
                          <pic:cNvPicPr>
                            <a:picLocks noChangeAspect="1"/>
                          </pic:cNvPicPr>
                        </pic:nvPicPr>
                        <pic:blipFill>
                          <a:blip r:embed="rId36"/>
                          <a:stretch>
                            <a:fillRect/>
                          </a:stretch>
                        </pic:blipFill>
                        <pic:spPr>
                          <a:xfrm>
                            <a:off x="0" y="0"/>
                            <a:ext cx="4973336" cy="3518818"/>
                          </a:xfrm>
                          <a:prstGeom prst="rect">
                            <a:avLst/>
                          </a:prstGeom>
                          <a:noFill/>
                          <a:ln w="57150" cap="flat" cmpd="thickThin">
                            <a:solidFill>
                              <a:srgbClr val="000000"/>
                            </a:solidFill>
                            <a:prstDash val="solid"/>
                            <a:miter/>
                            <a:headEnd type="none" w="med" len="med"/>
                            <a:tailEnd type="none" w="med" len="med"/>
                          </a:ln>
                        </pic:spPr>
                      </pic:pic>
                    </a:graphicData>
                  </a:graphic>
                </wp:inline>
              </w:drawing>
            </w:r>
          </w:p>
          <w:p w14:paraId="356C7332">
            <w:pPr>
              <w:adjustRightInd w:val="0"/>
              <w:spacing w:line="240" w:lineRule="auto"/>
              <w:ind w:firstLine="422" w:firstLineChars="200"/>
              <w:jc w:val="center"/>
              <w:rPr>
                <w:rFonts w:ascii="Times New Roman" w:hAnsi="Times New Roman"/>
                <w:b/>
                <w:bCs/>
                <w:color w:val="000000" w:themeColor="text1"/>
                <w:szCs w:val="21"/>
                <w14:textFill>
                  <w14:solidFill>
                    <w14:schemeClr w14:val="tx1"/>
                  </w14:solidFill>
                </w14:textFill>
              </w:rPr>
            </w:pPr>
            <w:r>
              <w:rPr>
                <w:rFonts w:ascii="Times New Roman" w:hAnsi="Times New Roman"/>
                <w:b/>
                <w:bCs/>
                <w:color w:val="000000" w:themeColor="text1"/>
                <w:szCs w:val="21"/>
                <w14:textFill>
                  <w14:solidFill>
                    <w14:schemeClr w14:val="tx1"/>
                  </w14:solidFill>
                </w14:textFill>
              </w:rPr>
              <w:t>图</w:t>
            </w:r>
            <w:r>
              <w:rPr>
                <w:rFonts w:hint="eastAsia" w:ascii="Times New Roman" w:hAnsi="Times New Roman"/>
                <w:b/>
                <w:bCs/>
                <w:color w:val="000000" w:themeColor="text1"/>
                <w:szCs w:val="21"/>
                <w14:textFill>
                  <w14:solidFill>
                    <w14:schemeClr w14:val="tx1"/>
                  </w14:solidFill>
                </w14:textFill>
              </w:rPr>
              <w:t>3</w:t>
            </w:r>
            <w:r>
              <w:rPr>
                <w:rFonts w:ascii="Times New Roman" w:hAnsi="Times New Roman"/>
                <w:b/>
                <w:bCs/>
                <w:color w:val="000000" w:themeColor="text1"/>
                <w:szCs w:val="21"/>
                <w14:textFill>
                  <w14:solidFill>
                    <w14:schemeClr w14:val="tx1"/>
                  </w14:solidFill>
                </w14:textFill>
              </w:rPr>
              <w:t>-</w:t>
            </w:r>
            <w:r>
              <w:rPr>
                <w:rFonts w:hint="eastAsia" w:ascii="Times New Roman" w:hAnsi="Times New Roman"/>
                <w:b/>
                <w:bCs/>
                <w:color w:val="000000" w:themeColor="text1"/>
                <w:szCs w:val="21"/>
                <w14:textFill>
                  <w14:solidFill>
                    <w14:schemeClr w14:val="tx1"/>
                  </w14:solidFill>
                </w14:textFill>
              </w:rPr>
              <w:t>1</w:t>
            </w:r>
            <w:r>
              <w:rPr>
                <w:rFonts w:ascii="Times New Roman" w:hAnsi="Times New Roman"/>
                <w:b/>
                <w:bCs/>
                <w:color w:val="000000" w:themeColor="text1"/>
                <w:szCs w:val="21"/>
                <w14:textFill>
                  <w14:solidFill>
                    <w14:schemeClr w14:val="tx1"/>
                  </w14:solidFill>
                </w14:textFill>
              </w:rPr>
              <w:t xml:space="preserve"> 四川省生态功能区划</w:t>
            </w:r>
          </w:p>
          <w:p w14:paraId="1C8C25AD">
            <w:pPr>
              <w:pStyle w:val="16"/>
              <w:spacing w:line="360" w:lineRule="auto"/>
              <w:ind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项目区生态功能分区特征表如</w:t>
            </w:r>
            <w:r>
              <w:rPr>
                <w:rFonts w:hint="eastAsia"/>
                <w:color w:val="000000" w:themeColor="text1"/>
                <w:sz w:val="24"/>
                <w:szCs w:val="24"/>
                <w14:textFill>
                  <w14:solidFill>
                    <w14:schemeClr w14:val="tx1"/>
                  </w14:solidFill>
                </w14:textFill>
              </w:rPr>
              <w:t>下表所示。</w:t>
            </w:r>
          </w:p>
          <w:p w14:paraId="478E0F86">
            <w:pPr>
              <w:pStyle w:val="155"/>
              <w:numPr>
                <w:ilvl w:val="0"/>
                <w:numId w:val="19"/>
              </w:numPr>
              <w:spacing w:line="240" w:lineRule="auto"/>
              <w:ind w:firstLineChars="0"/>
              <w:jc w:val="center"/>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项目生态功能分区特征表</w:t>
            </w:r>
          </w:p>
          <w:tbl>
            <w:tblPr>
              <w:tblStyle w:val="56"/>
              <w:tblW w:w="8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111"/>
              <w:gridCol w:w="1194"/>
              <w:gridCol w:w="1090"/>
              <w:gridCol w:w="1036"/>
              <w:gridCol w:w="3850"/>
            </w:tblGrid>
            <w:tr w14:paraId="30F3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111" w:type="dxa"/>
                  <w:tcBorders>
                    <w:tl2br w:val="nil"/>
                    <w:tr2bl w:val="nil"/>
                  </w:tcBorders>
                  <w:vAlign w:val="center"/>
                </w:tcPr>
                <w:p w14:paraId="2FF671EE">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生态功能区划</w:t>
                  </w:r>
                </w:p>
              </w:tc>
              <w:tc>
                <w:tcPr>
                  <w:tcW w:w="1194" w:type="dxa"/>
                  <w:tcBorders>
                    <w:tl2br w:val="nil"/>
                    <w:tr2bl w:val="nil"/>
                  </w:tcBorders>
                  <w:vAlign w:val="center"/>
                </w:tcPr>
                <w:p w14:paraId="1C7D80AB">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主要生态问题</w:t>
                  </w:r>
                </w:p>
              </w:tc>
              <w:tc>
                <w:tcPr>
                  <w:tcW w:w="1090" w:type="dxa"/>
                  <w:tcBorders>
                    <w:tl2br w:val="nil"/>
                    <w:tr2bl w:val="nil"/>
                  </w:tcBorders>
                  <w:vAlign w:val="center"/>
                </w:tcPr>
                <w:p w14:paraId="15BDE55C">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生态环境敏感性</w:t>
                  </w:r>
                </w:p>
              </w:tc>
              <w:tc>
                <w:tcPr>
                  <w:tcW w:w="1036" w:type="dxa"/>
                  <w:tcBorders>
                    <w:tl2br w:val="nil"/>
                    <w:tr2bl w:val="nil"/>
                  </w:tcBorders>
                  <w:vAlign w:val="center"/>
                </w:tcPr>
                <w:p w14:paraId="3114A79B">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主要生态服务功能</w:t>
                  </w:r>
                </w:p>
              </w:tc>
              <w:tc>
                <w:tcPr>
                  <w:tcW w:w="3850" w:type="dxa"/>
                  <w:tcBorders>
                    <w:tl2br w:val="nil"/>
                    <w:tr2bl w:val="nil"/>
                  </w:tcBorders>
                  <w:vAlign w:val="center"/>
                </w:tcPr>
                <w:p w14:paraId="006EAD18">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生态保护与发展方向</w:t>
                  </w:r>
                </w:p>
              </w:tc>
            </w:tr>
            <w:tr w14:paraId="4DA4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111" w:type="dxa"/>
                  <w:tcBorders>
                    <w:tl2br w:val="nil"/>
                    <w:tr2bl w:val="nil"/>
                  </w:tcBorders>
                  <w:vAlign w:val="center"/>
                </w:tcPr>
                <w:p w14:paraId="7AF8000F">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Ⅲ3-1贡嘎山冰川与生物多样性保护生态功能区</w:t>
                  </w:r>
                </w:p>
              </w:tc>
              <w:tc>
                <w:tcPr>
                  <w:tcW w:w="1194" w:type="dxa"/>
                  <w:tcBorders>
                    <w:tl2br w:val="nil"/>
                    <w:tr2bl w:val="nil"/>
                  </w:tcBorders>
                  <w:vAlign w:val="center"/>
                </w:tcPr>
                <w:p w14:paraId="172731FB">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泥石流滑坡强烈发育，高山雪线呈升高趋势，易发生山洪灾害</w:t>
                  </w:r>
                </w:p>
              </w:tc>
              <w:tc>
                <w:tcPr>
                  <w:tcW w:w="1090" w:type="dxa"/>
                  <w:tcBorders>
                    <w:tl2br w:val="nil"/>
                    <w:tr2bl w:val="nil"/>
                  </w:tcBorders>
                  <w:vAlign w:val="center"/>
                </w:tcPr>
                <w:p w14:paraId="55B5230E">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土壤侵蚀极敏感，野生动物生境极敏感</w:t>
                  </w:r>
                </w:p>
              </w:tc>
              <w:tc>
                <w:tcPr>
                  <w:tcW w:w="1036" w:type="dxa"/>
                  <w:tcBorders>
                    <w:tl2br w:val="nil"/>
                    <w:tr2bl w:val="nil"/>
                  </w:tcBorders>
                  <w:vAlign w:val="center"/>
                </w:tcPr>
                <w:p w14:paraId="210EA4C2">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水源涵养功能，生物多样性保护功能</w:t>
                  </w:r>
                  <w:r>
                    <w:rPr>
                      <w:rFonts w:hint="default" w:ascii="Times New Roman" w:hAnsi="Times New Roman" w:cs="Times New Roman"/>
                      <w:color w:val="000000" w:themeColor="text1"/>
                      <w:sz w:val="21"/>
                      <w:szCs w:val="21"/>
                      <w:lang w:val="en-US"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土壤保持功能</w:t>
                  </w:r>
                </w:p>
              </w:tc>
              <w:tc>
                <w:tcPr>
                  <w:tcW w:w="3850" w:type="dxa"/>
                  <w:tcBorders>
                    <w:tl2br w:val="nil"/>
                    <w:tr2bl w:val="nil"/>
                  </w:tcBorders>
                  <w:vAlign w:val="center"/>
                </w:tcPr>
                <w:p w14:paraId="498B8EF9">
                  <w:pPr>
                    <w:pStyle w:val="2"/>
                    <w:keepNext w:val="0"/>
                    <w:keepLines w:val="0"/>
                    <w:pageBreakBefore w:val="0"/>
                    <w:widowControl w:val="0"/>
                    <w:kinsoku/>
                    <w:wordWrap/>
                    <w:overflowPunct w:val="0"/>
                    <w:topLinePunct w:val="0"/>
                    <w:autoSpaceDE w:val="0"/>
                    <w:autoSpaceDN w:val="0"/>
                    <w:bidi w:val="0"/>
                    <w:adjustRightInd/>
                    <w:snapToGrid/>
                    <w:spacing w:line="240" w:lineRule="auto"/>
                    <w:ind w:firstLine="0" w:firstLineChars="0"/>
                    <w:jc w:val="left"/>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保护森林和草原植被，保护生物多样性；保护冰川自然景观。巩固天然林保护和退耕还林成果。加强区域山地灾害的综合整治，防治水土流失。规范发展旅游业，规范和严格管理水电业及矿产业。禁止发展对生态环境和自然景观破坏严重的开发项目，禁止建设污染型工业企业</w:t>
                  </w:r>
                </w:p>
              </w:tc>
            </w:tr>
          </w:tbl>
          <w:p w14:paraId="60DCE898">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本项目为</w:t>
            </w:r>
            <w:r>
              <w:rPr>
                <w:rFonts w:hint="default" w:ascii="Times New Roman" w:hAnsi="Times New Roman" w:cs="Times New Roman"/>
                <w:color w:val="000000" w:themeColor="text1"/>
                <w:sz w:val="24"/>
                <w:szCs w:val="24"/>
                <w:lang w:eastAsia="zh-CN"/>
                <w14:textFill>
                  <w14:solidFill>
                    <w14:schemeClr w14:val="tx1"/>
                  </w14:solidFill>
                </w14:textFill>
              </w:rPr>
              <w:t>泸定县城区自来水厂备用水源取水工程新建项目</w:t>
            </w:r>
            <w:r>
              <w:rPr>
                <w:rFonts w:hint="default" w:ascii="Times New Roman" w:hAnsi="Times New Roman" w:cs="Times New Roman"/>
                <w:color w:val="000000" w:themeColor="text1"/>
                <w:sz w:val="24"/>
                <w:szCs w:val="24"/>
                <w14:textFill>
                  <w14:solidFill>
                    <w14:schemeClr w14:val="tx1"/>
                  </w14:solidFill>
                </w14:textFill>
              </w:rPr>
              <w:t>，项目用地不在禁止开发区域，项目施工过程中不可避免地会破坏部分林地</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草地</w:t>
            </w:r>
            <w:r>
              <w:rPr>
                <w:rFonts w:hint="default" w:ascii="Times New Roman" w:hAnsi="Times New Roman" w:cs="Times New Roman"/>
                <w:color w:val="000000" w:themeColor="text1"/>
                <w:sz w:val="24"/>
                <w:szCs w:val="24"/>
                <w14:textFill>
                  <w14:solidFill>
                    <w14:schemeClr w14:val="tx1"/>
                  </w14:solidFill>
                </w14:textFill>
              </w:rPr>
              <w:t>，存在暂时、局部的生态、环境、景观影响和水土流失，但在规范和严格管理、加强</w:t>
            </w:r>
            <w:r>
              <w:rPr>
                <w:rFonts w:hint="default" w:ascii="Times New Roman" w:hAnsi="Times New Roman" w:cs="Times New Roman"/>
                <w:color w:val="000000" w:themeColor="text1"/>
                <w:sz w:val="24"/>
                <w:szCs w:val="24"/>
                <w:lang w:val="en-US" w:eastAsia="zh-CN"/>
                <w14:textFill>
                  <w14:solidFill>
                    <w14:schemeClr w14:val="tx1"/>
                  </w14:solidFill>
                </w14:textFill>
              </w:rPr>
              <w:t>施工期</w:t>
            </w:r>
            <w:r>
              <w:rPr>
                <w:rFonts w:hint="default" w:ascii="Times New Roman" w:hAnsi="Times New Roman" w:cs="Times New Roman"/>
                <w:color w:val="000000" w:themeColor="text1"/>
                <w:sz w:val="24"/>
                <w:szCs w:val="24"/>
                <w14:textFill>
                  <w14:solidFill>
                    <w14:schemeClr w14:val="tx1"/>
                  </w14:solidFill>
                </w14:textFill>
              </w:rPr>
              <w:t>污染控制与治理、加强生态与景观恢复的前提下，可有效避免工程建设对生态环境和自然景观造成严重破坏，不会影响该区域的水源涵养、土壤保持、生物多样性保护等主要生态服务功能。</w:t>
            </w:r>
          </w:p>
          <w:p w14:paraId="15D3F69F">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因此，项目建设符合四川生态功能区划。</w:t>
            </w:r>
          </w:p>
          <w:p w14:paraId="6AB544E2">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4.1.2植被分区</w:t>
            </w:r>
          </w:p>
          <w:p w14:paraId="7EE44060">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根据《四川植被》中的分区系统，评价区属于Ⅰ-川东盆地及川西南山地常绿阔叶林地带；IB-川西南山地偏干性常绿叶林亚带；IB1川西南河谷山原植被地区；IB1（4）大渡河下游高山峡谷植被小区。</w:t>
            </w:r>
          </w:p>
          <w:p w14:paraId="449FCBE4">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渡河下游高山峡谷植被小区位于二郎山、大相岭之西南，贡嘎山以东，菩萨岗以北，居西南横断山脉的东北边缘，为四川盆地西缘向青藏高原过渡的地带，包括甘洛、越西、石棉、汉源、泸定等县的全部或部分地区。境内大渡河由北向南，至石棉后转向东，经汉源流入峨边。由于大渡河及其支流的深切割作用，河谷与两侧山地高差甚为悬殊，谷深坡陡，谷地较窄，高山林立，形成典型的高山峡谷地貌。汉源、越西、甘洛个别地段有宽展的谷地。河谷最低海拔800米，最高为贡嘎山7556米。基质复杂，有花岗岩、板岩、千枚岩以及不同时期的灰岩和砂页岩。土壤垂直分布明显，有山地褐土、山地棕褐土、山地棕壤、山地棕色灰化土和灰化土、高山草甸土。气候受西南季风和东南季风的影响，西风南支急流又波及此地，因此，低海拔地区干湿季节明显。以汉源为例，年平均温18°℃，1月平均温8.3°C，7月平均温26°℃，≥10°℃活动积温为5844.7°℃，极端最低温-3.3°℃，无霜期300天左右。年降水量741.8毫米，多集中在5~10月。</w:t>
            </w:r>
          </w:p>
          <w:p w14:paraId="389E1449">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组成植被的植物区系成分有川西南偏干性常绿阔叶林亚带的种类，又有川东盆地偏湿性常绿阔叶林亚带的成分。如云南松、马尾松、云南油杉、滇青冈、青冈、滇桤木、桤木、云南冬青、云南杜鹃、滇榛、川滇冷杉、冷杉、包石栎、须芒草等等。其植被的垂直分布如下：</w:t>
            </w:r>
          </w:p>
          <w:p w14:paraId="35ED4DFF">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海拔800—2000米河谷地段，由于海洋暖湿气流在河流转弯处被高山阻挡，而深切河谷又促成“焚风”的形成，因而形成了干旱河谷灌丛。在谷风形成的砂质沉积和花岗岩类风化坡积物上是以仙人掌、刺合欢为优势的灌丛，自汉源以下的河谷地段，其河谷灌丛以霸王鞭为优势，其它成分有山蚂蝗、扁担木、黄荆、白刺花、小角柱花、小马鞍羊蹄甲、白草；黄褐色岩石碎屑土上则为刺合欢，小马鞍羊蹄甲灌丛。地势稍平缓，土层稍厚的阳坡地段为青香木、沙针、铁仔、芸香草、垫状卷柏组成的灌丛。在稍湿润处有云南松林、云南油杉林。甘洛一带还有马尾松林。在阴坡或阴湿沟谷还保存有以滇青冈、青冈、川桂、白楠、曼青冈、细叶青冈等组成的常绿阔叶林。</w:t>
            </w:r>
          </w:p>
          <w:p w14:paraId="209C599C">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海拔2000—2400米分布细叶青冈、青冈、曼青冈、香桦以及多种槭树组成的常绿与落叶阔叶混交林，大箭竹生长茂密，植株高大，此类森林砍伐后多由白桦、滇桤木、山杨等代替。沟谷阴湿地段或半阴坡有川滇高山栎林、光叶高山栎林等。在阳坡有大面积的矮高山栎、川西栎、刺叶栎等形成的灌丛。</w:t>
            </w:r>
          </w:p>
          <w:p w14:paraId="71417B90">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海拔2400米以上为亚高山针叶林，下部为铁杉林有多种落叶树种渗入，上部为冷杉林、川滇冷杉林或川滇冷杉与冷杉混交林，并有油麦吊杉和云南铁杉分布。阳坡多为灌丛。在区内北部有高山松林和华山松林分布。铁杉、槭树、桦木组成的针阔叶混交林，以铁杉、红桦、紫花杜鹃为主，混有少数冷杉、青榨槭、曼青柯）、皱叶杜鹃、云南冬青、毛叶吊钟花、青荚叶、尖叶茶藨。本带显然已侵入有盆地西缘山地的成分。海拔2700—3200米的山地森林灰化土地段上分布有以冷杉为主的亚高山常绿针叶林，其它乔木有油麦吊杉、红桦、槭树等。</w:t>
            </w:r>
          </w:p>
          <w:p w14:paraId="4127BFD2">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灌丛以箭竹为优势，盖度可达70%，有少量的长串茶薦，冰川茶藨。乔木与箭竹上悬挂着长松萝，粗叶悬藓，可见生境之湿润。</w:t>
            </w:r>
          </w:p>
          <w:p w14:paraId="6593D8E3">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海拔3200~3600米为亚高山灌丛草甸，主要以多种杜鹃和箭竹、麦秧子竹为主，另有峨眉蔷薇、长序茶藨子、冰川茶藨子、高丛珍珠梅等。亚高山草甸分布于山坡顶部，主要成分为糙野青茅，杂以羊茅、珠芽蓼、白果草莓、钝裂银莲花、火绒草。草甸中混有稀疏的灌木，如平枝枸子、峨眉蔷薇。在海拔4000米以上为高山灌丛草甸。海拔4500米以上为流石滩植被，植物多呈莲座状，有梭沙贝母、雪莲花、红景天等。</w:t>
            </w:r>
          </w:p>
          <w:p w14:paraId="5CE73D8F">
            <w:pPr>
              <w:pStyle w:val="16"/>
              <w:keepNext w:val="0"/>
              <w:keepLines w:val="0"/>
              <w:pageBreakBefore w:val="0"/>
              <w:widowControl w:val="0"/>
              <w:tabs>
                <w:tab w:val="left" w:pos="6930"/>
              </w:tabs>
              <w:kinsoku/>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4.2四川大熊猫栖息地世界自然遗产概况</w:t>
            </w:r>
          </w:p>
          <w:p w14:paraId="40C1D7AB">
            <w:pPr>
              <w:pStyle w:val="16"/>
              <w:keepNext w:val="0"/>
              <w:keepLines w:val="0"/>
              <w:pageBreakBefore w:val="0"/>
              <w:widowControl w:val="0"/>
              <w:kinsoku/>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4.2.1</w:t>
            </w:r>
            <w:bookmarkStart w:id="99" w:name="_Toc1846"/>
            <w:r>
              <w:rPr>
                <w:rFonts w:hint="default" w:ascii="Times New Roman" w:hAnsi="Times New Roman" w:cs="Times New Roman"/>
                <w:b/>
                <w:bCs/>
                <w:color w:val="000000" w:themeColor="text1"/>
                <w:sz w:val="24"/>
                <w:szCs w:val="24"/>
                <w:lang w:val="en-US" w:eastAsia="zh-CN"/>
                <w14:textFill>
                  <w14:solidFill>
                    <w14:schemeClr w14:val="tx1"/>
                  </w14:solidFill>
                </w14:textFill>
              </w:rPr>
              <w:t>遗产地地理位置</w:t>
            </w:r>
            <w:bookmarkEnd w:id="99"/>
          </w:p>
          <w:p w14:paraId="164BCF43">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四川大熊猫栖息地世界自然遗产缓冲区位于成都平原和青藏高原之间的邛崃山脉， 介于东经102°08′45″～103°23′45″、北纬29°53′47″～31°21′49″之间，由中国四川省境内的6个自然保护区、11个风景名胜区和夹金山国家森林公园的部分景区组成，地跨雅安市所辖芦山县、崇州市、邛崃市、芦山县，雅安市所辖芦山县、宝兴县、宝兴县，阿坝藏族羌族自治州所辖汶川县、芦山县、理县，甘孜藏族自治州所辖泸定县、康定市等12个县或县级市。</w:t>
            </w:r>
          </w:p>
          <w:p w14:paraId="47C31113">
            <w:pPr>
              <w:pStyle w:val="16"/>
              <w:keepNext w:val="0"/>
              <w:keepLines w:val="0"/>
              <w:pageBreakBefore w:val="0"/>
              <w:widowControl w:val="0"/>
              <w:kinsoku/>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bookmarkStart w:id="100" w:name="_Toc7743"/>
            <w:r>
              <w:rPr>
                <w:rFonts w:hint="default" w:ascii="Times New Roman" w:hAnsi="Times New Roman" w:cs="Times New Roman"/>
                <w:b/>
                <w:bCs/>
                <w:color w:val="000000" w:themeColor="text1"/>
                <w:sz w:val="24"/>
                <w:szCs w:val="24"/>
                <w:lang w:val="en-US" w:eastAsia="zh-CN"/>
                <w14:textFill>
                  <w14:solidFill>
                    <w14:schemeClr w14:val="tx1"/>
                  </w14:solidFill>
                </w14:textFill>
              </w:rPr>
              <w:t>4.2.2遗产地功能区划</w:t>
            </w:r>
          </w:p>
          <w:p w14:paraId="703BE8CB">
            <w:pPr>
              <w:pStyle w:val="16"/>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根据《四川大熊猫栖息地世界自然遗产保护规划》（2015年12月修编），</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四川大熊猫栖息地世界自然</w:t>
            </w:r>
            <w:r>
              <w:rPr>
                <w:rFonts w:hint="default" w:ascii="Times New Roman" w:hAnsi="Times New Roman" w:cs="Times New Roman"/>
                <w:color w:val="000000" w:themeColor="text1"/>
                <w:kern w:val="2"/>
                <w:sz w:val="24"/>
                <w:szCs w:val="24"/>
                <w:lang w:val="en-US" w:eastAsia="zh-CN" w:bidi="ar-SA"/>
                <w14:textFill>
                  <w14:solidFill>
                    <w14:schemeClr w14:val="tx1"/>
                  </w14:solidFill>
                </w14:textFill>
              </w:rPr>
              <w:t>遗产地</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面积9245km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vertAlign w:val="baseline"/>
                <w:lang w:val="en-US" w:eastAsia="zh-CN" w:bidi="ar-SA"/>
                <w14:textFill>
                  <w14:solidFill>
                    <w14:schemeClr w14:val="tx1"/>
                  </w14:solidFill>
                </w14:textFill>
              </w:rPr>
              <w:t>，遗产地</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缓冲区面积5271km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。遗产地与缓冲区合计面积14516km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p>
          <w:p w14:paraId="5B87BA5F">
            <w:pPr>
              <w:pStyle w:val="16"/>
              <w:keepNext w:val="0"/>
              <w:keepLines w:val="0"/>
              <w:pageBreakBefore w:val="0"/>
              <w:widowControl w:val="0"/>
              <w:kinsoku/>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遗产地：</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遗产地面积为9245km</w:t>
            </w:r>
            <w:r>
              <w:rPr>
                <w:rFonts w:hint="default" w:ascii="Times New Roman" w:hAnsi="Times New Roman" w:cs="Times New Roman"/>
                <w:b w:val="0"/>
                <w:bCs w:val="0"/>
                <w:color w:val="000000" w:themeColor="text1"/>
                <w:sz w:val="24"/>
                <w:szCs w:val="24"/>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，是大熊猫痕迹的集中分布区；是保存完整的大熊猫栖息地，也包括栖息地所围成的高海拔原生生态区；是稀濒物种集中分布的生物多样性地带和重要物种的模式标本产地；保存完好的原生生态系统的自然景观。</w:t>
            </w:r>
          </w:p>
          <w:p w14:paraId="377D062E">
            <w:pPr>
              <w:pStyle w:val="16"/>
              <w:keepNext w:val="0"/>
              <w:keepLines w:val="0"/>
              <w:pageBreakBefore w:val="0"/>
              <w:widowControl w:val="0"/>
              <w:kinsoku/>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缓冲区：</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缓冲区面积为5271km</w:t>
            </w:r>
            <w:r>
              <w:rPr>
                <w:rFonts w:hint="default" w:ascii="Times New Roman" w:hAnsi="Times New Roman" w:cs="Times New Roman"/>
                <w:b w:val="0"/>
                <w:bCs w:val="0"/>
                <w:color w:val="000000" w:themeColor="text1"/>
                <w:sz w:val="24"/>
                <w:szCs w:val="24"/>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，是位于遗产地之外，环绕遗产地的带状区域，是为了确保遗产地而需要控制的地域。</w:t>
            </w:r>
          </w:p>
          <w:p w14:paraId="31654F13">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4.2.3遗产地自然概况</w:t>
            </w:r>
          </w:p>
          <w:p w14:paraId="30E7527A">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1、地貌特征</w:t>
            </w:r>
          </w:p>
          <w:p w14:paraId="64E9CB1E">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遗产地处在青藏高原东缘向成都平原过渡的地形梯度带上，四姑娘山（海拔6250m）与最低点都江堰（自然遗产栖息地区边缘的外侧，海拔582m）在平面距离仅60km的范围内高差相差近5668m，地貌反差强烈，是青藏高原隆起的直接显示。正是这一影响了全球环境变化的地质过程所形成的横断山系的巨大山脉，为受环境改变与人类活动影响而迁徙的大熊猫动物群，提供了适宜的避难所。</w:t>
            </w:r>
          </w:p>
          <w:p w14:paraId="53C0E4B5">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2、植物</w:t>
            </w:r>
          </w:p>
          <w:p w14:paraId="45D156F8">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世界自然遗产-四川大熊猫栖息地悠久的地质历史、复杂多样的生态环境，使这里的植物资源丰富、起源古老、垂直带谱明显。</w:t>
            </w:r>
          </w:p>
          <w:p w14:paraId="1F478A9F">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根据《四川省第四次大熊猫调查报告》，四川省大熊猫栖息地植被分为自然植被和栽培植被两大类型，共计5个植被型组、16个植被型、26个植被亚型、56个群系组，其中自然植被13个植被型、21个植被亚型、36个群系组，栽培植被3个植被型、10个植被亚型、20个群系组。不同山系植被类型和面积有所不同，本项目涉及的邛崃山山系中，植被型组面积最大的是针叶林，面积25.65万hm</w:t>
            </w:r>
            <w:r>
              <w:rPr>
                <w:color w:val="000000" w:themeColor="text1"/>
                <w:sz w:val="24"/>
                <w:szCs w:val="24"/>
                <w:vertAlign w:val="superscript"/>
                <w14:textFill>
                  <w14:solidFill>
                    <w14:schemeClr w14:val="tx1"/>
                  </w14:solidFill>
                </w14:textFill>
              </w:rPr>
              <w:t>2</w:t>
            </w:r>
            <w:r>
              <w:rPr>
                <w:color w:val="000000" w:themeColor="text1"/>
                <w:sz w:val="24"/>
                <w:szCs w:val="24"/>
                <w14:textFill>
                  <w14:solidFill>
                    <w14:schemeClr w14:val="tx1"/>
                  </w14:solidFill>
                </w14:textFill>
              </w:rPr>
              <w:t>，占37.39%；植被型面积最大的是寒温性针叶林，面积19.50万hm</w:t>
            </w:r>
            <w:r>
              <w:rPr>
                <w:color w:val="000000" w:themeColor="text1"/>
                <w:sz w:val="24"/>
                <w:szCs w:val="24"/>
                <w:vertAlign w:val="superscript"/>
                <w14:textFill>
                  <w14:solidFill>
                    <w14:schemeClr w14:val="tx1"/>
                  </w14:solidFill>
                </w14:textFill>
              </w:rPr>
              <w:t>2</w:t>
            </w:r>
            <w:r>
              <w:rPr>
                <w:color w:val="000000" w:themeColor="text1"/>
                <w:sz w:val="24"/>
                <w:szCs w:val="24"/>
                <w14:textFill>
                  <w14:solidFill>
                    <w14:schemeClr w14:val="tx1"/>
                  </w14:solidFill>
                </w14:textFill>
              </w:rPr>
              <w:t>，占28.43%；植被亚型面积最大的是寒温性常绿针叶林，面积19.23万hm</w:t>
            </w:r>
            <w:r>
              <w:rPr>
                <w:color w:val="000000" w:themeColor="text1"/>
                <w:sz w:val="24"/>
                <w:szCs w:val="24"/>
                <w:vertAlign w:val="superscript"/>
                <w14:textFill>
                  <w14:solidFill>
                    <w14:schemeClr w14:val="tx1"/>
                  </w14:solidFill>
                </w14:textFill>
              </w:rPr>
              <w:t>2</w:t>
            </w:r>
            <w:r>
              <w:rPr>
                <w:color w:val="000000" w:themeColor="text1"/>
                <w:sz w:val="24"/>
                <w:szCs w:val="24"/>
                <w14:textFill>
                  <w14:solidFill>
                    <w14:schemeClr w14:val="tx1"/>
                  </w14:solidFill>
                </w14:textFill>
              </w:rPr>
              <w:t>，占28.04%；群系组面积最大的是冷杉林，面积18.40万hm</w:t>
            </w:r>
            <w:r>
              <w:rPr>
                <w:color w:val="000000" w:themeColor="text1"/>
                <w:sz w:val="24"/>
                <w:szCs w:val="24"/>
                <w:vertAlign w:val="superscript"/>
                <w14:textFill>
                  <w14:solidFill>
                    <w14:schemeClr w14:val="tx1"/>
                  </w14:solidFill>
                </w14:textFill>
              </w:rPr>
              <w:t>2</w:t>
            </w:r>
            <w:r>
              <w:rPr>
                <w:color w:val="000000" w:themeColor="text1"/>
                <w:sz w:val="24"/>
                <w:szCs w:val="24"/>
                <w14:textFill>
                  <w14:solidFill>
                    <w14:schemeClr w14:val="tx1"/>
                  </w14:solidFill>
                </w14:textFill>
              </w:rPr>
              <w:t>，占26.84%。</w:t>
            </w:r>
          </w:p>
          <w:p w14:paraId="294EAD95">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根据《四川大熊猫栖息地世界自然遗产保护规划》（以下简称“《保护规划》”），遗产地拥有国家重点保护野生植物有68种。其中国家Ⅰ级重点保护野生植物有光叶蕨、珙桐等9种；国家Ⅱ级保护重点野生植物有四川红杉、大果青扦等40种，还有虫草、贝母等珍贵药材及杜鹃等观赏植物。遗产地具有独特的原始森林景观，为野生动物创造了良好的栖息场地。</w:t>
            </w:r>
          </w:p>
          <w:p w14:paraId="05FC2525">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b/>
                <w:bCs/>
                <w:color w:val="000000" w:themeColor="text1"/>
                <w:sz w:val="24"/>
                <w:szCs w:val="24"/>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3、</w:t>
            </w:r>
            <w:r>
              <w:rPr>
                <w:b/>
                <w:bCs/>
                <w:color w:val="000000" w:themeColor="text1"/>
                <w:sz w:val="24"/>
                <w:szCs w:val="24"/>
                <w14:textFill>
                  <w14:solidFill>
                    <w14:schemeClr w14:val="tx1"/>
                  </w14:solidFill>
                </w14:textFill>
              </w:rPr>
              <w:t>动物</w:t>
            </w:r>
          </w:p>
          <w:p w14:paraId="0D4FF51E">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在动物区系上，遗产地处于东洋界与古北界交汇的中印亚界，属横断山系东缘山地亚热带森林动物群向川西山原针叶林、灌丛草甸青藏高原动物群过渡地带，动物区系组成十分复杂。</w:t>
            </w:r>
          </w:p>
          <w:p w14:paraId="00AB5E84">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根据《四川省第四次大熊猫调查报告》，与野生大熊猫同域分布的野生脊椎动物3纲16目44科126种，其中兽类44种、鸟类77种、爬行类5种，包括国家一级重点保护野生动物12种、国家二级重点保护野生动物28种、四川省重点保护野生动物5种。按照生态习性及与大熊猫的潜在关系，上述物种中，中华竹鼠、羚牛、野猪、小熊猫、黑熊等5种野生动物与大熊猫可能存在食物竞争关系，豹猫、金猫、豹、雪豹、云豹、豺、赤狐、狼、黄喉貂等9种野生动物对大熊猫幼崽可能构成威胁。</w:t>
            </w:r>
          </w:p>
          <w:p w14:paraId="59ED4CFF">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根据《保护规划》，遗产地共有87种国家重点保护野生动物，其中国家Ⅰ级重点保护野生动物有大熊猫、绿尾虹雉与金喙凤蝶等19种；国家Ⅱ级重点保护野生动物小熊猫与山尾褐凤蝶等60种。同时，遗产地也是某些特有鸟类的集中分布地，如流莺、噪鹛、朱雀和雉类。</w:t>
            </w:r>
          </w:p>
          <w:p w14:paraId="1856591D">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总的来说，遗产地动物资源丰富、组成复杂，并以森林动物和高山动物为主要特征。遗产地内针阔混交林与针叶林带是珍稀动物的重要栖息地。</w:t>
            </w:r>
          </w:p>
          <w:p w14:paraId="64C5C18E">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eastAsia="宋体"/>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4、大熊猫分布范围</w:t>
            </w:r>
          </w:p>
          <w:p w14:paraId="761AC656">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根据《全国第四次大熊猫调查报告》（四川省分报告），四川省11个市（州）41个县有野生大熊猫、大熊猫栖息地和潜在栖息地分布，其中37个县（市、区）、152个乡镇有野生大熊猫分布，涉及6个山系，属于长江水系的岷江、嘉陵江、金沙江、沱江流域，地理坐标介于东经101°55′-105°27′、北纬28°12′-33°34′之间，东起青川县姚渡镇梁家沟，西至九龙县斜卡乡献几热，南起雷波县麻咪泽自然保护区基柱波，北至九寨沟县大录乡下芝麻村。</w:t>
            </w:r>
          </w:p>
          <w:p w14:paraId="2AD18FC6">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从山系分布来看，邛崃山是我国大熊猫仅次于岷山的主要分布区，位于四川省境内。大熊猫主要分布在山系的中、南段，北段数量相对较少。大熊猫分布区包括宝兴、汶川、天全、芦山、崇州、大邑、荥经、理县、都江堰、康定、小金、泸定等12个县（市）的69个乡镇，</w:t>
            </w:r>
          </w:p>
          <w:p w14:paraId="01BE4D62">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地理坐标介于东经102°11′-103°30′、北纬29°29′-31°24′之间，东起都江堰市青城山镇赵公山，西至泸定县金汤林场打棚沟，南起泸定县得妥乡毛把地，北至理县杂谷脑镇垌垌窑。</w:t>
            </w:r>
          </w:p>
          <w:p w14:paraId="6F862B5C">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查询报告中的四川省大熊猫分布、种群、栖息地统计表得知，泸定县是大熊猫种群数量最少也是种群密度最低的区域。</w:t>
            </w:r>
          </w:p>
          <w:p w14:paraId="7B103446">
            <w:pPr>
              <w:pStyle w:val="155"/>
              <w:keepNext w:val="0"/>
              <w:keepLines w:val="0"/>
              <w:pageBreakBefore w:val="0"/>
              <w:widowControl w:val="0"/>
              <w:numPr>
                <w:ilvl w:val="0"/>
                <w:numId w:val="19"/>
              </w:numPr>
              <w:kinsoku/>
              <w:wordWrap/>
              <w:overflowPunct/>
              <w:topLinePunct w:val="0"/>
              <w:autoSpaceDE/>
              <w:autoSpaceDN/>
              <w:bidi w:val="0"/>
              <w:adjustRightInd w:val="0"/>
              <w:snapToGrid w:val="0"/>
              <w:spacing w:line="240" w:lineRule="auto"/>
              <w:ind w:left="442" w:hanging="442" w:firstLineChars="0"/>
              <w:jc w:val="center"/>
              <w:textAlignment w:val="auto"/>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四川省大熊猫分布、种群、栖息地统计表（泸定县节选）</w:t>
            </w:r>
          </w:p>
          <w:tbl>
            <w:tblPr>
              <w:tblStyle w:val="163"/>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35"/>
              <w:gridCol w:w="707"/>
              <w:gridCol w:w="934"/>
              <w:gridCol w:w="1441"/>
              <w:gridCol w:w="793"/>
              <w:gridCol w:w="1109"/>
              <w:gridCol w:w="1109"/>
              <w:gridCol w:w="568"/>
              <w:gridCol w:w="356"/>
              <w:gridCol w:w="733"/>
            </w:tblGrid>
            <w:tr w14:paraId="65F95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207" w:type="pct"/>
                  <w:vAlign w:val="center"/>
                </w:tcPr>
                <w:p w14:paraId="4658BD0A">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序号</w:t>
                  </w:r>
                </w:p>
              </w:tc>
              <w:tc>
                <w:tcPr>
                  <w:tcW w:w="437" w:type="pct"/>
                  <w:vAlign w:val="center"/>
                </w:tcPr>
                <w:p w14:paraId="611035FB">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县</w:t>
                  </w:r>
                </w:p>
                <w:p w14:paraId="6310F87E">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(市、区)</w:t>
                  </w:r>
                </w:p>
              </w:tc>
              <w:tc>
                <w:tcPr>
                  <w:tcW w:w="577" w:type="pct"/>
                  <w:vAlign w:val="center"/>
                </w:tcPr>
                <w:p w14:paraId="326F6CAC">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大熊猫分</w:t>
                  </w:r>
                </w:p>
                <w:p w14:paraId="037E84E1">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布乡镇名称</w:t>
                  </w:r>
                </w:p>
              </w:tc>
              <w:tc>
                <w:tcPr>
                  <w:tcW w:w="890" w:type="pct"/>
                  <w:vAlign w:val="center"/>
                </w:tcPr>
                <w:p w14:paraId="73F7601B">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栖息地分布乡镇名称</w:t>
                  </w:r>
                </w:p>
              </w:tc>
              <w:tc>
                <w:tcPr>
                  <w:tcW w:w="490" w:type="pct"/>
                  <w:vAlign w:val="center"/>
                </w:tcPr>
                <w:p w14:paraId="399F36E8">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种群数量</w:t>
                  </w:r>
                </w:p>
              </w:tc>
              <w:tc>
                <w:tcPr>
                  <w:tcW w:w="685" w:type="pct"/>
                  <w:vAlign w:val="center"/>
                </w:tcPr>
                <w:p w14:paraId="1DF85960">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栖息地面积（公顷）</w:t>
                  </w:r>
                </w:p>
              </w:tc>
              <w:tc>
                <w:tcPr>
                  <w:tcW w:w="685" w:type="pct"/>
                  <w:vAlign w:val="center"/>
                </w:tcPr>
                <w:p w14:paraId="63A4F5DD">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潜在栖息地面积（公顷）</w:t>
                  </w:r>
                </w:p>
              </w:tc>
              <w:tc>
                <w:tcPr>
                  <w:tcW w:w="351" w:type="pct"/>
                  <w:vAlign w:val="center"/>
                </w:tcPr>
                <w:p w14:paraId="53AF6277">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山系</w:t>
                  </w:r>
                </w:p>
              </w:tc>
              <w:tc>
                <w:tcPr>
                  <w:tcW w:w="220" w:type="pct"/>
                  <w:vAlign w:val="center"/>
                </w:tcPr>
                <w:p w14:paraId="093392AA">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p>
                <w:p w14:paraId="2AB58C2B">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省</w:t>
                  </w:r>
                </w:p>
              </w:tc>
              <w:tc>
                <w:tcPr>
                  <w:tcW w:w="453" w:type="pct"/>
                  <w:vAlign w:val="center"/>
                </w:tcPr>
                <w:p w14:paraId="4B951AD8">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市</w:t>
                  </w:r>
                </w:p>
                <w:p w14:paraId="3602BDE3">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（州）</w:t>
                  </w:r>
                </w:p>
              </w:tc>
            </w:tr>
            <w:tr w14:paraId="1236E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207" w:type="pct"/>
                  <w:vAlign w:val="center"/>
                </w:tcPr>
                <w:p w14:paraId="0219A2E2">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w:t>
                  </w:r>
                </w:p>
              </w:tc>
              <w:tc>
                <w:tcPr>
                  <w:tcW w:w="437" w:type="pct"/>
                  <w:vAlign w:val="center"/>
                </w:tcPr>
                <w:p w14:paraId="4C438C10">
                  <w:pPr>
                    <w:widowControl w:val="0"/>
                    <w:autoSpaceDE w:val="0"/>
                    <w:autoSpaceDN w:val="0"/>
                    <w:spacing w:line="240" w:lineRule="exact"/>
                    <w:jc w:val="cente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泸定</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县</w:t>
                  </w:r>
                </w:p>
              </w:tc>
              <w:tc>
                <w:tcPr>
                  <w:tcW w:w="577" w:type="pct"/>
                  <w:vAlign w:val="center"/>
                </w:tcPr>
                <w:p w14:paraId="458F5368">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得妥乡</w:t>
                  </w:r>
                </w:p>
              </w:tc>
              <w:tc>
                <w:tcPr>
                  <w:tcW w:w="890" w:type="pct"/>
                  <w:vAlign w:val="center"/>
                </w:tcPr>
                <w:p w14:paraId="2423FE09">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泸桥镇、岚</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安乡、得妥乡、加郡乡、兴隆乡、冷碛镇</w:t>
                  </w:r>
                </w:p>
              </w:tc>
              <w:tc>
                <w:tcPr>
                  <w:tcW w:w="490" w:type="pct"/>
                  <w:vAlign w:val="center"/>
                </w:tcPr>
                <w:p w14:paraId="52952FA4">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w:t>
                  </w:r>
                </w:p>
              </w:tc>
              <w:tc>
                <w:tcPr>
                  <w:tcW w:w="685" w:type="pct"/>
                  <w:vAlign w:val="center"/>
                </w:tcPr>
                <w:p w14:paraId="1D528B26">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21717.89</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243</w:t>
                  </w:r>
                </w:p>
              </w:tc>
              <w:tc>
                <w:tcPr>
                  <w:tcW w:w="685" w:type="pct"/>
                  <w:vAlign w:val="center"/>
                </w:tcPr>
                <w:p w14:paraId="6716D50C">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3756.856</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836</w:t>
                  </w:r>
                </w:p>
              </w:tc>
              <w:tc>
                <w:tcPr>
                  <w:tcW w:w="351" w:type="pct"/>
                  <w:vAlign w:val="center"/>
                </w:tcPr>
                <w:p w14:paraId="5032AD4F">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邛崃</w:t>
                  </w:r>
                </w:p>
              </w:tc>
              <w:tc>
                <w:tcPr>
                  <w:tcW w:w="220" w:type="pct"/>
                  <w:vAlign w:val="center"/>
                </w:tcPr>
                <w:p w14:paraId="367EE245">
                  <w:pPr>
                    <w:widowControl w:val="0"/>
                    <w:autoSpaceDE w:val="0"/>
                    <w:autoSpaceDN w:val="0"/>
                    <w:spacing w:line="240" w:lineRule="exact"/>
                    <w:jc w:val="cente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四川</w:t>
                  </w:r>
                </w:p>
              </w:tc>
              <w:tc>
                <w:tcPr>
                  <w:tcW w:w="453" w:type="pct"/>
                  <w:vAlign w:val="center"/>
                </w:tcPr>
                <w:p w14:paraId="10149FDB">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甘孜</w:t>
                  </w:r>
                </w:p>
              </w:tc>
            </w:tr>
          </w:tbl>
          <w:p w14:paraId="098BF505">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eastAsia="宋体"/>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5、大熊猫食竹分布</w:t>
            </w:r>
          </w:p>
          <w:p w14:paraId="1A47A354">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在四川竹林区划上，遗产地属盆缘山地混合竹林区，是四川竹类属、种最多的地区之一。遗产地分布的竹类有：冷箭竹、方竹、溪岸方竹、八月竹、油竹子、华西箭竹、拐棍竹、箭竹、水竹、白夹竹、大箭竹、峨眉玉山竹。各类竹类往往构成了森林群落灌木层的主体，常绿阔叶林、常绿阔叶与落叶阔叶混交林以白夹竹、拐棍竹为主，针阔叶混交林以冷箭竹、拐棍竹、大箭竹为主，亚高山针叶林以大箭竹、冷箭竹为主。</w:t>
            </w:r>
          </w:p>
          <w:p w14:paraId="4EFDDA84">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b w:val="0"/>
                <w:bCs w:val="0"/>
                <w:color w:val="000000" w:themeColor="text1"/>
                <w:sz w:val="24"/>
                <w:szCs w:val="24"/>
                <w:lang w:val="en-US" w:eastAsia="zh-CN"/>
                <w14:textFill>
                  <w14:solidFill>
                    <w14:schemeClr w14:val="tx1"/>
                  </w14:solidFill>
                </w14:textFill>
              </w:rPr>
            </w:pPr>
            <w:r>
              <w:rPr>
                <w:rFonts w:hint="eastAsia"/>
                <w:b w:val="0"/>
                <w:bCs w:val="0"/>
                <w:color w:val="000000" w:themeColor="text1"/>
                <w:sz w:val="24"/>
                <w:szCs w:val="24"/>
                <w:lang w:val="en-US" w:eastAsia="zh-CN"/>
                <w14:textFill>
                  <w14:solidFill>
                    <w14:schemeClr w14:val="tx1"/>
                  </w14:solidFill>
                </w14:textFill>
              </w:rPr>
              <w:t>大熊猫主食为亚高山与中山森林中的各种竹类。乔木层郁闭度0.6～0.75，林间阴凉湿润，竹类盖度在60%左右且面积较大，坡度&lt;20的沟谷洼地、河流阶地与剥蚀台地，是大熊猫的最佳食物基地。宝兴河的东河与西河、渔子溪的皮条河与正河、天全河的喇叭河与白沙河、芦山河的黑水河及其支流黄水河，是最佳食物基地的主要分布区。</w:t>
            </w:r>
          </w:p>
          <w:p w14:paraId="3FB93AF7">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4.2.4自然遗产地</w:t>
            </w:r>
            <w:r>
              <w:rPr>
                <w:b/>
                <w:bCs/>
                <w:color w:val="000000" w:themeColor="text1"/>
                <w:sz w:val="24"/>
                <w:szCs w:val="24"/>
                <w:lang w:val="en-US" w:eastAsia="zh-CN"/>
                <w14:textFill>
                  <w14:solidFill>
                    <w14:schemeClr w14:val="tx1"/>
                  </w14:solidFill>
                </w14:textFill>
              </w:rPr>
              <w:t>普遍价值</w:t>
            </w:r>
            <w:bookmarkEnd w:id="100"/>
          </w:p>
          <w:p w14:paraId="775A9C14">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四川大熊猫栖息地世界自然遗产地是目前最具代表性与典型性，以及现存最大的连续天然栖息地片区，是就地保护与保存大熊猫栖息地遗产的关键地区，也是具有高度地域特殊性的生物多样性地区，是以大熊猫为代表的稀有濒危物种与生物多样性就地保护的极具全球突出普遍价值的例证。</w:t>
            </w:r>
          </w:p>
          <w:p w14:paraId="7431E0F3">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大熊猫是全球关注的濒危物种，是国际野生动物保护的旗帜，是仅产于中国的稀有“活化石”动物。遗产地包含了目前世界上还残存野生大熊猫的六大山脉中拥有数量最多的连续野生种群，以及适合大熊猫栖息的最大面积的潜在生境。</w:t>
            </w:r>
          </w:p>
          <w:p w14:paraId="52A60384">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4.2.5</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大熊猫栖息地世界自然遗产保护管理规划</w:t>
            </w:r>
          </w:p>
          <w:p w14:paraId="61CDAD38">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根据《保护规划》，遗产地管理总目标为：确保遗产地的突出普遍价值得以保存，确保提名时的完整性与真实性得以维持和加强，使以大熊猫为代表的生物多样性得到有效保护，使原住民社区得以可持续发展。保护规划中提出的管理要求如下：</w:t>
            </w:r>
          </w:p>
          <w:p w14:paraId="4920D210">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缓冲区：</w:t>
            </w:r>
            <w:r>
              <w:rPr>
                <w:color w:val="000000" w:themeColor="text1"/>
                <w:sz w:val="24"/>
                <w:szCs w:val="24"/>
                <w14:textFill>
                  <w14:solidFill>
                    <w14:schemeClr w14:val="tx1"/>
                  </w14:solidFill>
                </w14:textFill>
              </w:rPr>
              <w:t>位于遗产地之外，但多数地区仍位于风景区之内，仍以保护为主要目的。在此区内禁止打猎、垦荒等活动；对森林资源的利用必须建立可持续的机制；坡度25°以上的耕地应按照现行政策的要求退耕还林；禁止新建对环境有害的工业和采矿区，已有的要分期关闭，经环评论证允许在一定期限内继续保留的工厂与矿山，应实行严格的环境监测管理；新的大中型基础设施建设项目必须进行严格的环境评价；开展旅游时应控制游客人数，最大限度地减少对环境的负面影响；以当地物种对农业与工矿迹地进行生态重建。</w:t>
            </w:r>
          </w:p>
          <w:p w14:paraId="0099EBB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4.2.6四川大熊猫栖息地世界自然遗产主要保护对象</w:t>
            </w:r>
          </w:p>
          <w:p w14:paraId="670C7A3F">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大熊猫主要栖息地，邛崃山脉包含了目前世界上还残存野生大熊猫的六大山脉中数量最多的连续野生种群（另一个野生大熊猫数量最多的是岷山山脉），以及适宜大熊猫栖息的最大面积的潜在生境。世界自然遗产地中分布的大熊猫数量为409只，占四川省野生大熊猫总数和全国大熊猫总数，分别为29.49%和21.94%。根据大熊猫四调报告四川省野生大熊猫栖息地和潜在栖息地总面积为243.85万公顷，其中大熊猫栖息地面积202.72万公顷。</w:t>
            </w:r>
          </w:p>
          <w:p w14:paraId="5CB9BAA2">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四川大熊猫栖息地世界自然遗产主要保护对象为大熊猫及其自然栖息地。遗产地范围内有国家重点保护植物68种（含国家Ⅰ级保护植物红豆杉、珙桐、光叶珙桐3种）、国家Ⅱ级保护植物伯乐树、四川红杉等9种。国家重点保护动物79种，含国家Ⅰ级保护动物大熊猫、雪豹、金丝猴、羚牛等19种，国家Ⅱ级保护动物小熊猫、金猫、斑羚、盘羊等60种。</w:t>
            </w:r>
          </w:p>
          <w:p w14:paraId="298DEE21">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4.2.</w:t>
            </w:r>
            <w:r>
              <w:rPr>
                <w:rFonts w:hint="eastAsia"/>
                <w:b/>
                <w:bCs/>
                <w:color w:val="000000" w:themeColor="text1"/>
                <w:sz w:val="24"/>
                <w:szCs w:val="24"/>
                <w:lang w:val="en-US" w:eastAsia="zh-CN"/>
                <w14:textFill>
                  <w14:solidFill>
                    <w14:schemeClr w14:val="tx1"/>
                  </w14:solidFill>
                </w14:textFill>
              </w:rPr>
              <w:t>7</w:t>
            </w:r>
            <w:r>
              <w:rPr>
                <w:rFonts w:hint="eastAsia"/>
                <w:b/>
                <w:bCs/>
                <w:color w:val="000000" w:themeColor="text1"/>
                <w:sz w:val="24"/>
                <w:szCs w:val="24"/>
                <w14:textFill>
                  <w14:solidFill>
                    <w14:schemeClr w14:val="tx1"/>
                  </w14:solidFill>
                </w14:textFill>
              </w:rPr>
              <w:t>本项目与</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四川大熊猫栖息地世界自然遗产地</w:t>
            </w:r>
            <w:r>
              <w:rPr>
                <w:rFonts w:hint="eastAsia"/>
                <w:b/>
                <w:bCs/>
                <w:color w:val="000000" w:themeColor="text1"/>
                <w:sz w:val="24"/>
                <w:szCs w:val="24"/>
                <w14:textFill>
                  <w14:solidFill>
                    <w14:schemeClr w14:val="tx1"/>
                  </w14:solidFill>
                </w14:textFill>
              </w:rPr>
              <w:t>的关系</w:t>
            </w:r>
          </w:p>
          <w:p w14:paraId="60792260">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（1）遗产地内建设内容和布局</w:t>
            </w:r>
          </w:p>
          <w:p w14:paraId="3C41B627">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本项目在遗产地缓冲区内新建取水头部一座（设计规模3600立方米/天，包含1处取水口，1座沉砂池），取水口设计尺寸为宽8</w:t>
            </w:r>
            <w:r>
              <w:rPr>
                <w:rFonts w:hint="eastAsia"/>
                <w:color w:val="000000" w:themeColor="text1"/>
                <w:sz w:val="24"/>
                <w:szCs w:val="24"/>
                <w:lang w:val="en-US" w:eastAsia="zh-CN"/>
                <w14:textFill>
                  <w14:solidFill>
                    <w14:schemeClr w14:val="tx1"/>
                  </w14:solidFill>
                </w14:textFill>
              </w:rPr>
              <w:t>m</w:t>
            </w:r>
            <w:r>
              <w:rPr>
                <w:rFonts w:hint="eastAsia"/>
                <w:color w:val="000000" w:themeColor="text1"/>
                <w:sz w:val="24"/>
                <w:szCs w:val="24"/>
                <w14:textFill>
                  <w14:solidFill>
                    <w14:schemeClr w14:val="tx1"/>
                  </w14:solidFill>
                </w14:textFill>
              </w:rPr>
              <w:t>、长16</w:t>
            </w:r>
            <w:r>
              <w:rPr>
                <w:rFonts w:hint="eastAsia"/>
                <w:color w:val="000000" w:themeColor="text1"/>
                <w:sz w:val="24"/>
                <w:szCs w:val="24"/>
                <w:lang w:val="en-US" w:eastAsia="zh-CN"/>
                <w14:textFill>
                  <w14:solidFill>
                    <w14:schemeClr w14:val="tx1"/>
                  </w14:solidFill>
                </w14:textFill>
              </w:rPr>
              <w:t>m</w:t>
            </w:r>
            <w:r>
              <w:rPr>
                <w:rFonts w:hint="eastAsia"/>
                <w:color w:val="000000" w:themeColor="text1"/>
                <w:sz w:val="24"/>
                <w:szCs w:val="24"/>
                <w14:textFill>
                  <w14:solidFill>
                    <w14:schemeClr w14:val="tx1"/>
                  </w14:solidFill>
                </w14:textFill>
              </w:rPr>
              <w:t>，该取水口位于五里沟河道范围线内</w:t>
            </w:r>
            <w:r>
              <w:rPr>
                <w:rFonts w:hint="eastAsia" w:ascii="Times New Roman" w:hAnsi="Times New Roman" w:eastAsia="宋体" w:cs="Times New Roman"/>
                <w:color w:val="000000" w:themeColor="text1"/>
                <w:sz w:val="24"/>
                <w:szCs w:val="24"/>
                <w14:textFill>
                  <w14:solidFill>
                    <w14:schemeClr w14:val="tx1"/>
                  </w14:solidFill>
                </w14:textFill>
              </w:rPr>
              <w:t>；沉砂池设计尺寸长13</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14:textFill>
                  <w14:solidFill>
                    <w14:schemeClr w14:val="tx1"/>
                  </w14:solidFill>
                </w14:textFill>
              </w:rPr>
              <w:t>、宽</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7.25m，</w:t>
            </w:r>
            <w:r>
              <w:rPr>
                <w:rFonts w:hint="eastAsia" w:ascii="Times New Roman" w:hAnsi="Times New Roman" w:eastAsia="宋体" w:cs="Times New Roman"/>
                <w:color w:val="000000" w:themeColor="text1"/>
                <w:sz w:val="24"/>
                <w:szCs w:val="24"/>
                <w14:textFill>
                  <w14:solidFill>
                    <w14:schemeClr w14:val="tx1"/>
                  </w14:solidFill>
                </w14:textFill>
              </w:rPr>
              <w:t>高4.95</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14:textFill>
                  <w14:solidFill>
                    <w14:schemeClr w14:val="tx1"/>
                  </w14:solidFill>
                </w14:textFill>
              </w:rPr>
              <w:t>（其中地面高度为1.05</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ascii="Times New Roman" w:hAnsi="Times New Roman" w:eastAsia="宋体" w:cs="Times New Roman"/>
                <w:color w:val="000000" w:themeColor="text1"/>
                <w:sz w:val="24"/>
                <w:szCs w:val="24"/>
                <w14:textFill>
                  <w14:solidFill>
                    <w14:schemeClr w14:val="tx1"/>
                  </w14:solidFill>
                </w14:textFill>
              </w:rPr>
              <w:t>）。</w:t>
            </w:r>
          </w:p>
          <w:p w14:paraId="136438DB">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项目在遗产地缓冲区内设置1#、2#两处消能井，消能井尺寸为宽3.4</w:t>
            </w:r>
            <w:r>
              <w:rPr>
                <w:rFonts w:hint="eastAsia"/>
                <w:color w:val="000000" w:themeColor="text1"/>
                <w:sz w:val="24"/>
                <w:szCs w:val="24"/>
                <w:lang w:val="en-US" w:eastAsia="zh-CN"/>
                <w14:textFill>
                  <w14:solidFill>
                    <w14:schemeClr w14:val="tx1"/>
                  </w14:solidFill>
                </w14:textFill>
              </w:rPr>
              <w:t>m</w:t>
            </w:r>
            <w:r>
              <w:rPr>
                <w:rFonts w:hint="eastAsia"/>
                <w:color w:val="000000" w:themeColor="text1"/>
                <w:sz w:val="24"/>
                <w:szCs w:val="24"/>
                <w14:textFill>
                  <w14:solidFill>
                    <w14:schemeClr w14:val="tx1"/>
                  </w14:solidFill>
                </w14:textFill>
              </w:rPr>
              <w:t>、长5.8</w:t>
            </w:r>
            <w:r>
              <w:rPr>
                <w:rFonts w:hint="eastAsia"/>
                <w:color w:val="000000" w:themeColor="text1"/>
                <w:sz w:val="24"/>
                <w:szCs w:val="24"/>
                <w:lang w:val="en-US" w:eastAsia="zh-CN"/>
                <w14:textFill>
                  <w14:solidFill>
                    <w14:schemeClr w14:val="tx1"/>
                  </w14:solidFill>
                </w14:textFill>
              </w:rPr>
              <w:t>m</w:t>
            </w:r>
            <w:r>
              <w:rPr>
                <w:rFonts w:hint="eastAsia"/>
                <w:color w:val="000000" w:themeColor="text1"/>
                <w:sz w:val="24"/>
                <w:szCs w:val="24"/>
                <w14:textFill>
                  <w14:solidFill>
                    <w14:schemeClr w14:val="tx1"/>
                  </w14:solidFill>
                </w14:textFill>
              </w:rPr>
              <w:t>、高2.8</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color w:val="000000" w:themeColor="text1"/>
                <w:sz w:val="24"/>
                <w:szCs w:val="24"/>
                <w14:textFill>
                  <w14:solidFill>
                    <w14:schemeClr w14:val="tx1"/>
                  </w14:solidFill>
                </w14:textFill>
              </w:rPr>
              <w:t>（地面高度为0.5</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m</w:t>
            </w:r>
            <w:r>
              <w:rPr>
                <w:rFonts w:hint="eastAsia"/>
                <w:color w:val="000000" w:themeColor="text1"/>
                <w:sz w:val="24"/>
                <w:szCs w:val="24"/>
                <w14:textFill>
                  <w14:solidFill>
                    <w14:schemeClr w14:val="tx1"/>
                  </w14:solidFill>
                </w14:textFill>
              </w:rPr>
              <w:t>）。</w:t>
            </w:r>
          </w:p>
          <w:p w14:paraId="7C13E65F">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项目在遗产地缓冲区内新建管网长度为2976米，采用</w:t>
            </w:r>
            <w:r>
              <w:rPr>
                <w:rFonts w:hint="eastAsia"/>
                <w:color w:val="000000" w:themeColor="text1"/>
                <w:sz w:val="24"/>
                <w:szCs w:val="24"/>
                <w:lang w:eastAsia="zh-CN"/>
                <w14:textFill>
                  <w14:solidFill>
                    <w14:schemeClr w14:val="tx1"/>
                  </w14:solidFill>
                </w14:textFill>
              </w:rPr>
              <w:t>DN400</w:t>
            </w:r>
            <w:r>
              <w:rPr>
                <w:rFonts w:hint="eastAsia"/>
                <w:color w:val="000000" w:themeColor="text1"/>
                <w:sz w:val="24"/>
                <w:szCs w:val="24"/>
                <w14:textFill>
                  <w14:solidFill>
                    <w14:schemeClr w14:val="tx1"/>
                  </w14:solidFill>
                </w14:textFill>
              </w:rPr>
              <w:t>无缝钢管衔接，管道沿现状农村道路铺设，全部采用地埋方式。</w:t>
            </w:r>
          </w:p>
          <w:p w14:paraId="43A3A5DB">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（2）遗产地内占地面积和类型</w:t>
            </w:r>
          </w:p>
          <w:p w14:paraId="0B447D8F">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本项目在遗产地内布置的取水口、沉砂池、消能井为永久占地，其中取水口永久占地0.0128</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，沉砂池永久占地0.0095</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，两处消能井占地0.004</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，总计</w:t>
            </w:r>
            <w:r>
              <w:rPr>
                <w:rFonts w:hint="eastAsia"/>
                <w:color w:val="000000" w:themeColor="text1"/>
                <w:sz w:val="24"/>
                <w:szCs w:val="24"/>
                <w:lang w:val="en-US" w:eastAsia="zh-CN"/>
                <w14:textFill>
                  <w14:solidFill>
                    <w14:schemeClr w14:val="tx1"/>
                  </w14:solidFill>
                </w14:textFill>
              </w:rPr>
              <w:t>永久</w:t>
            </w:r>
            <w:r>
              <w:rPr>
                <w:rFonts w:hint="eastAsia"/>
                <w:color w:val="000000" w:themeColor="text1"/>
                <w:sz w:val="24"/>
                <w:szCs w:val="24"/>
                <w14:textFill>
                  <w14:solidFill>
                    <w14:schemeClr w14:val="tx1"/>
                  </w14:solidFill>
                </w14:textFill>
              </w:rPr>
              <w:t>占地面积为0.0263</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，占地类型为灌木林地和设施农用地。</w:t>
            </w:r>
          </w:p>
          <w:p w14:paraId="7A45D4A9">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项目在遗产地内</w:t>
            </w:r>
            <w:r>
              <w:rPr>
                <w:rFonts w:hint="eastAsia"/>
                <w:color w:val="000000" w:themeColor="text1"/>
                <w:sz w:val="24"/>
                <w:szCs w:val="24"/>
                <w:lang w:eastAsia="zh-CN"/>
                <w14:textFill>
                  <w14:solidFill>
                    <w14:schemeClr w14:val="tx1"/>
                  </w14:solidFill>
                </w14:textFill>
              </w:rPr>
              <w:t>其他</w:t>
            </w:r>
            <w:r>
              <w:rPr>
                <w:rFonts w:hint="eastAsia"/>
                <w:color w:val="000000" w:themeColor="text1"/>
                <w:sz w:val="24"/>
                <w:szCs w:val="24"/>
                <w14:textFill>
                  <w14:solidFill>
                    <w14:schemeClr w14:val="tx1"/>
                  </w14:solidFill>
                </w14:textFill>
              </w:rPr>
              <w:t>用地为管道埋设临时用地，未设置施工便道、拌合厂等施工设施。项目在遗产地内临时用地总面积为0.2975</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，其中，临时占用林地0.1662</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，占用草地0.0235</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，占用设施农用地0.0775</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，占用交通运输用地0.0303</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14:textFill>
                  <w14:solidFill>
                    <w14:schemeClr w14:val="tx1"/>
                  </w14:solidFill>
                </w14:textFill>
              </w:rPr>
              <w:t>。</w:t>
            </w:r>
          </w:p>
          <w:p w14:paraId="2524D04F">
            <w:pPr>
              <w:pStyle w:val="155"/>
              <w:keepNext w:val="0"/>
              <w:keepLines w:val="0"/>
              <w:pageBreakBefore w:val="0"/>
              <w:widowControl w:val="0"/>
              <w:numPr>
                <w:ilvl w:val="0"/>
                <w:numId w:val="19"/>
              </w:numPr>
              <w:kinsoku/>
              <w:wordWrap/>
              <w:overflowPunct/>
              <w:topLinePunct w:val="0"/>
              <w:autoSpaceDE/>
              <w:autoSpaceDN/>
              <w:bidi w:val="0"/>
              <w:adjustRightInd w:val="0"/>
              <w:snapToGrid w:val="0"/>
              <w:spacing w:line="240" w:lineRule="auto"/>
              <w:ind w:left="442" w:hanging="442" w:firstLineChars="0"/>
              <w:jc w:val="center"/>
              <w:textAlignment w:val="auto"/>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14:textFill>
                  <w14:solidFill>
                    <w14:schemeClr w14:val="tx1"/>
                  </w14:solidFill>
                </w14:textFill>
              </w:rPr>
              <w:t>遗产地内占地面积和类型</w:t>
            </w:r>
          </w:p>
          <w:tbl>
            <w:tblPr>
              <w:tblStyle w:val="16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33"/>
              <w:gridCol w:w="827"/>
              <w:gridCol w:w="743"/>
              <w:gridCol w:w="779"/>
              <w:gridCol w:w="777"/>
              <w:gridCol w:w="1172"/>
              <w:gridCol w:w="1062"/>
              <w:gridCol w:w="795"/>
            </w:tblGrid>
            <w:tr w14:paraId="42528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78" w:hRule="atLeast"/>
              </w:trPr>
              <w:tc>
                <w:tcPr>
                  <w:tcW w:w="1195" w:type="pct"/>
                  <w:vMerge w:val="restart"/>
                  <w:tcBorders>
                    <w:bottom w:val="nil"/>
                  </w:tcBorders>
                  <w:vAlign w:val="center"/>
                </w:tcPr>
                <w:p w14:paraId="290FFA6A">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p>
                <w:p w14:paraId="10815982">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建设内容</w:t>
                  </w:r>
                </w:p>
              </w:tc>
              <w:tc>
                <w:tcPr>
                  <w:tcW w:w="511" w:type="pct"/>
                  <w:vMerge w:val="restart"/>
                  <w:tcBorders>
                    <w:bottom w:val="nil"/>
                  </w:tcBorders>
                  <w:vAlign w:val="center"/>
                </w:tcPr>
                <w:p w14:paraId="4F49BA14">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遗产地保护分区</w:t>
                  </w:r>
                </w:p>
              </w:tc>
              <w:tc>
                <w:tcPr>
                  <w:tcW w:w="459" w:type="pct"/>
                  <w:vMerge w:val="restart"/>
                  <w:tcBorders>
                    <w:bottom w:val="nil"/>
                  </w:tcBorders>
                  <w:vAlign w:val="center"/>
                </w:tcPr>
                <w:p w14:paraId="4301B5A9">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p>
                <w:p w14:paraId="36C7CE9F">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数量</w:t>
                  </w:r>
                </w:p>
              </w:tc>
              <w:tc>
                <w:tcPr>
                  <w:tcW w:w="2832" w:type="pct"/>
                  <w:gridSpan w:val="5"/>
                  <w:vAlign w:val="center"/>
                </w:tcPr>
                <w:p w14:paraId="459D68D0">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占用土地类型及面积（公顷）</w:t>
                  </w:r>
                </w:p>
              </w:tc>
            </w:tr>
            <w:tr w14:paraId="2EBA3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195" w:type="pct"/>
                  <w:vMerge w:val="continue"/>
                  <w:tcBorders>
                    <w:top w:val="nil"/>
                  </w:tcBorders>
                  <w:vAlign w:val="center"/>
                </w:tcPr>
                <w:p w14:paraId="6A750941">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p>
              </w:tc>
              <w:tc>
                <w:tcPr>
                  <w:tcW w:w="511" w:type="pct"/>
                  <w:vMerge w:val="continue"/>
                  <w:tcBorders>
                    <w:top w:val="nil"/>
                  </w:tcBorders>
                  <w:vAlign w:val="center"/>
                </w:tcPr>
                <w:p w14:paraId="22C74277">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p>
              </w:tc>
              <w:tc>
                <w:tcPr>
                  <w:tcW w:w="459" w:type="pct"/>
                  <w:vMerge w:val="continue"/>
                  <w:tcBorders>
                    <w:top w:val="nil"/>
                  </w:tcBorders>
                  <w:vAlign w:val="center"/>
                </w:tcPr>
                <w:p w14:paraId="4B523171">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p>
              </w:tc>
              <w:tc>
                <w:tcPr>
                  <w:tcW w:w="481" w:type="pct"/>
                  <w:vAlign w:val="center"/>
                </w:tcPr>
                <w:p w14:paraId="1E031C3D">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林地</w:t>
                  </w:r>
                </w:p>
              </w:tc>
              <w:tc>
                <w:tcPr>
                  <w:tcW w:w="480" w:type="pct"/>
                  <w:vAlign w:val="center"/>
                </w:tcPr>
                <w:p w14:paraId="1DB6DF03">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草地</w:t>
                  </w:r>
                </w:p>
              </w:tc>
              <w:tc>
                <w:tcPr>
                  <w:tcW w:w="724" w:type="pct"/>
                  <w:vAlign w:val="center"/>
                </w:tcPr>
                <w:p w14:paraId="1599B27F">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其他土地（</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设施农用地</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w:t>
                  </w:r>
                </w:p>
              </w:tc>
              <w:tc>
                <w:tcPr>
                  <w:tcW w:w="656" w:type="pct"/>
                  <w:vAlign w:val="center"/>
                </w:tcPr>
                <w:p w14:paraId="5C79F7C6">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交通运输用地</w:t>
                  </w:r>
                </w:p>
              </w:tc>
              <w:tc>
                <w:tcPr>
                  <w:tcW w:w="488" w:type="pct"/>
                  <w:vAlign w:val="center"/>
                </w:tcPr>
                <w:p w14:paraId="776C3BBC">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合计</w:t>
                  </w:r>
                </w:p>
              </w:tc>
            </w:tr>
            <w:tr w14:paraId="00A58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195" w:type="pct"/>
                  <w:vAlign w:val="center"/>
                </w:tcPr>
                <w:p w14:paraId="251026AA">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取水头部（取水口）</w:t>
                  </w:r>
                </w:p>
              </w:tc>
              <w:tc>
                <w:tcPr>
                  <w:tcW w:w="511" w:type="pct"/>
                  <w:vAlign w:val="center"/>
                </w:tcPr>
                <w:p w14:paraId="09B06A91">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缓冲区</w:t>
                  </w:r>
                </w:p>
              </w:tc>
              <w:tc>
                <w:tcPr>
                  <w:tcW w:w="459" w:type="pct"/>
                  <w:vAlign w:val="center"/>
                </w:tcPr>
                <w:p w14:paraId="3ADBB24A">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1处</w:t>
                  </w:r>
                </w:p>
              </w:tc>
              <w:tc>
                <w:tcPr>
                  <w:tcW w:w="481" w:type="pct"/>
                  <w:vAlign w:val="center"/>
                </w:tcPr>
                <w:p w14:paraId="00B56483">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0.0128</w:t>
                  </w:r>
                </w:p>
              </w:tc>
              <w:tc>
                <w:tcPr>
                  <w:tcW w:w="480" w:type="pct"/>
                  <w:vAlign w:val="center"/>
                </w:tcPr>
                <w:p w14:paraId="7F011BD0">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c>
                <w:tcPr>
                  <w:tcW w:w="724" w:type="pct"/>
                  <w:vAlign w:val="center"/>
                </w:tcPr>
                <w:p w14:paraId="5D7A6332">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c>
                <w:tcPr>
                  <w:tcW w:w="656" w:type="pct"/>
                  <w:vAlign w:val="center"/>
                </w:tcPr>
                <w:p w14:paraId="2CADEBD7">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c>
                <w:tcPr>
                  <w:tcW w:w="488" w:type="pct"/>
                  <w:vAlign w:val="center"/>
                </w:tcPr>
                <w:p w14:paraId="39415CF3">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0.0128</w:t>
                  </w:r>
                </w:p>
              </w:tc>
            </w:tr>
            <w:tr w14:paraId="63C8B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195" w:type="pct"/>
                  <w:vAlign w:val="center"/>
                </w:tcPr>
                <w:p w14:paraId="64C43DAF">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取水头部（沉砂池）</w:t>
                  </w:r>
                </w:p>
              </w:tc>
              <w:tc>
                <w:tcPr>
                  <w:tcW w:w="511" w:type="pct"/>
                  <w:vAlign w:val="center"/>
                </w:tcPr>
                <w:p w14:paraId="0874C39E">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缓冲区</w:t>
                  </w:r>
                </w:p>
              </w:tc>
              <w:tc>
                <w:tcPr>
                  <w:tcW w:w="459" w:type="pct"/>
                  <w:vAlign w:val="center"/>
                </w:tcPr>
                <w:p w14:paraId="3C25C9B8">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1处</w:t>
                  </w:r>
                </w:p>
              </w:tc>
              <w:tc>
                <w:tcPr>
                  <w:tcW w:w="481" w:type="pct"/>
                  <w:vAlign w:val="center"/>
                </w:tcPr>
                <w:p w14:paraId="11762382">
                  <w:pPr>
                    <w:widowControl w:val="0"/>
                    <w:autoSpaceDE w:val="0"/>
                    <w:autoSpaceDN w:val="0"/>
                    <w:spacing w:line="240" w:lineRule="exact"/>
                    <w:jc w:val="cente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0.009</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5</w:t>
                  </w:r>
                </w:p>
              </w:tc>
              <w:tc>
                <w:tcPr>
                  <w:tcW w:w="480" w:type="pct"/>
                  <w:vAlign w:val="center"/>
                </w:tcPr>
                <w:p w14:paraId="48672D62">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c>
                <w:tcPr>
                  <w:tcW w:w="724" w:type="pct"/>
                  <w:vAlign w:val="center"/>
                </w:tcPr>
                <w:p w14:paraId="1ED063AF">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c>
                <w:tcPr>
                  <w:tcW w:w="656" w:type="pct"/>
                  <w:vAlign w:val="center"/>
                </w:tcPr>
                <w:p w14:paraId="143FBB0C">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c>
                <w:tcPr>
                  <w:tcW w:w="488" w:type="pct"/>
                  <w:vAlign w:val="center"/>
                </w:tcPr>
                <w:p w14:paraId="49292FD7">
                  <w:pPr>
                    <w:widowControl w:val="0"/>
                    <w:autoSpaceDE w:val="0"/>
                    <w:autoSpaceDN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0.009</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5</w:t>
                  </w:r>
                </w:p>
              </w:tc>
            </w:tr>
            <w:tr w14:paraId="68463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195" w:type="pct"/>
                  <w:vAlign w:val="center"/>
                </w:tcPr>
                <w:p w14:paraId="158EA945">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配套设施（消能井）</w:t>
                  </w:r>
                </w:p>
              </w:tc>
              <w:tc>
                <w:tcPr>
                  <w:tcW w:w="511" w:type="pct"/>
                  <w:vAlign w:val="center"/>
                </w:tcPr>
                <w:p w14:paraId="19D30231">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缓冲区</w:t>
                  </w:r>
                </w:p>
              </w:tc>
              <w:tc>
                <w:tcPr>
                  <w:tcW w:w="459" w:type="pct"/>
                  <w:vAlign w:val="center"/>
                </w:tcPr>
                <w:p w14:paraId="1FBA16DB">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2处</w:t>
                  </w:r>
                </w:p>
              </w:tc>
              <w:tc>
                <w:tcPr>
                  <w:tcW w:w="481" w:type="pct"/>
                  <w:vAlign w:val="center"/>
                </w:tcPr>
                <w:p w14:paraId="41C3BA45">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0.0021</w:t>
                  </w:r>
                </w:p>
              </w:tc>
              <w:tc>
                <w:tcPr>
                  <w:tcW w:w="480" w:type="pct"/>
                  <w:vAlign w:val="center"/>
                </w:tcPr>
                <w:p w14:paraId="123D7A9C">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c>
                <w:tcPr>
                  <w:tcW w:w="724" w:type="pct"/>
                  <w:vAlign w:val="center"/>
                </w:tcPr>
                <w:p w14:paraId="2BDCD1B9">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0.0019</w:t>
                  </w:r>
                </w:p>
              </w:tc>
              <w:tc>
                <w:tcPr>
                  <w:tcW w:w="656" w:type="pct"/>
                  <w:vAlign w:val="center"/>
                </w:tcPr>
                <w:p w14:paraId="340E9303">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c>
                <w:tcPr>
                  <w:tcW w:w="488" w:type="pct"/>
                  <w:vAlign w:val="center"/>
                </w:tcPr>
                <w:p w14:paraId="65999AF0">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0.0040</w:t>
                  </w:r>
                </w:p>
              </w:tc>
            </w:tr>
            <w:tr w14:paraId="2A020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195" w:type="pct"/>
                  <w:vAlign w:val="center"/>
                </w:tcPr>
                <w:p w14:paraId="70104DD2">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输水管道</w:t>
                  </w:r>
                </w:p>
              </w:tc>
              <w:tc>
                <w:tcPr>
                  <w:tcW w:w="511" w:type="pct"/>
                  <w:vAlign w:val="center"/>
                </w:tcPr>
                <w:p w14:paraId="032E68FA">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缓冲区</w:t>
                  </w:r>
                </w:p>
              </w:tc>
              <w:tc>
                <w:tcPr>
                  <w:tcW w:w="459" w:type="pct"/>
                  <w:vAlign w:val="center"/>
                </w:tcPr>
                <w:p w14:paraId="75D91E2C">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2976米</w:t>
                  </w:r>
                </w:p>
              </w:tc>
              <w:tc>
                <w:tcPr>
                  <w:tcW w:w="481" w:type="pct"/>
                  <w:vAlign w:val="center"/>
                </w:tcPr>
                <w:p w14:paraId="0B129EEC">
                  <w:pPr>
                    <w:widowControl w:val="0"/>
                    <w:autoSpaceDE w:val="0"/>
                    <w:autoSpaceDN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0.166</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3</w:t>
                  </w:r>
                </w:p>
              </w:tc>
              <w:tc>
                <w:tcPr>
                  <w:tcW w:w="480" w:type="pct"/>
                  <w:vAlign w:val="center"/>
                </w:tcPr>
                <w:p w14:paraId="6AA197F6">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0.0235</w:t>
                  </w:r>
                </w:p>
              </w:tc>
              <w:tc>
                <w:tcPr>
                  <w:tcW w:w="724" w:type="pct"/>
                  <w:vAlign w:val="center"/>
                </w:tcPr>
                <w:p w14:paraId="50020E5A">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0.0775</w:t>
                  </w:r>
                </w:p>
              </w:tc>
              <w:tc>
                <w:tcPr>
                  <w:tcW w:w="656" w:type="pct"/>
                  <w:vAlign w:val="center"/>
                </w:tcPr>
                <w:p w14:paraId="4F9654D3">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0.0303</w:t>
                  </w:r>
                </w:p>
              </w:tc>
              <w:tc>
                <w:tcPr>
                  <w:tcW w:w="488" w:type="pct"/>
                  <w:vAlign w:val="center"/>
                </w:tcPr>
                <w:p w14:paraId="52BB4F1A">
                  <w:pPr>
                    <w:widowControl w:val="0"/>
                    <w:autoSpaceDE w:val="0"/>
                    <w:autoSpaceDN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0.297</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5</w:t>
                  </w:r>
                </w:p>
              </w:tc>
            </w:tr>
            <w:tr w14:paraId="195FF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 w:hRule="atLeast"/>
              </w:trPr>
              <w:tc>
                <w:tcPr>
                  <w:tcW w:w="1195" w:type="pct"/>
                  <w:vAlign w:val="center"/>
                </w:tcPr>
                <w:p w14:paraId="612ECF04">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总计</w:t>
                  </w:r>
                </w:p>
              </w:tc>
              <w:tc>
                <w:tcPr>
                  <w:tcW w:w="511" w:type="pct"/>
                  <w:vAlign w:val="center"/>
                </w:tcPr>
                <w:p w14:paraId="724859F6">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缓冲区</w:t>
                  </w:r>
                </w:p>
              </w:tc>
              <w:tc>
                <w:tcPr>
                  <w:tcW w:w="459" w:type="pct"/>
                  <w:vAlign w:val="center"/>
                </w:tcPr>
                <w:p w14:paraId="6017344E">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w:t>
                  </w:r>
                </w:p>
              </w:tc>
              <w:tc>
                <w:tcPr>
                  <w:tcW w:w="481" w:type="pct"/>
                  <w:vAlign w:val="center"/>
                </w:tcPr>
                <w:p w14:paraId="312ADA60">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0.1906</w:t>
                  </w:r>
                </w:p>
              </w:tc>
              <w:tc>
                <w:tcPr>
                  <w:tcW w:w="480" w:type="pct"/>
                  <w:vAlign w:val="center"/>
                </w:tcPr>
                <w:p w14:paraId="36312681">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0.0235</w:t>
                  </w:r>
                </w:p>
              </w:tc>
              <w:tc>
                <w:tcPr>
                  <w:tcW w:w="724" w:type="pct"/>
                  <w:vAlign w:val="center"/>
                </w:tcPr>
                <w:p w14:paraId="409D5FEB">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0.0794</w:t>
                  </w:r>
                </w:p>
              </w:tc>
              <w:tc>
                <w:tcPr>
                  <w:tcW w:w="656" w:type="pct"/>
                  <w:vAlign w:val="center"/>
                </w:tcPr>
                <w:p w14:paraId="6AA9A4A6">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0.0303</w:t>
                  </w:r>
                </w:p>
              </w:tc>
              <w:tc>
                <w:tcPr>
                  <w:tcW w:w="488" w:type="pct"/>
                  <w:vAlign w:val="center"/>
                </w:tcPr>
                <w:p w14:paraId="74FE7AF8">
                  <w:pPr>
                    <w:widowControl w:val="0"/>
                    <w:autoSpaceDE w:val="0"/>
                    <w:autoSpaceDN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0.3238</w:t>
                  </w:r>
                </w:p>
              </w:tc>
            </w:tr>
          </w:tbl>
          <w:p w14:paraId="5CCA20FF">
            <w:pPr>
              <w:pStyle w:val="16"/>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textAlignment w:val="auto"/>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4.3项目区生态环境现状</w:t>
            </w:r>
          </w:p>
          <w:p w14:paraId="5160B7AB">
            <w:pPr>
              <w:pStyle w:val="16"/>
              <w:bidi w:val="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4.3.1生态调查范围</w:t>
            </w:r>
          </w:p>
          <w:p w14:paraId="0672FD95">
            <w:pPr>
              <w:pStyle w:val="16"/>
              <w:spacing w:line="360" w:lineRule="auto"/>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根据</w:t>
            </w:r>
            <w:r>
              <w:rPr>
                <w:color w:val="000000" w:themeColor="text1"/>
                <w:sz w:val="24"/>
                <w:szCs w:val="24"/>
                <w14:textFill>
                  <w14:solidFill>
                    <w14:schemeClr w14:val="tx1"/>
                  </w14:solidFill>
                </w14:textFill>
              </w:rPr>
              <w:t>《建设项目环境影响报告表编制指南》（生态影响类）（试行），需调查项目用地及周边与项目生态环境影响相关的生态环境现状。参照《环境影响评价技术导则——生态环境》（HJ19-2022），线性工程涉及生态敏感区时，以线路穿越段向两端外延1km、线路中心线向两侧外延1km为参考评价范围；穿越非生态敏感区时，以线路中心线向两侧外延300m为参考评价范围。</w:t>
            </w:r>
          </w:p>
          <w:p w14:paraId="0476E42C">
            <w:pPr>
              <w:pStyle w:val="16"/>
              <w:spacing w:line="360" w:lineRule="auto"/>
              <w:ind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根据工程布置及外环境关系，确定本项目生态影响</w:t>
            </w:r>
            <w:r>
              <w:rPr>
                <w:rFonts w:hint="eastAsia"/>
                <w:color w:val="000000" w:themeColor="text1"/>
                <w:sz w:val="24"/>
                <w:szCs w:val="24"/>
                <w14:textFill>
                  <w14:solidFill>
                    <w14:schemeClr w14:val="tx1"/>
                  </w14:solidFill>
                </w14:textFill>
              </w:rPr>
              <w:t>调查</w:t>
            </w:r>
            <w:r>
              <w:rPr>
                <w:color w:val="000000" w:themeColor="text1"/>
                <w:sz w:val="24"/>
                <w:szCs w:val="24"/>
                <w14:textFill>
                  <w14:solidFill>
                    <w14:schemeClr w14:val="tx1"/>
                  </w14:solidFill>
                </w14:textFill>
              </w:rPr>
              <w:t>范围为：</w:t>
            </w:r>
            <w:r>
              <w:rPr>
                <w:rFonts w:hint="eastAsia"/>
                <w:color w:val="000000" w:themeColor="text1"/>
                <w:sz w:val="24"/>
                <w:szCs w:val="24"/>
                <w14:textFill>
                  <w14:solidFill>
                    <w14:schemeClr w14:val="tx1"/>
                  </w14:solidFill>
                </w14:textFill>
              </w:rPr>
              <w:t>位于</w:t>
            </w:r>
            <w:r>
              <w:rPr>
                <w:rFonts w:hint="eastAsia"/>
                <w:color w:val="000000" w:themeColor="text1"/>
                <w:spacing w:val="-1"/>
                <w:sz w:val="24"/>
                <w:szCs w:val="24"/>
                <w:lang w:eastAsia="zh-CN"/>
                <w14:textFill>
                  <w14:solidFill>
                    <w14:schemeClr w14:val="tx1"/>
                  </w14:solidFill>
                </w14:textFill>
              </w:rPr>
              <w:t>四川大熊猫栖息地世界自然遗产地</w:t>
            </w:r>
            <w:r>
              <w:rPr>
                <w:rFonts w:hint="eastAsia"/>
                <w:color w:val="000000" w:themeColor="text1"/>
                <w:sz w:val="24"/>
                <w:szCs w:val="24"/>
                <w14:textFill>
                  <w14:solidFill>
                    <w14:schemeClr w14:val="tx1"/>
                  </w14:solidFill>
                </w14:textFill>
              </w:rPr>
              <w:t>内</w:t>
            </w:r>
            <w:r>
              <w:rPr>
                <w:rFonts w:hint="eastAsia"/>
                <w:color w:val="000000" w:themeColor="text1"/>
                <w:sz w:val="24"/>
                <w:szCs w:val="24"/>
                <w:lang w:eastAsia="zh-CN"/>
                <w14:textFill>
                  <w14:solidFill>
                    <w14:schemeClr w14:val="tx1"/>
                  </w14:solidFill>
                </w14:textFill>
              </w:rPr>
              <w:t>的</w:t>
            </w:r>
            <w:r>
              <w:rPr>
                <w:rFonts w:hint="eastAsia"/>
                <w:color w:val="000000" w:themeColor="text1"/>
                <w:sz w:val="24"/>
                <w:szCs w:val="24"/>
                <w14:textFill>
                  <w14:solidFill>
                    <w14:schemeClr w14:val="tx1"/>
                  </w14:solidFill>
                </w14:textFill>
              </w:rPr>
              <w:t>供水管道</w:t>
            </w:r>
            <w:r>
              <w:rPr>
                <w:color w:val="000000" w:themeColor="text1"/>
                <w:sz w:val="24"/>
                <w:szCs w:val="24"/>
                <w14:textFill>
                  <w14:solidFill>
                    <w14:schemeClr w14:val="tx1"/>
                  </w14:solidFill>
                </w14:textFill>
              </w:rPr>
              <w:t>以</w:t>
            </w:r>
            <w:r>
              <w:rPr>
                <w:rFonts w:hint="eastAsia"/>
                <w:color w:val="000000" w:themeColor="text1"/>
                <w:sz w:val="24"/>
                <w:szCs w:val="24"/>
                <w14:textFill>
                  <w14:solidFill>
                    <w14:schemeClr w14:val="tx1"/>
                  </w14:solidFill>
                </w14:textFill>
              </w:rPr>
              <w:t>管道</w:t>
            </w:r>
            <w:r>
              <w:rPr>
                <w:color w:val="000000" w:themeColor="text1"/>
                <w:sz w:val="24"/>
                <w:szCs w:val="24"/>
                <w14:textFill>
                  <w14:solidFill>
                    <w14:schemeClr w14:val="tx1"/>
                  </w14:solidFill>
                </w14:textFill>
              </w:rPr>
              <w:t>两端外延1km、</w:t>
            </w:r>
            <w:r>
              <w:rPr>
                <w:rFonts w:hint="eastAsia"/>
                <w:color w:val="000000" w:themeColor="text1"/>
                <w:sz w:val="24"/>
                <w:szCs w:val="24"/>
                <w14:textFill>
                  <w14:solidFill>
                    <w14:schemeClr w14:val="tx1"/>
                  </w14:solidFill>
                </w14:textFill>
              </w:rPr>
              <w:t>管道</w:t>
            </w:r>
            <w:r>
              <w:rPr>
                <w:color w:val="000000" w:themeColor="text1"/>
                <w:sz w:val="24"/>
                <w:szCs w:val="24"/>
                <w14:textFill>
                  <w14:solidFill>
                    <w14:schemeClr w14:val="tx1"/>
                  </w14:solidFill>
                </w14:textFill>
              </w:rPr>
              <w:t>中心线向两侧外延1km为评价范围，其他</w:t>
            </w:r>
            <w:r>
              <w:rPr>
                <w:rFonts w:hint="eastAsia"/>
                <w:color w:val="000000" w:themeColor="text1"/>
                <w:sz w:val="24"/>
                <w:szCs w:val="24"/>
                <w14:textFill>
                  <w14:solidFill>
                    <w14:schemeClr w14:val="tx1"/>
                  </w14:solidFill>
                </w14:textFill>
              </w:rPr>
              <w:t>管</w:t>
            </w:r>
            <w:r>
              <w:rPr>
                <w:color w:val="000000" w:themeColor="text1"/>
                <w:sz w:val="24"/>
                <w:szCs w:val="24"/>
                <w14:textFill>
                  <w14:solidFill>
                    <w14:schemeClr w14:val="tx1"/>
                  </w14:solidFill>
                </w14:textFill>
              </w:rPr>
              <w:t>道以线路中心线向两侧外延300m为参考评价范围，最终确定评价区总面积约为</w:t>
            </w:r>
            <w:r>
              <w:rPr>
                <w:rFonts w:hint="eastAsia"/>
                <w:color w:val="000000" w:themeColor="text1"/>
                <w:sz w:val="24"/>
                <w:szCs w:val="24"/>
                <w:lang w:eastAsia="zh-CN"/>
                <w14:textFill>
                  <w14:solidFill>
                    <w14:schemeClr w14:val="tx1"/>
                  </w14:solidFill>
                </w14:textFill>
              </w:rPr>
              <w:t>1139.79</w:t>
            </w:r>
            <w:r>
              <w:rPr>
                <w:color w:val="000000" w:themeColor="text1"/>
                <w:sz w:val="24"/>
                <w:szCs w:val="24"/>
                <w14:textFill>
                  <w14:solidFill>
                    <w14:schemeClr w14:val="tx1"/>
                  </w14:solidFill>
                </w14:textFill>
              </w:rPr>
              <w:t>hm</w:t>
            </w:r>
            <w:r>
              <w:rPr>
                <w:color w:val="000000" w:themeColor="text1"/>
                <w:sz w:val="24"/>
                <w:szCs w:val="24"/>
                <w:vertAlign w:val="superscript"/>
                <w14:textFill>
                  <w14:solidFill>
                    <w14:schemeClr w14:val="tx1"/>
                  </w14:solidFill>
                </w14:textFill>
              </w:rPr>
              <w:t>2</w:t>
            </w:r>
            <w:r>
              <w:rPr>
                <w:color w:val="000000" w:themeColor="text1"/>
                <w:sz w:val="24"/>
                <w:szCs w:val="24"/>
                <w14:textFill>
                  <w14:solidFill>
                    <w14:schemeClr w14:val="tx1"/>
                  </w14:solidFill>
                </w14:textFill>
              </w:rPr>
              <w:t>。</w:t>
            </w:r>
          </w:p>
          <w:p w14:paraId="601C1172">
            <w:pPr>
              <w:pStyle w:val="16"/>
              <w:spacing w:line="360" w:lineRule="auto"/>
              <w:ind w:firstLine="480"/>
              <w:rPr>
                <w:color w:val="000000" w:themeColor="text1"/>
                <w:sz w:val="24"/>
                <w:szCs w:val="24"/>
                <w:highlight w:val="yellow"/>
                <w14:textFill>
                  <w14:solidFill>
                    <w14:schemeClr w14:val="tx1"/>
                  </w14:solidFill>
                </w14:textFill>
              </w:rPr>
            </w:pPr>
            <w:r>
              <w:rPr>
                <w:rFonts w:hint="eastAsia"/>
                <w:color w:val="000000" w:themeColor="text1"/>
                <w:sz w:val="24"/>
                <w:szCs w:val="24"/>
                <w14:textFill>
                  <w14:solidFill>
                    <w14:schemeClr w14:val="tx1"/>
                  </w14:solidFill>
                </w14:textFill>
              </w:rPr>
              <w:t>本项目直接占地面积为</w:t>
            </w:r>
            <w:r>
              <w:rPr>
                <w:rFonts w:hint="eastAsia"/>
                <w:color w:val="000000" w:themeColor="text1"/>
                <w:sz w:val="24"/>
                <w:szCs w:val="24"/>
                <w:lang w:val="en-US" w:eastAsia="zh-CN"/>
                <w14:textFill>
                  <w14:solidFill>
                    <w14:schemeClr w14:val="tx1"/>
                  </w14:solidFill>
                </w14:textFill>
              </w:rPr>
              <w:t>0.3238</w:t>
            </w:r>
            <w:r>
              <w:rPr>
                <w:rFonts w:hint="eastAsia"/>
                <w:color w:val="000000" w:themeColor="text1"/>
                <w:sz w:val="24"/>
                <w:szCs w:val="24"/>
                <w14:textFill>
                  <w14:solidFill>
                    <w14:schemeClr w14:val="tx1"/>
                  </w14:solidFill>
                </w14:textFill>
              </w:rPr>
              <w:t>hm</w:t>
            </w:r>
            <w:r>
              <w:rPr>
                <w:rFonts w:hint="eastAsia"/>
                <w:color w:val="000000" w:themeColor="text1"/>
                <w:sz w:val="24"/>
                <w:szCs w:val="24"/>
                <w:vertAlign w:val="superscript"/>
                <w14:textFill>
                  <w14:solidFill>
                    <w14:schemeClr w14:val="tx1"/>
                  </w14:solidFill>
                </w14:textFill>
              </w:rPr>
              <w:t>2</w:t>
            </w:r>
            <w:r>
              <w:rPr>
                <w:rFonts w:hint="eastAsia"/>
                <w:color w:val="000000" w:themeColor="text1"/>
                <w:sz w:val="24"/>
                <w:szCs w:val="24"/>
                <w14:textFill>
                  <w14:solidFill>
                    <w14:schemeClr w14:val="tx1"/>
                  </w14:solidFill>
                </w14:textFill>
              </w:rPr>
              <w:t>，占评价区总面积的0.</w:t>
            </w:r>
            <w:r>
              <w:rPr>
                <w:rFonts w:hint="eastAsia"/>
                <w:color w:val="000000" w:themeColor="text1"/>
                <w:sz w:val="24"/>
                <w:szCs w:val="24"/>
                <w:lang w:val="en-US" w:eastAsia="zh-CN"/>
                <w14:textFill>
                  <w14:solidFill>
                    <w14:schemeClr w14:val="tx1"/>
                  </w14:solidFill>
                </w14:textFill>
              </w:rPr>
              <w:t>028</w:t>
            </w:r>
            <w:r>
              <w:rPr>
                <w:rFonts w:hint="eastAsia"/>
                <w:color w:val="000000" w:themeColor="text1"/>
                <w:sz w:val="24"/>
                <w:szCs w:val="24"/>
                <w14:textFill>
                  <w14:solidFill>
                    <w14:schemeClr w14:val="tx1"/>
                  </w14:solidFill>
                </w14:textFill>
              </w:rPr>
              <w:t>%。</w:t>
            </w:r>
          </w:p>
          <w:p w14:paraId="2FD63BB9">
            <w:pPr>
              <w:spacing w:line="360" w:lineRule="auto"/>
              <w:ind w:firstLine="480"/>
              <w:rPr>
                <w:rFonts w:ascii="Times New Roman" w:hAnsi="Times New Roman"/>
                <w:b/>
                <w:bCs/>
                <w:color w:val="000000" w:themeColor="text1"/>
                <w:sz w:val="24"/>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4.3.2生态调查内容及方法</w:t>
            </w:r>
          </w:p>
          <w:p w14:paraId="48BE04F8">
            <w:pPr>
              <w:adjustRightInd w:val="0"/>
              <w:spacing w:line="360" w:lineRule="auto"/>
              <w:ind w:firstLine="482" w:firstLineChars="200"/>
              <w:rPr>
                <w:rFonts w:ascii="Times New Roman" w:hAnsi="Times New Roman"/>
                <w:b/>
                <w:color w:val="000000" w:themeColor="text1"/>
                <w:sz w:val="24"/>
                <w14:textFill>
                  <w14:solidFill>
                    <w14:schemeClr w14:val="tx1"/>
                  </w14:solidFill>
                </w14:textFill>
              </w:rPr>
            </w:pPr>
            <w:r>
              <w:rPr>
                <w:rFonts w:hint="eastAsia" w:ascii="Times New Roman" w:hAnsi="Times New Roman"/>
                <w:b/>
                <w:color w:val="000000" w:themeColor="text1"/>
                <w:sz w:val="24"/>
                <w14:textFill>
                  <w14:solidFill>
                    <w14:schemeClr w14:val="tx1"/>
                  </w14:solidFill>
                </w14:textFill>
              </w:rPr>
              <w:t>1、</w:t>
            </w:r>
            <w:r>
              <w:rPr>
                <w:rFonts w:ascii="Times New Roman" w:hAnsi="Times New Roman"/>
                <w:b/>
                <w:color w:val="000000" w:themeColor="text1"/>
                <w:sz w:val="24"/>
                <w14:textFill>
                  <w14:solidFill>
                    <w14:schemeClr w14:val="tx1"/>
                  </w14:solidFill>
                </w14:textFill>
              </w:rPr>
              <w:t>调查内容</w:t>
            </w:r>
          </w:p>
          <w:p w14:paraId="3CD172FD">
            <w:pPr>
              <w:adjustRightInd w:val="0"/>
              <w:spacing w:line="360" w:lineRule="auto"/>
              <w:ind w:firstLine="482" w:firstLineChars="200"/>
              <w:rPr>
                <w:rFonts w:ascii="Times New Roman" w:hAnsi="Times New Roman"/>
                <w:b/>
                <w:color w:val="000000" w:themeColor="text1"/>
                <w:sz w:val="24"/>
                <w14:textFill>
                  <w14:solidFill>
                    <w14:schemeClr w14:val="tx1"/>
                  </w14:solidFill>
                </w14:textFill>
              </w:rPr>
            </w:pPr>
            <w:r>
              <w:rPr>
                <w:rFonts w:hint="eastAsia" w:ascii="Times New Roman" w:hAnsi="Times New Roman"/>
                <w:b/>
                <w:color w:val="000000" w:themeColor="text1"/>
                <w:sz w:val="24"/>
                <w14:textFill>
                  <w14:solidFill>
                    <w14:schemeClr w14:val="tx1"/>
                  </w14:solidFill>
                </w14:textFill>
              </w:rPr>
              <w:t>（1）</w:t>
            </w:r>
            <w:r>
              <w:rPr>
                <w:rFonts w:ascii="Times New Roman" w:hAnsi="Times New Roman"/>
                <w:b/>
                <w:color w:val="000000" w:themeColor="text1"/>
                <w:sz w:val="24"/>
                <w14:textFill>
                  <w14:solidFill>
                    <w14:schemeClr w14:val="tx1"/>
                  </w14:solidFill>
                </w14:textFill>
              </w:rPr>
              <w:t>植物调查</w:t>
            </w:r>
          </w:p>
          <w:p w14:paraId="4A352608">
            <w:pPr>
              <w:adjustRightIn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植物调查主要调查评价区域内的植物物种组成，调查受保护的植物、关键种、建群种和特有种，以及天然的重要经济物种等，明确其分布特征、生长环境，重点调查评价区域内有无国家和地方重点保护野生植物的种类、数量和分布情况，是否分布有《中国生物多样性红色名录》中列为极危、濒危和易危的物种，国家和地方列入拯救保护的极小种群物种、特有种，以及评价区域内可能存在的古树名木等，并确定其保护范围，如对古树名木造成影响的，提出明确的保护措施。重点调查工程占地区周边的植物种类。</w:t>
            </w:r>
          </w:p>
          <w:p w14:paraId="7400DDBD">
            <w:pPr>
              <w:adjustRightInd w:val="0"/>
              <w:spacing w:line="360" w:lineRule="auto"/>
              <w:ind w:firstLine="482" w:firstLineChars="200"/>
              <w:rPr>
                <w:rFonts w:ascii="Times New Roman" w:hAnsi="Times New Roman"/>
                <w:b/>
                <w:color w:val="000000" w:themeColor="text1"/>
                <w:sz w:val="24"/>
                <w14:textFill>
                  <w14:solidFill>
                    <w14:schemeClr w14:val="tx1"/>
                  </w14:solidFill>
                </w14:textFill>
              </w:rPr>
            </w:pPr>
            <w:r>
              <w:rPr>
                <w:rFonts w:hint="eastAsia" w:ascii="Times New Roman" w:hAnsi="Times New Roman"/>
                <w:b/>
                <w:color w:val="000000" w:themeColor="text1"/>
                <w:sz w:val="24"/>
                <w14:textFill>
                  <w14:solidFill>
                    <w14:schemeClr w14:val="tx1"/>
                  </w14:solidFill>
                </w14:textFill>
              </w:rPr>
              <w:t>（2）</w:t>
            </w:r>
            <w:r>
              <w:rPr>
                <w:rFonts w:ascii="Times New Roman" w:hAnsi="Times New Roman"/>
                <w:b/>
                <w:color w:val="000000" w:themeColor="text1"/>
                <w:sz w:val="24"/>
                <w14:textFill>
                  <w14:solidFill>
                    <w14:schemeClr w14:val="tx1"/>
                  </w14:solidFill>
                </w14:textFill>
              </w:rPr>
              <w:t>植被类型</w:t>
            </w:r>
          </w:p>
          <w:p w14:paraId="60479DE2">
            <w:pPr>
              <w:adjustRightIn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根据国内外研究学者对植被类型划分方法，调查评价区域内群落结构，并划分植被类型（具体到群系优势种），主要植被群系的群落结构以及景观生态结构和特点。根据植被的类型情况，并结合工程的特点进行绘制的样方布置图、植被类型图等展现植被总体情况。</w:t>
            </w:r>
          </w:p>
          <w:p w14:paraId="3680DB9E">
            <w:pPr>
              <w:adjustRightInd w:val="0"/>
              <w:spacing w:line="360" w:lineRule="auto"/>
              <w:ind w:firstLine="482" w:firstLineChars="200"/>
              <w:rPr>
                <w:rFonts w:ascii="Times New Roman" w:hAnsi="Times New Roman"/>
                <w:b/>
                <w:color w:val="000000" w:themeColor="text1"/>
                <w:sz w:val="24"/>
                <w14:textFill>
                  <w14:solidFill>
                    <w14:schemeClr w14:val="tx1"/>
                  </w14:solidFill>
                </w14:textFill>
              </w:rPr>
            </w:pPr>
            <w:r>
              <w:rPr>
                <w:rFonts w:hint="eastAsia" w:ascii="Times New Roman" w:hAnsi="Times New Roman"/>
                <w:b/>
                <w:color w:val="000000" w:themeColor="text1"/>
                <w:sz w:val="24"/>
                <w14:textFill>
                  <w14:solidFill>
                    <w14:schemeClr w14:val="tx1"/>
                  </w14:solidFill>
                </w14:textFill>
              </w:rPr>
              <w:t>（3）</w:t>
            </w:r>
            <w:r>
              <w:rPr>
                <w:rFonts w:ascii="Times New Roman" w:hAnsi="Times New Roman"/>
                <w:b/>
                <w:color w:val="000000" w:themeColor="text1"/>
                <w:sz w:val="24"/>
                <w14:textFill>
                  <w14:solidFill>
                    <w14:schemeClr w14:val="tx1"/>
                  </w14:solidFill>
                </w14:textFill>
              </w:rPr>
              <w:t>动物调查</w:t>
            </w:r>
          </w:p>
          <w:p w14:paraId="08760130">
            <w:pPr>
              <w:adjustRightIn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结合资料的查阅及现场走访、调查等方式，调查评价区域内陆生动物的分布种类及数量，调查评价区域内已有动物的空间活动范围，重点调查评价区域内是否有国家和地方重点保护野生动物，是否分布有《中国生物多样性红色名录》中列为极危、濒危和易危的物种，国家和地方列入拯救保护的极小种群物种、特有种，并调查数量和分布情况以及栖息地，根据调查判断是否分布有重要物种的天然集中分布区、栖息地，是否有迁徙鸟类的重要繁殖地、停歇地、越冬地、野生动物迁徙通道等。</w:t>
            </w:r>
          </w:p>
          <w:p w14:paraId="3218382C">
            <w:pPr>
              <w:adjustRightInd w:val="0"/>
              <w:spacing w:line="360" w:lineRule="auto"/>
              <w:ind w:firstLine="482" w:firstLineChars="200"/>
              <w:rPr>
                <w:rFonts w:ascii="Times New Roman" w:hAnsi="Times New Roman"/>
                <w:b/>
                <w:bCs/>
                <w:color w:val="000000" w:themeColor="text1"/>
                <w:sz w:val="24"/>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2、</w:t>
            </w:r>
            <w:r>
              <w:rPr>
                <w:rFonts w:ascii="Times New Roman" w:hAnsi="Times New Roman"/>
                <w:b/>
                <w:bCs/>
                <w:color w:val="000000" w:themeColor="text1"/>
                <w:sz w:val="24"/>
                <w14:textFill>
                  <w14:solidFill>
                    <w14:schemeClr w14:val="tx1"/>
                  </w14:solidFill>
                </w14:textFill>
              </w:rPr>
              <w:t>调查方法</w:t>
            </w:r>
          </w:p>
          <w:p w14:paraId="662FD07D">
            <w:pPr>
              <w:adjustRightInd w:val="0"/>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（1）资料查阅</w:t>
            </w:r>
          </w:p>
          <w:p w14:paraId="535E49D0">
            <w:pPr>
              <w:adjustRightInd w:val="0"/>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《世界种子植物科的分布区类型系统》（吴征镒，2003年）、《中国种子植物属的分布区类型》（吴征镒，1991年）、《中国植物志》（吴征镒，2004年）、《中国高等植物》（中国科学院植物研</w:t>
            </w:r>
            <w:r>
              <w:rPr>
                <w:rFonts w:hint="eastAsia" w:ascii="Times New Roman" w:hAnsi="Times New Roman"/>
                <w:color w:val="000000" w:themeColor="text1"/>
                <w:sz w:val="24"/>
                <w:lang w:eastAsia="zh-CN"/>
                <w14:textFill>
                  <w14:solidFill>
                    <w14:schemeClr w14:val="tx1"/>
                  </w14:solidFill>
                </w14:textFill>
              </w:rPr>
              <w:t>究所</w:t>
            </w:r>
            <w:r>
              <w:rPr>
                <w:rFonts w:ascii="Times New Roman" w:hAnsi="Times New Roman"/>
                <w:color w:val="000000" w:themeColor="text1"/>
                <w:sz w:val="24"/>
                <w14:textFill>
                  <w14:solidFill>
                    <w14:schemeClr w14:val="tx1"/>
                  </w14:solidFill>
                </w14:textFill>
              </w:rPr>
              <w:t>，2012）、《中国高等植物图鉴》（中国科学院北京植物研究所，1972）、《四川植物志》（四川植物志编辑委员会，1981年）、《中国植被》（吴征镒，1980年）、《四川省重点保护野生植物名录》（四川省人民政府，2024年）、《四川省国家野生保护与珍稀濒危植物图谱》（程新颖等，2018年）、《四川植被》（四川植被协作组，1980年）、《西南地区松杉柏科植物地理分布》（潘开文，2021年）、《长江流域植被净第一性生产力及其时空格局研究》（柯金虎等，2003年）、项目所在地谷歌影像数据、项目所在地国家重点保护野生植物和古树名木调查报告、天然保护林区划界定报告以及植物区系等。</w:t>
            </w:r>
          </w:p>
          <w:p w14:paraId="63429ACF">
            <w:pPr>
              <w:adjustRightInd w:val="0"/>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（2）遥感调查法</w:t>
            </w:r>
          </w:p>
          <w:p w14:paraId="0D39E6C5">
            <w:pPr>
              <w:adjustRightInd w:val="0"/>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生态系统遥感解译与野外核查，GPS样点是卫星遥感影像判读各种景观类型的基础，根据室内判读的植被与土地利用类型图，现场核实判读的正误率，并对每个GPS取样点做如下记录：</w:t>
            </w:r>
            <w:r>
              <w:rPr>
                <w:rFonts w:ascii="Cambria Math" w:hAnsi="Cambria Math" w:cs="Cambria Math"/>
                <w:color w:val="000000" w:themeColor="text1"/>
                <w:sz w:val="24"/>
                <w14:textFill>
                  <w14:solidFill>
                    <w14:schemeClr w14:val="tx1"/>
                  </w14:solidFill>
                </w14:textFill>
              </w:rPr>
              <w:t>①</w:t>
            </w:r>
            <w:r>
              <w:rPr>
                <w:rFonts w:ascii="Times New Roman" w:hAnsi="Times New Roman"/>
                <w:color w:val="000000" w:themeColor="text1"/>
                <w:sz w:val="24"/>
                <w14:textFill>
                  <w14:solidFill>
                    <w14:schemeClr w14:val="tx1"/>
                  </w14:solidFill>
                </w14:textFill>
              </w:rPr>
              <w:t>读出测点的海拔值和经纬度；</w:t>
            </w:r>
            <w:r>
              <w:rPr>
                <w:rFonts w:ascii="Cambria Math" w:hAnsi="Cambria Math" w:cs="Cambria Math"/>
                <w:color w:val="000000" w:themeColor="text1"/>
                <w:sz w:val="24"/>
                <w14:textFill>
                  <w14:solidFill>
                    <w14:schemeClr w14:val="tx1"/>
                  </w14:solidFill>
                </w14:textFill>
              </w:rPr>
              <w:t>②</w:t>
            </w:r>
            <w:r>
              <w:rPr>
                <w:rFonts w:ascii="Times New Roman" w:hAnsi="Times New Roman"/>
                <w:color w:val="000000" w:themeColor="text1"/>
                <w:sz w:val="24"/>
                <w14:textFill>
                  <w14:solidFill>
                    <w14:schemeClr w14:val="tx1"/>
                  </w14:solidFill>
                </w14:textFill>
              </w:rPr>
              <w:t>记录样点植被类型，以群系为单位，同时记录坡向、坡度；</w:t>
            </w:r>
            <w:r>
              <w:rPr>
                <w:rFonts w:ascii="Cambria Math" w:hAnsi="Cambria Math" w:cs="Cambria Math"/>
                <w:color w:val="000000" w:themeColor="text1"/>
                <w:sz w:val="24"/>
                <w14:textFill>
                  <w14:solidFill>
                    <w14:schemeClr w14:val="tx1"/>
                  </w14:solidFill>
                </w14:textFill>
              </w:rPr>
              <w:t>③</w:t>
            </w:r>
            <w:r>
              <w:rPr>
                <w:rFonts w:ascii="Times New Roman" w:hAnsi="Times New Roman"/>
                <w:color w:val="000000" w:themeColor="text1"/>
                <w:sz w:val="24"/>
                <w14:textFill>
                  <w14:solidFill>
                    <w14:schemeClr w14:val="tx1"/>
                  </w14:solidFill>
                </w14:textFill>
              </w:rPr>
              <w:t>记录样点优势植物以及观察动物活动的情况；</w:t>
            </w:r>
            <w:r>
              <w:rPr>
                <w:rFonts w:ascii="Cambria Math" w:hAnsi="Cambria Math" w:cs="Cambria Math"/>
                <w:color w:val="000000" w:themeColor="text1"/>
                <w:sz w:val="24"/>
                <w14:textFill>
                  <w14:solidFill>
                    <w14:schemeClr w14:val="tx1"/>
                  </w14:solidFill>
                </w14:textFill>
              </w:rPr>
              <w:t>④</w:t>
            </w:r>
            <w:r>
              <w:rPr>
                <w:rFonts w:ascii="Times New Roman" w:hAnsi="Times New Roman"/>
                <w:color w:val="000000" w:themeColor="text1"/>
                <w:sz w:val="24"/>
                <w14:textFill>
                  <w14:solidFill>
                    <w14:schemeClr w14:val="tx1"/>
                  </w14:solidFill>
                </w14:textFill>
              </w:rPr>
              <w:t>拍摄典型植被外。</w:t>
            </w:r>
          </w:p>
          <w:p w14:paraId="0156D8CE">
            <w:pPr>
              <w:adjustRightInd w:val="0"/>
              <w:spacing w:line="360" w:lineRule="auto"/>
              <w:ind w:firstLine="480" w:firstLineChars="200"/>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（3）野外实地调查</w:t>
            </w:r>
          </w:p>
          <w:p w14:paraId="7BC80404">
            <w:pPr>
              <w:adjustRightInd w:val="0"/>
              <w:spacing w:line="360" w:lineRule="auto"/>
              <w:ind w:firstLine="480" w:firstLineChars="200"/>
              <w:jc w:val="both"/>
              <w:rPr>
                <w:rFonts w:ascii="Times New Roman" w:hAnsi="Times New Roman"/>
                <w:color w:val="000000" w:themeColor="text1"/>
                <w:sz w:val="24"/>
                <w:szCs w:val="24"/>
                <w:highlight w:val="yellow"/>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本次评价</w:t>
            </w:r>
            <w:r>
              <w:rPr>
                <w:rFonts w:ascii="Times New Roman" w:hAnsi="Times New Roman"/>
                <w:color w:val="000000" w:themeColor="text1"/>
                <w:sz w:val="24"/>
                <w:szCs w:val="24"/>
                <w14:textFill>
                  <w14:solidFill>
                    <w14:schemeClr w14:val="tx1"/>
                  </w14:solidFill>
                </w14:textFill>
              </w:rPr>
              <w:t>基于</w:t>
            </w:r>
            <w:r>
              <w:rPr>
                <w:rFonts w:hint="eastAsia" w:ascii="Times New Roman" w:hAnsi="Times New Roman"/>
                <w:color w:val="000000" w:themeColor="text1"/>
                <w:sz w:val="24"/>
                <w:szCs w:val="24"/>
                <w:lang w:eastAsia="zh-CN"/>
                <w14:textFill>
                  <w14:solidFill>
                    <w14:schemeClr w14:val="tx1"/>
                  </w14:solidFill>
                </w14:textFill>
              </w:rPr>
              <w:t>泸定县</w:t>
            </w:r>
            <w:r>
              <w:rPr>
                <w:rFonts w:ascii="Times New Roman" w:hAnsi="Times New Roman"/>
                <w:color w:val="000000" w:themeColor="text1"/>
                <w:sz w:val="24"/>
                <w:szCs w:val="24"/>
                <w14:textFill>
                  <w14:solidFill>
                    <w14:schemeClr w14:val="tx1"/>
                  </w14:solidFill>
                </w14:textFill>
              </w:rPr>
              <w:t>林地一张图</w:t>
            </w:r>
            <w:r>
              <w:rPr>
                <w:rFonts w:hint="eastAsia" w:ascii="Times New Roman" w:hAnsi="Times New Roman"/>
                <w:color w:val="000000" w:themeColor="text1"/>
                <w:sz w:val="24"/>
                <w:szCs w:val="24"/>
                <w:lang w:eastAsia="zh-CN"/>
                <w14:textFill>
                  <w14:solidFill>
                    <w14:schemeClr w14:val="tx1"/>
                  </w14:solidFill>
                </w14:textFill>
              </w:rPr>
              <w:t>、</w:t>
            </w:r>
            <w:r>
              <w:rPr>
                <w:rFonts w:hint="eastAsia" w:ascii="Times New Roman" w:hAnsi="Times New Roman"/>
                <w:color w:val="000000" w:themeColor="text1"/>
                <w:sz w:val="24"/>
                <w:szCs w:val="24"/>
                <w:lang w:val="en-US" w:eastAsia="zh-CN"/>
                <w14:textFill>
                  <w14:solidFill>
                    <w14:schemeClr w14:val="tx1"/>
                  </w14:solidFill>
                </w14:textFill>
              </w:rPr>
              <w:t>国土变更调查等</w:t>
            </w:r>
            <w:r>
              <w:rPr>
                <w:rFonts w:ascii="Times New Roman" w:hAnsi="Times New Roman"/>
                <w:color w:val="000000" w:themeColor="text1"/>
                <w:sz w:val="24"/>
                <w:szCs w:val="24"/>
                <w14:textFill>
                  <w14:solidFill>
                    <w14:schemeClr w14:val="tx1"/>
                  </w14:solidFill>
                </w14:textFill>
              </w:rPr>
              <w:t>矢量数据，结合遥感影像，根据评价范围内群系类型并结合海</w:t>
            </w:r>
            <w:r>
              <w:rPr>
                <w:rFonts w:ascii="Times New Roman" w:hAnsi="Times New Roman"/>
                <w:color w:val="000000" w:themeColor="text1"/>
                <w:sz w:val="24"/>
                <w:szCs w:val="24"/>
                <w:highlight w:val="none"/>
                <w14:textFill>
                  <w14:solidFill>
                    <w14:schemeClr w14:val="tx1"/>
                  </w14:solidFill>
                </w14:textFill>
              </w:rPr>
              <w:t>拔、坡向等，共设置调查样方</w:t>
            </w:r>
            <w:r>
              <w:rPr>
                <w:rFonts w:hint="eastAsia" w:ascii="Times New Roman" w:hAnsi="Times New Roman"/>
                <w:color w:val="000000" w:themeColor="text1"/>
                <w:sz w:val="24"/>
                <w:szCs w:val="24"/>
                <w:highlight w:val="none"/>
                <w:lang w:val="en-US" w:eastAsia="zh-CN"/>
                <w14:textFill>
                  <w14:solidFill>
                    <w14:schemeClr w14:val="tx1"/>
                  </w14:solidFill>
                </w14:textFill>
              </w:rPr>
              <w:t>30</w:t>
            </w:r>
            <w:r>
              <w:rPr>
                <w:rFonts w:ascii="Times New Roman" w:hAnsi="Times New Roman"/>
                <w:color w:val="000000" w:themeColor="text1"/>
                <w:sz w:val="24"/>
                <w:szCs w:val="24"/>
                <w:highlight w:val="none"/>
                <w14:textFill>
                  <w14:solidFill>
                    <w14:schemeClr w14:val="tx1"/>
                  </w14:solidFill>
                </w14:textFill>
              </w:rPr>
              <w:t>个，每种</w:t>
            </w:r>
            <w:r>
              <w:rPr>
                <w:rFonts w:hint="eastAsia" w:ascii="Times New Roman" w:hAnsi="Times New Roman"/>
                <w:color w:val="000000" w:themeColor="text1"/>
                <w:sz w:val="24"/>
                <w:szCs w:val="24"/>
                <w:highlight w:val="none"/>
                <w:lang w:val="en-US" w:eastAsia="zh-CN"/>
                <w14:textFill>
                  <w14:solidFill>
                    <w14:schemeClr w14:val="tx1"/>
                  </w14:solidFill>
                </w14:textFill>
              </w:rPr>
              <w:t>自然</w:t>
            </w:r>
            <w:r>
              <w:rPr>
                <w:rFonts w:ascii="Times New Roman" w:hAnsi="Times New Roman"/>
                <w:color w:val="000000" w:themeColor="text1"/>
                <w:sz w:val="24"/>
                <w:szCs w:val="24"/>
                <w:highlight w:val="none"/>
                <w14:textFill>
                  <w14:solidFill>
                    <w14:schemeClr w14:val="tx1"/>
                  </w14:solidFill>
                </w14:textFill>
              </w:rPr>
              <w:t>群落</w:t>
            </w: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不包</w:t>
            </w:r>
            <w:r>
              <w:rPr>
                <w:color w:val="000000" w:themeColor="text1"/>
                <w:sz w:val="24"/>
                <w:szCs w:val="24"/>
                <w14:textFill>
                  <w14:solidFill>
                    <w14:schemeClr w14:val="tx1"/>
                  </w14:solidFill>
                </w14:textFill>
              </w:rPr>
              <w:commentReference w:id="0"/>
            </w:r>
            <w:r>
              <w:rPr>
                <w:rFonts w:hint="eastAsia" w:ascii="Times New Roman" w:hAnsi="Times New Roman"/>
                <w:color w:val="000000" w:themeColor="text1"/>
                <w:sz w:val="24"/>
                <w:szCs w:val="24"/>
                <w:highlight w:val="none"/>
                <w:lang w:val="en-US" w:eastAsia="zh-CN"/>
                <w14:textFill>
                  <w14:solidFill>
                    <w14:schemeClr w14:val="tx1"/>
                  </w14:solidFill>
                </w14:textFill>
              </w:rPr>
              <w:t>括栽培植被</w:t>
            </w:r>
            <w:r>
              <w:rPr>
                <w:rFonts w:hint="eastAsia" w:ascii="Times New Roman" w:hAnsi="Times New Roman"/>
                <w:color w:val="000000" w:themeColor="text1"/>
                <w:sz w:val="24"/>
                <w:szCs w:val="24"/>
                <w:highlight w:val="none"/>
                <w:lang w:eastAsia="zh-CN"/>
                <w14:textFill>
                  <w14:solidFill>
                    <w14:schemeClr w14:val="tx1"/>
                  </w14:solidFill>
                </w14:textFill>
              </w:rPr>
              <w:t>）</w:t>
            </w:r>
            <w:r>
              <w:rPr>
                <w:rFonts w:ascii="Times New Roman" w:hAnsi="Times New Roman"/>
                <w:color w:val="000000" w:themeColor="text1"/>
                <w:sz w:val="24"/>
                <w:szCs w:val="24"/>
                <w:highlight w:val="none"/>
                <w14:textFill>
                  <w14:solidFill>
                    <w14:schemeClr w14:val="tx1"/>
                  </w14:solidFill>
                </w14:textFill>
              </w:rPr>
              <w:t>类型</w:t>
            </w:r>
            <w:r>
              <w:rPr>
                <w:rFonts w:hint="eastAsia" w:ascii="Times New Roman" w:hAnsi="Times New Roman"/>
                <w:color w:val="000000" w:themeColor="text1"/>
                <w:sz w:val="24"/>
                <w:szCs w:val="24"/>
                <w:highlight w:val="none"/>
                <w:lang w:val="en-US" w:eastAsia="zh-CN"/>
                <w14:textFill>
                  <w14:solidFill>
                    <w14:schemeClr w14:val="tx1"/>
                  </w14:solidFill>
                </w14:textFill>
              </w:rPr>
              <w:t>5</w:t>
            </w:r>
            <w:r>
              <w:rPr>
                <w:rFonts w:ascii="Times New Roman" w:hAnsi="Times New Roman"/>
                <w:color w:val="000000" w:themeColor="text1"/>
                <w:sz w:val="24"/>
                <w:szCs w:val="24"/>
                <w:highlight w:val="none"/>
                <w14:textFill>
                  <w14:solidFill>
                    <w14:schemeClr w14:val="tx1"/>
                  </w14:solidFill>
                </w14:textFill>
              </w:rPr>
              <w:t>个。样方调查时，根据群落结构，样方分成乔木、灌木</w:t>
            </w: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草地3</w:t>
            </w:r>
            <w:r>
              <w:rPr>
                <w:rFonts w:ascii="Times New Roman" w:hAnsi="Times New Roman"/>
                <w:color w:val="000000" w:themeColor="text1"/>
                <w:sz w:val="24"/>
                <w:szCs w:val="24"/>
                <w:highlight w:val="none"/>
                <w14:textFill>
                  <w14:solidFill>
                    <w14:schemeClr w14:val="tx1"/>
                  </w14:solidFill>
                </w14:textFill>
              </w:rPr>
              <w:t>种类型，其大小分别为10m×10m、5m×5m</w:t>
            </w: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1</w:t>
            </w:r>
            <w:r>
              <w:rPr>
                <w:rFonts w:ascii="Times New Roman" w:hAnsi="Times New Roman"/>
                <w:color w:val="000000" w:themeColor="text1"/>
                <w:sz w:val="24"/>
                <w:szCs w:val="24"/>
                <w:highlight w:val="none"/>
                <w14:textFill>
                  <w14:solidFill>
                    <w14:schemeClr w14:val="tx1"/>
                  </w14:solidFill>
                </w14:textFill>
              </w:rPr>
              <w:t>m×</w:t>
            </w:r>
            <w:r>
              <w:rPr>
                <w:rFonts w:hint="eastAsia" w:ascii="Times New Roman" w:hAnsi="Times New Roman"/>
                <w:color w:val="000000" w:themeColor="text1"/>
                <w:sz w:val="24"/>
                <w:szCs w:val="24"/>
                <w:highlight w:val="none"/>
                <w:lang w:val="en-US" w:eastAsia="zh-CN"/>
                <w14:textFill>
                  <w14:solidFill>
                    <w14:schemeClr w14:val="tx1"/>
                  </w14:solidFill>
                </w14:textFill>
              </w:rPr>
              <w:t>1</w:t>
            </w:r>
            <w:r>
              <w:rPr>
                <w:rFonts w:ascii="Times New Roman" w:hAnsi="Times New Roman"/>
                <w:color w:val="000000" w:themeColor="text1"/>
                <w:sz w:val="24"/>
                <w:szCs w:val="24"/>
                <w:highlight w:val="none"/>
                <w14:textFill>
                  <w14:solidFill>
                    <w14:schemeClr w14:val="tx1"/>
                  </w14:solidFill>
                </w14:textFill>
              </w:rPr>
              <w:t>m。</w:t>
            </w:r>
          </w:p>
          <w:p w14:paraId="434EFB99">
            <w:pPr>
              <w:adjustRightInd w:val="0"/>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因为评价区内长期受高强度人为活动的影响</w:t>
            </w:r>
            <w:r>
              <w:rPr>
                <w:rFonts w:hint="eastAsia" w:ascii="Times New Roman" w:hAnsi="Times New Roman"/>
                <w:color w:val="000000" w:themeColor="text1"/>
                <w:sz w:val="24"/>
                <w:lang w:eastAsia="zh-CN"/>
                <w14:textFill>
                  <w14:solidFill>
                    <w14:schemeClr w14:val="tx1"/>
                  </w14:solidFill>
                </w14:textFill>
              </w:rPr>
              <w:t>，</w:t>
            </w:r>
            <w:r>
              <w:rPr>
                <w:rFonts w:ascii="Times New Roman" w:hAnsi="Times New Roman"/>
                <w:color w:val="000000" w:themeColor="text1"/>
                <w:sz w:val="24"/>
                <w14:textFill>
                  <w14:solidFill>
                    <w14:schemeClr w14:val="tx1"/>
                  </w14:solidFill>
                </w14:textFill>
              </w:rPr>
              <w:t>较多小而破碎的植被/地表覆盖物斑块，这类小斑块很难通过遥感解译获得准确的结果。因此评价区内的植被分类及植被类型作图主要参考</w:t>
            </w:r>
            <w:r>
              <w:rPr>
                <w:rFonts w:hint="eastAsia" w:ascii="Times New Roman" w:hAnsi="Times New Roman"/>
                <w:color w:val="000000" w:themeColor="text1"/>
                <w:sz w:val="24"/>
                <w:lang w:eastAsia="zh-CN"/>
                <w14:textFill>
                  <w14:solidFill>
                    <w14:schemeClr w14:val="tx1"/>
                  </w14:solidFill>
                </w14:textFill>
              </w:rPr>
              <w:t>泸定县</w:t>
            </w:r>
            <w:r>
              <w:rPr>
                <w:rFonts w:ascii="Times New Roman" w:hAnsi="Times New Roman"/>
                <w:color w:val="000000" w:themeColor="text1"/>
                <w:sz w:val="24"/>
                <w14:textFill>
                  <w14:solidFill>
                    <w14:schemeClr w14:val="tx1"/>
                  </w14:solidFill>
                </w14:textFill>
              </w:rPr>
              <w:t>林地一张图数据，并通过野外植物群落样方调查结果予以校正，按照《四川植被》、《中国植被》中植被分类单位，利用地理信息软件统计各植被类型面积并编制植被类型图。</w:t>
            </w:r>
          </w:p>
          <w:p w14:paraId="48170269">
            <w:pPr>
              <w:adjustRightInd w:val="0"/>
              <w:spacing w:line="360" w:lineRule="auto"/>
              <w:ind w:firstLine="480" w:firstLineChars="200"/>
              <w:jc w:val="left"/>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样方统计情况见下表。</w:t>
            </w:r>
          </w:p>
          <w:p w14:paraId="35C44A37">
            <w:pPr>
              <w:pStyle w:val="155"/>
              <w:numPr>
                <w:ilvl w:val="0"/>
                <w:numId w:val="19"/>
              </w:numPr>
              <w:spacing w:line="240" w:lineRule="auto"/>
              <w:ind w:firstLineChars="0"/>
              <w:jc w:val="center"/>
              <w:rPr>
                <w:rFonts w:ascii="Times New Roman" w:hAnsi="Times New Roman"/>
                <w:b/>
                <w:color w:val="000000" w:themeColor="text1"/>
                <w:szCs w:val="21"/>
                <w:highlight w:val="none"/>
                <w14:textFill>
                  <w14:solidFill>
                    <w14:schemeClr w14:val="tx1"/>
                  </w14:solidFill>
                </w14:textFill>
              </w:rPr>
            </w:pPr>
            <w:r>
              <w:rPr>
                <w:rFonts w:ascii="Times New Roman" w:hAnsi="Times New Roman"/>
                <w:b/>
                <w:color w:val="000000" w:themeColor="text1"/>
                <w:szCs w:val="21"/>
                <w:highlight w:val="none"/>
                <w14:textFill>
                  <w14:solidFill>
                    <w14:schemeClr w14:val="tx1"/>
                  </w14:solidFill>
                </w14:textFill>
              </w:rPr>
              <w:t>本项目生态调查样方一览表</w:t>
            </w:r>
          </w:p>
          <w:tbl>
            <w:tblPr>
              <w:tblStyle w:val="55"/>
              <w:tblW w:w="8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4"/>
              <w:gridCol w:w="789"/>
              <w:gridCol w:w="1117"/>
              <w:gridCol w:w="1387"/>
              <w:gridCol w:w="1378"/>
              <w:gridCol w:w="968"/>
              <w:gridCol w:w="1873"/>
            </w:tblGrid>
            <w:tr w14:paraId="4222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blHeader/>
              </w:trPr>
              <w:tc>
                <w:tcPr>
                  <w:tcW w:w="589" w:type="dxa"/>
                  <w:shd w:val="clear" w:color="auto" w:fill="auto"/>
                  <w:noWrap/>
                  <w:vAlign w:val="center"/>
                </w:tcPr>
                <w:p w14:paraId="32853EA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序号</w:t>
                  </w:r>
                </w:p>
              </w:tc>
              <w:tc>
                <w:tcPr>
                  <w:tcW w:w="813" w:type="dxa"/>
                  <w:shd w:val="clear" w:color="auto" w:fill="auto"/>
                  <w:noWrap/>
                  <w:vAlign w:val="center"/>
                </w:tcPr>
                <w:p w14:paraId="017CD7A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编号</w:t>
                  </w:r>
                </w:p>
              </w:tc>
              <w:tc>
                <w:tcPr>
                  <w:tcW w:w="1154" w:type="dxa"/>
                  <w:shd w:val="clear" w:color="auto" w:fill="auto"/>
                  <w:noWrap/>
                  <w:vAlign w:val="center"/>
                </w:tcPr>
                <w:p w14:paraId="46787DC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所属样线编号</w:t>
                  </w:r>
                </w:p>
              </w:tc>
              <w:tc>
                <w:tcPr>
                  <w:tcW w:w="1435" w:type="dxa"/>
                  <w:shd w:val="clear" w:color="auto" w:fill="auto"/>
                  <w:noWrap/>
                  <w:vAlign w:val="center"/>
                </w:tcPr>
                <w:p w14:paraId="13BF2CA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经度（°）</w:t>
                  </w:r>
                </w:p>
              </w:tc>
              <w:tc>
                <w:tcPr>
                  <w:tcW w:w="1426" w:type="dxa"/>
                  <w:shd w:val="clear" w:color="auto" w:fill="auto"/>
                  <w:noWrap/>
                  <w:vAlign w:val="center"/>
                </w:tcPr>
                <w:p w14:paraId="5374262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纬度（°）</w:t>
                  </w:r>
                </w:p>
              </w:tc>
              <w:tc>
                <w:tcPr>
                  <w:tcW w:w="999" w:type="dxa"/>
                  <w:shd w:val="clear" w:color="auto" w:fill="auto"/>
                  <w:noWrap/>
                  <w:vAlign w:val="center"/>
                </w:tcPr>
                <w:p w14:paraId="2D6918A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海拔m</w:t>
                  </w:r>
                </w:p>
              </w:tc>
              <w:tc>
                <w:tcPr>
                  <w:tcW w:w="1940" w:type="dxa"/>
                  <w:shd w:val="clear" w:color="auto" w:fill="auto"/>
                  <w:noWrap/>
                  <w:vAlign w:val="center"/>
                </w:tcPr>
                <w:p w14:paraId="0E9DDFD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植被类型</w:t>
                  </w:r>
                </w:p>
              </w:tc>
            </w:tr>
            <w:tr w14:paraId="5AA8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9" w:type="dxa"/>
                  <w:shd w:val="clear" w:color="auto" w:fill="auto"/>
                  <w:noWrap/>
                  <w:vAlign w:val="center"/>
                </w:tcPr>
                <w:p w14:paraId="0A2401B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w:t>
                  </w:r>
                </w:p>
              </w:tc>
              <w:tc>
                <w:tcPr>
                  <w:tcW w:w="813" w:type="dxa"/>
                  <w:shd w:val="clear" w:color="auto" w:fill="auto"/>
                  <w:noWrap/>
                  <w:vAlign w:val="center"/>
                </w:tcPr>
                <w:p w14:paraId="29435B2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YF01</w:t>
                  </w:r>
                </w:p>
              </w:tc>
              <w:tc>
                <w:tcPr>
                  <w:tcW w:w="1154" w:type="dxa"/>
                  <w:shd w:val="clear" w:color="auto" w:fill="auto"/>
                  <w:noWrap/>
                  <w:vAlign w:val="center"/>
                </w:tcPr>
                <w:p w14:paraId="5C0C975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YX01</w:t>
                  </w:r>
                </w:p>
              </w:tc>
              <w:tc>
                <w:tcPr>
                  <w:tcW w:w="1435" w:type="dxa"/>
                  <w:shd w:val="clear" w:color="auto" w:fill="auto"/>
                  <w:noWrap/>
                  <w:vAlign w:val="center"/>
                </w:tcPr>
                <w:p w14:paraId="4B358B8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102.257</w:t>
                  </w:r>
                  <w:r>
                    <w:rPr>
                      <w:rFonts w:hint="eastAsia" w:ascii="Times New Roman" w:hAnsi="Times New Roman" w:cs="Times New Roman"/>
                      <w:color w:val="000000" w:themeColor="text1"/>
                      <w:sz w:val="21"/>
                      <w:szCs w:val="21"/>
                      <w:lang w:val="en-US" w:eastAsia="zh-CN" w:bidi="ar"/>
                      <w14:textFill>
                        <w14:solidFill>
                          <w14:schemeClr w14:val="tx1"/>
                        </w14:solidFill>
                      </w14:textFill>
                    </w:rPr>
                    <w:t>5.022</w:t>
                  </w:r>
                </w:p>
              </w:tc>
              <w:tc>
                <w:tcPr>
                  <w:tcW w:w="1426" w:type="dxa"/>
                  <w:shd w:val="clear" w:color="auto" w:fill="auto"/>
                  <w:noWrap/>
                  <w:vAlign w:val="center"/>
                </w:tcPr>
                <w:p w14:paraId="4B938F7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29.95046588</w:t>
                  </w:r>
                </w:p>
              </w:tc>
              <w:tc>
                <w:tcPr>
                  <w:tcW w:w="999" w:type="dxa"/>
                  <w:shd w:val="clear" w:color="auto" w:fill="auto"/>
                  <w:noWrap/>
                  <w:vAlign w:val="center"/>
                </w:tcPr>
                <w:p w14:paraId="464A736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216</w:t>
                  </w:r>
                </w:p>
              </w:tc>
              <w:tc>
                <w:tcPr>
                  <w:tcW w:w="1940" w:type="dxa"/>
                  <w:shd w:val="clear" w:color="auto" w:fill="auto"/>
                  <w:noWrap/>
                  <w:vAlign w:val="center"/>
                </w:tcPr>
                <w:p w14:paraId="341FC82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青冈林</w:t>
                  </w:r>
                </w:p>
              </w:tc>
            </w:tr>
            <w:tr w14:paraId="4BA4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9" w:type="dxa"/>
                  <w:shd w:val="clear" w:color="auto" w:fill="auto"/>
                  <w:noWrap/>
                  <w:vAlign w:val="center"/>
                </w:tcPr>
                <w:p w14:paraId="7A3777F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w:t>
                  </w:r>
                </w:p>
              </w:tc>
              <w:tc>
                <w:tcPr>
                  <w:tcW w:w="813" w:type="dxa"/>
                  <w:shd w:val="clear" w:color="auto" w:fill="auto"/>
                  <w:noWrap/>
                  <w:vAlign w:val="center"/>
                </w:tcPr>
                <w:p w14:paraId="161CC8D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YF02</w:t>
                  </w:r>
                </w:p>
              </w:tc>
              <w:tc>
                <w:tcPr>
                  <w:tcW w:w="1154" w:type="dxa"/>
                  <w:shd w:val="clear" w:color="auto" w:fill="auto"/>
                  <w:noWrap/>
                  <w:vAlign w:val="center"/>
                </w:tcPr>
                <w:p w14:paraId="46BD0CC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YX01</w:t>
                  </w:r>
                </w:p>
              </w:tc>
              <w:tc>
                <w:tcPr>
                  <w:tcW w:w="1435" w:type="dxa"/>
                  <w:shd w:val="clear" w:color="auto" w:fill="auto"/>
                  <w:noWrap/>
                  <w:vAlign w:val="center"/>
                </w:tcPr>
                <w:p w14:paraId="7577FCD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102.2557934</w:t>
                  </w:r>
                </w:p>
              </w:tc>
              <w:tc>
                <w:tcPr>
                  <w:tcW w:w="1426" w:type="dxa"/>
                  <w:shd w:val="clear" w:color="auto" w:fill="auto"/>
                  <w:noWrap/>
                  <w:vAlign w:val="center"/>
                </w:tcPr>
                <w:p w14:paraId="352549D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29.95103727</w:t>
                  </w:r>
                </w:p>
              </w:tc>
              <w:tc>
                <w:tcPr>
                  <w:tcW w:w="999" w:type="dxa"/>
                  <w:shd w:val="clear" w:color="auto" w:fill="auto"/>
                  <w:noWrap/>
                  <w:vAlign w:val="center"/>
                </w:tcPr>
                <w:p w14:paraId="439412E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144</w:t>
                  </w:r>
                </w:p>
              </w:tc>
              <w:tc>
                <w:tcPr>
                  <w:tcW w:w="1940" w:type="dxa"/>
                  <w:shd w:val="clear" w:color="auto" w:fill="auto"/>
                  <w:noWrap/>
                  <w:vAlign w:val="center"/>
                </w:tcPr>
                <w:p w14:paraId="69672F4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狗尾草、茅草草丛</w:t>
                  </w:r>
                </w:p>
              </w:tc>
            </w:tr>
            <w:tr w14:paraId="3AD4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9" w:type="dxa"/>
                  <w:shd w:val="clear" w:color="auto" w:fill="auto"/>
                  <w:noWrap/>
                  <w:vAlign w:val="center"/>
                </w:tcPr>
                <w:p w14:paraId="07CAAA3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3</w:t>
                  </w:r>
                </w:p>
              </w:tc>
              <w:tc>
                <w:tcPr>
                  <w:tcW w:w="813" w:type="dxa"/>
                  <w:shd w:val="clear" w:color="auto" w:fill="auto"/>
                  <w:noWrap/>
                  <w:vAlign w:val="center"/>
                </w:tcPr>
                <w:p w14:paraId="59CD828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YF03</w:t>
                  </w:r>
                </w:p>
              </w:tc>
              <w:tc>
                <w:tcPr>
                  <w:tcW w:w="1154" w:type="dxa"/>
                  <w:shd w:val="clear" w:color="auto" w:fill="auto"/>
                  <w:noWrap/>
                  <w:vAlign w:val="center"/>
                </w:tcPr>
                <w:p w14:paraId="1AB69B9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YX01</w:t>
                  </w:r>
                </w:p>
              </w:tc>
              <w:tc>
                <w:tcPr>
                  <w:tcW w:w="1435" w:type="dxa"/>
                  <w:shd w:val="clear" w:color="auto" w:fill="auto"/>
                  <w:noWrap/>
                  <w:vAlign w:val="center"/>
                </w:tcPr>
                <w:p w14:paraId="39F85B6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102.2550415</w:t>
                  </w:r>
                </w:p>
              </w:tc>
              <w:tc>
                <w:tcPr>
                  <w:tcW w:w="1426" w:type="dxa"/>
                  <w:shd w:val="clear" w:color="auto" w:fill="auto"/>
                  <w:noWrap/>
                  <w:vAlign w:val="center"/>
                </w:tcPr>
                <w:p w14:paraId="1AFE2E6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29.95136525</w:t>
                  </w:r>
                </w:p>
              </w:tc>
              <w:tc>
                <w:tcPr>
                  <w:tcW w:w="999" w:type="dxa"/>
                  <w:shd w:val="clear" w:color="auto" w:fill="auto"/>
                  <w:noWrap/>
                  <w:vAlign w:val="center"/>
                </w:tcPr>
                <w:p w14:paraId="66430CE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165</w:t>
                  </w:r>
                </w:p>
              </w:tc>
              <w:tc>
                <w:tcPr>
                  <w:tcW w:w="1940" w:type="dxa"/>
                  <w:shd w:val="clear" w:color="auto" w:fill="auto"/>
                  <w:noWrap/>
                  <w:vAlign w:val="center"/>
                </w:tcPr>
                <w:p w14:paraId="19FD051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狗尾草、茅草草丛</w:t>
                  </w:r>
                </w:p>
              </w:tc>
            </w:tr>
            <w:tr w14:paraId="5AB94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329A0AB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4</w:t>
                  </w:r>
                </w:p>
              </w:tc>
              <w:tc>
                <w:tcPr>
                  <w:tcW w:w="813" w:type="dxa"/>
                  <w:shd w:val="clear" w:color="auto" w:fill="auto"/>
                  <w:noWrap/>
                  <w:vAlign w:val="center"/>
                </w:tcPr>
                <w:p w14:paraId="4CC618E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YF04</w:t>
                  </w:r>
                </w:p>
              </w:tc>
              <w:tc>
                <w:tcPr>
                  <w:tcW w:w="1154" w:type="dxa"/>
                  <w:shd w:val="clear" w:color="auto" w:fill="auto"/>
                  <w:noWrap/>
                  <w:vAlign w:val="center"/>
                </w:tcPr>
                <w:p w14:paraId="66015E5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2</w:t>
                  </w:r>
                </w:p>
              </w:tc>
              <w:tc>
                <w:tcPr>
                  <w:tcW w:w="1435" w:type="dxa"/>
                  <w:shd w:val="clear" w:color="auto" w:fill="auto"/>
                  <w:noWrap/>
                  <w:vAlign w:val="center"/>
                </w:tcPr>
                <w:p w14:paraId="2A4718F1">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102.2532781</w:t>
                  </w:r>
                </w:p>
              </w:tc>
              <w:tc>
                <w:tcPr>
                  <w:tcW w:w="1426" w:type="dxa"/>
                  <w:shd w:val="clear" w:color="auto" w:fill="auto"/>
                  <w:noWrap/>
                  <w:vAlign w:val="center"/>
                </w:tcPr>
                <w:p w14:paraId="2883452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29.95150768</w:t>
                  </w:r>
                </w:p>
              </w:tc>
              <w:tc>
                <w:tcPr>
                  <w:tcW w:w="999" w:type="dxa"/>
                  <w:shd w:val="clear" w:color="auto" w:fill="auto"/>
                  <w:noWrap/>
                  <w:vAlign w:val="center"/>
                </w:tcPr>
                <w:p w14:paraId="6747FA2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231</w:t>
                  </w:r>
                </w:p>
              </w:tc>
              <w:tc>
                <w:tcPr>
                  <w:tcW w:w="1940" w:type="dxa"/>
                  <w:shd w:val="clear" w:color="auto" w:fill="auto"/>
                  <w:noWrap/>
                  <w:vAlign w:val="center"/>
                </w:tcPr>
                <w:p w14:paraId="2408FB5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马桑、水麻灌丛</w:t>
                  </w:r>
                </w:p>
              </w:tc>
            </w:tr>
            <w:tr w14:paraId="7FAE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589" w:type="dxa"/>
                  <w:shd w:val="clear" w:color="auto" w:fill="auto"/>
                  <w:noWrap/>
                  <w:vAlign w:val="center"/>
                </w:tcPr>
                <w:p w14:paraId="757CCC1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5</w:t>
                  </w:r>
                </w:p>
              </w:tc>
              <w:tc>
                <w:tcPr>
                  <w:tcW w:w="813" w:type="dxa"/>
                  <w:shd w:val="clear" w:color="auto" w:fill="auto"/>
                  <w:noWrap/>
                  <w:vAlign w:val="center"/>
                </w:tcPr>
                <w:p w14:paraId="4CD6610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YF05</w:t>
                  </w:r>
                </w:p>
              </w:tc>
              <w:tc>
                <w:tcPr>
                  <w:tcW w:w="1154" w:type="dxa"/>
                  <w:shd w:val="clear" w:color="auto" w:fill="auto"/>
                  <w:noWrap/>
                  <w:vAlign w:val="center"/>
                </w:tcPr>
                <w:p w14:paraId="06C08D7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YX02</w:t>
                  </w:r>
                </w:p>
              </w:tc>
              <w:tc>
                <w:tcPr>
                  <w:tcW w:w="1435" w:type="dxa"/>
                  <w:shd w:val="clear" w:color="auto" w:fill="auto"/>
                  <w:noWrap/>
                  <w:vAlign w:val="center"/>
                </w:tcPr>
                <w:p w14:paraId="4A8F26F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102.2532097</w:t>
                  </w:r>
                </w:p>
              </w:tc>
              <w:tc>
                <w:tcPr>
                  <w:tcW w:w="1426" w:type="dxa"/>
                  <w:shd w:val="clear" w:color="auto" w:fill="auto"/>
                  <w:noWrap/>
                  <w:vAlign w:val="center"/>
                </w:tcPr>
                <w:p w14:paraId="2460697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29.95048578</w:t>
                  </w:r>
                </w:p>
              </w:tc>
              <w:tc>
                <w:tcPr>
                  <w:tcW w:w="999" w:type="dxa"/>
                  <w:shd w:val="clear" w:color="auto" w:fill="auto"/>
                  <w:noWrap/>
                  <w:vAlign w:val="center"/>
                </w:tcPr>
                <w:p w14:paraId="0829E99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213</w:t>
                  </w:r>
                </w:p>
              </w:tc>
              <w:tc>
                <w:tcPr>
                  <w:tcW w:w="1940" w:type="dxa"/>
                  <w:shd w:val="clear" w:color="auto" w:fill="auto"/>
                  <w:noWrap/>
                  <w:vAlign w:val="center"/>
                </w:tcPr>
                <w:p w14:paraId="264A259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柳灌丛</w:t>
                  </w:r>
                </w:p>
              </w:tc>
            </w:tr>
            <w:tr w14:paraId="06E4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9" w:type="dxa"/>
                  <w:shd w:val="clear" w:color="auto" w:fill="auto"/>
                  <w:noWrap/>
                  <w:vAlign w:val="center"/>
                </w:tcPr>
                <w:p w14:paraId="16540E6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6</w:t>
                  </w:r>
                </w:p>
              </w:tc>
              <w:tc>
                <w:tcPr>
                  <w:tcW w:w="813" w:type="dxa"/>
                  <w:shd w:val="clear" w:color="auto" w:fill="auto"/>
                  <w:noWrap/>
                  <w:vAlign w:val="center"/>
                </w:tcPr>
                <w:p w14:paraId="4B3563F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YF06</w:t>
                  </w:r>
                </w:p>
              </w:tc>
              <w:tc>
                <w:tcPr>
                  <w:tcW w:w="1154" w:type="dxa"/>
                  <w:shd w:val="clear" w:color="auto" w:fill="auto"/>
                  <w:noWrap/>
                  <w:vAlign w:val="center"/>
                </w:tcPr>
                <w:p w14:paraId="1D0C1CE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YX02</w:t>
                  </w:r>
                </w:p>
              </w:tc>
              <w:tc>
                <w:tcPr>
                  <w:tcW w:w="1435" w:type="dxa"/>
                  <w:shd w:val="clear" w:color="auto" w:fill="auto"/>
                  <w:noWrap/>
                  <w:vAlign w:val="center"/>
                </w:tcPr>
                <w:p w14:paraId="17457CE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102.2534149</w:t>
                  </w:r>
                </w:p>
              </w:tc>
              <w:tc>
                <w:tcPr>
                  <w:tcW w:w="1426" w:type="dxa"/>
                  <w:shd w:val="clear" w:color="auto" w:fill="auto"/>
                  <w:noWrap/>
                  <w:vAlign w:val="center"/>
                </w:tcPr>
                <w:p w14:paraId="71941D3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29.94992905</w:t>
                  </w:r>
                </w:p>
              </w:tc>
              <w:tc>
                <w:tcPr>
                  <w:tcW w:w="999" w:type="dxa"/>
                  <w:shd w:val="clear" w:color="auto" w:fill="auto"/>
                  <w:noWrap/>
                  <w:vAlign w:val="center"/>
                </w:tcPr>
                <w:p w14:paraId="45C6B70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175</w:t>
                  </w:r>
                </w:p>
              </w:tc>
              <w:tc>
                <w:tcPr>
                  <w:tcW w:w="1940" w:type="dxa"/>
                  <w:shd w:val="clear" w:color="auto" w:fill="auto"/>
                  <w:noWrap/>
                  <w:vAlign w:val="center"/>
                </w:tcPr>
                <w:p w14:paraId="5B060D5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青冈林</w:t>
                  </w:r>
                </w:p>
              </w:tc>
            </w:tr>
            <w:tr w14:paraId="041D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589" w:type="dxa"/>
                  <w:shd w:val="clear" w:color="auto" w:fill="auto"/>
                  <w:noWrap/>
                  <w:vAlign w:val="center"/>
                </w:tcPr>
                <w:p w14:paraId="799898D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7</w:t>
                  </w:r>
                </w:p>
              </w:tc>
              <w:tc>
                <w:tcPr>
                  <w:tcW w:w="813" w:type="dxa"/>
                  <w:shd w:val="clear" w:color="auto" w:fill="auto"/>
                  <w:noWrap/>
                  <w:vAlign w:val="center"/>
                </w:tcPr>
                <w:p w14:paraId="312F1DF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YF07</w:t>
                  </w:r>
                </w:p>
              </w:tc>
              <w:tc>
                <w:tcPr>
                  <w:tcW w:w="1154" w:type="dxa"/>
                  <w:shd w:val="clear" w:color="auto" w:fill="auto"/>
                  <w:noWrap/>
                  <w:vAlign w:val="center"/>
                </w:tcPr>
                <w:p w14:paraId="1CF1224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YX03</w:t>
                  </w:r>
                </w:p>
              </w:tc>
              <w:tc>
                <w:tcPr>
                  <w:tcW w:w="1435" w:type="dxa"/>
                  <w:shd w:val="clear" w:color="auto" w:fill="auto"/>
                  <w:noWrap/>
                  <w:vAlign w:val="center"/>
                </w:tcPr>
                <w:p w14:paraId="1B61701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102.2498555</w:t>
                  </w:r>
                </w:p>
              </w:tc>
              <w:tc>
                <w:tcPr>
                  <w:tcW w:w="1426" w:type="dxa"/>
                  <w:shd w:val="clear" w:color="auto" w:fill="auto"/>
                  <w:noWrap/>
                  <w:vAlign w:val="center"/>
                </w:tcPr>
                <w:p w14:paraId="6E8F051C">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29.95281517</w:t>
                  </w:r>
                </w:p>
              </w:tc>
              <w:tc>
                <w:tcPr>
                  <w:tcW w:w="999" w:type="dxa"/>
                  <w:shd w:val="clear" w:color="auto" w:fill="auto"/>
                  <w:noWrap/>
                  <w:vAlign w:val="center"/>
                </w:tcPr>
                <w:p w14:paraId="1E66E57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201</w:t>
                  </w:r>
                </w:p>
              </w:tc>
              <w:tc>
                <w:tcPr>
                  <w:tcW w:w="1940" w:type="dxa"/>
                  <w:shd w:val="clear" w:color="auto" w:fill="auto"/>
                  <w:noWrap/>
                  <w:vAlign w:val="center"/>
                </w:tcPr>
                <w:p w14:paraId="4545876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马桑、水麻灌丛</w:t>
                  </w:r>
                </w:p>
              </w:tc>
            </w:tr>
            <w:tr w14:paraId="790A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1587F2B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8</w:t>
                  </w:r>
                </w:p>
              </w:tc>
              <w:tc>
                <w:tcPr>
                  <w:tcW w:w="813" w:type="dxa"/>
                  <w:shd w:val="clear" w:color="auto" w:fill="auto"/>
                  <w:noWrap/>
                  <w:vAlign w:val="center"/>
                </w:tcPr>
                <w:p w14:paraId="31CE8CB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YF08</w:t>
                  </w:r>
                </w:p>
              </w:tc>
              <w:tc>
                <w:tcPr>
                  <w:tcW w:w="1154" w:type="dxa"/>
                  <w:shd w:val="clear" w:color="auto" w:fill="auto"/>
                  <w:noWrap/>
                  <w:vAlign w:val="center"/>
                </w:tcPr>
                <w:p w14:paraId="0EF757D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YX04</w:t>
                  </w:r>
                </w:p>
              </w:tc>
              <w:tc>
                <w:tcPr>
                  <w:tcW w:w="1435" w:type="dxa"/>
                  <w:shd w:val="clear" w:color="auto" w:fill="auto"/>
                  <w:noWrap/>
                  <w:vAlign w:val="center"/>
                </w:tcPr>
                <w:p w14:paraId="1673764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102.2473683</w:t>
                  </w:r>
                </w:p>
              </w:tc>
              <w:tc>
                <w:tcPr>
                  <w:tcW w:w="1426" w:type="dxa"/>
                  <w:shd w:val="clear" w:color="auto" w:fill="auto"/>
                  <w:noWrap/>
                  <w:vAlign w:val="center"/>
                </w:tcPr>
                <w:p w14:paraId="33F7676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29.95258499</w:t>
                  </w:r>
                </w:p>
              </w:tc>
              <w:tc>
                <w:tcPr>
                  <w:tcW w:w="999" w:type="dxa"/>
                  <w:shd w:val="clear" w:color="auto" w:fill="auto"/>
                  <w:noWrap/>
                  <w:vAlign w:val="center"/>
                </w:tcPr>
                <w:p w14:paraId="5E154A9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80</w:t>
                  </w:r>
                </w:p>
              </w:tc>
              <w:tc>
                <w:tcPr>
                  <w:tcW w:w="1940" w:type="dxa"/>
                  <w:shd w:val="clear" w:color="auto" w:fill="auto"/>
                  <w:noWrap/>
                  <w:vAlign w:val="center"/>
                </w:tcPr>
                <w:p w14:paraId="5ABAB2B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木蓝</w:t>
                  </w:r>
                </w:p>
              </w:tc>
            </w:tr>
            <w:tr w14:paraId="4DA9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9" w:type="dxa"/>
                  <w:shd w:val="clear" w:color="auto" w:fill="auto"/>
                  <w:noWrap/>
                  <w:vAlign w:val="center"/>
                </w:tcPr>
                <w:p w14:paraId="6F0BC32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9</w:t>
                  </w:r>
                </w:p>
              </w:tc>
              <w:tc>
                <w:tcPr>
                  <w:tcW w:w="813" w:type="dxa"/>
                  <w:shd w:val="clear" w:color="auto" w:fill="auto"/>
                  <w:noWrap/>
                  <w:vAlign w:val="center"/>
                </w:tcPr>
                <w:p w14:paraId="346B819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YF09</w:t>
                  </w:r>
                </w:p>
              </w:tc>
              <w:tc>
                <w:tcPr>
                  <w:tcW w:w="1154" w:type="dxa"/>
                  <w:shd w:val="clear" w:color="auto" w:fill="auto"/>
                  <w:noWrap/>
                  <w:vAlign w:val="center"/>
                </w:tcPr>
                <w:p w14:paraId="1627FF3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YX04</w:t>
                  </w:r>
                </w:p>
              </w:tc>
              <w:tc>
                <w:tcPr>
                  <w:tcW w:w="1435" w:type="dxa"/>
                  <w:shd w:val="clear" w:color="auto" w:fill="auto"/>
                  <w:noWrap/>
                  <w:vAlign w:val="center"/>
                </w:tcPr>
                <w:p w14:paraId="235546F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102.2468734</w:t>
                  </w:r>
                </w:p>
              </w:tc>
              <w:tc>
                <w:tcPr>
                  <w:tcW w:w="1426" w:type="dxa"/>
                  <w:shd w:val="clear" w:color="auto" w:fill="auto"/>
                  <w:noWrap/>
                  <w:vAlign w:val="center"/>
                </w:tcPr>
                <w:p w14:paraId="0E0C3D8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29.95170389</w:t>
                  </w:r>
                </w:p>
              </w:tc>
              <w:tc>
                <w:tcPr>
                  <w:tcW w:w="999" w:type="dxa"/>
                  <w:shd w:val="clear" w:color="auto" w:fill="auto"/>
                  <w:noWrap/>
                  <w:vAlign w:val="center"/>
                </w:tcPr>
                <w:p w14:paraId="1C7558D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251</w:t>
                  </w:r>
                </w:p>
              </w:tc>
              <w:tc>
                <w:tcPr>
                  <w:tcW w:w="1940" w:type="dxa"/>
                  <w:shd w:val="clear" w:color="auto" w:fill="auto"/>
                  <w:noWrap/>
                  <w:vAlign w:val="center"/>
                </w:tcPr>
                <w:p w14:paraId="1FD9828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狗尾草、茅草草丛</w:t>
                  </w:r>
                </w:p>
              </w:tc>
            </w:tr>
            <w:tr w14:paraId="0BC6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17FB66C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10</w:t>
                  </w:r>
                </w:p>
              </w:tc>
              <w:tc>
                <w:tcPr>
                  <w:tcW w:w="813" w:type="dxa"/>
                  <w:shd w:val="clear" w:color="auto" w:fill="auto"/>
                  <w:noWrap/>
                  <w:vAlign w:val="center"/>
                </w:tcPr>
                <w:p w14:paraId="75E52C4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YF10</w:t>
                  </w:r>
                </w:p>
              </w:tc>
              <w:tc>
                <w:tcPr>
                  <w:tcW w:w="1154" w:type="dxa"/>
                  <w:shd w:val="clear" w:color="auto" w:fill="auto"/>
                  <w:noWrap/>
                  <w:vAlign w:val="center"/>
                </w:tcPr>
                <w:p w14:paraId="704F4A4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YX04</w:t>
                  </w:r>
                </w:p>
              </w:tc>
              <w:tc>
                <w:tcPr>
                  <w:tcW w:w="1435" w:type="dxa"/>
                  <w:shd w:val="clear" w:color="auto" w:fill="auto"/>
                  <w:noWrap/>
                  <w:vAlign w:val="center"/>
                </w:tcPr>
                <w:p w14:paraId="27EA372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102.2452017</w:t>
                  </w:r>
                </w:p>
              </w:tc>
              <w:tc>
                <w:tcPr>
                  <w:tcW w:w="1426" w:type="dxa"/>
                  <w:shd w:val="clear" w:color="auto" w:fill="auto"/>
                  <w:noWrap/>
                  <w:vAlign w:val="center"/>
                </w:tcPr>
                <w:p w14:paraId="2594372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29.95084132</w:t>
                  </w:r>
                </w:p>
              </w:tc>
              <w:tc>
                <w:tcPr>
                  <w:tcW w:w="999" w:type="dxa"/>
                  <w:shd w:val="clear" w:color="auto" w:fill="auto"/>
                  <w:noWrap/>
                  <w:vAlign w:val="center"/>
                </w:tcPr>
                <w:p w14:paraId="4FF6060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232</w:t>
                  </w:r>
                </w:p>
              </w:tc>
              <w:tc>
                <w:tcPr>
                  <w:tcW w:w="1940" w:type="dxa"/>
                  <w:shd w:val="clear" w:color="auto" w:fill="auto"/>
                  <w:noWrap/>
                  <w:vAlign w:val="center"/>
                </w:tcPr>
                <w:p w14:paraId="6F0687E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青冈林</w:t>
                  </w:r>
                </w:p>
              </w:tc>
            </w:tr>
            <w:tr w14:paraId="2C21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589" w:type="dxa"/>
                  <w:shd w:val="clear" w:color="auto" w:fill="auto"/>
                  <w:noWrap/>
                  <w:vAlign w:val="center"/>
                </w:tcPr>
                <w:p w14:paraId="12B4231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11</w:t>
                  </w:r>
                </w:p>
              </w:tc>
              <w:tc>
                <w:tcPr>
                  <w:tcW w:w="813" w:type="dxa"/>
                  <w:shd w:val="clear" w:color="auto" w:fill="auto"/>
                  <w:noWrap/>
                  <w:vAlign w:val="center"/>
                </w:tcPr>
                <w:p w14:paraId="4D90AED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YF11</w:t>
                  </w:r>
                </w:p>
              </w:tc>
              <w:tc>
                <w:tcPr>
                  <w:tcW w:w="1154" w:type="dxa"/>
                  <w:shd w:val="clear" w:color="auto" w:fill="auto"/>
                  <w:noWrap/>
                  <w:vAlign w:val="center"/>
                </w:tcPr>
                <w:p w14:paraId="687A40B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YX04</w:t>
                  </w:r>
                </w:p>
              </w:tc>
              <w:tc>
                <w:tcPr>
                  <w:tcW w:w="1435" w:type="dxa"/>
                  <w:shd w:val="clear" w:color="auto" w:fill="auto"/>
                  <w:noWrap/>
                  <w:vAlign w:val="center"/>
                </w:tcPr>
                <w:p w14:paraId="1A1468F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102.2437835</w:t>
                  </w:r>
                </w:p>
              </w:tc>
              <w:tc>
                <w:tcPr>
                  <w:tcW w:w="1426" w:type="dxa"/>
                  <w:shd w:val="clear" w:color="auto" w:fill="auto"/>
                  <w:noWrap/>
                  <w:vAlign w:val="center"/>
                </w:tcPr>
                <w:p w14:paraId="4E7FACD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29.95046253</w:t>
                  </w:r>
                </w:p>
              </w:tc>
              <w:tc>
                <w:tcPr>
                  <w:tcW w:w="999" w:type="dxa"/>
                  <w:shd w:val="clear" w:color="auto" w:fill="auto"/>
                  <w:noWrap/>
                  <w:vAlign w:val="center"/>
                </w:tcPr>
                <w:p w14:paraId="44A86BE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159</w:t>
                  </w:r>
                </w:p>
              </w:tc>
              <w:tc>
                <w:tcPr>
                  <w:tcW w:w="1940" w:type="dxa"/>
                  <w:shd w:val="clear" w:color="auto" w:fill="auto"/>
                  <w:noWrap/>
                  <w:vAlign w:val="center"/>
                </w:tcPr>
                <w:p w14:paraId="38EC529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胡枝子灌丛</w:t>
                  </w:r>
                </w:p>
              </w:tc>
            </w:tr>
            <w:tr w14:paraId="79B9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9" w:type="dxa"/>
                  <w:shd w:val="clear" w:color="auto" w:fill="auto"/>
                  <w:noWrap/>
                  <w:vAlign w:val="center"/>
                </w:tcPr>
                <w:p w14:paraId="7CCFBD8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12</w:t>
                  </w:r>
                </w:p>
              </w:tc>
              <w:tc>
                <w:tcPr>
                  <w:tcW w:w="813" w:type="dxa"/>
                  <w:shd w:val="clear" w:color="auto" w:fill="auto"/>
                  <w:noWrap/>
                  <w:vAlign w:val="center"/>
                </w:tcPr>
                <w:p w14:paraId="1310CA9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YF12</w:t>
                  </w:r>
                </w:p>
              </w:tc>
              <w:tc>
                <w:tcPr>
                  <w:tcW w:w="1154" w:type="dxa"/>
                  <w:shd w:val="clear" w:color="auto" w:fill="auto"/>
                  <w:noWrap/>
                  <w:vAlign w:val="center"/>
                </w:tcPr>
                <w:p w14:paraId="641A873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4</w:t>
                  </w:r>
                </w:p>
              </w:tc>
              <w:tc>
                <w:tcPr>
                  <w:tcW w:w="1435" w:type="dxa"/>
                  <w:shd w:val="clear" w:color="auto" w:fill="auto"/>
                  <w:noWrap/>
                  <w:vAlign w:val="center"/>
                </w:tcPr>
                <w:p w14:paraId="2BE7E04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102.2420153</w:t>
                  </w:r>
                </w:p>
              </w:tc>
              <w:tc>
                <w:tcPr>
                  <w:tcW w:w="1426" w:type="dxa"/>
                  <w:shd w:val="clear" w:color="auto" w:fill="auto"/>
                  <w:noWrap/>
                  <w:vAlign w:val="center"/>
                </w:tcPr>
                <w:p w14:paraId="7575367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29.95058298</w:t>
                  </w:r>
                </w:p>
              </w:tc>
              <w:tc>
                <w:tcPr>
                  <w:tcW w:w="999" w:type="dxa"/>
                  <w:shd w:val="clear" w:color="auto" w:fill="auto"/>
                  <w:noWrap/>
                  <w:vAlign w:val="center"/>
                </w:tcPr>
                <w:p w14:paraId="2B20CAC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248</w:t>
                  </w:r>
                </w:p>
              </w:tc>
              <w:tc>
                <w:tcPr>
                  <w:tcW w:w="1940" w:type="dxa"/>
                  <w:shd w:val="clear" w:color="auto" w:fill="auto"/>
                  <w:noWrap/>
                  <w:vAlign w:val="center"/>
                </w:tcPr>
                <w:p w14:paraId="6A104DB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胡枝子灌丛</w:t>
                  </w:r>
                </w:p>
              </w:tc>
            </w:tr>
            <w:tr w14:paraId="18FA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9" w:type="dxa"/>
                  <w:shd w:val="clear" w:color="auto" w:fill="auto"/>
                  <w:noWrap/>
                  <w:vAlign w:val="center"/>
                </w:tcPr>
                <w:p w14:paraId="08E8E2C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13</w:t>
                  </w:r>
                </w:p>
              </w:tc>
              <w:tc>
                <w:tcPr>
                  <w:tcW w:w="813" w:type="dxa"/>
                  <w:shd w:val="clear" w:color="auto" w:fill="auto"/>
                  <w:noWrap/>
                  <w:vAlign w:val="center"/>
                </w:tcPr>
                <w:p w14:paraId="5BEEBA7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YF13</w:t>
                  </w:r>
                </w:p>
              </w:tc>
              <w:tc>
                <w:tcPr>
                  <w:tcW w:w="1154" w:type="dxa"/>
                  <w:shd w:val="clear" w:color="auto" w:fill="auto"/>
                  <w:noWrap/>
                  <w:vAlign w:val="center"/>
                </w:tcPr>
                <w:p w14:paraId="443A69A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5</w:t>
                  </w:r>
                </w:p>
              </w:tc>
              <w:tc>
                <w:tcPr>
                  <w:tcW w:w="1435" w:type="dxa"/>
                  <w:shd w:val="clear" w:color="auto" w:fill="auto"/>
                  <w:noWrap/>
                  <w:vAlign w:val="center"/>
                </w:tcPr>
                <w:p w14:paraId="44330A9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102.2409687</w:t>
                  </w:r>
                </w:p>
              </w:tc>
              <w:tc>
                <w:tcPr>
                  <w:tcW w:w="1426" w:type="dxa"/>
                  <w:shd w:val="clear" w:color="auto" w:fill="auto"/>
                  <w:noWrap/>
                  <w:vAlign w:val="center"/>
                </w:tcPr>
                <w:p w14:paraId="0DCC5D1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29.95055942</w:t>
                  </w:r>
                </w:p>
              </w:tc>
              <w:tc>
                <w:tcPr>
                  <w:tcW w:w="999" w:type="dxa"/>
                  <w:shd w:val="clear" w:color="auto" w:fill="auto"/>
                  <w:noWrap/>
                  <w:vAlign w:val="center"/>
                </w:tcPr>
                <w:p w14:paraId="69BAB9A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235</w:t>
                  </w:r>
                </w:p>
              </w:tc>
              <w:tc>
                <w:tcPr>
                  <w:tcW w:w="1940" w:type="dxa"/>
                  <w:shd w:val="clear" w:color="auto" w:fill="auto"/>
                  <w:noWrap/>
                  <w:vAlign w:val="center"/>
                </w:tcPr>
                <w:p w14:paraId="029B0E4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马桑、水麻灌丛</w:t>
                  </w:r>
                </w:p>
              </w:tc>
            </w:tr>
            <w:tr w14:paraId="754A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25C137F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14</w:t>
                  </w:r>
                </w:p>
              </w:tc>
              <w:tc>
                <w:tcPr>
                  <w:tcW w:w="813" w:type="dxa"/>
                  <w:shd w:val="clear" w:color="auto" w:fill="auto"/>
                  <w:noWrap/>
                  <w:vAlign w:val="center"/>
                </w:tcPr>
                <w:p w14:paraId="5099295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YF14</w:t>
                  </w:r>
                </w:p>
              </w:tc>
              <w:tc>
                <w:tcPr>
                  <w:tcW w:w="1154" w:type="dxa"/>
                  <w:shd w:val="clear" w:color="auto" w:fill="auto"/>
                  <w:noWrap/>
                  <w:vAlign w:val="center"/>
                </w:tcPr>
                <w:p w14:paraId="716703A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5</w:t>
                  </w:r>
                </w:p>
              </w:tc>
              <w:tc>
                <w:tcPr>
                  <w:tcW w:w="1435" w:type="dxa"/>
                  <w:shd w:val="clear" w:color="auto" w:fill="auto"/>
                  <w:noWrap/>
                  <w:vAlign w:val="center"/>
                </w:tcPr>
                <w:p w14:paraId="133B1B6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102.23756</w:t>
                  </w:r>
                </w:p>
              </w:tc>
              <w:tc>
                <w:tcPr>
                  <w:tcW w:w="1426" w:type="dxa"/>
                  <w:shd w:val="clear" w:color="auto" w:fill="auto"/>
                  <w:noWrap/>
                  <w:vAlign w:val="center"/>
                </w:tcPr>
                <w:p w14:paraId="79296BA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29.95091134</w:t>
                  </w:r>
                </w:p>
              </w:tc>
              <w:tc>
                <w:tcPr>
                  <w:tcW w:w="999" w:type="dxa"/>
                  <w:shd w:val="clear" w:color="auto" w:fill="auto"/>
                  <w:noWrap/>
                  <w:vAlign w:val="center"/>
                </w:tcPr>
                <w:p w14:paraId="6874656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230</w:t>
                  </w:r>
                </w:p>
              </w:tc>
              <w:tc>
                <w:tcPr>
                  <w:tcW w:w="1940" w:type="dxa"/>
                  <w:shd w:val="clear" w:color="auto" w:fill="auto"/>
                  <w:noWrap/>
                  <w:vAlign w:val="center"/>
                </w:tcPr>
                <w:p w14:paraId="5E333F0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木蓝</w:t>
                  </w:r>
                </w:p>
              </w:tc>
            </w:tr>
            <w:tr w14:paraId="107B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76E3F37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15</w:t>
                  </w:r>
                </w:p>
              </w:tc>
              <w:tc>
                <w:tcPr>
                  <w:tcW w:w="813" w:type="dxa"/>
                  <w:shd w:val="clear" w:color="auto" w:fill="auto"/>
                  <w:noWrap/>
                  <w:vAlign w:val="center"/>
                </w:tcPr>
                <w:p w14:paraId="7D4E468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YF15</w:t>
                  </w:r>
                </w:p>
              </w:tc>
              <w:tc>
                <w:tcPr>
                  <w:tcW w:w="1154" w:type="dxa"/>
                  <w:shd w:val="clear" w:color="auto" w:fill="auto"/>
                  <w:noWrap/>
                  <w:vAlign w:val="center"/>
                </w:tcPr>
                <w:p w14:paraId="1B4FA99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6</w:t>
                  </w:r>
                </w:p>
              </w:tc>
              <w:tc>
                <w:tcPr>
                  <w:tcW w:w="1435" w:type="dxa"/>
                  <w:shd w:val="clear" w:color="auto" w:fill="auto"/>
                  <w:noWrap/>
                  <w:vAlign w:val="center"/>
                </w:tcPr>
                <w:p w14:paraId="22690B4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102.2361641</w:t>
                  </w:r>
                </w:p>
              </w:tc>
              <w:tc>
                <w:tcPr>
                  <w:tcW w:w="1426" w:type="dxa"/>
                  <w:shd w:val="clear" w:color="auto" w:fill="auto"/>
                  <w:noWrap/>
                  <w:vAlign w:val="center"/>
                </w:tcPr>
                <w:p w14:paraId="5561B00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29.95575389</w:t>
                  </w:r>
                </w:p>
              </w:tc>
              <w:tc>
                <w:tcPr>
                  <w:tcW w:w="999" w:type="dxa"/>
                  <w:shd w:val="clear" w:color="auto" w:fill="auto"/>
                  <w:noWrap/>
                  <w:vAlign w:val="center"/>
                </w:tcPr>
                <w:p w14:paraId="79EC265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180</w:t>
                  </w:r>
                </w:p>
              </w:tc>
              <w:tc>
                <w:tcPr>
                  <w:tcW w:w="1940" w:type="dxa"/>
                  <w:shd w:val="clear" w:color="auto" w:fill="auto"/>
                  <w:noWrap/>
                  <w:vAlign w:val="center"/>
                </w:tcPr>
                <w:p w14:paraId="1C6D1D1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胡枝子灌丛</w:t>
                  </w:r>
                </w:p>
              </w:tc>
            </w:tr>
            <w:tr w14:paraId="0A10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6505A8C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16</w:t>
                  </w:r>
                </w:p>
              </w:tc>
              <w:tc>
                <w:tcPr>
                  <w:tcW w:w="813" w:type="dxa"/>
                  <w:shd w:val="clear" w:color="auto" w:fill="auto"/>
                  <w:noWrap/>
                  <w:vAlign w:val="center"/>
                </w:tcPr>
                <w:p w14:paraId="3FF3185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YF16</w:t>
                  </w:r>
                </w:p>
              </w:tc>
              <w:tc>
                <w:tcPr>
                  <w:tcW w:w="1154" w:type="dxa"/>
                  <w:shd w:val="clear" w:color="auto" w:fill="auto"/>
                  <w:noWrap/>
                  <w:vAlign w:val="center"/>
                </w:tcPr>
                <w:p w14:paraId="727F611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7</w:t>
                  </w:r>
                </w:p>
              </w:tc>
              <w:tc>
                <w:tcPr>
                  <w:tcW w:w="1435" w:type="dxa"/>
                  <w:shd w:val="clear" w:color="auto" w:fill="auto"/>
                  <w:noWrap/>
                  <w:vAlign w:val="center"/>
                </w:tcPr>
                <w:p w14:paraId="3AB52C9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102.2390848</w:t>
                  </w:r>
                </w:p>
              </w:tc>
              <w:tc>
                <w:tcPr>
                  <w:tcW w:w="1426" w:type="dxa"/>
                  <w:shd w:val="clear" w:color="auto" w:fill="auto"/>
                  <w:noWrap/>
                  <w:vAlign w:val="center"/>
                </w:tcPr>
                <w:p w14:paraId="161F0FF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29.95688834</w:t>
                  </w:r>
                </w:p>
              </w:tc>
              <w:tc>
                <w:tcPr>
                  <w:tcW w:w="999" w:type="dxa"/>
                  <w:shd w:val="clear" w:color="auto" w:fill="auto"/>
                  <w:noWrap/>
                  <w:vAlign w:val="center"/>
                </w:tcPr>
                <w:p w14:paraId="49940AB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164</w:t>
                  </w:r>
                </w:p>
              </w:tc>
              <w:tc>
                <w:tcPr>
                  <w:tcW w:w="1940" w:type="dxa"/>
                  <w:shd w:val="clear" w:color="auto" w:fill="auto"/>
                  <w:noWrap/>
                  <w:vAlign w:val="center"/>
                </w:tcPr>
                <w:p w14:paraId="4ED94FF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木蓝</w:t>
                  </w:r>
                </w:p>
              </w:tc>
            </w:tr>
            <w:tr w14:paraId="330D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589" w:type="dxa"/>
                  <w:shd w:val="clear" w:color="auto" w:fill="auto"/>
                  <w:noWrap/>
                  <w:vAlign w:val="center"/>
                </w:tcPr>
                <w:p w14:paraId="6233F03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17</w:t>
                  </w:r>
                </w:p>
              </w:tc>
              <w:tc>
                <w:tcPr>
                  <w:tcW w:w="813" w:type="dxa"/>
                  <w:shd w:val="clear" w:color="auto" w:fill="auto"/>
                  <w:noWrap/>
                  <w:vAlign w:val="center"/>
                </w:tcPr>
                <w:p w14:paraId="1142B12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YF17</w:t>
                  </w:r>
                </w:p>
              </w:tc>
              <w:tc>
                <w:tcPr>
                  <w:tcW w:w="1154" w:type="dxa"/>
                  <w:shd w:val="clear" w:color="auto" w:fill="auto"/>
                  <w:noWrap/>
                  <w:vAlign w:val="center"/>
                </w:tcPr>
                <w:p w14:paraId="20FEA6D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08</w:t>
                  </w:r>
                </w:p>
              </w:tc>
              <w:tc>
                <w:tcPr>
                  <w:tcW w:w="1435" w:type="dxa"/>
                  <w:shd w:val="clear" w:color="auto" w:fill="auto"/>
                  <w:noWrap/>
                  <w:vAlign w:val="center"/>
                </w:tcPr>
                <w:p w14:paraId="6B21411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102.2347147</w:t>
                  </w:r>
                </w:p>
              </w:tc>
              <w:tc>
                <w:tcPr>
                  <w:tcW w:w="1426" w:type="dxa"/>
                  <w:shd w:val="clear" w:color="auto" w:fill="auto"/>
                  <w:noWrap/>
                  <w:vAlign w:val="center"/>
                </w:tcPr>
                <w:p w14:paraId="397AF27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29.94832551</w:t>
                  </w:r>
                </w:p>
              </w:tc>
              <w:tc>
                <w:tcPr>
                  <w:tcW w:w="999" w:type="dxa"/>
                  <w:shd w:val="clear" w:color="auto" w:fill="auto"/>
                  <w:noWrap/>
                  <w:vAlign w:val="center"/>
                </w:tcPr>
                <w:p w14:paraId="40873FC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239</w:t>
                  </w:r>
                </w:p>
              </w:tc>
              <w:tc>
                <w:tcPr>
                  <w:tcW w:w="1940" w:type="dxa"/>
                  <w:shd w:val="clear" w:color="auto" w:fill="auto"/>
                  <w:noWrap/>
                  <w:vAlign w:val="center"/>
                </w:tcPr>
                <w:p w14:paraId="0E5717E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青冈林</w:t>
                  </w:r>
                </w:p>
              </w:tc>
            </w:tr>
            <w:tr w14:paraId="025E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123FEEB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18</w:t>
                  </w:r>
                </w:p>
              </w:tc>
              <w:tc>
                <w:tcPr>
                  <w:tcW w:w="813" w:type="dxa"/>
                  <w:shd w:val="clear" w:color="auto" w:fill="auto"/>
                  <w:noWrap/>
                  <w:vAlign w:val="center"/>
                </w:tcPr>
                <w:p w14:paraId="42CC92D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YF18</w:t>
                  </w:r>
                </w:p>
              </w:tc>
              <w:tc>
                <w:tcPr>
                  <w:tcW w:w="1154" w:type="dxa"/>
                  <w:shd w:val="clear" w:color="auto" w:fill="auto"/>
                  <w:noWrap/>
                  <w:vAlign w:val="center"/>
                </w:tcPr>
                <w:p w14:paraId="11185BB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09</w:t>
                  </w:r>
                </w:p>
              </w:tc>
              <w:tc>
                <w:tcPr>
                  <w:tcW w:w="1435" w:type="dxa"/>
                  <w:shd w:val="clear" w:color="auto" w:fill="auto"/>
                  <w:noWrap/>
                  <w:vAlign w:val="center"/>
                </w:tcPr>
                <w:p w14:paraId="7A01567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102.2340859</w:t>
                  </w:r>
                </w:p>
              </w:tc>
              <w:tc>
                <w:tcPr>
                  <w:tcW w:w="1426" w:type="dxa"/>
                  <w:shd w:val="clear" w:color="auto" w:fill="auto"/>
                  <w:noWrap/>
                  <w:vAlign w:val="center"/>
                </w:tcPr>
                <w:p w14:paraId="6B427FE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29.95288028</w:t>
                  </w:r>
                </w:p>
              </w:tc>
              <w:tc>
                <w:tcPr>
                  <w:tcW w:w="999" w:type="dxa"/>
                  <w:shd w:val="clear" w:color="auto" w:fill="auto"/>
                  <w:noWrap/>
                  <w:vAlign w:val="center"/>
                </w:tcPr>
                <w:p w14:paraId="528B96C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144</w:t>
                  </w:r>
                </w:p>
              </w:tc>
              <w:tc>
                <w:tcPr>
                  <w:tcW w:w="1940" w:type="dxa"/>
                  <w:shd w:val="clear" w:color="auto" w:fill="auto"/>
                  <w:noWrap/>
                  <w:vAlign w:val="center"/>
                </w:tcPr>
                <w:p w14:paraId="0E1BF8F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狗尾草、茅草草丛</w:t>
                  </w:r>
                </w:p>
              </w:tc>
            </w:tr>
            <w:tr w14:paraId="11AF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49100C9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19</w:t>
                  </w:r>
                </w:p>
              </w:tc>
              <w:tc>
                <w:tcPr>
                  <w:tcW w:w="813" w:type="dxa"/>
                  <w:shd w:val="clear" w:color="auto" w:fill="auto"/>
                  <w:noWrap/>
                  <w:vAlign w:val="center"/>
                </w:tcPr>
                <w:p w14:paraId="3484C45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YF19</w:t>
                  </w:r>
                </w:p>
              </w:tc>
              <w:tc>
                <w:tcPr>
                  <w:tcW w:w="1154" w:type="dxa"/>
                  <w:shd w:val="clear" w:color="auto" w:fill="auto"/>
                  <w:noWrap/>
                  <w:vAlign w:val="center"/>
                </w:tcPr>
                <w:p w14:paraId="6A1365A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09</w:t>
                  </w:r>
                </w:p>
              </w:tc>
              <w:tc>
                <w:tcPr>
                  <w:tcW w:w="1435" w:type="dxa"/>
                  <w:shd w:val="clear" w:color="auto" w:fill="auto"/>
                  <w:noWrap/>
                  <w:vAlign w:val="center"/>
                </w:tcPr>
                <w:p w14:paraId="16A4010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102.2324165</w:t>
                  </w:r>
                </w:p>
              </w:tc>
              <w:tc>
                <w:tcPr>
                  <w:tcW w:w="1426" w:type="dxa"/>
                  <w:shd w:val="clear" w:color="auto" w:fill="auto"/>
                  <w:noWrap/>
                  <w:vAlign w:val="center"/>
                </w:tcPr>
                <w:p w14:paraId="7186B77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29.95440384</w:t>
                  </w:r>
                </w:p>
              </w:tc>
              <w:tc>
                <w:tcPr>
                  <w:tcW w:w="999" w:type="dxa"/>
                  <w:shd w:val="clear" w:color="auto" w:fill="auto"/>
                  <w:noWrap/>
                  <w:vAlign w:val="center"/>
                </w:tcPr>
                <w:p w14:paraId="4B4C466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226</w:t>
                  </w:r>
                </w:p>
              </w:tc>
              <w:tc>
                <w:tcPr>
                  <w:tcW w:w="1940" w:type="dxa"/>
                  <w:shd w:val="clear" w:color="auto" w:fill="auto"/>
                  <w:noWrap/>
                  <w:vAlign w:val="center"/>
                </w:tcPr>
                <w:p w14:paraId="0AA6D23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胡枝子灌丛</w:t>
                  </w:r>
                </w:p>
              </w:tc>
            </w:tr>
            <w:tr w14:paraId="5D9D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18A3263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20</w:t>
                  </w:r>
                </w:p>
              </w:tc>
              <w:tc>
                <w:tcPr>
                  <w:tcW w:w="813" w:type="dxa"/>
                  <w:shd w:val="clear" w:color="auto" w:fill="auto"/>
                  <w:noWrap/>
                  <w:vAlign w:val="center"/>
                </w:tcPr>
                <w:p w14:paraId="0198E5F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YF20</w:t>
                  </w:r>
                </w:p>
              </w:tc>
              <w:tc>
                <w:tcPr>
                  <w:tcW w:w="1154" w:type="dxa"/>
                  <w:shd w:val="clear" w:color="auto" w:fill="auto"/>
                  <w:noWrap/>
                  <w:vAlign w:val="center"/>
                </w:tcPr>
                <w:p w14:paraId="1DA4BA6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09</w:t>
                  </w:r>
                </w:p>
              </w:tc>
              <w:tc>
                <w:tcPr>
                  <w:tcW w:w="1435" w:type="dxa"/>
                  <w:shd w:val="clear" w:color="auto" w:fill="auto"/>
                  <w:noWrap/>
                  <w:vAlign w:val="center"/>
                </w:tcPr>
                <w:p w14:paraId="231635E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102.230043</w:t>
                  </w:r>
                </w:p>
              </w:tc>
              <w:tc>
                <w:tcPr>
                  <w:tcW w:w="1426" w:type="dxa"/>
                  <w:shd w:val="clear" w:color="auto" w:fill="auto"/>
                  <w:noWrap/>
                  <w:vAlign w:val="center"/>
                </w:tcPr>
                <w:p w14:paraId="1EC7E17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29.95519237</w:t>
                  </w:r>
                </w:p>
              </w:tc>
              <w:tc>
                <w:tcPr>
                  <w:tcW w:w="999" w:type="dxa"/>
                  <w:shd w:val="clear" w:color="auto" w:fill="auto"/>
                  <w:noWrap/>
                  <w:vAlign w:val="center"/>
                </w:tcPr>
                <w:p w14:paraId="43DE84B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228</w:t>
                  </w:r>
                </w:p>
              </w:tc>
              <w:tc>
                <w:tcPr>
                  <w:tcW w:w="1940" w:type="dxa"/>
                  <w:shd w:val="clear" w:color="auto" w:fill="auto"/>
                  <w:noWrap/>
                  <w:vAlign w:val="center"/>
                </w:tcPr>
                <w:p w14:paraId="0A7CD06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马桑、水麻灌丛</w:t>
                  </w:r>
                </w:p>
              </w:tc>
            </w:tr>
            <w:tr w14:paraId="7CC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753196D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21</w:t>
                  </w:r>
                </w:p>
              </w:tc>
              <w:tc>
                <w:tcPr>
                  <w:tcW w:w="813" w:type="dxa"/>
                  <w:shd w:val="clear" w:color="auto" w:fill="auto"/>
                  <w:noWrap/>
                  <w:vAlign w:val="center"/>
                </w:tcPr>
                <w:p w14:paraId="5F002F8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YF21</w:t>
                  </w:r>
                </w:p>
              </w:tc>
              <w:tc>
                <w:tcPr>
                  <w:tcW w:w="1154" w:type="dxa"/>
                  <w:shd w:val="clear" w:color="auto" w:fill="auto"/>
                  <w:noWrap/>
                  <w:vAlign w:val="center"/>
                </w:tcPr>
                <w:p w14:paraId="33A82B3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0</w:t>
                  </w:r>
                </w:p>
              </w:tc>
              <w:tc>
                <w:tcPr>
                  <w:tcW w:w="1435" w:type="dxa"/>
                  <w:shd w:val="clear" w:color="auto" w:fill="auto"/>
                  <w:noWrap/>
                  <w:vAlign w:val="center"/>
                </w:tcPr>
                <w:p w14:paraId="07C167D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102.2298398</w:t>
                  </w:r>
                </w:p>
              </w:tc>
              <w:tc>
                <w:tcPr>
                  <w:tcW w:w="1426" w:type="dxa"/>
                  <w:shd w:val="clear" w:color="auto" w:fill="auto"/>
                  <w:noWrap/>
                  <w:vAlign w:val="center"/>
                </w:tcPr>
                <w:p w14:paraId="3D3DC64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29.95598131</w:t>
                  </w:r>
                </w:p>
              </w:tc>
              <w:tc>
                <w:tcPr>
                  <w:tcW w:w="999" w:type="dxa"/>
                  <w:shd w:val="clear" w:color="auto" w:fill="auto"/>
                  <w:noWrap/>
                  <w:vAlign w:val="center"/>
                </w:tcPr>
                <w:p w14:paraId="1CA3523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211</w:t>
                  </w:r>
                </w:p>
              </w:tc>
              <w:tc>
                <w:tcPr>
                  <w:tcW w:w="1940" w:type="dxa"/>
                  <w:shd w:val="clear" w:color="auto" w:fill="auto"/>
                  <w:noWrap/>
                  <w:vAlign w:val="center"/>
                </w:tcPr>
                <w:p w14:paraId="2FF5A9B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狗尾草、茅草草丛</w:t>
                  </w:r>
                </w:p>
              </w:tc>
            </w:tr>
            <w:tr w14:paraId="789B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4B90461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22</w:t>
                  </w:r>
                </w:p>
              </w:tc>
              <w:tc>
                <w:tcPr>
                  <w:tcW w:w="813" w:type="dxa"/>
                  <w:shd w:val="clear" w:color="auto" w:fill="auto"/>
                  <w:noWrap/>
                  <w:vAlign w:val="center"/>
                </w:tcPr>
                <w:p w14:paraId="4E32DEF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YF22</w:t>
                  </w:r>
                </w:p>
              </w:tc>
              <w:tc>
                <w:tcPr>
                  <w:tcW w:w="1154" w:type="dxa"/>
                  <w:shd w:val="clear" w:color="auto" w:fill="auto"/>
                  <w:noWrap/>
                  <w:vAlign w:val="center"/>
                </w:tcPr>
                <w:p w14:paraId="6F825BD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0</w:t>
                  </w:r>
                </w:p>
              </w:tc>
              <w:tc>
                <w:tcPr>
                  <w:tcW w:w="1435" w:type="dxa"/>
                  <w:shd w:val="clear" w:color="auto" w:fill="auto"/>
                  <w:noWrap/>
                  <w:vAlign w:val="center"/>
                </w:tcPr>
                <w:p w14:paraId="26B6C61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102.2299893</w:t>
                  </w:r>
                </w:p>
              </w:tc>
              <w:tc>
                <w:tcPr>
                  <w:tcW w:w="1426" w:type="dxa"/>
                  <w:shd w:val="clear" w:color="auto" w:fill="auto"/>
                  <w:noWrap/>
                  <w:vAlign w:val="center"/>
                </w:tcPr>
                <w:p w14:paraId="655E0FD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29.95757204</w:t>
                  </w:r>
                </w:p>
              </w:tc>
              <w:tc>
                <w:tcPr>
                  <w:tcW w:w="999" w:type="dxa"/>
                  <w:shd w:val="clear" w:color="auto" w:fill="auto"/>
                  <w:noWrap/>
                  <w:vAlign w:val="center"/>
                </w:tcPr>
                <w:p w14:paraId="1918BB2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171</w:t>
                  </w:r>
                </w:p>
              </w:tc>
              <w:tc>
                <w:tcPr>
                  <w:tcW w:w="1940" w:type="dxa"/>
                  <w:shd w:val="clear" w:color="auto" w:fill="auto"/>
                  <w:noWrap/>
                  <w:vAlign w:val="center"/>
                </w:tcPr>
                <w:p w14:paraId="2D072F2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木蓝</w:t>
                  </w:r>
                </w:p>
              </w:tc>
            </w:tr>
            <w:tr w14:paraId="60D9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099F78C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23</w:t>
                  </w:r>
                </w:p>
              </w:tc>
              <w:tc>
                <w:tcPr>
                  <w:tcW w:w="813" w:type="dxa"/>
                  <w:shd w:val="clear" w:color="auto" w:fill="auto"/>
                  <w:noWrap/>
                  <w:vAlign w:val="center"/>
                </w:tcPr>
                <w:p w14:paraId="484364E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YF23</w:t>
                  </w:r>
                </w:p>
              </w:tc>
              <w:tc>
                <w:tcPr>
                  <w:tcW w:w="1154" w:type="dxa"/>
                  <w:shd w:val="clear" w:color="auto" w:fill="auto"/>
                  <w:noWrap/>
                  <w:vAlign w:val="center"/>
                </w:tcPr>
                <w:p w14:paraId="3FE17F51">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11</w:t>
                  </w:r>
                </w:p>
              </w:tc>
              <w:tc>
                <w:tcPr>
                  <w:tcW w:w="1435" w:type="dxa"/>
                  <w:shd w:val="clear" w:color="auto" w:fill="auto"/>
                  <w:noWrap/>
                  <w:vAlign w:val="center"/>
                </w:tcPr>
                <w:p w14:paraId="581DCF4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102.23019</w:t>
                  </w:r>
                </w:p>
              </w:tc>
              <w:tc>
                <w:tcPr>
                  <w:tcW w:w="1426" w:type="dxa"/>
                  <w:shd w:val="clear" w:color="auto" w:fill="auto"/>
                  <w:noWrap/>
                  <w:vAlign w:val="center"/>
                </w:tcPr>
                <w:p w14:paraId="56C187B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29.94472111</w:t>
                  </w:r>
                </w:p>
              </w:tc>
              <w:tc>
                <w:tcPr>
                  <w:tcW w:w="999" w:type="dxa"/>
                  <w:shd w:val="clear" w:color="auto" w:fill="auto"/>
                  <w:noWrap/>
                  <w:vAlign w:val="center"/>
                </w:tcPr>
                <w:p w14:paraId="28BEA88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192</w:t>
                  </w:r>
                </w:p>
              </w:tc>
              <w:tc>
                <w:tcPr>
                  <w:tcW w:w="1940" w:type="dxa"/>
                  <w:shd w:val="clear" w:color="auto" w:fill="auto"/>
                  <w:noWrap/>
                  <w:vAlign w:val="center"/>
                </w:tcPr>
                <w:p w14:paraId="6CDBE86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柳灌丛</w:t>
                  </w:r>
                </w:p>
              </w:tc>
            </w:tr>
            <w:tr w14:paraId="351A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6EBAD90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24</w:t>
                  </w:r>
                </w:p>
              </w:tc>
              <w:tc>
                <w:tcPr>
                  <w:tcW w:w="813" w:type="dxa"/>
                  <w:shd w:val="clear" w:color="auto" w:fill="auto"/>
                  <w:noWrap/>
                  <w:vAlign w:val="center"/>
                </w:tcPr>
                <w:p w14:paraId="55899CE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YF24</w:t>
                  </w:r>
                </w:p>
              </w:tc>
              <w:tc>
                <w:tcPr>
                  <w:tcW w:w="1154" w:type="dxa"/>
                  <w:shd w:val="clear" w:color="auto" w:fill="auto"/>
                  <w:noWrap/>
                  <w:vAlign w:val="center"/>
                </w:tcPr>
                <w:p w14:paraId="69E601B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2</w:t>
                  </w:r>
                </w:p>
              </w:tc>
              <w:tc>
                <w:tcPr>
                  <w:tcW w:w="1435" w:type="dxa"/>
                  <w:shd w:val="clear" w:color="auto" w:fill="auto"/>
                  <w:noWrap/>
                  <w:vAlign w:val="center"/>
                </w:tcPr>
                <w:p w14:paraId="1CB00C3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102.2308727</w:t>
                  </w:r>
                </w:p>
              </w:tc>
              <w:tc>
                <w:tcPr>
                  <w:tcW w:w="1426" w:type="dxa"/>
                  <w:shd w:val="clear" w:color="auto" w:fill="auto"/>
                  <w:noWrap/>
                  <w:vAlign w:val="center"/>
                </w:tcPr>
                <w:p w14:paraId="244AB2E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29.93041682</w:t>
                  </w:r>
                </w:p>
              </w:tc>
              <w:tc>
                <w:tcPr>
                  <w:tcW w:w="999" w:type="dxa"/>
                  <w:shd w:val="clear" w:color="auto" w:fill="auto"/>
                  <w:noWrap/>
                  <w:vAlign w:val="center"/>
                </w:tcPr>
                <w:p w14:paraId="5BE40C5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213</w:t>
                  </w:r>
                </w:p>
              </w:tc>
              <w:tc>
                <w:tcPr>
                  <w:tcW w:w="1940" w:type="dxa"/>
                  <w:shd w:val="clear" w:color="auto" w:fill="auto"/>
                  <w:noWrap/>
                  <w:vAlign w:val="center"/>
                </w:tcPr>
                <w:p w14:paraId="0E0F686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柳灌丛</w:t>
                  </w:r>
                </w:p>
              </w:tc>
            </w:tr>
            <w:tr w14:paraId="1AF3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3B2DB5F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25</w:t>
                  </w:r>
                </w:p>
              </w:tc>
              <w:tc>
                <w:tcPr>
                  <w:tcW w:w="813" w:type="dxa"/>
                  <w:shd w:val="clear" w:color="auto" w:fill="auto"/>
                  <w:noWrap/>
                  <w:vAlign w:val="center"/>
                </w:tcPr>
                <w:p w14:paraId="63E99C3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YF25</w:t>
                  </w:r>
                </w:p>
              </w:tc>
              <w:tc>
                <w:tcPr>
                  <w:tcW w:w="1154" w:type="dxa"/>
                  <w:shd w:val="clear" w:color="auto" w:fill="auto"/>
                  <w:noWrap/>
                  <w:vAlign w:val="center"/>
                </w:tcPr>
                <w:p w14:paraId="09D62A8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2</w:t>
                  </w:r>
                </w:p>
              </w:tc>
              <w:tc>
                <w:tcPr>
                  <w:tcW w:w="1435" w:type="dxa"/>
                  <w:shd w:val="clear" w:color="auto" w:fill="auto"/>
                  <w:noWrap/>
                  <w:vAlign w:val="center"/>
                </w:tcPr>
                <w:p w14:paraId="372A6A4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102.2328</w:t>
                  </w:r>
                </w:p>
              </w:tc>
              <w:tc>
                <w:tcPr>
                  <w:tcW w:w="1426" w:type="dxa"/>
                  <w:shd w:val="clear" w:color="auto" w:fill="auto"/>
                  <w:noWrap/>
                  <w:vAlign w:val="center"/>
                </w:tcPr>
                <w:p w14:paraId="65D664B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29.93377152</w:t>
                  </w:r>
                </w:p>
              </w:tc>
              <w:tc>
                <w:tcPr>
                  <w:tcW w:w="999" w:type="dxa"/>
                  <w:shd w:val="clear" w:color="auto" w:fill="auto"/>
                  <w:noWrap/>
                  <w:vAlign w:val="center"/>
                </w:tcPr>
                <w:p w14:paraId="16226CE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245</w:t>
                  </w:r>
                </w:p>
              </w:tc>
              <w:tc>
                <w:tcPr>
                  <w:tcW w:w="1940" w:type="dxa"/>
                  <w:shd w:val="clear" w:color="auto" w:fill="auto"/>
                  <w:noWrap/>
                  <w:vAlign w:val="center"/>
                </w:tcPr>
                <w:p w14:paraId="760FFFA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青冈林</w:t>
                  </w:r>
                </w:p>
              </w:tc>
            </w:tr>
            <w:tr w14:paraId="06EF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68311B7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26</w:t>
                  </w:r>
                </w:p>
              </w:tc>
              <w:tc>
                <w:tcPr>
                  <w:tcW w:w="813" w:type="dxa"/>
                  <w:shd w:val="clear" w:color="auto" w:fill="auto"/>
                  <w:noWrap/>
                  <w:vAlign w:val="center"/>
                </w:tcPr>
                <w:p w14:paraId="31DC0C6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YF26</w:t>
                  </w:r>
                </w:p>
              </w:tc>
              <w:tc>
                <w:tcPr>
                  <w:tcW w:w="1154" w:type="dxa"/>
                  <w:shd w:val="clear" w:color="auto" w:fill="auto"/>
                  <w:noWrap/>
                  <w:vAlign w:val="center"/>
                </w:tcPr>
                <w:p w14:paraId="28851C3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3</w:t>
                  </w:r>
                </w:p>
              </w:tc>
              <w:tc>
                <w:tcPr>
                  <w:tcW w:w="1435" w:type="dxa"/>
                  <w:shd w:val="clear" w:color="auto" w:fill="auto"/>
                  <w:noWrap/>
                  <w:vAlign w:val="center"/>
                </w:tcPr>
                <w:p w14:paraId="19019B1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102.2272382</w:t>
                  </w:r>
                </w:p>
              </w:tc>
              <w:tc>
                <w:tcPr>
                  <w:tcW w:w="1426" w:type="dxa"/>
                  <w:shd w:val="clear" w:color="auto" w:fill="auto"/>
                  <w:noWrap/>
                  <w:vAlign w:val="center"/>
                </w:tcPr>
                <w:p w14:paraId="3EECE90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29.92072805</w:t>
                  </w:r>
                </w:p>
              </w:tc>
              <w:tc>
                <w:tcPr>
                  <w:tcW w:w="999" w:type="dxa"/>
                  <w:shd w:val="clear" w:color="auto" w:fill="auto"/>
                  <w:noWrap/>
                  <w:vAlign w:val="center"/>
                </w:tcPr>
                <w:p w14:paraId="290A27D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120</w:t>
                  </w:r>
                </w:p>
              </w:tc>
              <w:tc>
                <w:tcPr>
                  <w:tcW w:w="1940" w:type="dxa"/>
                  <w:shd w:val="clear" w:color="auto" w:fill="auto"/>
                  <w:noWrap/>
                  <w:vAlign w:val="center"/>
                </w:tcPr>
                <w:p w14:paraId="227AF58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柳灌丛</w:t>
                  </w:r>
                </w:p>
              </w:tc>
            </w:tr>
            <w:tr w14:paraId="726F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472B5A7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27</w:t>
                  </w:r>
                </w:p>
              </w:tc>
              <w:tc>
                <w:tcPr>
                  <w:tcW w:w="813" w:type="dxa"/>
                  <w:shd w:val="clear" w:color="auto" w:fill="auto"/>
                  <w:noWrap/>
                  <w:vAlign w:val="center"/>
                </w:tcPr>
                <w:p w14:paraId="437AB7E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YF27</w:t>
                  </w:r>
                </w:p>
              </w:tc>
              <w:tc>
                <w:tcPr>
                  <w:tcW w:w="1154" w:type="dxa"/>
                  <w:shd w:val="clear" w:color="auto" w:fill="auto"/>
                  <w:noWrap/>
                  <w:vAlign w:val="center"/>
                </w:tcPr>
                <w:p w14:paraId="1AEE254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4</w:t>
                  </w:r>
                </w:p>
              </w:tc>
              <w:tc>
                <w:tcPr>
                  <w:tcW w:w="1435" w:type="dxa"/>
                  <w:shd w:val="clear" w:color="auto" w:fill="auto"/>
                  <w:noWrap/>
                  <w:vAlign w:val="center"/>
                </w:tcPr>
                <w:p w14:paraId="3A68927F">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102.2325531</w:t>
                  </w:r>
                </w:p>
              </w:tc>
              <w:tc>
                <w:tcPr>
                  <w:tcW w:w="1426" w:type="dxa"/>
                  <w:shd w:val="clear" w:color="auto" w:fill="auto"/>
                  <w:noWrap/>
                  <w:vAlign w:val="center"/>
                </w:tcPr>
                <w:p w14:paraId="66803DF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29.91950428</w:t>
                  </w:r>
                </w:p>
              </w:tc>
              <w:tc>
                <w:tcPr>
                  <w:tcW w:w="999" w:type="dxa"/>
                  <w:shd w:val="clear" w:color="auto" w:fill="auto"/>
                  <w:noWrap/>
                  <w:vAlign w:val="center"/>
                </w:tcPr>
                <w:p w14:paraId="7F5FC9C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125</w:t>
                  </w:r>
                </w:p>
              </w:tc>
              <w:tc>
                <w:tcPr>
                  <w:tcW w:w="1940" w:type="dxa"/>
                  <w:shd w:val="clear" w:color="auto" w:fill="auto"/>
                  <w:noWrap/>
                  <w:vAlign w:val="center"/>
                </w:tcPr>
                <w:p w14:paraId="033278B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马桑、水麻灌丛</w:t>
                  </w:r>
                </w:p>
              </w:tc>
            </w:tr>
            <w:tr w14:paraId="75E4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6C85CBF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28</w:t>
                  </w:r>
                </w:p>
              </w:tc>
              <w:tc>
                <w:tcPr>
                  <w:tcW w:w="813" w:type="dxa"/>
                  <w:shd w:val="clear" w:color="auto" w:fill="auto"/>
                  <w:noWrap/>
                  <w:vAlign w:val="center"/>
                </w:tcPr>
                <w:p w14:paraId="256B614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YF28</w:t>
                  </w:r>
                </w:p>
              </w:tc>
              <w:tc>
                <w:tcPr>
                  <w:tcW w:w="1154" w:type="dxa"/>
                  <w:shd w:val="clear" w:color="auto" w:fill="auto"/>
                  <w:noWrap/>
                  <w:vAlign w:val="center"/>
                </w:tcPr>
                <w:p w14:paraId="5B1254A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4</w:t>
                  </w:r>
                </w:p>
              </w:tc>
              <w:tc>
                <w:tcPr>
                  <w:tcW w:w="1435" w:type="dxa"/>
                  <w:shd w:val="clear" w:color="auto" w:fill="auto"/>
                  <w:noWrap/>
                  <w:vAlign w:val="center"/>
                </w:tcPr>
                <w:p w14:paraId="2EA1903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102.2325773</w:t>
                  </w:r>
                </w:p>
              </w:tc>
              <w:tc>
                <w:tcPr>
                  <w:tcW w:w="1426" w:type="dxa"/>
                  <w:shd w:val="clear" w:color="auto" w:fill="auto"/>
                  <w:noWrap/>
                  <w:vAlign w:val="center"/>
                </w:tcPr>
                <w:p w14:paraId="3B9A824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29.92011606</w:t>
                  </w:r>
                </w:p>
              </w:tc>
              <w:tc>
                <w:tcPr>
                  <w:tcW w:w="999" w:type="dxa"/>
                  <w:shd w:val="clear" w:color="auto" w:fill="auto"/>
                  <w:noWrap/>
                  <w:vAlign w:val="center"/>
                </w:tcPr>
                <w:p w14:paraId="1D77227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149</w:t>
                  </w:r>
                </w:p>
              </w:tc>
              <w:tc>
                <w:tcPr>
                  <w:tcW w:w="1940" w:type="dxa"/>
                  <w:shd w:val="clear" w:color="auto" w:fill="auto"/>
                  <w:noWrap/>
                  <w:vAlign w:val="center"/>
                </w:tcPr>
                <w:p w14:paraId="13ACF58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胡枝子灌丛</w:t>
                  </w:r>
                </w:p>
              </w:tc>
            </w:tr>
            <w:tr w14:paraId="204B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7F3A2E0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29</w:t>
                  </w:r>
                </w:p>
              </w:tc>
              <w:tc>
                <w:tcPr>
                  <w:tcW w:w="813" w:type="dxa"/>
                  <w:shd w:val="clear" w:color="auto" w:fill="auto"/>
                  <w:noWrap/>
                  <w:vAlign w:val="center"/>
                </w:tcPr>
                <w:p w14:paraId="27B9BE2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YF29</w:t>
                  </w:r>
                </w:p>
              </w:tc>
              <w:tc>
                <w:tcPr>
                  <w:tcW w:w="1154" w:type="dxa"/>
                  <w:shd w:val="clear" w:color="auto" w:fill="auto"/>
                  <w:noWrap/>
                  <w:vAlign w:val="center"/>
                </w:tcPr>
                <w:p w14:paraId="3F74546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5</w:t>
                  </w:r>
                </w:p>
              </w:tc>
              <w:tc>
                <w:tcPr>
                  <w:tcW w:w="1435" w:type="dxa"/>
                  <w:shd w:val="clear" w:color="auto" w:fill="auto"/>
                  <w:noWrap/>
                  <w:vAlign w:val="center"/>
                </w:tcPr>
                <w:p w14:paraId="6F67DB6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102.2333745</w:t>
                  </w:r>
                </w:p>
              </w:tc>
              <w:tc>
                <w:tcPr>
                  <w:tcW w:w="1426" w:type="dxa"/>
                  <w:shd w:val="clear" w:color="auto" w:fill="auto"/>
                  <w:noWrap/>
                  <w:vAlign w:val="center"/>
                </w:tcPr>
                <w:p w14:paraId="718B262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29.9092015</w:t>
                  </w:r>
                </w:p>
              </w:tc>
              <w:tc>
                <w:tcPr>
                  <w:tcW w:w="999" w:type="dxa"/>
                  <w:shd w:val="clear" w:color="auto" w:fill="auto"/>
                  <w:noWrap/>
                  <w:vAlign w:val="center"/>
                </w:tcPr>
                <w:p w14:paraId="66E8EC3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224</w:t>
                  </w:r>
                </w:p>
              </w:tc>
              <w:tc>
                <w:tcPr>
                  <w:tcW w:w="1940" w:type="dxa"/>
                  <w:shd w:val="clear" w:color="auto" w:fill="auto"/>
                  <w:noWrap/>
                  <w:vAlign w:val="center"/>
                </w:tcPr>
                <w:p w14:paraId="06487D9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木蓝</w:t>
                  </w:r>
                </w:p>
              </w:tc>
            </w:tr>
            <w:tr w14:paraId="3210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89" w:type="dxa"/>
                  <w:shd w:val="clear" w:color="auto" w:fill="auto"/>
                  <w:noWrap/>
                  <w:vAlign w:val="center"/>
                </w:tcPr>
                <w:p w14:paraId="1AECF43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30</w:t>
                  </w:r>
                </w:p>
              </w:tc>
              <w:tc>
                <w:tcPr>
                  <w:tcW w:w="813" w:type="dxa"/>
                  <w:shd w:val="clear" w:color="auto" w:fill="auto"/>
                  <w:noWrap/>
                  <w:vAlign w:val="center"/>
                </w:tcPr>
                <w:p w14:paraId="6930D98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YF30</w:t>
                  </w:r>
                </w:p>
              </w:tc>
              <w:tc>
                <w:tcPr>
                  <w:tcW w:w="1154" w:type="dxa"/>
                  <w:shd w:val="clear" w:color="auto" w:fill="auto"/>
                  <w:noWrap/>
                  <w:vAlign w:val="center"/>
                </w:tcPr>
                <w:p w14:paraId="41B2E50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6</w:t>
                  </w:r>
                </w:p>
              </w:tc>
              <w:tc>
                <w:tcPr>
                  <w:tcW w:w="1435" w:type="dxa"/>
                  <w:shd w:val="clear" w:color="auto" w:fill="auto"/>
                  <w:noWrap/>
                  <w:vAlign w:val="center"/>
                </w:tcPr>
                <w:p w14:paraId="7B71999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102.2377252</w:t>
                  </w:r>
                </w:p>
              </w:tc>
              <w:tc>
                <w:tcPr>
                  <w:tcW w:w="1426" w:type="dxa"/>
                  <w:shd w:val="clear" w:color="auto" w:fill="auto"/>
                  <w:noWrap/>
                  <w:vAlign w:val="center"/>
                </w:tcPr>
                <w:p w14:paraId="3E385D5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29.91099237</w:t>
                  </w:r>
                </w:p>
              </w:tc>
              <w:tc>
                <w:tcPr>
                  <w:tcW w:w="999" w:type="dxa"/>
                  <w:shd w:val="clear" w:color="auto" w:fill="auto"/>
                  <w:noWrap/>
                  <w:vAlign w:val="center"/>
                </w:tcPr>
                <w:p w14:paraId="35E2C7F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184</w:t>
                  </w:r>
                </w:p>
              </w:tc>
              <w:tc>
                <w:tcPr>
                  <w:tcW w:w="1940" w:type="dxa"/>
                  <w:shd w:val="clear" w:color="auto" w:fill="auto"/>
                  <w:noWrap/>
                  <w:vAlign w:val="center"/>
                </w:tcPr>
                <w:p w14:paraId="2872905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柳灌丛</w:t>
                  </w:r>
                </w:p>
              </w:tc>
            </w:tr>
          </w:tbl>
          <w:p w14:paraId="0101B1C2">
            <w:pPr>
              <w:adjustRightInd w:val="0"/>
              <w:spacing w:line="360" w:lineRule="auto"/>
              <w:ind w:firstLine="480" w:firstLineChars="200"/>
              <w:jc w:val="left"/>
              <w:rPr>
                <w:rFonts w:ascii="Cambria Math" w:hAnsi="Cambria Math" w:cs="Cambria Math"/>
                <w:color w:val="000000" w:themeColor="text1"/>
                <w:sz w:val="24"/>
                <w:highlight w:val="none"/>
                <w14:textFill>
                  <w14:solidFill>
                    <w14:schemeClr w14:val="tx1"/>
                  </w14:solidFill>
                </w14:textFill>
              </w:rPr>
            </w:pPr>
            <w:r>
              <w:rPr>
                <w:rFonts w:hint="eastAsia" w:ascii="Cambria Math" w:hAnsi="Cambria Math" w:cs="Cambria Math"/>
                <w:color w:val="000000" w:themeColor="text1"/>
                <w:sz w:val="24"/>
                <w:highlight w:val="none"/>
                <w14:textFill>
                  <w14:solidFill>
                    <w14:schemeClr w14:val="tx1"/>
                  </w14:solidFill>
                </w14:textFill>
              </w:rPr>
              <w:t>部分调查照片如下图所示。</w:t>
            </w:r>
          </w:p>
          <w:tbl>
            <w:tblPr>
              <w:tblStyle w:val="56"/>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4193"/>
              <w:gridCol w:w="3893"/>
            </w:tblGrid>
            <w:tr w14:paraId="2FC5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4294" w:type="dxa"/>
                </w:tcPr>
                <w:p w14:paraId="537C33C4">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779395" cy="1773555"/>
                        <wp:effectExtent l="0" t="0" r="1905" b="17145"/>
                        <wp:docPr id="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8"/>
                                <pic:cNvPicPr>
                                  <a:picLocks noChangeAspect="1"/>
                                </pic:cNvPicPr>
                              </pic:nvPicPr>
                              <pic:blipFill>
                                <a:blip r:embed="rId37"/>
                                <a:stretch>
                                  <a:fillRect/>
                                </a:stretch>
                              </pic:blipFill>
                              <pic:spPr>
                                <a:xfrm>
                                  <a:off x="0" y="0"/>
                                  <a:ext cx="2779395" cy="1773555"/>
                                </a:xfrm>
                                <a:prstGeom prst="rect">
                                  <a:avLst/>
                                </a:prstGeom>
                                <a:noFill/>
                                <a:ln>
                                  <a:noFill/>
                                </a:ln>
                              </pic:spPr>
                            </pic:pic>
                          </a:graphicData>
                        </a:graphic>
                      </wp:inline>
                    </w:drawing>
                  </w:r>
                </w:p>
              </w:tc>
              <w:tc>
                <w:tcPr>
                  <w:tcW w:w="4062" w:type="dxa"/>
                </w:tcPr>
                <w:p w14:paraId="3B0B1FDD">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375535" cy="1781175"/>
                        <wp:effectExtent l="0" t="0" r="5715" b="9525"/>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38"/>
                                <a:stretch>
                                  <a:fillRect/>
                                </a:stretch>
                              </pic:blipFill>
                              <pic:spPr>
                                <a:xfrm>
                                  <a:off x="0" y="0"/>
                                  <a:ext cx="2375535" cy="1781175"/>
                                </a:xfrm>
                                <a:prstGeom prst="rect">
                                  <a:avLst/>
                                </a:prstGeom>
                                <a:noFill/>
                                <a:ln>
                                  <a:noFill/>
                                </a:ln>
                              </pic:spPr>
                            </pic:pic>
                          </a:graphicData>
                        </a:graphic>
                      </wp:inline>
                    </w:drawing>
                  </w:r>
                </w:p>
              </w:tc>
            </w:tr>
            <w:tr w14:paraId="0E4B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4294" w:type="dxa"/>
                </w:tcPr>
                <w:p w14:paraId="3C286167">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643505" cy="1664335"/>
                        <wp:effectExtent l="0" t="0" r="4445" b="12065"/>
                        <wp:docPr id="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0"/>
                                <pic:cNvPicPr>
                                  <a:picLocks noChangeAspect="1"/>
                                </pic:cNvPicPr>
                              </pic:nvPicPr>
                              <pic:blipFill>
                                <a:blip r:embed="rId39"/>
                                <a:stretch>
                                  <a:fillRect/>
                                </a:stretch>
                              </pic:blipFill>
                              <pic:spPr>
                                <a:xfrm>
                                  <a:off x="0" y="0"/>
                                  <a:ext cx="2643505" cy="1664335"/>
                                </a:xfrm>
                                <a:prstGeom prst="rect">
                                  <a:avLst/>
                                </a:prstGeom>
                                <a:noFill/>
                                <a:ln>
                                  <a:noFill/>
                                </a:ln>
                              </pic:spPr>
                            </pic:pic>
                          </a:graphicData>
                        </a:graphic>
                      </wp:inline>
                    </w:drawing>
                  </w:r>
                </w:p>
              </w:tc>
              <w:tc>
                <w:tcPr>
                  <w:tcW w:w="4062" w:type="dxa"/>
                </w:tcPr>
                <w:p w14:paraId="742D70C0">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409825" cy="1661160"/>
                        <wp:effectExtent l="0" t="0" r="9525" b="1524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40"/>
                                <a:stretch>
                                  <a:fillRect/>
                                </a:stretch>
                              </pic:blipFill>
                              <pic:spPr>
                                <a:xfrm>
                                  <a:off x="0" y="0"/>
                                  <a:ext cx="2409825" cy="1661160"/>
                                </a:xfrm>
                                <a:prstGeom prst="rect">
                                  <a:avLst/>
                                </a:prstGeom>
                                <a:noFill/>
                                <a:ln>
                                  <a:noFill/>
                                </a:ln>
                              </pic:spPr>
                            </pic:pic>
                          </a:graphicData>
                        </a:graphic>
                      </wp:inline>
                    </w:drawing>
                  </w:r>
                </w:p>
              </w:tc>
            </w:tr>
            <w:tr w14:paraId="63B86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766" w:hRule="atLeast"/>
                <w:jc w:val="center"/>
              </w:trPr>
              <w:tc>
                <w:tcPr>
                  <w:tcW w:w="4294" w:type="dxa"/>
                </w:tcPr>
                <w:p w14:paraId="7DFEFA25">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653030" cy="1899285"/>
                        <wp:effectExtent l="0" t="0" r="13970" b="5715"/>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pic:cNvPicPr>
                              </pic:nvPicPr>
                              <pic:blipFill>
                                <a:blip r:embed="rId41"/>
                                <a:stretch>
                                  <a:fillRect/>
                                </a:stretch>
                              </pic:blipFill>
                              <pic:spPr>
                                <a:xfrm>
                                  <a:off x="0" y="0"/>
                                  <a:ext cx="2653030" cy="1899285"/>
                                </a:xfrm>
                                <a:prstGeom prst="rect">
                                  <a:avLst/>
                                </a:prstGeom>
                                <a:noFill/>
                                <a:ln>
                                  <a:noFill/>
                                </a:ln>
                              </pic:spPr>
                            </pic:pic>
                          </a:graphicData>
                        </a:graphic>
                      </wp:inline>
                    </w:drawing>
                  </w:r>
                </w:p>
              </w:tc>
              <w:tc>
                <w:tcPr>
                  <w:tcW w:w="4062" w:type="dxa"/>
                </w:tcPr>
                <w:p w14:paraId="39CF6091">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488565" cy="1908810"/>
                        <wp:effectExtent l="0" t="0" r="6985" b="15240"/>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42"/>
                                <a:stretch>
                                  <a:fillRect/>
                                </a:stretch>
                              </pic:blipFill>
                              <pic:spPr>
                                <a:xfrm>
                                  <a:off x="0" y="0"/>
                                  <a:ext cx="2488565" cy="1908810"/>
                                </a:xfrm>
                                <a:prstGeom prst="rect">
                                  <a:avLst/>
                                </a:prstGeom>
                                <a:noFill/>
                                <a:ln>
                                  <a:noFill/>
                                </a:ln>
                              </pic:spPr>
                            </pic:pic>
                          </a:graphicData>
                        </a:graphic>
                      </wp:inline>
                    </w:drawing>
                  </w:r>
                </w:p>
              </w:tc>
            </w:tr>
            <w:tr w14:paraId="4986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733" w:hRule="atLeast"/>
                <w:jc w:val="center"/>
              </w:trPr>
              <w:tc>
                <w:tcPr>
                  <w:tcW w:w="4294" w:type="dxa"/>
                </w:tcPr>
                <w:p w14:paraId="35A2C5E7">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44445" cy="1835150"/>
                        <wp:effectExtent l="0" t="0" r="8255" b="12700"/>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pic:cNvPicPr>
                              </pic:nvPicPr>
                              <pic:blipFill>
                                <a:blip r:embed="rId43"/>
                                <a:stretch>
                                  <a:fillRect/>
                                </a:stretch>
                              </pic:blipFill>
                              <pic:spPr>
                                <a:xfrm>
                                  <a:off x="0" y="0"/>
                                  <a:ext cx="2544445" cy="1835150"/>
                                </a:xfrm>
                                <a:prstGeom prst="rect">
                                  <a:avLst/>
                                </a:prstGeom>
                                <a:noFill/>
                                <a:ln>
                                  <a:noFill/>
                                </a:ln>
                              </pic:spPr>
                            </pic:pic>
                          </a:graphicData>
                        </a:graphic>
                      </wp:inline>
                    </w:drawing>
                  </w:r>
                </w:p>
              </w:tc>
              <w:tc>
                <w:tcPr>
                  <w:tcW w:w="4062" w:type="dxa"/>
                </w:tcPr>
                <w:p w14:paraId="408F0383">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68575" cy="1967865"/>
                        <wp:effectExtent l="0" t="0" r="3175" b="13335"/>
                        <wp:docPr id="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
                                <pic:cNvPicPr>
                                  <a:picLocks noChangeAspect="1"/>
                                </pic:cNvPicPr>
                              </pic:nvPicPr>
                              <pic:blipFill>
                                <a:blip r:embed="rId44"/>
                                <a:stretch>
                                  <a:fillRect/>
                                </a:stretch>
                              </pic:blipFill>
                              <pic:spPr>
                                <a:xfrm>
                                  <a:off x="0" y="0"/>
                                  <a:ext cx="2568575" cy="1967865"/>
                                </a:xfrm>
                                <a:prstGeom prst="rect">
                                  <a:avLst/>
                                </a:prstGeom>
                                <a:noFill/>
                                <a:ln>
                                  <a:noFill/>
                                </a:ln>
                              </pic:spPr>
                            </pic:pic>
                          </a:graphicData>
                        </a:graphic>
                      </wp:inline>
                    </w:drawing>
                  </w:r>
                </w:p>
              </w:tc>
            </w:tr>
            <w:tr w14:paraId="3AE5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4294" w:type="dxa"/>
                </w:tcPr>
                <w:p w14:paraId="4B16B2D9">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0160" cy="2205355"/>
                        <wp:effectExtent l="0" t="0" r="2540" b="4445"/>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45"/>
                                <a:stretch>
                                  <a:fillRect/>
                                </a:stretch>
                              </pic:blipFill>
                              <pic:spPr>
                                <a:xfrm>
                                  <a:off x="0" y="0"/>
                                  <a:ext cx="2550160" cy="2205355"/>
                                </a:xfrm>
                                <a:prstGeom prst="rect">
                                  <a:avLst/>
                                </a:prstGeom>
                                <a:noFill/>
                                <a:ln>
                                  <a:noFill/>
                                </a:ln>
                              </pic:spPr>
                            </pic:pic>
                          </a:graphicData>
                        </a:graphic>
                      </wp:inline>
                    </w:drawing>
                  </w:r>
                </w:p>
              </w:tc>
              <w:tc>
                <w:tcPr>
                  <w:tcW w:w="4062" w:type="dxa"/>
                </w:tcPr>
                <w:p w14:paraId="40D80932">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57780" cy="2205355"/>
                        <wp:effectExtent l="0" t="0" r="13970" b="4445"/>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46"/>
                                <a:stretch>
                                  <a:fillRect/>
                                </a:stretch>
                              </pic:blipFill>
                              <pic:spPr>
                                <a:xfrm>
                                  <a:off x="0" y="0"/>
                                  <a:ext cx="2557780" cy="2205355"/>
                                </a:xfrm>
                                <a:prstGeom prst="rect">
                                  <a:avLst/>
                                </a:prstGeom>
                                <a:noFill/>
                                <a:ln>
                                  <a:noFill/>
                                </a:ln>
                              </pic:spPr>
                            </pic:pic>
                          </a:graphicData>
                        </a:graphic>
                      </wp:inline>
                    </w:drawing>
                  </w:r>
                </w:p>
              </w:tc>
            </w:tr>
            <w:tr w14:paraId="5B82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4294" w:type="dxa"/>
                </w:tcPr>
                <w:p w14:paraId="61B049F9">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710180" cy="1905635"/>
                        <wp:effectExtent l="0" t="0" r="13970" b="18415"/>
                        <wp:docPr id="3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4"/>
                                <pic:cNvPicPr>
                                  <a:picLocks noChangeAspect="1"/>
                                </pic:cNvPicPr>
                              </pic:nvPicPr>
                              <pic:blipFill>
                                <a:blip r:embed="rId47"/>
                                <a:stretch>
                                  <a:fillRect/>
                                </a:stretch>
                              </pic:blipFill>
                              <pic:spPr>
                                <a:xfrm>
                                  <a:off x="0" y="0"/>
                                  <a:ext cx="2710180" cy="1905635"/>
                                </a:xfrm>
                                <a:prstGeom prst="rect">
                                  <a:avLst/>
                                </a:prstGeom>
                                <a:noFill/>
                                <a:ln>
                                  <a:noFill/>
                                </a:ln>
                              </pic:spPr>
                            </pic:pic>
                          </a:graphicData>
                        </a:graphic>
                      </wp:inline>
                    </w:drawing>
                  </w:r>
                </w:p>
              </w:tc>
              <w:tc>
                <w:tcPr>
                  <w:tcW w:w="4062" w:type="dxa"/>
                </w:tcPr>
                <w:p w14:paraId="35A37EE7">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427605" cy="1858010"/>
                        <wp:effectExtent l="0" t="0" r="10795" b="8890"/>
                        <wp:docPr id="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pic:cNvPicPr>
                                  <a:picLocks noChangeAspect="1"/>
                                </pic:cNvPicPr>
                              </pic:nvPicPr>
                              <pic:blipFill>
                                <a:blip r:embed="rId48"/>
                                <a:stretch>
                                  <a:fillRect/>
                                </a:stretch>
                              </pic:blipFill>
                              <pic:spPr>
                                <a:xfrm>
                                  <a:off x="0" y="0"/>
                                  <a:ext cx="2427605" cy="1858010"/>
                                </a:xfrm>
                                <a:prstGeom prst="rect">
                                  <a:avLst/>
                                </a:prstGeom>
                                <a:noFill/>
                                <a:ln>
                                  <a:noFill/>
                                </a:ln>
                              </pic:spPr>
                            </pic:pic>
                          </a:graphicData>
                        </a:graphic>
                      </wp:inline>
                    </w:drawing>
                  </w:r>
                </w:p>
              </w:tc>
            </w:tr>
            <w:tr w14:paraId="79C8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4294" w:type="dxa"/>
                </w:tcPr>
                <w:p w14:paraId="612AB9D7">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517140" cy="1773555"/>
                        <wp:effectExtent l="0" t="0" r="16510" b="17145"/>
                        <wp:docPr id="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6"/>
                                <pic:cNvPicPr>
                                  <a:picLocks noChangeAspect="1"/>
                                </pic:cNvPicPr>
                              </pic:nvPicPr>
                              <pic:blipFill>
                                <a:blip r:embed="rId49"/>
                                <a:stretch>
                                  <a:fillRect/>
                                </a:stretch>
                              </pic:blipFill>
                              <pic:spPr>
                                <a:xfrm>
                                  <a:off x="0" y="0"/>
                                  <a:ext cx="2517140" cy="1773555"/>
                                </a:xfrm>
                                <a:prstGeom prst="rect">
                                  <a:avLst/>
                                </a:prstGeom>
                                <a:noFill/>
                                <a:ln>
                                  <a:noFill/>
                                </a:ln>
                              </pic:spPr>
                            </pic:pic>
                          </a:graphicData>
                        </a:graphic>
                      </wp:inline>
                    </w:drawing>
                  </w:r>
                </w:p>
              </w:tc>
              <w:tc>
                <w:tcPr>
                  <w:tcW w:w="4062" w:type="dxa"/>
                </w:tcPr>
                <w:p w14:paraId="5B47A613">
                  <w:pPr>
                    <w:pStyle w:val="2"/>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478405" cy="1685290"/>
                        <wp:effectExtent l="0" t="0" r="17145" b="10160"/>
                        <wp:docPr id="1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7"/>
                                <pic:cNvPicPr>
                                  <a:picLocks noChangeAspect="1"/>
                                </pic:cNvPicPr>
                              </pic:nvPicPr>
                              <pic:blipFill>
                                <a:blip r:embed="rId50"/>
                                <a:stretch>
                                  <a:fillRect/>
                                </a:stretch>
                              </pic:blipFill>
                              <pic:spPr>
                                <a:xfrm>
                                  <a:off x="0" y="0"/>
                                  <a:ext cx="2478405" cy="1685290"/>
                                </a:xfrm>
                                <a:prstGeom prst="rect">
                                  <a:avLst/>
                                </a:prstGeom>
                                <a:noFill/>
                                <a:ln>
                                  <a:noFill/>
                                </a:ln>
                              </pic:spPr>
                            </pic:pic>
                          </a:graphicData>
                        </a:graphic>
                      </wp:inline>
                    </w:drawing>
                  </w:r>
                </w:p>
              </w:tc>
            </w:tr>
          </w:tbl>
          <w:p w14:paraId="161B3D29">
            <w:pPr>
              <w:adjustRightIn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Cambria Math" w:hAnsi="Cambria Math" w:cs="Cambria Math"/>
                <w:color w:val="000000" w:themeColor="text1"/>
                <w:sz w:val="24"/>
                <w14:textFill>
                  <w14:solidFill>
                    <w14:schemeClr w14:val="tx1"/>
                  </w14:solidFill>
                </w14:textFill>
              </w:rPr>
              <w:t>②</w:t>
            </w:r>
            <w:r>
              <w:rPr>
                <w:rFonts w:ascii="Times New Roman" w:hAnsi="Times New Roman"/>
                <w:color w:val="000000" w:themeColor="text1"/>
                <w:sz w:val="24"/>
                <w14:textFill>
                  <w14:solidFill>
                    <w14:schemeClr w14:val="tx1"/>
                  </w14:solidFill>
                </w14:textFill>
              </w:rPr>
              <w:t>动物多样性调查方法</w:t>
            </w:r>
          </w:p>
          <w:p w14:paraId="2E05F861">
            <w:pPr>
              <w:adjustRightInd w:val="0"/>
              <w:spacing w:line="360" w:lineRule="auto"/>
              <w:ind w:firstLine="482" w:firstLineChars="200"/>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兽类：</w:t>
            </w:r>
            <w:r>
              <w:rPr>
                <w:rFonts w:ascii="Times New Roman" w:hAnsi="Times New Roman"/>
                <w:color w:val="000000" w:themeColor="text1"/>
                <w:sz w:val="24"/>
                <w14:textFill>
                  <w14:solidFill>
                    <w14:schemeClr w14:val="tx1"/>
                  </w14:solidFill>
                </w14:textFill>
              </w:rPr>
              <w:t>兽类调查传统的</w:t>
            </w:r>
            <w:r>
              <w:rPr>
                <w:rFonts w:hint="eastAsia" w:ascii="Times New Roman" w:hAnsi="Times New Roman"/>
                <w:color w:val="000000" w:themeColor="text1"/>
                <w:sz w:val="24"/>
                <w:lang w:eastAsia="zh-CN"/>
                <w14:textFill>
                  <w14:solidFill>
                    <w14:schemeClr w14:val="tx1"/>
                  </w14:solidFill>
                </w14:textFill>
              </w:rPr>
              <w:t>是</w:t>
            </w:r>
            <w:r>
              <w:rPr>
                <w:rFonts w:hint="eastAsia" w:ascii="Times New Roman" w:hAnsi="Times New Roman"/>
                <w:color w:val="000000" w:themeColor="text1"/>
                <w:sz w:val="24"/>
                <w:lang w:val="en-US" w:eastAsia="zh-CN"/>
                <w14:textFill>
                  <w14:solidFill>
                    <w14:schemeClr w14:val="tx1"/>
                  </w14:solidFill>
                </w14:textFill>
              </w:rPr>
              <w:t>采用</w:t>
            </w:r>
            <w:r>
              <w:rPr>
                <w:rFonts w:ascii="Times New Roman" w:hAnsi="Times New Roman"/>
                <w:color w:val="000000" w:themeColor="text1"/>
                <w:sz w:val="24"/>
                <w14:textFill>
                  <w14:solidFill>
                    <w14:schemeClr w14:val="tx1"/>
                  </w14:solidFill>
                </w14:textFill>
              </w:rPr>
              <w:t>野外动物调查方法。先进行资料收集，包括收集已经公开发表的和有关林业部门等单位未公开发表的资料。对于大型野生动物的野外调查，白昼活动的动物采用直接计数法，对于易捕捉的小型动物，采用一次捕捉或多次捕捉法；通过相关指数转换法，用调查与动物数量相关的间接指标来估测动物的数量，如洞口计数法、巢穴计数法、粪便计数法、以及动物留下的足迹、标记、卧迹等；除了常规的样带法、样点法外，对于大中型兽类，辅助采用访问法，即对当地老乡和林业部门（局、站、点）工作人员进行访问，包括他们执法检查时查到的实物拍成的照片；对于鼠形动物，用铗夜法调查。</w:t>
            </w:r>
          </w:p>
          <w:p w14:paraId="36167AB4">
            <w:pPr>
              <w:adjustRightInd w:val="0"/>
              <w:spacing w:line="360" w:lineRule="auto"/>
              <w:ind w:firstLine="482" w:firstLineChars="200"/>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鸟类：</w:t>
            </w:r>
            <w:r>
              <w:rPr>
                <w:rFonts w:ascii="Times New Roman" w:hAnsi="Times New Roman"/>
                <w:color w:val="000000" w:themeColor="text1"/>
                <w:sz w:val="24"/>
                <w14:textFill>
                  <w14:solidFill>
                    <w14:schemeClr w14:val="tx1"/>
                  </w14:solidFill>
                </w14:textFill>
              </w:rPr>
              <w:t>鸟类的野外调查主要依靠生态习性，主要采用样带法（包括样方法）进行种类及数量调查。调查过程中在样带内徒步行走，观察记数所见鸟类种类、数量以及羽毛、鸟巢等痕迹，同时访问有关人士，并详细记录样带内的生境变化，通过全球卫星定位仪（GPS）测定其经纬度和海拔高度变化。根据区内地貌、海拔高度、植被类型等特点，将鸟类生境划为一定的生物地理－植被地带分析论证。确定物种组成、区系构成，对鸟类的数量等级采用路线统计法进行常规统计，一些未在调查中所见种则依据有关文献判别。</w:t>
            </w:r>
          </w:p>
          <w:p w14:paraId="176E2096">
            <w:pPr>
              <w:adjustRightInd w:val="0"/>
              <w:spacing w:line="360" w:lineRule="auto"/>
              <w:ind w:firstLine="482" w:firstLineChars="200"/>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两栖、爬行动物：</w:t>
            </w:r>
            <w:r>
              <w:rPr>
                <w:rFonts w:ascii="Times New Roman" w:hAnsi="Times New Roman"/>
                <w:color w:val="000000" w:themeColor="text1"/>
                <w:sz w:val="24"/>
                <w14:textFill>
                  <w14:solidFill>
                    <w14:schemeClr w14:val="tx1"/>
                  </w14:solidFill>
                </w14:textFill>
              </w:rPr>
              <w:t>这两类动物行动慢，活动范围小，对水环境的依赖性强，采用沿评价区沿线样线法于傍晚进行调查，依据看到的动物尸体或痕迹并结合访问、文献资料进行分析整理，并参考查阅《四川两栖动物原色图谱》、《四川爬行动物原色图谱》等书籍确定两栖、爬行动物种</w:t>
            </w:r>
            <w:r>
              <w:rPr>
                <w:rFonts w:hint="eastAsia" w:ascii="Times New Roman" w:hAnsi="Times New Roman"/>
                <w:color w:val="000000" w:themeColor="text1"/>
                <w:sz w:val="24"/>
                <w:lang w:eastAsia="zh-CN"/>
                <w14:textFill>
                  <w14:solidFill>
                    <w14:schemeClr w14:val="tx1"/>
                  </w14:solidFill>
                </w14:textFill>
              </w:rPr>
              <w:t>类和</w:t>
            </w:r>
            <w:r>
              <w:rPr>
                <w:rFonts w:ascii="Times New Roman" w:hAnsi="Times New Roman"/>
                <w:color w:val="000000" w:themeColor="text1"/>
                <w:sz w:val="24"/>
                <w14:textFill>
                  <w14:solidFill>
                    <w14:schemeClr w14:val="tx1"/>
                  </w14:solidFill>
                </w14:textFill>
              </w:rPr>
              <w:t>两栖爬行动物多样性状况主要采用实地考察、并结合资料查阅的方法进行调查。两栖类动物由于对潮湿（湿地生态）的生境依赖性强，因此在野外实地考察时主要选取可能有两栖动物生存的环境进行调查，包括溪流、湿地、水塘、耕地等，及其邻近区域；调查的方法主要是让点调查、样线调查。此外，咨询当地居民和与野生动物有关的林业管理干部等也是重要的补充手段。由于两栖动物多是夜行性，因此白天主要巡视可能有两栖动物生存的生境，并考察幼体或蝌蚪、卵的情况，夜晚再去考察成体的情况。两栖类和爬行类动物的样方可根据实际情况设置采用10 m×10 m的样方，或2 m×50 m的样带。爬行类动物由于已经基本摆脱对潮湿生境（湿地）的依赖，因此其活动范围比较广泛，在草丛、灌丛、乱石堆、洞穴、水域等都可能见到它们的踪迹。在野外实地考察时主要选取上述可能有爬行动物生存的生境进行调查；调查的方法主要是样点调查。此外，访问当地居民和与野生动物有关的林业管理干部等也是必须的手段。由于爬行动物属外温动物，多喜爱温暖的时段活动，因此主要在白天巡视可能有爬行动物生存的生境。</w:t>
            </w:r>
          </w:p>
          <w:p w14:paraId="5D0BE838">
            <w:pPr>
              <w:adjustRightInd w:val="0"/>
              <w:spacing w:line="360" w:lineRule="auto"/>
              <w:ind w:firstLine="482" w:firstLineChars="200"/>
              <w:rPr>
                <w:rFonts w:hint="default" w:ascii="Times New Roman" w:hAnsi="Times New Roman"/>
                <w:b w:val="0"/>
                <w:bCs w:val="0"/>
                <w:color w:val="000000" w:themeColor="text1"/>
                <w:sz w:val="24"/>
                <w:lang w:val="en-US" w:eastAsia="zh-CN"/>
                <w14:textFill>
                  <w14:solidFill>
                    <w14:schemeClr w14:val="tx1"/>
                  </w14:solidFill>
                </w14:textFill>
              </w:rPr>
            </w:pPr>
            <w:r>
              <w:rPr>
                <w:rFonts w:ascii="Times New Roman" w:hAnsi="Times New Roman"/>
                <w:b/>
                <w:bCs/>
                <w:color w:val="000000" w:themeColor="text1"/>
                <w:sz w:val="24"/>
                <w14:textFill>
                  <w14:solidFill>
                    <w14:schemeClr w14:val="tx1"/>
                  </w14:solidFill>
                </w14:textFill>
              </w:rPr>
              <w:t>鱼类：</w:t>
            </w:r>
            <w:r>
              <w:rPr>
                <w:rFonts w:hint="eastAsia" w:ascii="Times New Roman" w:hAnsi="Times New Roman"/>
                <w:b w:val="0"/>
                <w:bCs w:val="0"/>
                <w:color w:val="000000" w:themeColor="text1"/>
                <w:sz w:val="24"/>
                <w14:textFill>
                  <w14:solidFill>
                    <w14:schemeClr w14:val="tx1"/>
                  </w14:solidFill>
                </w14:textFill>
              </w:rPr>
              <w:t>根据四川省农业农村厅下发的《关于印发四川省专项（特许）渔业捕捞实施方案编写指南的通知》“非必须不批准”的原则，可通过其它方法获取非捕捞水生动物或引用已有科研成果的，可不进行捕捞；或同一水域有不同捕捞单位进行捕捞的，可协商集中捕捞单位进行捕捞，共享科研成果，尽量减少对鱼类资源的破坏。本项目鱼类资源调查</w:t>
            </w:r>
            <w:r>
              <w:rPr>
                <w:rFonts w:hint="eastAsia" w:ascii="Times New Roman" w:hAnsi="Times New Roman"/>
                <w:b w:val="0"/>
                <w:bCs w:val="0"/>
                <w:color w:val="000000" w:themeColor="text1"/>
                <w:sz w:val="24"/>
                <w:lang w:val="en-US" w:eastAsia="zh-CN"/>
                <w14:textFill>
                  <w14:solidFill>
                    <w14:schemeClr w14:val="tx1"/>
                  </w14:solidFill>
                </w14:textFill>
              </w:rPr>
              <w:t>引用</w:t>
            </w:r>
            <w:r>
              <w:rPr>
                <w:rFonts w:hint="eastAsia" w:ascii="Times New Roman" w:hAnsi="Times New Roman"/>
                <w:b w:val="0"/>
                <w:bCs w:val="0"/>
                <w:color w:val="000000" w:themeColor="text1"/>
                <w:sz w:val="24"/>
                <w:lang w:eastAsia="zh-CN"/>
                <w14:textFill>
                  <w14:solidFill>
                    <w14:schemeClr w14:val="tx1"/>
                  </w14:solidFill>
                </w14:textFill>
              </w:rPr>
              <w:t>《</w:t>
            </w:r>
            <w:r>
              <w:rPr>
                <w:rFonts w:hint="eastAsia" w:ascii="Times New Roman" w:hAnsi="Times New Roman"/>
                <w:color w:val="000000" w:themeColor="text1"/>
                <w:sz w:val="24"/>
                <w:lang w:eastAsia="zh-CN"/>
                <w14:textFill>
                  <w14:solidFill>
                    <w14:schemeClr w14:val="tx1"/>
                  </w14:solidFill>
                </w14:textFill>
              </w:rPr>
              <w:t>泸定县城区自来水厂备用水源取水工程新建项目对</w:t>
            </w:r>
            <w:r>
              <w:rPr>
                <w:rFonts w:hint="eastAsia" w:ascii="Times New Roman" w:hAnsi="Times New Roman"/>
                <w:color w:val="000000" w:themeColor="text1"/>
                <w:sz w:val="24"/>
                <w:lang w:val="en-US" w:eastAsia="zh-CN"/>
                <w14:textFill>
                  <w14:solidFill>
                    <w14:schemeClr w14:val="tx1"/>
                  </w14:solidFill>
                </w14:textFill>
              </w:rPr>
              <w:t>水生生物影响评价专题报告</w:t>
            </w:r>
            <w:r>
              <w:rPr>
                <w:rFonts w:hint="eastAsia" w:ascii="Times New Roman" w:hAnsi="Times New Roman"/>
                <w:b w:val="0"/>
                <w:bCs w:val="0"/>
                <w:color w:val="000000" w:themeColor="text1"/>
                <w:sz w:val="24"/>
                <w:lang w:eastAsia="zh-CN"/>
                <w14:textFill>
                  <w14:solidFill>
                    <w14:schemeClr w14:val="tx1"/>
                  </w14:solidFill>
                </w14:textFill>
              </w:rPr>
              <w:t>》</w:t>
            </w:r>
            <w:r>
              <w:rPr>
                <w:rFonts w:hint="eastAsia" w:ascii="Times New Roman" w:hAnsi="Times New Roman"/>
                <w:b w:val="0"/>
                <w:bCs w:val="0"/>
                <w:color w:val="000000" w:themeColor="text1"/>
                <w:sz w:val="24"/>
                <w:lang w:val="en-US" w:eastAsia="zh-CN"/>
                <w14:textFill>
                  <w14:solidFill>
                    <w14:schemeClr w14:val="tx1"/>
                  </w14:solidFill>
                </w14:textFill>
              </w:rPr>
              <w:t>中的鱼类调查数据</w:t>
            </w:r>
            <w:r>
              <w:rPr>
                <w:rFonts w:hint="eastAsia" w:ascii="Times New Roman" w:hAnsi="Times New Roman"/>
                <w:b w:val="0"/>
                <w:bCs w:val="0"/>
                <w:color w:val="000000" w:themeColor="text1"/>
                <w:sz w:val="24"/>
                <w14:textFill>
                  <w14:solidFill>
                    <w14:schemeClr w14:val="tx1"/>
                  </w14:solidFill>
                </w14:textFill>
              </w:rPr>
              <w:t>，</w:t>
            </w:r>
            <w:r>
              <w:rPr>
                <w:rFonts w:hint="eastAsia" w:ascii="Times New Roman" w:hAnsi="Times New Roman"/>
                <w:b w:val="0"/>
                <w:bCs w:val="0"/>
                <w:color w:val="000000" w:themeColor="text1"/>
                <w:sz w:val="24"/>
                <w:lang w:val="en-US" w:eastAsia="zh-CN"/>
                <w14:textFill>
                  <w14:solidFill>
                    <w14:schemeClr w14:val="tx1"/>
                  </w14:solidFill>
                </w14:textFill>
              </w:rPr>
              <w:t>该项目对本项目影响水域的鱼类进行了捕捞调查，同时对取水口所在水域的鱼类“三场”情况进行了调查，具有一定的代表性。</w:t>
            </w:r>
          </w:p>
          <w:p w14:paraId="45C3B1FA">
            <w:pPr>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本项目生境类型主要为森林、灌丛、</w:t>
            </w:r>
            <w:r>
              <w:rPr>
                <w:rFonts w:hint="eastAsia" w:ascii="Times New Roman" w:hAnsi="Times New Roman"/>
                <w:color w:val="000000" w:themeColor="text1"/>
                <w:sz w:val="24"/>
                <w:lang w:val="en-US" w:eastAsia="zh-CN"/>
                <w14:textFill>
                  <w14:solidFill>
                    <w14:schemeClr w14:val="tx1"/>
                  </w14:solidFill>
                </w14:textFill>
              </w:rPr>
              <w:t>草丛等自然</w:t>
            </w:r>
            <w:r>
              <w:rPr>
                <w:rFonts w:ascii="Times New Roman" w:hAnsi="Times New Roman"/>
                <w:color w:val="000000" w:themeColor="text1"/>
                <w:sz w:val="24"/>
                <w14:textFill>
                  <w14:solidFill>
                    <w14:schemeClr w14:val="tx1"/>
                  </w14:solidFill>
                </w14:textFill>
              </w:rPr>
              <w:t>生境，本次调查共设置调查样线共计</w:t>
            </w:r>
            <w:r>
              <w:rPr>
                <w:rFonts w:hint="eastAsia" w:ascii="Times New Roman" w:hAnsi="Times New Roman"/>
                <w:color w:val="000000" w:themeColor="text1"/>
                <w:sz w:val="24"/>
                <w:lang w:val="en-US" w:eastAsia="zh-CN"/>
                <w14:textFill>
                  <w14:solidFill>
                    <w14:schemeClr w14:val="tx1"/>
                  </w14:solidFill>
                </w14:textFill>
              </w:rPr>
              <w:t>16</w:t>
            </w:r>
            <w:r>
              <w:rPr>
                <w:rFonts w:ascii="Times New Roman" w:hAnsi="Times New Roman"/>
                <w:color w:val="000000" w:themeColor="text1"/>
                <w:sz w:val="24"/>
                <w14:textFill>
                  <w14:solidFill>
                    <w14:schemeClr w14:val="tx1"/>
                  </w14:solidFill>
                </w14:textFill>
              </w:rPr>
              <w:t>条</w:t>
            </w:r>
            <w:r>
              <w:rPr>
                <w:rFonts w:hint="eastAsia" w:ascii="Times New Roman" w:hAnsi="Times New Roman"/>
                <w:color w:val="000000" w:themeColor="text1"/>
                <w:sz w:val="24"/>
                <w14:textFill>
                  <w14:solidFill>
                    <w14:schemeClr w14:val="tx1"/>
                  </w14:solidFill>
                </w14:textFill>
              </w:rPr>
              <w:t>，每条样线均穿越了不同的</w:t>
            </w:r>
            <w:r>
              <w:rPr>
                <w:rFonts w:hint="eastAsia" w:ascii="Times New Roman" w:hAnsi="Times New Roman"/>
                <w:color w:val="000000" w:themeColor="text1"/>
                <w:sz w:val="24"/>
                <w:lang w:val="en-US" w:eastAsia="zh-CN"/>
                <w14:textFill>
                  <w14:solidFill>
                    <w14:schemeClr w14:val="tx1"/>
                  </w14:solidFill>
                </w14:textFill>
              </w:rPr>
              <w:t>自然</w:t>
            </w:r>
            <w:r>
              <w:rPr>
                <w:rFonts w:hint="eastAsia" w:ascii="Times New Roman" w:hAnsi="Times New Roman"/>
                <w:color w:val="000000" w:themeColor="text1"/>
                <w:sz w:val="24"/>
                <w14:textFill>
                  <w14:solidFill>
                    <w14:schemeClr w14:val="tx1"/>
                  </w14:solidFill>
                </w14:textFill>
              </w:rPr>
              <w:t>生境。具体如下表所示：</w:t>
            </w:r>
          </w:p>
          <w:p w14:paraId="7F8FA141">
            <w:pPr>
              <w:pStyle w:val="155"/>
              <w:keepNext w:val="0"/>
              <w:keepLines w:val="0"/>
              <w:pageBreakBefore w:val="0"/>
              <w:widowControl w:val="0"/>
              <w:numPr>
                <w:ilvl w:val="0"/>
                <w:numId w:val="19"/>
              </w:numPr>
              <w:kinsoku/>
              <w:wordWrap/>
              <w:overflowPunct/>
              <w:topLinePunct w:val="0"/>
              <w:autoSpaceDE/>
              <w:autoSpaceDN/>
              <w:bidi w:val="0"/>
              <w:adjustRightInd w:val="0"/>
              <w:snapToGrid w:val="0"/>
              <w:spacing w:line="240" w:lineRule="auto"/>
              <w:ind w:left="0" w:firstLine="0" w:firstLineChars="0"/>
              <w:jc w:val="center"/>
              <w:textAlignment w:val="auto"/>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本项目生态调查</w:t>
            </w:r>
            <w:r>
              <w:rPr>
                <w:rFonts w:hint="eastAsia" w:ascii="Times New Roman" w:hAnsi="Times New Roman"/>
                <w:b/>
                <w:color w:val="000000" w:themeColor="text1"/>
                <w:sz w:val="21"/>
                <w:szCs w:val="21"/>
                <w14:textFill>
                  <w14:solidFill>
                    <w14:schemeClr w14:val="tx1"/>
                  </w14:solidFill>
                </w14:textFill>
              </w:rPr>
              <w:t>样线</w:t>
            </w:r>
            <w:r>
              <w:rPr>
                <w:rFonts w:ascii="Times New Roman" w:hAnsi="Times New Roman"/>
                <w:b/>
                <w:color w:val="000000" w:themeColor="text1"/>
                <w:sz w:val="21"/>
                <w:szCs w:val="21"/>
                <w14:textFill>
                  <w14:solidFill>
                    <w14:schemeClr w14:val="tx1"/>
                  </w14:solidFill>
                </w14:textFill>
              </w:rPr>
              <w:t>一览表</w:t>
            </w:r>
          </w:p>
          <w:tbl>
            <w:tblPr>
              <w:tblStyle w:val="55"/>
              <w:tblW w:w="8228" w:type="dxa"/>
              <w:tblInd w:w="0" w:type="dxa"/>
              <w:tblLayout w:type="autofit"/>
              <w:tblCellMar>
                <w:top w:w="0" w:type="dxa"/>
                <w:left w:w="57" w:type="dxa"/>
                <w:bottom w:w="0" w:type="dxa"/>
                <w:right w:w="57" w:type="dxa"/>
              </w:tblCellMar>
            </w:tblPr>
            <w:tblGrid>
              <w:gridCol w:w="770"/>
              <w:gridCol w:w="977"/>
              <w:gridCol w:w="977"/>
              <w:gridCol w:w="977"/>
              <w:gridCol w:w="977"/>
              <w:gridCol w:w="443"/>
              <w:gridCol w:w="771"/>
              <w:gridCol w:w="771"/>
              <w:gridCol w:w="1428"/>
            </w:tblGrid>
            <w:tr w14:paraId="44DA6FF5">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442A27D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样线编号</w:t>
                  </w:r>
                </w:p>
              </w:tc>
              <w:tc>
                <w:tcPr>
                  <w:tcW w:w="526" w:type="pct"/>
                  <w:tcBorders>
                    <w:top w:val="single" w:color="000000" w:sz="4" w:space="0"/>
                    <w:left w:val="nil"/>
                    <w:bottom w:val="single" w:color="000000" w:sz="4" w:space="0"/>
                    <w:right w:val="single" w:color="000000" w:sz="4" w:space="0"/>
                  </w:tcBorders>
                  <w:noWrap/>
                  <w:vAlign w:val="center"/>
                </w:tcPr>
                <w:p w14:paraId="2047F67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起点经度</w:t>
                  </w:r>
                </w:p>
              </w:tc>
              <w:tc>
                <w:tcPr>
                  <w:tcW w:w="461" w:type="pct"/>
                  <w:tcBorders>
                    <w:top w:val="single" w:color="000000" w:sz="4" w:space="0"/>
                    <w:left w:val="nil"/>
                    <w:bottom w:val="single" w:color="000000" w:sz="4" w:space="0"/>
                    <w:right w:val="single" w:color="000000" w:sz="4" w:space="0"/>
                  </w:tcBorders>
                  <w:noWrap/>
                  <w:vAlign w:val="center"/>
                </w:tcPr>
                <w:p w14:paraId="03C7216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起点纬度</w:t>
                  </w:r>
                </w:p>
              </w:tc>
              <w:tc>
                <w:tcPr>
                  <w:tcW w:w="556" w:type="pct"/>
                  <w:tcBorders>
                    <w:top w:val="single" w:color="000000" w:sz="4" w:space="0"/>
                    <w:left w:val="nil"/>
                    <w:bottom w:val="single" w:color="000000" w:sz="4" w:space="0"/>
                    <w:right w:val="single" w:color="000000" w:sz="4" w:space="0"/>
                  </w:tcBorders>
                  <w:noWrap/>
                  <w:vAlign w:val="center"/>
                </w:tcPr>
                <w:p w14:paraId="09583A2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终点经度</w:t>
                  </w:r>
                </w:p>
              </w:tc>
              <w:tc>
                <w:tcPr>
                  <w:tcW w:w="550" w:type="pct"/>
                  <w:tcBorders>
                    <w:top w:val="single" w:color="000000" w:sz="4" w:space="0"/>
                    <w:left w:val="nil"/>
                    <w:bottom w:val="single" w:color="000000" w:sz="4" w:space="0"/>
                    <w:right w:val="single" w:color="000000" w:sz="4" w:space="0"/>
                  </w:tcBorders>
                  <w:noWrap/>
                  <w:vAlign w:val="center"/>
                </w:tcPr>
                <w:p w14:paraId="18BC326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终点纬度</w:t>
                  </w:r>
                </w:p>
              </w:tc>
              <w:tc>
                <w:tcPr>
                  <w:tcW w:w="414" w:type="pct"/>
                  <w:tcBorders>
                    <w:top w:val="single" w:color="000000" w:sz="4" w:space="0"/>
                    <w:left w:val="nil"/>
                    <w:bottom w:val="single" w:color="000000" w:sz="4" w:space="0"/>
                    <w:right w:val="single" w:color="000000" w:sz="4" w:space="0"/>
                  </w:tcBorders>
                  <w:noWrap/>
                  <w:vAlign w:val="center"/>
                </w:tcPr>
                <w:p w14:paraId="06E573E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长度</w:t>
                  </w:r>
                </w:p>
                <w:p w14:paraId="2B9C356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m</w:t>
                  </w:r>
                </w:p>
              </w:tc>
              <w:tc>
                <w:tcPr>
                  <w:tcW w:w="367" w:type="pct"/>
                  <w:tcBorders>
                    <w:top w:val="single" w:color="000000" w:sz="4" w:space="0"/>
                    <w:left w:val="nil"/>
                    <w:bottom w:val="single" w:color="000000" w:sz="4" w:space="0"/>
                    <w:right w:val="single" w:color="000000" w:sz="4" w:space="0"/>
                  </w:tcBorders>
                  <w:noWrap/>
                  <w:vAlign w:val="center"/>
                </w:tcPr>
                <w:p w14:paraId="22B91A5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最低海拔</w:t>
                  </w:r>
                </w:p>
              </w:tc>
              <w:tc>
                <w:tcPr>
                  <w:tcW w:w="508" w:type="pct"/>
                  <w:tcBorders>
                    <w:top w:val="single" w:color="000000" w:sz="4" w:space="0"/>
                    <w:left w:val="nil"/>
                    <w:bottom w:val="single" w:color="000000" w:sz="4" w:space="0"/>
                    <w:right w:val="single" w:color="000000" w:sz="4" w:space="0"/>
                  </w:tcBorders>
                  <w:noWrap/>
                  <w:vAlign w:val="center"/>
                </w:tcPr>
                <w:p w14:paraId="323358D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最高海拔</w:t>
                  </w:r>
                </w:p>
              </w:tc>
              <w:tc>
                <w:tcPr>
                  <w:tcW w:w="1207" w:type="pct"/>
                  <w:tcBorders>
                    <w:top w:val="single" w:color="000000" w:sz="4" w:space="0"/>
                    <w:left w:val="nil"/>
                    <w:bottom w:val="single" w:color="000000" w:sz="4" w:space="0"/>
                    <w:right w:val="single" w:color="000000" w:sz="4" w:space="0"/>
                  </w:tcBorders>
                  <w:noWrap/>
                  <w:vAlign w:val="center"/>
                </w:tcPr>
                <w:p w14:paraId="76E4DC0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生境</w:t>
                  </w:r>
                </w:p>
              </w:tc>
            </w:tr>
            <w:tr w14:paraId="4E2C82AA">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7AC0B59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YX01</w:t>
                  </w:r>
                </w:p>
              </w:tc>
              <w:tc>
                <w:tcPr>
                  <w:tcW w:w="526" w:type="pct"/>
                  <w:tcBorders>
                    <w:top w:val="single" w:color="000000" w:sz="4" w:space="0"/>
                    <w:left w:val="nil"/>
                    <w:bottom w:val="single" w:color="000000" w:sz="4" w:space="0"/>
                    <w:right w:val="single" w:color="000000" w:sz="4" w:space="0"/>
                  </w:tcBorders>
                  <w:noWrap/>
                  <w:vAlign w:val="center"/>
                </w:tcPr>
                <w:p w14:paraId="4E0495B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102.2532929</w:t>
                  </w:r>
                </w:p>
              </w:tc>
              <w:tc>
                <w:tcPr>
                  <w:tcW w:w="461" w:type="pct"/>
                  <w:tcBorders>
                    <w:top w:val="single" w:color="000000" w:sz="4" w:space="0"/>
                    <w:left w:val="nil"/>
                    <w:bottom w:val="single" w:color="000000" w:sz="4" w:space="0"/>
                    <w:right w:val="single" w:color="000000" w:sz="4" w:space="0"/>
                  </w:tcBorders>
                  <w:noWrap/>
                  <w:vAlign w:val="center"/>
                </w:tcPr>
                <w:p w14:paraId="20F0583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29.95191316</w:t>
                  </w:r>
                </w:p>
              </w:tc>
              <w:tc>
                <w:tcPr>
                  <w:tcW w:w="556" w:type="pct"/>
                  <w:tcBorders>
                    <w:top w:val="single" w:color="000000" w:sz="4" w:space="0"/>
                    <w:left w:val="nil"/>
                    <w:bottom w:val="single" w:color="000000" w:sz="4" w:space="0"/>
                    <w:right w:val="single" w:color="000000" w:sz="4" w:space="0"/>
                  </w:tcBorders>
                  <w:noWrap/>
                  <w:vAlign w:val="center"/>
                </w:tcPr>
                <w:p w14:paraId="3F73E09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102.2576094</w:t>
                  </w:r>
                </w:p>
              </w:tc>
              <w:tc>
                <w:tcPr>
                  <w:tcW w:w="550" w:type="pct"/>
                  <w:tcBorders>
                    <w:top w:val="single" w:color="000000" w:sz="4" w:space="0"/>
                    <w:left w:val="nil"/>
                    <w:bottom w:val="single" w:color="000000" w:sz="4" w:space="0"/>
                    <w:right w:val="single" w:color="000000" w:sz="4" w:space="0"/>
                  </w:tcBorders>
                  <w:noWrap/>
                  <w:vAlign w:val="center"/>
                </w:tcPr>
                <w:p w14:paraId="5B7BA85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29.95075141</w:t>
                  </w:r>
                </w:p>
              </w:tc>
              <w:tc>
                <w:tcPr>
                  <w:tcW w:w="414" w:type="pct"/>
                  <w:tcBorders>
                    <w:top w:val="single" w:color="000000" w:sz="4" w:space="0"/>
                    <w:left w:val="nil"/>
                    <w:bottom w:val="single" w:color="000000" w:sz="4" w:space="0"/>
                    <w:right w:val="single" w:color="000000" w:sz="4" w:space="0"/>
                  </w:tcBorders>
                  <w:noWrap/>
                  <w:vAlign w:val="center"/>
                </w:tcPr>
                <w:p w14:paraId="31F6073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459</w:t>
                  </w:r>
                </w:p>
              </w:tc>
              <w:tc>
                <w:tcPr>
                  <w:tcW w:w="367" w:type="pct"/>
                  <w:tcBorders>
                    <w:top w:val="single" w:color="000000" w:sz="4" w:space="0"/>
                    <w:left w:val="nil"/>
                    <w:bottom w:val="single" w:color="000000" w:sz="4" w:space="0"/>
                    <w:right w:val="single" w:color="000000" w:sz="4" w:space="0"/>
                  </w:tcBorders>
                  <w:noWrap/>
                  <w:vAlign w:val="center"/>
                </w:tcPr>
                <w:p w14:paraId="4680B61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1708</w:t>
                  </w:r>
                </w:p>
              </w:tc>
              <w:tc>
                <w:tcPr>
                  <w:tcW w:w="508" w:type="pct"/>
                  <w:tcBorders>
                    <w:top w:val="single" w:color="000000" w:sz="4" w:space="0"/>
                    <w:left w:val="nil"/>
                    <w:bottom w:val="single" w:color="000000" w:sz="4" w:space="0"/>
                    <w:right w:val="single" w:color="000000" w:sz="4" w:space="0"/>
                  </w:tcBorders>
                  <w:noWrap/>
                  <w:vAlign w:val="center"/>
                </w:tcPr>
                <w:p w14:paraId="52D708D1">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1783</w:t>
                  </w:r>
                </w:p>
              </w:tc>
              <w:tc>
                <w:tcPr>
                  <w:tcW w:w="1207" w:type="pct"/>
                  <w:tcBorders>
                    <w:top w:val="single" w:color="000000" w:sz="4" w:space="0"/>
                    <w:left w:val="nil"/>
                    <w:bottom w:val="single" w:color="000000" w:sz="4" w:space="0"/>
                    <w:right w:val="single" w:color="000000" w:sz="4" w:space="0"/>
                  </w:tcBorders>
                  <w:noWrap/>
                  <w:vAlign w:val="center"/>
                </w:tcPr>
                <w:p w14:paraId="1E7A200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草丛</w:t>
                  </w:r>
                </w:p>
              </w:tc>
            </w:tr>
            <w:tr w14:paraId="309EA8C2">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65701FA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YX02</w:t>
                  </w:r>
                </w:p>
              </w:tc>
              <w:tc>
                <w:tcPr>
                  <w:tcW w:w="526" w:type="pct"/>
                  <w:tcBorders>
                    <w:top w:val="single" w:color="000000" w:sz="4" w:space="0"/>
                    <w:left w:val="nil"/>
                    <w:bottom w:val="single" w:color="000000" w:sz="4" w:space="0"/>
                    <w:right w:val="single" w:color="000000" w:sz="4" w:space="0"/>
                  </w:tcBorders>
                  <w:noWrap/>
                  <w:vAlign w:val="center"/>
                </w:tcPr>
                <w:p w14:paraId="197C463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102.2532856</w:t>
                  </w:r>
                </w:p>
              </w:tc>
              <w:tc>
                <w:tcPr>
                  <w:tcW w:w="461" w:type="pct"/>
                  <w:tcBorders>
                    <w:top w:val="single" w:color="000000" w:sz="4" w:space="0"/>
                    <w:left w:val="nil"/>
                    <w:bottom w:val="single" w:color="000000" w:sz="4" w:space="0"/>
                    <w:right w:val="single" w:color="000000" w:sz="4" w:space="0"/>
                  </w:tcBorders>
                  <w:noWrap/>
                  <w:vAlign w:val="center"/>
                </w:tcPr>
                <w:p w14:paraId="4F9F0E1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29.95193201</w:t>
                  </w:r>
                </w:p>
              </w:tc>
              <w:tc>
                <w:tcPr>
                  <w:tcW w:w="556" w:type="pct"/>
                  <w:tcBorders>
                    <w:top w:val="single" w:color="000000" w:sz="4" w:space="0"/>
                    <w:left w:val="nil"/>
                    <w:bottom w:val="single" w:color="000000" w:sz="4" w:space="0"/>
                    <w:right w:val="single" w:color="000000" w:sz="4" w:space="0"/>
                  </w:tcBorders>
                  <w:noWrap/>
                  <w:vAlign w:val="center"/>
                </w:tcPr>
                <w:p w14:paraId="23ED4FB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102.252878</w:t>
                  </w:r>
                </w:p>
              </w:tc>
              <w:tc>
                <w:tcPr>
                  <w:tcW w:w="550" w:type="pct"/>
                  <w:tcBorders>
                    <w:top w:val="single" w:color="000000" w:sz="4" w:space="0"/>
                    <w:left w:val="nil"/>
                    <w:bottom w:val="single" w:color="000000" w:sz="4" w:space="0"/>
                    <w:right w:val="single" w:color="000000" w:sz="4" w:space="0"/>
                  </w:tcBorders>
                  <w:noWrap/>
                  <w:vAlign w:val="center"/>
                </w:tcPr>
                <w:p w14:paraId="62180FDF">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29.94859471</w:t>
                  </w:r>
                </w:p>
              </w:tc>
              <w:tc>
                <w:tcPr>
                  <w:tcW w:w="414" w:type="pct"/>
                  <w:tcBorders>
                    <w:top w:val="single" w:color="000000" w:sz="4" w:space="0"/>
                    <w:left w:val="nil"/>
                    <w:bottom w:val="single" w:color="000000" w:sz="4" w:space="0"/>
                    <w:right w:val="single" w:color="000000" w:sz="4" w:space="0"/>
                  </w:tcBorders>
                  <w:noWrap/>
                  <w:vAlign w:val="center"/>
                </w:tcPr>
                <w:p w14:paraId="5025C98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389</w:t>
                  </w:r>
                </w:p>
              </w:tc>
              <w:tc>
                <w:tcPr>
                  <w:tcW w:w="367" w:type="pct"/>
                  <w:tcBorders>
                    <w:top w:val="single" w:color="000000" w:sz="4" w:space="0"/>
                    <w:left w:val="nil"/>
                    <w:bottom w:val="single" w:color="000000" w:sz="4" w:space="0"/>
                    <w:right w:val="single" w:color="000000" w:sz="4" w:space="0"/>
                  </w:tcBorders>
                  <w:noWrap/>
                  <w:vAlign w:val="center"/>
                </w:tcPr>
                <w:p w14:paraId="54B1595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1707</w:t>
                  </w:r>
                </w:p>
              </w:tc>
              <w:tc>
                <w:tcPr>
                  <w:tcW w:w="508" w:type="pct"/>
                  <w:tcBorders>
                    <w:top w:val="single" w:color="000000" w:sz="4" w:space="0"/>
                    <w:left w:val="nil"/>
                    <w:bottom w:val="single" w:color="000000" w:sz="4" w:space="0"/>
                    <w:right w:val="single" w:color="000000" w:sz="4" w:space="0"/>
                  </w:tcBorders>
                  <w:noWrap/>
                  <w:vAlign w:val="center"/>
                </w:tcPr>
                <w:p w14:paraId="32BD773C">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1782</w:t>
                  </w:r>
                </w:p>
              </w:tc>
              <w:tc>
                <w:tcPr>
                  <w:tcW w:w="1207" w:type="pct"/>
                  <w:tcBorders>
                    <w:top w:val="single" w:color="000000" w:sz="4" w:space="0"/>
                    <w:left w:val="nil"/>
                    <w:bottom w:val="single" w:color="000000" w:sz="4" w:space="0"/>
                    <w:right w:val="single" w:color="000000" w:sz="4" w:space="0"/>
                  </w:tcBorders>
                  <w:noWrap/>
                  <w:vAlign w:val="center"/>
                </w:tcPr>
                <w:p w14:paraId="299412B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6FB4B37F">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584640F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YX03</w:t>
                  </w:r>
                </w:p>
              </w:tc>
              <w:tc>
                <w:tcPr>
                  <w:tcW w:w="526" w:type="pct"/>
                  <w:tcBorders>
                    <w:top w:val="single" w:color="000000" w:sz="4" w:space="0"/>
                    <w:left w:val="nil"/>
                    <w:bottom w:val="single" w:color="000000" w:sz="4" w:space="0"/>
                    <w:right w:val="single" w:color="000000" w:sz="4" w:space="0"/>
                  </w:tcBorders>
                  <w:noWrap/>
                  <w:vAlign w:val="center"/>
                </w:tcPr>
                <w:p w14:paraId="1A37F22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102.2499007</w:t>
                  </w:r>
                </w:p>
              </w:tc>
              <w:tc>
                <w:tcPr>
                  <w:tcW w:w="461" w:type="pct"/>
                  <w:tcBorders>
                    <w:top w:val="single" w:color="000000" w:sz="4" w:space="0"/>
                    <w:left w:val="nil"/>
                    <w:bottom w:val="single" w:color="000000" w:sz="4" w:space="0"/>
                    <w:right w:val="single" w:color="000000" w:sz="4" w:space="0"/>
                  </w:tcBorders>
                  <w:noWrap/>
                  <w:vAlign w:val="center"/>
                </w:tcPr>
                <w:p w14:paraId="6F512CD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29.95271374</w:t>
                  </w:r>
                </w:p>
              </w:tc>
              <w:tc>
                <w:tcPr>
                  <w:tcW w:w="556" w:type="pct"/>
                  <w:tcBorders>
                    <w:top w:val="single" w:color="000000" w:sz="4" w:space="0"/>
                    <w:left w:val="nil"/>
                    <w:bottom w:val="single" w:color="000000" w:sz="4" w:space="0"/>
                    <w:right w:val="single" w:color="000000" w:sz="4" w:space="0"/>
                  </w:tcBorders>
                  <w:noWrap/>
                  <w:vAlign w:val="center"/>
                </w:tcPr>
                <w:p w14:paraId="18310A5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102.2532929</w:t>
                  </w:r>
                </w:p>
              </w:tc>
              <w:tc>
                <w:tcPr>
                  <w:tcW w:w="550" w:type="pct"/>
                  <w:tcBorders>
                    <w:top w:val="single" w:color="000000" w:sz="4" w:space="0"/>
                    <w:left w:val="nil"/>
                    <w:bottom w:val="single" w:color="000000" w:sz="4" w:space="0"/>
                    <w:right w:val="single" w:color="000000" w:sz="4" w:space="0"/>
                  </w:tcBorders>
                  <w:noWrap/>
                  <w:vAlign w:val="center"/>
                </w:tcPr>
                <w:p w14:paraId="2C65AED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29.95191316</w:t>
                  </w:r>
                </w:p>
              </w:tc>
              <w:tc>
                <w:tcPr>
                  <w:tcW w:w="414" w:type="pct"/>
                  <w:tcBorders>
                    <w:top w:val="single" w:color="000000" w:sz="4" w:space="0"/>
                    <w:left w:val="nil"/>
                    <w:bottom w:val="single" w:color="000000" w:sz="4" w:space="0"/>
                    <w:right w:val="single" w:color="000000" w:sz="4" w:space="0"/>
                  </w:tcBorders>
                  <w:noWrap/>
                  <w:vAlign w:val="center"/>
                </w:tcPr>
                <w:p w14:paraId="53F1AA7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383</w:t>
                  </w:r>
                </w:p>
              </w:tc>
              <w:tc>
                <w:tcPr>
                  <w:tcW w:w="367" w:type="pct"/>
                  <w:tcBorders>
                    <w:top w:val="single" w:color="000000" w:sz="4" w:space="0"/>
                    <w:left w:val="nil"/>
                    <w:bottom w:val="single" w:color="000000" w:sz="4" w:space="0"/>
                    <w:right w:val="single" w:color="000000" w:sz="4" w:space="0"/>
                  </w:tcBorders>
                  <w:noWrap/>
                  <w:vAlign w:val="center"/>
                </w:tcPr>
                <w:p w14:paraId="7925D68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1654</w:t>
                  </w:r>
                </w:p>
              </w:tc>
              <w:tc>
                <w:tcPr>
                  <w:tcW w:w="508" w:type="pct"/>
                  <w:tcBorders>
                    <w:top w:val="single" w:color="000000" w:sz="4" w:space="0"/>
                    <w:left w:val="nil"/>
                    <w:bottom w:val="single" w:color="000000" w:sz="4" w:space="0"/>
                    <w:right w:val="single" w:color="000000" w:sz="4" w:space="0"/>
                  </w:tcBorders>
                  <w:noWrap/>
                  <w:vAlign w:val="center"/>
                </w:tcPr>
                <w:p w14:paraId="3BA3A21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1708</w:t>
                  </w:r>
                </w:p>
              </w:tc>
              <w:tc>
                <w:tcPr>
                  <w:tcW w:w="1207" w:type="pct"/>
                  <w:tcBorders>
                    <w:top w:val="single" w:color="000000" w:sz="4" w:space="0"/>
                    <w:left w:val="nil"/>
                    <w:bottom w:val="single" w:color="000000" w:sz="4" w:space="0"/>
                    <w:right w:val="single" w:color="000000" w:sz="4" w:space="0"/>
                  </w:tcBorders>
                  <w:noWrap/>
                  <w:vAlign w:val="center"/>
                </w:tcPr>
                <w:p w14:paraId="0F8EADF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1E9652A0">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5D28BA10">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4</w:t>
                  </w:r>
                </w:p>
              </w:tc>
              <w:tc>
                <w:tcPr>
                  <w:tcW w:w="526" w:type="pct"/>
                  <w:tcBorders>
                    <w:top w:val="single" w:color="000000" w:sz="4" w:space="0"/>
                    <w:left w:val="nil"/>
                    <w:bottom w:val="single" w:color="000000" w:sz="4" w:space="0"/>
                    <w:right w:val="single" w:color="000000" w:sz="4" w:space="0"/>
                  </w:tcBorders>
                  <w:noWrap/>
                  <w:vAlign w:val="center"/>
                </w:tcPr>
                <w:p w14:paraId="7E76E40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102.2415751</w:t>
                  </w:r>
                </w:p>
              </w:tc>
              <w:tc>
                <w:tcPr>
                  <w:tcW w:w="461" w:type="pct"/>
                  <w:tcBorders>
                    <w:top w:val="single" w:color="000000" w:sz="4" w:space="0"/>
                    <w:left w:val="nil"/>
                    <w:bottom w:val="single" w:color="000000" w:sz="4" w:space="0"/>
                    <w:right w:val="single" w:color="000000" w:sz="4" w:space="0"/>
                  </w:tcBorders>
                  <w:noWrap/>
                  <w:vAlign w:val="center"/>
                </w:tcPr>
                <w:p w14:paraId="32161CA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29.95072817</w:t>
                  </w:r>
                </w:p>
              </w:tc>
              <w:tc>
                <w:tcPr>
                  <w:tcW w:w="556" w:type="pct"/>
                  <w:tcBorders>
                    <w:top w:val="single" w:color="000000" w:sz="4" w:space="0"/>
                    <w:left w:val="nil"/>
                    <w:bottom w:val="single" w:color="000000" w:sz="4" w:space="0"/>
                    <w:right w:val="single" w:color="000000" w:sz="4" w:space="0"/>
                  </w:tcBorders>
                  <w:noWrap/>
                  <w:vAlign w:val="center"/>
                </w:tcPr>
                <w:p w14:paraId="155643A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102.2489593</w:t>
                  </w:r>
                </w:p>
              </w:tc>
              <w:tc>
                <w:tcPr>
                  <w:tcW w:w="550" w:type="pct"/>
                  <w:tcBorders>
                    <w:top w:val="single" w:color="000000" w:sz="4" w:space="0"/>
                    <w:left w:val="nil"/>
                    <w:bottom w:val="single" w:color="000000" w:sz="4" w:space="0"/>
                    <w:right w:val="single" w:color="000000" w:sz="4" w:space="0"/>
                  </w:tcBorders>
                  <w:noWrap/>
                  <w:vAlign w:val="center"/>
                </w:tcPr>
                <w:p w14:paraId="296E49B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29.95271257</w:t>
                  </w:r>
                </w:p>
              </w:tc>
              <w:tc>
                <w:tcPr>
                  <w:tcW w:w="414" w:type="pct"/>
                  <w:tcBorders>
                    <w:top w:val="single" w:color="000000" w:sz="4" w:space="0"/>
                    <w:left w:val="nil"/>
                    <w:bottom w:val="single" w:color="000000" w:sz="4" w:space="0"/>
                    <w:right w:val="single" w:color="000000" w:sz="4" w:space="0"/>
                  </w:tcBorders>
                  <w:noWrap/>
                  <w:vAlign w:val="center"/>
                </w:tcPr>
                <w:p w14:paraId="070EC87A">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838</w:t>
                  </w:r>
                </w:p>
              </w:tc>
              <w:tc>
                <w:tcPr>
                  <w:tcW w:w="367" w:type="pct"/>
                  <w:tcBorders>
                    <w:top w:val="single" w:color="000000" w:sz="4" w:space="0"/>
                    <w:left w:val="nil"/>
                    <w:bottom w:val="single" w:color="000000" w:sz="4" w:space="0"/>
                    <w:right w:val="single" w:color="000000" w:sz="4" w:space="0"/>
                  </w:tcBorders>
                  <w:noWrap/>
                  <w:vAlign w:val="center"/>
                </w:tcPr>
                <w:p w14:paraId="5D2D9F60">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1644</w:t>
                  </w:r>
                </w:p>
              </w:tc>
              <w:tc>
                <w:tcPr>
                  <w:tcW w:w="508" w:type="pct"/>
                  <w:tcBorders>
                    <w:top w:val="single" w:color="000000" w:sz="4" w:space="0"/>
                    <w:left w:val="nil"/>
                    <w:bottom w:val="single" w:color="000000" w:sz="4" w:space="0"/>
                    <w:right w:val="single" w:color="000000" w:sz="4" w:space="0"/>
                  </w:tcBorders>
                  <w:noWrap/>
                  <w:vAlign w:val="center"/>
                </w:tcPr>
                <w:p w14:paraId="3A48026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1728</w:t>
                  </w:r>
                </w:p>
              </w:tc>
              <w:tc>
                <w:tcPr>
                  <w:tcW w:w="1207" w:type="pct"/>
                  <w:tcBorders>
                    <w:top w:val="single" w:color="000000" w:sz="4" w:space="0"/>
                    <w:left w:val="nil"/>
                    <w:bottom w:val="single" w:color="000000" w:sz="4" w:space="0"/>
                    <w:right w:val="single" w:color="000000" w:sz="4" w:space="0"/>
                  </w:tcBorders>
                  <w:noWrap/>
                  <w:vAlign w:val="center"/>
                </w:tcPr>
                <w:p w14:paraId="77915C7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草丛</w:t>
                  </w:r>
                </w:p>
              </w:tc>
            </w:tr>
            <w:tr w14:paraId="035B64F2">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15FFDD42">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5</w:t>
                  </w:r>
                </w:p>
              </w:tc>
              <w:tc>
                <w:tcPr>
                  <w:tcW w:w="526" w:type="pct"/>
                  <w:tcBorders>
                    <w:top w:val="single" w:color="000000" w:sz="4" w:space="0"/>
                    <w:left w:val="nil"/>
                    <w:bottom w:val="single" w:color="000000" w:sz="4" w:space="0"/>
                    <w:right w:val="single" w:color="000000" w:sz="4" w:space="0"/>
                  </w:tcBorders>
                  <w:noWrap/>
                  <w:vAlign w:val="center"/>
                </w:tcPr>
                <w:p w14:paraId="13D7E7F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102.2411352</w:t>
                  </w:r>
                </w:p>
              </w:tc>
              <w:tc>
                <w:tcPr>
                  <w:tcW w:w="461" w:type="pct"/>
                  <w:tcBorders>
                    <w:top w:val="single" w:color="000000" w:sz="4" w:space="0"/>
                    <w:left w:val="nil"/>
                    <w:bottom w:val="single" w:color="000000" w:sz="4" w:space="0"/>
                    <w:right w:val="single" w:color="000000" w:sz="4" w:space="0"/>
                  </w:tcBorders>
                  <w:noWrap/>
                  <w:vAlign w:val="center"/>
                </w:tcPr>
                <w:p w14:paraId="5CEA06E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29.95067492</w:t>
                  </w:r>
                </w:p>
              </w:tc>
              <w:tc>
                <w:tcPr>
                  <w:tcW w:w="556" w:type="pct"/>
                  <w:tcBorders>
                    <w:top w:val="single" w:color="000000" w:sz="4" w:space="0"/>
                    <w:left w:val="nil"/>
                    <w:bottom w:val="single" w:color="000000" w:sz="4" w:space="0"/>
                    <w:right w:val="single" w:color="000000" w:sz="4" w:space="0"/>
                  </w:tcBorders>
                  <w:noWrap/>
                  <w:vAlign w:val="center"/>
                </w:tcPr>
                <w:p w14:paraId="1916C90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102.2371253</w:t>
                  </w:r>
                </w:p>
              </w:tc>
              <w:tc>
                <w:tcPr>
                  <w:tcW w:w="550" w:type="pct"/>
                  <w:tcBorders>
                    <w:top w:val="single" w:color="000000" w:sz="4" w:space="0"/>
                    <w:left w:val="nil"/>
                    <w:bottom w:val="single" w:color="000000" w:sz="4" w:space="0"/>
                    <w:right w:val="single" w:color="000000" w:sz="4" w:space="0"/>
                  </w:tcBorders>
                  <w:noWrap/>
                  <w:vAlign w:val="center"/>
                </w:tcPr>
                <w:p w14:paraId="1A2A922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29.95113699</w:t>
                  </w:r>
                </w:p>
              </w:tc>
              <w:tc>
                <w:tcPr>
                  <w:tcW w:w="414" w:type="pct"/>
                  <w:tcBorders>
                    <w:top w:val="single" w:color="000000" w:sz="4" w:space="0"/>
                    <w:left w:val="nil"/>
                    <w:bottom w:val="single" w:color="000000" w:sz="4" w:space="0"/>
                    <w:right w:val="single" w:color="000000" w:sz="4" w:space="0"/>
                  </w:tcBorders>
                  <w:noWrap/>
                  <w:vAlign w:val="center"/>
                </w:tcPr>
                <w:p w14:paraId="6E355A4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393</w:t>
                  </w:r>
                </w:p>
              </w:tc>
              <w:tc>
                <w:tcPr>
                  <w:tcW w:w="367" w:type="pct"/>
                  <w:tcBorders>
                    <w:top w:val="single" w:color="000000" w:sz="4" w:space="0"/>
                    <w:left w:val="nil"/>
                    <w:bottom w:val="single" w:color="000000" w:sz="4" w:space="0"/>
                    <w:right w:val="single" w:color="000000" w:sz="4" w:space="0"/>
                  </w:tcBorders>
                  <w:noWrap/>
                  <w:vAlign w:val="center"/>
                </w:tcPr>
                <w:p w14:paraId="0FD6130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1593</w:t>
                  </w:r>
                </w:p>
              </w:tc>
              <w:tc>
                <w:tcPr>
                  <w:tcW w:w="508" w:type="pct"/>
                  <w:tcBorders>
                    <w:top w:val="single" w:color="000000" w:sz="4" w:space="0"/>
                    <w:left w:val="nil"/>
                    <w:bottom w:val="single" w:color="000000" w:sz="4" w:space="0"/>
                    <w:right w:val="single" w:color="000000" w:sz="4" w:space="0"/>
                  </w:tcBorders>
                  <w:noWrap/>
                  <w:vAlign w:val="center"/>
                </w:tcPr>
                <w:p w14:paraId="22A5432C">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1610</w:t>
                  </w:r>
                </w:p>
              </w:tc>
              <w:tc>
                <w:tcPr>
                  <w:tcW w:w="1207" w:type="pct"/>
                  <w:tcBorders>
                    <w:top w:val="single" w:color="000000" w:sz="4" w:space="0"/>
                    <w:left w:val="nil"/>
                    <w:bottom w:val="single" w:color="000000" w:sz="4" w:space="0"/>
                    <w:right w:val="single" w:color="000000" w:sz="4" w:space="0"/>
                  </w:tcBorders>
                  <w:noWrap/>
                  <w:vAlign w:val="center"/>
                </w:tcPr>
                <w:p w14:paraId="390EAEF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46867720">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786CE9C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6</w:t>
                  </w:r>
                </w:p>
              </w:tc>
              <w:tc>
                <w:tcPr>
                  <w:tcW w:w="526" w:type="pct"/>
                  <w:tcBorders>
                    <w:top w:val="single" w:color="000000" w:sz="4" w:space="0"/>
                    <w:left w:val="nil"/>
                    <w:bottom w:val="single" w:color="000000" w:sz="4" w:space="0"/>
                    <w:right w:val="single" w:color="000000" w:sz="4" w:space="0"/>
                  </w:tcBorders>
                  <w:noWrap/>
                  <w:vAlign w:val="center"/>
                </w:tcPr>
                <w:p w14:paraId="0550E9A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102.2353739</w:t>
                  </w:r>
                </w:p>
              </w:tc>
              <w:tc>
                <w:tcPr>
                  <w:tcW w:w="461" w:type="pct"/>
                  <w:tcBorders>
                    <w:top w:val="single" w:color="000000" w:sz="4" w:space="0"/>
                    <w:left w:val="nil"/>
                    <w:bottom w:val="single" w:color="000000" w:sz="4" w:space="0"/>
                    <w:right w:val="single" w:color="000000" w:sz="4" w:space="0"/>
                  </w:tcBorders>
                  <w:noWrap/>
                  <w:vAlign w:val="center"/>
                </w:tcPr>
                <w:p w14:paraId="0C20A9C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29.95182045</w:t>
                  </w:r>
                </w:p>
              </w:tc>
              <w:tc>
                <w:tcPr>
                  <w:tcW w:w="556" w:type="pct"/>
                  <w:tcBorders>
                    <w:top w:val="single" w:color="000000" w:sz="4" w:space="0"/>
                    <w:left w:val="nil"/>
                    <w:bottom w:val="single" w:color="000000" w:sz="4" w:space="0"/>
                    <w:right w:val="single" w:color="000000" w:sz="4" w:space="0"/>
                  </w:tcBorders>
                  <w:noWrap/>
                  <w:vAlign w:val="center"/>
                </w:tcPr>
                <w:p w14:paraId="5C1DDF4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102.2348213</w:t>
                  </w:r>
                </w:p>
              </w:tc>
              <w:tc>
                <w:tcPr>
                  <w:tcW w:w="550" w:type="pct"/>
                  <w:tcBorders>
                    <w:top w:val="single" w:color="000000" w:sz="4" w:space="0"/>
                    <w:left w:val="nil"/>
                    <w:bottom w:val="single" w:color="000000" w:sz="4" w:space="0"/>
                    <w:right w:val="single" w:color="000000" w:sz="4" w:space="0"/>
                  </w:tcBorders>
                  <w:noWrap/>
                  <w:vAlign w:val="center"/>
                </w:tcPr>
                <w:p w14:paraId="010C8D0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29.95679366</w:t>
                  </w:r>
                </w:p>
              </w:tc>
              <w:tc>
                <w:tcPr>
                  <w:tcW w:w="414" w:type="pct"/>
                  <w:tcBorders>
                    <w:top w:val="single" w:color="000000" w:sz="4" w:space="0"/>
                    <w:left w:val="nil"/>
                    <w:bottom w:val="single" w:color="000000" w:sz="4" w:space="0"/>
                    <w:right w:val="single" w:color="000000" w:sz="4" w:space="0"/>
                  </w:tcBorders>
                  <w:noWrap/>
                  <w:vAlign w:val="center"/>
                </w:tcPr>
                <w:p w14:paraId="598B0947">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1275</w:t>
                  </w:r>
                </w:p>
              </w:tc>
              <w:tc>
                <w:tcPr>
                  <w:tcW w:w="367" w:type="pct"/>
                  <w:tcBorders>
                    <w:top w:val="single" w:color="000000" w:sz="4" w:space="0"/>
                    <w:left w:val="nil"/>
                    <w:bottom w:val="single" w:color="000000" w:sz="4" w:space="0"/>
                    <w:right w:val="single" w:color="000000" w:sz="4" w:space="0"/>
                  </w:tcBorders>
                  <w:noWrap/>
                  <w:vAlign w:val="center"/>
                </w:tcPr>
                <w:p w14:paraId="45EFCA6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1557</w:t>
                  </w:r>
                </w:p>
              </w:tc>
              <w:tc>
                <w:tcPr>
                  <w:tcW w:w="508" w:type="pct"/>
                  <w:tcBorders>
                    <w:top w:val="single" w:color="000000" w:sz="4" w:space="0"/>
                    <w:left w:val="nil"/>
                    <w:bottom w:val="single" w:color="000000" w:sz="4" w:space="0"/>
                    <w:right w:val="single" w:color="000000" w:sz="4" w:space="0"/>
                  </w:tcBorders>
                  <w:noWrap/>
                  <w:vAlign w:val="center"/>
                </w:tcPr>
                <w:p w14:paraId="1B35908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1590</w:t>
                  </w:r>
                </w:p>
              </w:tc>
              <w:tc>
                <w:tcPr>
                  <w:tcW w:w="1207" w:type="pct"/>
                  <w:tcBorders>
                    <w:top w:val="single" w:color="000000" w:sz="4" w:space="0"/>
                    <w:left w:val="nil"/>
                    <w:bottom w:val="single" w:color="000000" w:sz="4" w:space="0"/>
                    <w:right w:val="single" w:color="000000" w:sz="4" w:space="0"/>
                  </w:tcBorders>
                  <w:noWrap/>
                  <w:vAlign w:val="center"/>
                </w:tcPr>
                <w:p w14:paraId="70F6C8E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0F8F9642">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7B0CE29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7</w:t>
                  </w:r>
                </w:p>
              </w:tc>
              <w:tc>
                <w:tcPr>
                  <w:tcW w:w="526" w:type="pct"/>
                  <w:tcBorders>
                    <w:top w:val="single" w:color="000000" w:sz="4" w:space="0"/>
                    <w:left w:val="nil"/>
                    <w:bottom w:val="single" w:color="000000" w:sz="4" w:space="0"/>
                    <w:right w:val="single" w:color="000000" w:sz="4" w:space="0"/>
                  </w:tcBorders>
                  <w:noWrap/>
                  <w:vAlign w:val="center"/>
                </w:tcPr>
                <w:p w14:paraId="385D20B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102.2366241</w:t>
                  </w:r>
                </w:p>
              </w:tc>
              <w:tc>
                <w:tcPr>
                  <w:tcW w:w="461" w:type="pct"/>
                  <w:tcBorders>
                    <w:top w:val="single" w:color="000000" w:sz="4" w:space="0"/>
                    <w:left w:val="nil"/>
                    <w:bottom w:val="single" w:color="000000" w:sz="4" w:space="0"/>
                    <w:right w:val="single" w:color="000000" w:sz="4" w:space="0"/>
                  </w:tcBorders>
                  <w:noWrap/>
                  <w:vAlign w:val="center"/>
                </w:tcPr>
                <w:p w14:paraId="67BC8A9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29.95471995</w:t>
                  </w:r>
                </w:p>
              </w:tc>
              <w:tc>
                <w:tcPr>
                  <w:tcW w:w="556" w:type="pct"/>
                  <w:tcBorders>
                    <w:top w:val="single" w:color="000000" w:sz="4" w:space="0"/>
                    <w:left w:val="nil"/>
                    <w:bottom w:val="single" w:color="000000" w:sz="4" w:space="0"/>
                    <w:right w:val="single" w:color="000000" w:sz="4" w:space="0"/>
                  </w:tcBorders>
                  <w:noWrap/>
                  <w:vAlign w:val="center"/>
                </w:tcPr>
                <w:p w14:paraId="471E47C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102.2393965</w:t>
                  </w:r>
                </w:p>
              </w:tc>
              <w:tc>
                <w:tcPr>
                  <w:tcW w:w="550" w:type="pct"/>
                  <w:tcBorders>
                    <w:top w:val="single" w:color="000000" w:sz="4" w:space="0"/>
                    <w:left w:val="nil"/>
                    <w:bottom w:val="single" w:color="000000" w:sz="4" w:space="0"/>
                    <w:right w:val="single" w:color="000000" w:sz="4" w:space="0"/>
                  </w:tcBorders>
                  <w:noWrap/>
                  <w:vAlign w:val="center"/>
                </w:tcPr>
                <w:p w14:paraId="6FB3A315">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29.95738744</w:t>
                  </w:r>
                </w:p>
              </w:tc>
              <w:tc>
                <w:tcPr>
                  <w:tcW w:w="414" w:type="pct"/>
                  <w:tcBorders>
                    <w:top w:val="single" w:color="000000" w:sz="4" w:space="0"/>
                    <w:left w:val="nil"/>
                    <w:bottom w:val="single" w:color="000000" w:sz="4" w:space="0"/>
                    <w:right w:val="single" w:color="000000" w:sz="4" w:space="0"/>
                  </w:tcBorders>
                  <w:noWrap/>
                  <w:vAlign w:val="center"/>
                </w:tcPr>
                <w:p w14:paraId="5984530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436</w:t>
                  </w:r>
                </w:p>
              </w:tc>
              <w:tc>
                <w:tcPr>
                  <w:tcW w:w="367" w:type="pct"/>
                  <w:tcBorders>
                    <w:top w:val="single" w:color="000000" w:sz="4" w:space="0"/>
                    <w:left w:val="nil"/>
                    <w:bottom w:val="single" w:color="000000" w:sz="4" w:space="0"/>
                    <w:right w:val="single" w:color="000000" w:sz="4" w:space="0"/>
                  </w:tcBorders>
                  <w:noWrap/>
                  <w:vAlign w:val="center"/>
                </w:tcPr>
                <w:p w14:paraId="447199F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1590</w:t>
                  </w:r>
                </w:p>
              </w:tc>
              <w:tc>
                <w:tcPr>
                  <w:tcW w:w="508" w:type="pct"/>
                  <w:tcBorders>
                    <w:top w:val="single" w:color="000000" w:sz="4" w:space="0"/>
                    <w:left w:val="nil"/>
                    <w:bottom w:val="single" w:color="000000" w:sz="4" w:space="0"/>
                    <w:right w:val="single" w:color="000000" w:sz="4" w:space="0"/>
                  </w:tcBorders>
                  <w:noWrap/>
                  <w:vAlign w:val="center"/>
                </w:tcPr>
                <w:p w14:paraId="552D816F">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1753</w:t>
                  </w:r>
                </w:p>
              </w:tc>
              <w:tc>
                <w:tcPr>
                  <w:tcW w:w="1207" w:type="pct"/>
                  <w:tcBorders>
                    <w:top w:val="single" w:color="000000" w:sz="4" w:space="0"/>
                    <w:left w:val="nil"/>
                    <w:bottom w:val="single" w:color="000000" w:sz="4" w:space="0"/>
                    <w:right w:val="single" w:color="000000" w:sz="4" w:space="0"/>
                  </w:tcBorders>
                  <w:noWrap/>
                  <w:vAlign w:val="center"/>
                </w:tcPr>
                <w:p w14:paraId="4DCB6933">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5E4A9B56">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398FCD6F">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8</w:t>
                  </w:r>
                </w:p>
              </w:tc>
              <w:tc>
                <w:tcPr>
                  <w:tcW w:w="526" w:type="pct"/>
                  <w:tcBorders>
                    <w:top w:val="single" w:color="000000" w:sz="4" w:space="0"/>
                    <w:left w:val="nil"/>
                    <w:bottom w:val="single" w:color="000000" w:sz="4" w:space="0"/>
                    <w:right w:val="single" w:color="000000" w:sz="4" w:space="0"/>
                  </w:tcBorders>
                  <w:noWrap/>
                  <w:vAlign w:val="center"/>
                </w:tcPr>
                <w:p w14:paraId="167F5EB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102.2356588</w:t>
                  </w:r>
                </w:p>
              </w:tc>
              <w:tc>
                <w:tcPr>
                  <w:tcW w:w="461" w:type="pct"/>
                  <w:tcBorders>
                    <w:top w:val="single" w:color="000000" w:sz="4" w:space="0"/>
                    <w:left w:val="nil"/>
                    <w:bottom w:val="single" w:color="000000" w:sz="4" w:space="0"/>
                    <w:right w:val="single" w:color="000000" w:sz="4" w:space="0"/>
                  </w:tcBorders>
                  <w:noWrap/>
                  <w:vAlign w:val="center"/>
                </w:tcPr>
                <w:p w14:paraId="3F902AC1">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29.95119003</w:t>
                  </w:r>
                </w:p>
              </w:tc>
              <w:tc>
                <w:tcPr>
                  <w:tcW w:w="556" w:type="pct"/>
                  <w:tcBorders>
                    <w:top w:val="single" w:color="000000" w:sz="4" w:space="0"/>
                    <w:left w:val="nil"/>
                    <w:bottom w:val="single" w:color="000000" w:sz="4" w:space="0"/>
                    <w:right w:val="single" w:color="000000" w:sz="4" w:space="0"/>
                  </w:tcBorders>
                  <w:noWrap/>
                  <w:vAlign w:val="center"/>
                </w:tcPr>
                <w:p w14:paraId="374EF45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102.2348428</w:t>
                  </w:r>
                </w:p>
              </w:tc>
              <w:tc>
                <w:tcPr>
                  <w:tcW w:w="550" w:type="pct"/>
                  <w:tcBorders>
                    <w:top w:val="single" w:color="000000" w:sz="4" w:space="0"/>
                    <w:left w:val="nil"/>
                    <w:bottom w:val="single" w:color="000000" w:sz="4" w:space="0"/>
                    <w:right w:val="single" w:color="000000" w:sz="4" w:space="0"/>
                  </w:tcBorders>
                  <w:noWrap/>
                  <w:vAlign w:val="center"/>
                </w:tcPr>
                <w:p w14:paraId="3C6B869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29.94902233</w:t>
                  </w:r>
                </w:p>
              </w:tc>
              <w:tc>
                <w:tcPr>
                  <w:tcW w:w="414" w:type="pct"/>
                  <w:tcBorders>
                    <w:top w:val="single" w:color="000000" w:sz="4" w:space="0"/>
                    <w:left w:val="nil"/>
                    <w:bottom w:val="single" w:color="000000" w:sz="4" w:space="0"/>
                    <w:right w:val="single" w:color="000000" w:sz="4" w:space="0"/>
                  </w:tcBorders>
                  <w:noWrap/>
                  <w:vAlign w:val="center"/>
                </w:tcPr>
                <w:p w14:paraId="13390846">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257</w:t>
                  </w:r>
                </w:p>
              </w:tc>
              <w:tc>
                <w:tcPr>
                  <w:tcW w:w="367" w:type="pct"/>
                  <w:tcBorders>
                    <w:top w:val="single" w:color="000000" w:sz="4" w:space="0"/>
                    <w:left w:val="nil"/>
                    <w:bottom w:val="single" w:color="000000" w:sz="4" w:space="0"/>
                    <w:right w:val="single" w:color="000000" w:sz="4" w:space="0"/>
                  </w:tcBorders>
                  <w:noWrap/>
                  <w:vAlign w:val="center"/>
                </w:tcPr>
                <w:p w14:paraId="7C44E46C">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1569</w:t>
                  </w:r>
                </w:p>
              </w:tc>
              <w:tc>
                <w:tcPr>
                  <w:tcW w:w="508" w:type="pct"/>
                  <w:tcBorders>
                    <w:top w:val="single" w:color="000000" w:sz="4" w:space="0"/>
                    <w:left w:val="nil"/>
                    <w:bottom w:val="single" w:color="000000" w:sz="4" w:space="0"/>
                    <w:right w:val="single" w:color="000000" w:sz="4" w:space="0"/>
                  </w:tcBorders>
                  <w:noWrap/>
                  <w:vAlign w:val="center"/>
                </w:tcPr>
                <w:p w14:paraId="5ABB999C">
                  <w:pPr>
                    <w:widowControl w:val="0"/>
                    <w:spacing w:line="240" w:lineRule="exact"/>
                    <w:jc w:val="cente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1754</w:t>
                  </w:r>
                </w:p>
              </w:tc>
              <w:tc>
                <w:tcPr>
                  <w:tcW w:w="1207" w:type="pct"/>
                  <w:tcBorders>
                    <w:top w:val="single" w:color="000000" w:sz="4" w:space="0"/>
                    <w:left w:val="nil"/>
                    <w:bottom w:val="single" w:color="000000" w:sz="4" w:space="0"/>
                    <w:right w:val="single" w:color="000000" w:sz="4" w:space="0"/>
                  </w:tcBorders>
                  <w:noWrap/>
                  <w:vAlign w:val="center"/>
                </w:tcPr>
                <w:p w14:paraId="10CF8D4E">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764217B4">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17ACB63E">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9</w:t>
                  </w:r>
                </w:p>
              </w:tc>
              <w:tc>
                <w:tcPr>
                  <w:tcW w:w="526" w:type="pct"/>
                  <w:tcBorders>
                    <w:top w:val="single" w:color="000000" w:sz="4" w:space="0"/>
                    <w:left w:val="nil"/>
                    <w:bottom w:val="single" w:color="000000" w:sz="4" w:space="0"/>
                    <w:right w:val="single" w:color="000000" w:sz="4" w:space="0"/>
                  </w:tcBorders>
                  <w:noWrap/>
                  <w:vAlign w:val="center"/>
                </w:tcPr>
                <w:p w14:paraId="7756274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102.2265601</w:t>
                  </w:r>
                </w:p>
              </w:tc>
              <w:tc>
                <w:tcPr>
                  <w:tcW w:w="461" w:type="pct"/>
                  <w:tcBorders>
                    <w:top w:val="single" w:color="000000" w:sz="4" w:space="0"/>
                    <w:left w:val="nil"/>
                    <w:bottom w:val="single" w:color="000000" w:sz="4" w:space="0"/>
                    <w:right w:val="single" w:color="000000" w:sz="4" w:space="0"/>
                  </w:tcBorders>
                  <w:noWrap/>
                  <w:vAlign w:val="center"/>
                </w:tcPr>
                <w:p w14:paraId="4DE80AF9">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29.95602214</w:t>
                  </w:r>
                </w:p>
              </w:tc>
              <w:tc>
                <w:tcPr>
                  <w:tcW w:w="556" w:type="pct"/>
                  <w:tcBorders>
                    <w:top w:val="single" w:color="000000" w:sz="4" w:space="0"/>
                    <w:left w:val="nil"/>
                    <w:bottom w:val="single" w:color="000000" w:sz="4" w:space="0"/>
                    <w:right w:val="single" w:color="000000" w:sz="4" w:space="0"/>
                  </w:tcBorders>
                  <w:noWrap/>
                  <w:vAlign w:val="center"/>
                </w:tcPr>
                <w:p w14:paraId="0D9506E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102.2354543</w:t>
                  </w:r>
                </w:p>
              </w:tc>
              <w:tc>
                <w:tcPr>
                  <w:tcW w:w="550" w:type="pct"/>
                  <w:tcBorders>
                    <w:top w:val="single" w:color="000000" w:sz="4" w:space="0"/>
                    <w:left w:val="nil"/>
                    <w:bottom w:val="single" w:color="000000" w:sz="4" w:space="0"/>
                    <w:right w:val="single" w:color="000000" w:sz="4" w:space="0"/>
                  </w:tcBorders>
                  <w:noWrap/>
                  <w:vAlign w:val="center"/>
                </w:tcPr>
                <w:p w14:paraId="034C513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29.95139284</w:t>
                  </w:r>
                </w:p>
              </w:tc>
              <w:tc>
                <w:tcPr>
                  <w:tcW w:w="414" w:type="pct"/>
                  <w:tcBorders>
                    <w:top w:val="single" w:color="000000" w:sz="4" w:space="0"/>
                    <w:left w:val="nil"/>
                    <w:bottom w:val="single" w:color="000000" w:sz="4" w:space="0"/>
                    <w:right w:val="single" w:color="000000" w:sz="4" w:space="0"/>
                  </w:tcBorders>
                  <w:noWrap/>
                  <w:vAlign w:val="center"/>
                </w:tcPr>
                <w:p w14:paraId="1BCFF8B8">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1136</w:t>
                  </w:r>
                </w:p>
              </w:tc>
              <w:tc>
                <w:tcPr>
                  <w:tcW w:w="367" w:type="pct"/>
                  <w:tcBorders>
                    <w:top w:val="single" w:color="000000" w:sz="4" w:space="0"/>
                    <w:left w:val="nil"/>
                    <w:bottom w:val="single" w:color="000000" w:sz="4" w:space="0"/>
                    <w:right w:val="single" w:color="000000" w:sz="4" w:space="0"/>
                  </w:tcBorders>
                  <w:noWrap/>
                  <w:vAlign w:val="center"/>
                </w:tcPr>
                <w:p w14:paraId="4FEA979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1459</w:t>
                  </w:r>
                </w:p>
              </w:tc>
              <w:tc>
                <w:tcPr>
                  <w:tcW w:w="508" w:type="pct"/>
                  <w:tcBorders>
                    <w:top w:val="single" w:color="000000" w:sz="4" w:space="0"/>
                    <w:left w:val="nil"/>
                    <w:bottom w:val="single" w:color="000000" w:sz="4" w:space="0"/>
                    <w:right w:val="single" w:color="000000" w:sz="4" w:space="0"/>
                  </w:tcBorders>
                  <w:noWrap/>
                  <w:vAlign w:val="center"/>
                </w:tcPr>
                <w:p w14:paraId="3FF88DF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1569</w:t>
                  </w:r>
                </w:p>
              </w:tc>
              <w:tc>
                <w:tcPr>
                  <w:tcW w:w="1207" w:type="pct"/>
                  <w:tcBorders>
                    <w:top w:val="single" w:color="000000" w:sz="4" w:space="0"/>
                    <w:left w:val="nil"/>
                    <w:bottom w:val="single" w:color="000000" w:sz="4" w:space="0"/>
                    <w:right w:val="single" w:color="000000" w:sz="4" w:space="0"/>
                  </w:tcBorders>
                  <w:noWrap/>
                  <w:vAlign w:val="center"/>
                </w:tcPr>
                <w:p w14:paraId="4DCA2DCE">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草丛</w:t>
                  </w:r>
                </w:p>
              </w:tc>
            </w:tr>
            <w:tr w14:paraId="74BF75C4">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39698F0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YX</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10</w:t>
                  </w:r>
                </w:p>
              </w:tc>
              <w:tc>
                <w:tcPr>
                  <w:tcW w:w="526" w:type="pct"/>
                  <w:tcBorders>
                    <w:top w:val="single" w:color="000000" w:sz="4" w:space="0"/>
                    <w:left w:val="nil"/>
                    <w:bottom w:val="single" w:color="000000" w:sz="4" w:space="0"/>
                    <w:right w:val="single" w:color="000000" w:sz="4" w:space="0"/>
                  </w:tcBorders>
                  <w:noWrap/>
                  <w:vAlign w:val="center"/>
                </w:tcPr>
                <w:p w14:paraId="382DBF3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102.2263777</w:t>
                  </w:r>
                </w:p>
              </w:tc>
              <w:tc>
                <w:tcPr>
                  <w:tcW w:w="461" w:type="pct"/>
                  <w:tcBorders>
                    <w:top w:val="single" w:color="000000" w:sz="4" w:space="0"/>
                    <w:left w:val="nil"/>
                    <w:bottom w:val="single" w:color="000000" w:sz="4" w:space="0"/>
                    <w:right w:val="single" w:color="000000" w:sz="4" w:space="0"/>
                  </w:tcBorders>
                  <w:noWrap/>
                  <w:vAlign w:val="center"/>
                </w:tcPr>
                <w:p w14:paraId="29315A80">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29.95618016</w:t>
                  </w:r>
                </w:p>
              </w:tc>
              <w:tc>
                <w:tcPr>
                  <w:tcW w:w="556" w:type="pct"/>
                  <w:tcBorders>
                    <w:top w:val="single" w:color="000000" w:sz="4" w:space="0"/>
                    <w:left w:val="nil"/>
                    <w:bottom w:val="single" w:color="000000" w:sz="4" w:space="0"/>
                    <w:right w:val="single" w:color="000000" w:sz="4" w:space="0"/>
                  </w:tcBorders>
                  <w:noWrap/>
                  <w:vAlign w:val="center"/>
                </w:tcPr>
                <w:p w14:paraId="6F760BA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102.2319245</w:t>
                  </w:r>
                </w:p>
              </w:tc>
              <w:tc>
                <w:tcPr>
                  <w:tcW w:w="550" w:type="pct"/>
                  <w:tcBorders>
                    <w:top w:val="single" w:color="000000" w:sz="4" w:space="0"/>
                    <w:left w:val="nil"/>
                    <w:bottom w:val="single" w:color="000000" w:sz="4" w:space="0"/>
                    <w:right w:val="single" w:color="000000" w:sz="4" w:space="0"/>
                  </w:tcBorders>
                  <w:noWrap/>
                  <w:vAlign w:val="center"/>
                </w:tcPr>
                <w:p w14:paraId="72953CA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29.95752801</w:t>
                  </w:r>
                </w:p>
              </w:tc>
              <w:tc>
                <w:tcPr>
                  <w:tcW w:w="414" w:type="pct"/>
                  <w:tcBorders>
                    <w:top w:val="single" w:color="000000" w:sz="4" w:space="0"/>
                    <w:left w:val="nil"/>
                    <w:bottom w:val="single" w:color="000000" w:sz="4" w:space="0"/>
                    <w:right w:val="single" w:color="000000" w:sz="4" w:space="0"/>
                  </w:tcBorders>
                  <w:noWrap/>
                  <w:vAlign w:val="center"/>
                </w:tcPr>
                <w:p w14:paraId="34A82F99">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2178</w:t>
                  </w:r>
                </w:p>
              </w:tc>
              <w:tc>
                <w:tcPr>
                  <w:tcW w:w="367" w:type="pct"/>
                  <w:tcBorders>
                    <w:top w:val="single" w:color="000000" w:sz="4" w:space="0"/>
                    <w:left w:val="nil"/>
                    <w:bottom w:val="single" w:color="000000" w:sz="4" w:space="0"/>
                    <w:right w:val="single" w:color="000000" w:sz="4" w:space="0"/>
                  </w:tcBorders>
                  <w:noWrap/>
                  <w:vAlign w:val="center"/>
                </w:tcPr>
                <w:p w14:paraId="1B3BE32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1415</w:t>
                  </w:r>
                </w:p>
              </w:tc>
              <w:tc>
                <w:tcPr>
                  <w:tcW w:w="508" w:type="pct"/>
                  <w:tcBorders>
                    <w:top w:val="single" w:color="000000" w:sz="4" w:space="0"/>
                    <w:left w:val="nil"/>
                    <w:bottom w:val="single" w:color="000000" w:sz="4" w:space="0"/>
                    <w:right w:val="single" w:color="000000" w:sz="4" w:space="0"/>
                  </w:tcBorders>
                  <w:noWrap/>
                  <w:vAlign w:val="center"/>
                </w:tcPr>
                <w:p w14:paraId="144CE89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1517</w:t>
                  </w:r>
                </w:p>
              </w:tc>
              <w:tc>
                <w:tcPr>
                  <w:tcW w:w="1207" w:type="pct"/>
                  <w:tcBorders>
                    <w:top w:val="single" w:color="000000" w:sz="4" w:space="0"/>
                    <w:left w:val="nil"/>
                    <w:bottom w:val="single" w:color="000000" w:sz="4" w:space="0"/>
                    <w:right w:val="single" w:color="000000" w:sz="4" w:space="0"/>
                  </w:tcBorders>
                  <w:noWrap/>
                  <w:vAlign w:val="center"/>
                </w:tcPr>
                <w:p w14:paraId="2FFEA68B">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草丛</w:t>
                  </w:r>
                </w:p>
              </w:tc>
            </w:tr>
            <w:tr w14:paraId="5F41B1AD">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3AAD769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YX11</w:t>
                  </w:r>
                </w:p>
              </w:tc>
              <w:tc>
                <w:tcPr>
                  <w:tcW w:w="526" w:type="pct"/>
                  <w:tcBorders>
                    <w:top w:val="single" w:color="000000" w:sz="4" w:space="0"/>
                    <w:left w:val="nil"/>
                    <w:bottom w:val="single" w:color="000000" w:sz="4" w:space="0"/>
                    <w:right w:val="single" w:color="000000" w:sz="4" w:space="0"/>
                  </w:tcBorders>
                  <w:noWrap/>
                  <w:vAlign w:val="center"/>
                </w:tcPr>
                <w:p w14:paraId="5327098C">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102.2307015</w:t>
                  </w:r>
                </w:p>
              </w:tc>
              <w:tc>
                <w:tcPr>
                  <w:tcW w:w="461" w:type="pct"/>
                  <w:tcBorders>
                    <w:top w:val="single" w:color="000000" w:sz="4" w:space="0"/>
                    <w:left w:val="nil"/>
                    <w:bottom w:val="single" w:color="000000" w:sz="4" w:space="0"/>
                    <w:right w:val="single" w:color="000000" w:sz="4" w:space="0"/>
                  </w:tcBorders>
                  <w:noWrap/>
                  <w:vAlign w:val="center"/>
                </w:tcPr>
                <w:p w14:paraId="4E8BE54C">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29.93251089</w:t>
                  </w:r>
                </w:p>
              </w:tc>
              <w:tc>
                <w:tcPr>
                  <w:tcW w:w="556" w:type="pct"/>
                  <w:tcBorders>
                    <w:top w:val="single" w:color="000000" w:sz="4" w:space="0"/>
                    <w:left w:val="nil"/>
                    <w:bottom w:val="single" w:color="000000" w:sz="4" w:space="0"/>
                    <w:right w:val="single" w:color="000000" w:sz="4" w:space="0"/>
                  </w:tcBorders>
                  <w:noWrap/>
                  <w:vAlign w:val="center"/>
                </w:tcPr>
                <w:p w14:paraId="3DB7275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102.2302026</w:t>
                  </w:r>
                </w:p>
              </w:tc>
              <w:tc>
                <w:tcPr>
                  <w:tcW w:w="550" w:type="pct"/>
                  <w:tcBorders>
                    <w:top w:val="single" w:color="000000" w:sz="4" w:space="0"/>
                    <w:left w:val="nil"/>
                    <w:bottom w:val="single" w:color="000000" w:sz="4" w:space="0"/>
                    <w:right w:val="single" w:color="000000" w:sz="4" w:space="0"/>
                  </w:tcBorders>
                  <w:noWrap/>
                  <w:vAlign w:val="center"/>
                </w:tcPr>
                <w:p w14:paraId="3CFE2B5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29.94459259</w:t>
                  </w:r>
                </w:p>
              </w:tc>
              <w:tc>
                <w:tcPr>
                  <w:tcW w:w="414" w:type="pct"/>
                  <w:tcBorders>
                    <w:top w:val="single" w:color="000000" w:sz="4" w:space="0"/>
                    <w:left w:val="nil"/>
                    <w:bottom w:val="single" w:color="000000" w:sz="4" w:space="0"/>
                    <w:right w:val="single" w:color="000000" w:sz="4" w:space="0"/>
                  </w:tcBorders>
                  <w:noWrap/>
                  <w:vAlign w:val="center"/>
                </w:tcPr>
                <w:p w14:paraId="07C1917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1439</w:t>
                  </w:r>
                </w:p>
              </w:tc>
              <w:tc>
                <w:tcPr>
                  <w:tcW w:w="367" w:type="pct"/>
                  <w:tcBorders>
                    <w:top w:val="single" w:color="000000" w:sz="4" w:space="0"/>
                    <w:left w:val="nil"/>
                    <w:bottom w:val="single" w:color="000000" w:sz="4" w:space="0"/>
                    <w:right w:val="single" w:color="000000" w:sz="4" w:space="0"/>
                  </w:tcBorders>
                  <w:noWrap/>
                  <w:vAlign w:val="center"/>
                </w:tcPr>
                <w:p w14:paraId="1349A54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1365</w:t>
                  </w:r>
                </w:p>
              </w:tc>
              <w:tc>
                <w:tcPr>
                  <w:tcW w:w="508" w:type="pct"/>
                  <w:tcBorders>
                    <w:top w:val="single" w:color="000000" w:sz="4" w:space="0"/>
                    <w:left w:val="nil"/>
                    <w:bottom w:val="single" w:color="000000" w:sz="4" w:space="0"/>
                    <w:right w:val="single" w:color="000000" w:sz="4" w:space="0"/>
                  </w:tcBorders>
                  <w:noWrap/>
                  <w:vAlign w:val="center"/>
                </w:tcPr>
                <w:p w14:paraId="2C12FD93">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1439</w:t>
                  </w:r>
                </w:p>
              </w:tc>
              <w:tc>
                <w:tcPr>
                  <w:tcW w:w="1207" w:type="pct"/>
                  <w:tcBorders>
                    <w:top w:val="single" w:color="000000" w:sz="4" w:space="0"/>
                    <w:left w:val="nil"/>
                    <w:bottom w:val="single" w:color="000000" w:sz="4" w:space="0"/>
                    <w:right w:val="single" w:color="000000" w:sz="4" w:space="0"/>
                  </w:tcBorders>
                  <w:noWrap/>
                  <w:vAlign w:val="center"/>
                </w:tcPr>
                <w:p w14:paraId="7C623177">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草丛</w:t>
                  </w:r>
                </w:p>
              </w:tc>
            </w:tr>
            <w:tr w14:paraId="274D7651">
              <w:tblPrEx>
                <w:tblCellMar>
                  <w:top w:w="0" w:type="dxa"/>
                  <w:left w:w="57" w:type="dxa"/>
                  <w:bottom w:w="0" w:type="dxa"/>
                  <w:right w:w="57" w:type="dxa"/>
                </w:tblCellMar>
              </w:tblPrEx>
              <w:trPr>
                <w:trHeight w:val="605"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52FCE13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YX12</w:t>
                  </w:r>
                </w:p>
              </w:tc>
              <w:tc>
                <w:tcPr>
                  <w:tcW w:w="526" w:type="pct"/>
                  <w:tcBorders>
                    <w:top w:val="single" w:color="000000" w:sz="4" w:space="0"/>
                    <w:left w:val="nil"/>
                    <w:bottom w:val="single" w:color="000000" w:sz="4" w:space="0"/>
                    <w:right w:val="single" w:color="000000" w:sz="4" w:space="0"/>
                  </w:tcBorders>
                  <w:noWrap/>
                  <w:vAlign w:val="center"/>
                </w:tcPr>
                <w:p w14:paraId="392BFA3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102.2299908</w:t>
                  </w:r>
                </w:p>
              </w:tc>
              <w:tc>
                <w:tcPr>
                  <w:tcW w:w="461" w:type="pct"/>
                  <w:tcBorders>
                    <w:top w:val="single" w:color="000000" w:sz="4" w:space="0"/>
                    <w:left w:val="nil"/>
                    <w:bottom w:val="single" w:color="000000" w:sz="4" w:space="0"/>
                    <w:right w:val="single" w:color="000000" w:sz="4" w:space="0"/>
                  </w:tcBorders>
                  <w:noWrap/>
                  <w:vAlign w:val="center"/>
                </w:tcPr>
                <w:p w14:paraId="4FAD1F21">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29.92700939</w:t>
                  </w:r>
                </w:p>
              </w:tc>
              <w:tc>
                <w:tcPr>
                  <w:tcW w:w="556" w:type="pct"/>
                  <w:tcBorders>
                    <w:top w:val="single" w:color="000000" w:sz="4" w:space="0"/>
                    <w:left w:val="nil"/>
                    <w:bottom w:val="single" w:color="000000" w:sz="4" w:space="0"/>
                    <w:right w:val="single" w:color="000000" w:sz="4" w:space="0"/>
                  </w:tcBorders>
                  <w:noWrap/>
                  <w:vAlign w:val="center"/>
                </w:tcPr>
                <w:p w14:paraId="605B779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102.2320533</w:t>
                  </w:r>
                </w:p>
              </w:tc>
              <w:tc>
                <w:tcPr>
                  <w:tcW w:w="550" w:type="pct"/>
                  <w:tcBorders>
                    <w:top w:val="single" w:color="000000" w:sz="4" w:space="0"/>
                    <w:left w:val="nil"/>
                    <w:bottom w:val="single" w:color="000000" w:sz="4" w:space="0"/>
                    <w:right w:val="single" w:color="000000" w:sz="4" w:space="0"/>
                  </w:tcBorders>
                  <w:noWrap/>
                  <w:vAlign w:val="center"/>
                </w:tcPr>
                <w:p w14:paraId="27F2C86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29.930735</w:t>
                  </w:r>
                </w:p>
              </w:tc>
              <w:tc>
                <w:tcPr>
                  <w:tcW w:w="414" w:type="pct"/>
                  <w:tcBorders>
                    <w:top w:val="single" w:color="000000" w:sz="4" w:space="0"/>
                    <w:left w:val="nil"/>
                    <w:bottom w:val="single" w:color="000000" w:sz="4" w:space="0"/>
                    <w:right w:val="single" w:color="000000" w:sz="4" w:space="0"/>
                  </w:tcBorders>
                  <w:noWrap/>
                  <w:vAlign w:val="center"/>
                </w:tcPr>
                <w:p w14:paraId="1C14595D">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1318</w:t>
                  </w:r>
                </w:p>
              </w:tc>
              <w:tc>
                <w:tcPr>
                  <w:tcW w:w="367" w:type="pct"/>
                  <w:tcBorders>
                    <w:top w:val="single" w:color="000000" w:sz="4" w:space="0"/>
                    <w:left w:val="nil"/>
                    <w:bottom w:val="single" w:color="000000" w:sz="4" w:space="0"/>
                    <w:right w:val="single" w:color="000000" w:sz="4" w:space="0"/>
                  </w:tcBorders>
                  <w:noWrap/>
                  <w:vAlign w:val="center"/>
                </w:tcPr>
                <w:p w14:paraId="7CD2BD4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1350</w:t>
                  </w:r>
                </w:p>
              </w:tc>
              <w:tc>
                <w:tcPr>
                  <w:tcW w:w="508" w:type="pct"/>
                  <w:tcBorders>
                    <w:top w:val="single" w:color="000000" w:sz="4" w:space="0"/>
                    <w:left w:val="nil"/>
                    <w:bottom w:val="single" w:color="000000" w:sz="4" w:space="0"/>
                    <w:right w:val="single" w:color="000000" w:sz="4" w:space="0"/>
                  </w:tcBorders>
                  <w:noWrap/>
                  <w:vAlign w:val="center"/>
                </w:tcPr>
                <w:p w14:paraId="3445E321">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1479</w:t>
                  </w:r>
                </w:p>
              </w:tc>
              <w:tc>
                <w:tcPr>
                  <w:tcW w:w="1207" w:type="pct"/>
                  <w:tcBorders>
                    <w:top w:val="single" w:color="000000" w:sz="4" w:space="0"/>
                    <w:left w:val="nil"/>
                    <w:bottom w:val="single" w:color="000000" w:sz="4" w:space="0"/>
                    <w:right w:val="single" w:color="000000" w:sz="4" w:space="0"/>
                  </w:tcBorders>
                  <w:noWrap/>
                  <w:vAlign w:val="center"/>
                </w:tcPr>
                <w:p w14:paraId="2C944747">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348E6A32">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0BF4866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YX13</w:t>
                  </w:r>
                </w:p>
              </w:tc>
              <w:tc>
                <w:tcPr>
                  <w:tcW w:w="526" w:type="pct"/>
                  <w:tcBorders>
                    <w:top w:val="single" w:color="000000" w:sz="4" w:space="0"/>
                    <w:left w:val="nil"/>
                    <w:bottom w:val="single" w:color="000000" w:sz="4" w:space="0"/>
                    <w:right w:val="single" w:color="000000" w:sz="4" w:space="0"/>
                  </w:tcBorders>
                  <w:noWrap/>
                  <w:vAlign w:val="center"/>
                </w:tcPr>
                <w:p w14:paraId="756ED75F">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102.2289097</w:t>
                  </w:r>
                </w:p>
              </w:tc>
              <w:tc>
                <w:tcPr>
                  <w:tcW w:w="461" w:type="pct"/>
                  <w:tcBorders>
                    <w:top w:val="single" w:color="000000" w:sz="4" w:space="0"/>
                    <w:left w:val="nil"/>
                    <w:bottom w:val="single" w:color="000000" w:sz="4" w:space="0"/>
                    <w:right w:val="single" w:color="000000" w:sz="4" w:space="0"/>
                  </w:tcBorders>
                  <w:noWrap/>
                  <w:vAlign w:val="center"/>
                </w:tcPr>
                <w:p w14:paraId="6892383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29.91664765</w:t>
                  </w:r>
                </w:p>
              </w:tc>
              <w:tc>
                <w:tcPr>
                  <w:tcW w:w="556" w:type="pct"/>
                  <w:tcBorders>
                    <w:top w:val="single" w:color="000000" w:sz="4" w:space="0"/>
                    <w:left w:val="nil"/>
                    <w:bottom w:val="single" w:color="000000" w:sz="4" w:space="0"/>
                    <w:right w:val="single" w:color="000000" w:sz="4" w:space="0"/>
                  </w:tcBorders>
                  <w:noWrap/>
                  <w:vAlign w:val="center"/>
                </w:tcPr>
                <w:p w14:paraId="20A81C70">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102.2264278</w:t>
                  </w:r>
                </w:p>
              </w:tc>
              <w:tc>
                <w:tcPr>
                  <w:tcW w:w="550" w:type="pct"/>
                  <w:tcBorders>
                    <w:top w:val="single" w:color="000000" w:sz="4" w:space="0"/>
                    <w:left w:val="nil"/>
                    <w:bottom w:val="single" w:color="000000" w:sz="4" w:space="0"/>
                    <w:right w:val="single" w:color="000000" w:sz="4" w:space="0"/>
                  </w:tcBorders>
                  <w:noWrap/>
                  <w:vAlign w:val="center"/>
                </w:tcPr>
                <w:p w14:paraId="2E334AD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29.92428341</w:t>
                  </w:r>
                </w:p>
              </w:tc>
              <w:tc>
                <w:tcPr>
                  <w:tcW w:w="414" w:type="pct"/>
                  <w:tcBorders>
                    <w:top w:val="single" w:color="000000" w:sz="4" w:space="0"/>
                    <w:left w:val="nil"/>
                    <w:bottom w:val="single" w:color="000000" w:sz="4" w:space="0"/>
                    <w:right w:val="single" w:color="000000" w:sz="4" w:space="0"/>
                  </w:tcBorders>
                  <w:noWrap/>
                  <w:vAlign w:val="center"/>
                </w:tcPr>
                <w:p w14:paraId="278A47E4">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885</w:t>
                  </w:r>
                </w:p>
              </w:tc>
              <w:tc>
                <w:tcPr>
                  <w:tcW w:w="367" w:type="pct"/>
                  <w:tcBorders>
                    <w:top w:val="single" w:color="000000" w:sz="4" w:space="0"/>
                    <w:left w:val="nil"/>
                    <w:bottom w:val="single" w:color="000000" w:sz="4" w:space="0"/>
                    <w:right w:val="single" w:color="000000" w:sz="4" w:space="0"/>
                  </w:tcBorders>
                  <w:noWrap/>
                  <w:vAlign w:val="center"/>
                </w:tcPr>
                <w:p w14:paraId="7E445451">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1285</w:t>
                  </w:r>
                </w:p>
              </w:tc>
              <w:tc>
                <w:tcPr>
                  <w:tcW w:w="508" w:type="pct"/>
                  <w:tcBorders>
                    <w:top w:val="single" w:color="000000" w:sz="4" w:space="0"/>
                    <w:left w:val="nil"/>
                    <w:bottom w:val="single" w:color="000000" w:sz="4" w:space="0"/>
                    <w:right w:val="single" w:color="000000" w:sz="4" w:space="0"/>
                  </w:tcBorders>
                  <w:noWrap/>
                  <w:vAlign w:val="center"/>
                </w:tcPr>
                <w:p w14:paraId="768AC90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1320</w:t>
                  </w:r>
                </w:p>
              </w:tc>
              <w:tc>
                <w:tcPr>
                  <w:tcW w:w="1207" w:type="pct"/>
                  <w:tcBorders>
                    <w:top w:val="single" w:color="000000" w:sz="4" w:space="0"/>
                    <w:left w:val="nil"/>
                    <w:bottom w:val="single" w:color="000000" w:sz="4" w:space="0"/>
                    <w:right w:val="single" w:color="000000" w:sz="4" w:space="0"/>
                  </w:tcBorders>
                  <w:noWrap/>
                  <w:vAlign w:val="center"/>
                </w:tcPr>
                <w:p w14:paraId="67ED404E">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62346DDC">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001F769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YX14</w:t>
                  </w:r>
                </w:p>
              </w:tc>
              <w:tc>
                <w:tcPr>
                  <w:tcW w:w="526" w:type="pct"/>
                  <w:tcBorders>
                    <w:top w:val="single" w:color="000000" w:sz="4" w:space="0"/>
                    <w:left w:val="nil"/>
                    <w:bottom w:val="single" w:color="000000" w:sz="4" w:space="0"/>
                    <w:right w:val="single" w:color="000000" w:sz="4" w:space="0"/>
                  </w:tcBorders>
                  <w:noWrap/>
                  <w:vAlign w:val="center"/>
                </w:tcPr>
                <w:p w14:paraId="23169FE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102.2329062</w:t>
                  </w:r>
                </w:p>
              </w:tc>
              <w:tc>
                <w:tcPr>
                  <w:tcW w:w="461" w:type="pct"/>
                  <w:tcBorders>
                    <w:top w:val="single" w:color="000000" w:sz="4" w:space="0"/>
                    <w:left w:val="nil"/>
                    <w:bottom w:val="single" w:color="000000" w:sz="4" w:space="0"/>
                    <w:right w:val="single" w:color="000000" w:sz="4" w:space="0"/>
                  </w:tcBorders>
                  <w:noWrap/>
                  <w:vAlign w:val="center"/>
                </w:tcPr>
                <w:p w14:paraId="76ED7EB2">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29.91794489</w:t>
                  </w:r>
                </w:p>
              </w:tc>
              <w:tc>
                <w:tcPr>
                  <w:tcW w:w="556" w:type="pct"/>
                  <w:tcBorders>
                    <w:top w:val="single" w:color="000000" w:sz="4" w:space="0"/>
                    <w:left w:val="nil"/>
                    <w:bottom w:val="single" w:color="000000" w:sz="4" w:space="0"/>
                    <w:right w:val="single" w:color="000000" w:sz="4" w:space="0"/>
                  </w:tcBorders>
                  <w:noWrap/>
                  <w:vAlign w:val="center"/>
                </w:tcPr>
                <w:p w14:paraId="2E78FE0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102.2325307</w:t>
                  </w:r>
                </w:p>
              </w:tc>
              <w:tc>
                <w:tcPr>
                  <w:tcW w:w="550" w:type="pct"/>
                  <w:tcBorders>
                    <w:top w:val="single" w:color="000000" w:sz="4" w:space="0"/>
                    <w:left w:val="nil"/>
                    <w:bottom w:val="single" w:color="000000" w:sz="4" w:space="0"/>
                    <w:right w:val="single" w:color="000000" w:sz="4" w:space="0"/>
                  </w:tcBorders>
                  <w:noWrap/>
                  <w:vAlign w:val="center"/>
                </w:tcPr>
                <w:p w14:paraId="57EEC35F">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29.92014875</w:t>
                  </w:r>
                </w:p>
              </w:tc>
              <w:tc>
                <w:tcPr>
                  <w:tcW w:w="414" w:type="pct"/>
                  <w:tcBorders>
                    <w:top w:val="single" w:color="000000" w:sz="4" w:space="0"/>
                    <w:left w:val="nil"/>
                    <w:bottom w:val="single" w:color="000000" w:sz="4" w:space="0"/>
                    <w:right w:val="single" w:color="000000" w:sz="4" w:space="0"/>
                  </w:tcBorders>
                  <w:noWrap/>
                  <w:vAlign w:val="center"/>
                </w:tcPr>
                <w:p w14:paraId="7EBD454B">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648</w:t>
                  </w:r>
                </w:p>
              </w:tc>
              <w:tc>
                <w:tcPr>
                  <w:tcW w:w="367" w:type="pct"/>
                  <w:tcBorders>
                    <w:top w:val="single" w:color="000000" w:sz="4" w:space="0"/>
                    <w:left w:val="nil"/>
                    <w:bottom w:val="single" w:color="000000" w:sz="4" w:space="0"/>
                    <w:right w:val="single" w:color="000000" w:sz="4" w:space="0"/>
                  </w:tcBorders>
                  <w:noWrap/>
                  <w:vAlign w:val="center"/>
                </w:tcPr>
                <w:p w14:paraId="2D207CD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1378</w:t>
                  </w:r>
                </w:p>
              </w:tc>
              <w:tc>
                <w:tcPr>
                  <w:tcW w:w="508" w:type="pct"/>
                  <w:tcBorders>
                    <w:top w:val="single" w:color="000000" w:sz="4" w:space="0"/>
                    <w:left w:val="nil"/>
                    <w:bottom w:val="single" w:color="000000" w:sz="4" w:space="0"/>
                    <w:right w:val="single" w:color="000000" w:sz="4" w:space="0"/>
                  </w:tcBorders>
                  <w:noWrap/>
                  <w:vAlign w:val="center"/>
                </w:tcPr>
                <w:p w14:paraId="7B56EC4F">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1432</w:t>
                  </w:r>
                </w:p>
              </w:tc>
              <w:tc>
                <w:tcPr>
                  <w:tcW w:w="1207" w:type="pct"/>
                  <w:tcBorders>
                    <w:top w:val="single" w:color="000000" w:sz="4" w:space="0"/>
                    <w:left w:val="nil"/>
                    <w:bottom w:val="single" w:color="000000" w:sz="4" w:space="0"/>
                    <w:right w:val="single" w:color="000000" w:sz="4" w:space="0"/>
                  </w:tcBorders>
                  <w:noWrap/>
                  <w:vAlign w:val="center"/>
                </w:tcPr>
                <w:p w14:paraId="30E84881">
                  <w:pPr>
                    <w:widowControl w:val="0"/>
                    <w:spacing w:line="240" w:lineRule="exact"/>
                    <w:jc w:val="cente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6931DE64">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1ABF54D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YX15</w:t>
                  </w:r>
                </w:p>
              </w:tc>
              <w:tc>
                <w:tcPr>
                  <w:tcW w:w="526" w:type="pct"/>
                  <w:tcBorders>
                    <w:top w:val="single" w:color="000000" w:sz="4" w:space="0"/>
                    <w:left w:val="nil"/>
                    <w:bottom w:val="single" w:color="000000" w:sz="4" w:space="0"/>
                    <w:right w:val="single" w:color="000000" w:sz="4" w:space="0"/>
                  </w:tcBorders>
                  <w:noWrap/>
                  <w:vAlign w:val="center"/>
                </w:tcPr>
                <w:p w14:paraId="58B06200">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102.2335017</w:t>
                  </w:r>
                </w:p>
              </w:tc>
              <w:tc>
                <w:tcPr>
                  <w:tcW w:w="461" w:type="pct"/>
                  <w:tcBorders>
                    <w:top w:val="single" w:color="000000" w:sz="4" w:space="0"/>
                    <w:left w:val="nil"/>
                    <w:bottom w:val="single" w:color="000000" w:sz="4" w:space="0"/>
                    <w:right w:val="single" w:color="000000" w:sz="4" w:space="0"/>
                  </w:tcBorders>
                  <w:noWrap/>
                  <w:vAlign w:val="center"/>
                </w:tcPr>
                <w:p w14:paraId="4CAE4F7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29.91193747</w:t>
                  </w:r>
                </w:p>
              </w:tc>
              <w:tc>
                <w:tcPr>
                  <w:tcW w:w="556" w:type="pct"/>
                  <w:tcBorders>
                    <w:top w:val="single" w:color="000000" w:sz="4" w:space="0"/>
                    <w:left w:val="nil"/>
                    <w:bottom w:val="single" w:color="000000" w:sz="4" w:space="0"/>
                    <w:right w:val="single" w:color="000000" w:sz="4" w:space="0"/>
                  </w:tcBorders>
                  <w:noWrap/>
                  <w:vAlign w:val="center"/>
                </w:tcPr>
                <w:p w14:paraId="3D05A2B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102.2335017</w:t>
                  </w:r>
                </w:p>
              </w:tc>
              <w:tc>
                <w:tcPr>
                  <w:tcW w:w="550" w:type="pct"/>
                  <w:tcBorders>
                    <w:top w:val="single" w:color="000000" w:sz="4" w:space="0"/>
                    <w:left w:val="nil"/>
                    <w:bottom w:val="single" w:color="000000" w:sz="4" w:space="0"/>
                    <w:right w:val="single" w:color="000000" w:sz="4" w:space="0"/>
                  </w:tcBorders>
                  <w:noWrap/>
                  <w:vAlign w:val="center"/>
                </w:tcPr>
                <w:p w14:paraId="5BCD5FE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29.90898478</w:t>
                  </w:r>
                </w:p>
              </w:tc>
              <w:tc>
                <w:tcPr>
                  <w:tcW w:w="414" w:type="pct"/>
                  <w:tcBorders>
                    <w:top w:val="single" w:color="000000" w:sz="4" w:space="0"/>
                    <w:left w:val="nil"/>
                    <w:bottom w:val="single" w:color="000000" w:sz="4" w:space="0"/>
                    <w:right w:val="single" w:color="000000" w:sz="4" w:space="0"/>
                  </w:tcBorders>
                  <w:noWrap/>
                  <w:vAlign w:val="center"/>
                </w:tcPr>
                <w:p w14:paraId="4249D941">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336</w:t>
                  </w:r>
                </w:p>
              </w:tc>
              <w:tc>
                <w:tcPr>
                  <w:tcW w:w="367" w:type="pct"/>
                  <w:tcBorders>
                    <w:top w:val="single" w:color="000000" w:sz="4" w:space="0"/>
                    <w:left w:val="nil"/>
                    <w:bottom w:val="single" w:color="000000" w:sz="4" w:space="0"/>
                    <w:right w:val="single" w:color="000000" w:sz="4" w:space="0"/>
                  </w:tcBorders>
                  <w:noWrap/>
                  <w:vAlign w:val="center"/>
                </w:tcPr>
                <w:p w14:paraId="25D6ADA9">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1357</w:t>
                  </w:r>
                </w:p>
              </w:tc>
              <w:tc>
                <w:tcPr>
                  <w:tcW w:w="508" w:type="pct"/>
                  <w:tcBorders>
                    <w:top w:val="single" w:color="000000" w:sz="4" w:space="0"/>
                    <w:left w:val="nil"/>
                    <w:bottom w:val="single" w:color="000000" w:sz="4" w:space="0"/>
                    <w:right w:val="single" w:color="000000" w:sz="4" w:space="0"/>
                  </w:tcBorders>
                  <w:noWrap/>
                  <w:vAlign w:val="center"/>
                </w:tcPr>
                <w:p w14:paraId="76E3EFE8">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1379</w:t>
                  </w:r>
                </w:p>
              </w:tc>
              <w:tc>
                <w:tcPr>
                  <w:tcW w:w="1207" w:type="pct"/>
                  <w:tcBorders>
                    <w:top w:val="single" w:color="000000" w:sz="4" w:space="0"/>
                    <w:left w:val="nil"/>
                    <w:bottom w:val="single" w:color="000000" w:sz="4" w:space="0"/>
                    <w:right w:val="single" w:color="000000" w:sz="4" w:space="0"/>
                  </w:tcBorders>
                  <w:noWrap/>
                  <w:vAlign w:val="center"/>
                </w:tcPr>
                <w:p w14:paraId="6CC936F6">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r w14:paraId="18667710">
              <w:tblPrEx>
                <w:tblCellMar>
                  <w:top w:w="0" w:type="dxa"/>
                  <w:left w:w="57" w:type="dxa"/>
                  <w:bottom w:w="0" w:type="dxa"/>
                  <w:right w:w="57" w:type="dxa"/>
                </w:tblCellMar>
              </w:tblPrEx>
              <w:trPr>
                <w:trHeight w:val="300" w:hRule="atLeast"/>
              </w:trPr>
              <w:tc>
                <w:tcPr>
                  <w:tcW w:w="407" w:type="pct"/>
                  <w:tcBorders>
                    <w:top w:val="single" w:color="000000" w:sz="4" w:space="0"/>
                    <w:left w:val="single" w:color="000000" w:sz="4" w:space="0"/>
                    <w:bottom w:val="single" w:color="000000" w:sz="4" w:space="0"/>
                    <w:right w:val="single" w:color="000000" w:sz="4" w:space="0"/>
                  </w:tcBorders>
                  <w:noWrap/>
                  <w:vAlign w:val="center"/>
                </w:tcPr>
                <w:p w14:paraId="10630DFE">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YX16</w:t>
                  </w:r>
                </w:p>
              </w:tc>
              <w:tc>
                <w:tcPr>
                  <w:tcW w:w="526" w:type="pct"/>
                  <w:tcBorders>
                    <w:top w:val="single" w:color="000000" w:sz="4" w:space="0"/>
                    <w:left w:val="nil"/>
                    <w:bottom w:val="single" w:color="000000" w:sz="4" w:space="0"/>
                    <w:right w:val="single" w:color="000000" w:sz="4" w:space="0"/>
                  </w:tcBorders>
                  <w:noWrap/>
                  <w:vAlign w:val="center"/>
                </w:tcPr>
                <w:p w14:paraId="44FAE3B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102.233566</w:t>
                  </w:r>
                </w:p>
              </w:tc>
              <w:tc>
                <w:tcPr>
                  <w:tcW w:w="461" w:type="pct"/>
                  <w:tcBorders>
                    <w:top w:val="single" w:color="000000" w:sz="4" w:space="0"/>
                    <w:left w:val="nil"/>
                    <w:bottom w:val="single" w:color="000000" w:sz="4" w:space="0"/>
                    <w:right w:val="single" w:color="000000" w:sz="4" w:space="0"/>
                  </w:tcBorders>
                  <w:noWrap/>
                  <w:vAlign w:val="center"/>
                </w:tcPr>
                <w:p w14:paraId="7633991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29.91199792</w:t>
                  </w:r>
                </w:p>
              </w:tc>
              <w:tc>
                <w:tcPr>
                  <w:tcW w:w="556" w:type="pct"/>
                  <w:tcBorders>
                    <w:top w:val="single" w:color="000000" w:sz="4" w:space="0"/>
                    <w:left w:val="nil"/>
                    <w:bottom w:val="single" w:color="000000" w:sz="4" w:space="0"/>
                    <w:right w:val="single" w:color="000000" w:sz="4" w:space="0"/>
                  </w:tcBorders>
                  <w:noWrap/>
                  <w:vAlign w:val="center"/>
                </w:tcPr>
                <w:p w14:paraId="35EB5D7D">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102.238202</w:t>
                  </w:r>
                </w:p>
              </w:tc>
              <w:tc>
                <w:tcPr>
                  <w:tcW w:w="550" w:type="pct"/>
                  <w:tcBorders>
                    <w:top w:val="single" w:color="000000" w:sz="4" w:space="0"/>
                    <w:left w:val="nil"/>
                    <w:bottom w:val="single" w:color="000000" w:sz="4" w:space="0"/>
                    <w:right w:val="single" w:color="000000" w:sz="4" w:space="0"/>
                  </w:tcBorders>
                  <w:noWrap/>
                  <w:vAlign w:val="center"/>
                </w:tcPr>
                <w:p w14:paraId="6926267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29.91066221</w:t>
                  </w:r>
                </w:p>
              </w:tc>
              <w:tc>
                <w:tcPr>
                  <w:tcW w:w="414" w:type="pct"/>
                  <w:tcBorders>
                    <w:top w:val="single" w:color="000000" w:sz="4" w:space="0"/>
                    <w:left w:val="nil"/>
                    <w:bottom w:val="single" w:color="000000" w:sz="4" w:space="0"/>
                    <w:right w:val="single" w:color="000000" w:sz="4" w:space="0"/>
                  </w:tcBorders>
                  <w:noWrap/>
                  <w:vAlign w:val="center"/>
                </w:tcPr>
                <w:p w14:paraId="693C7B9C">
                  <w:pPr>
                    <w:widowControl w:val="0"/>
                    <w:spacing w:line="240" w:lineRule="exact"/>
                    <w:jc w:val="center"/>
                    <w:rPr>
                      <w:rFonts w:hint="default" w:ascii="Times New Roman" w:hAnsi="Times New Roman" w:eastAsia="宋体" w:cs="Times New Roman"/>
                      <w:color w:val="000000" w:themeColor="text1"/>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480</w:t>
                  </w:r>
                </w:p>
              </w:tc>
              <w:tc>
                <w:tcPr>
                  <w:tcW w:w="367" w:type="pct"/>
                  <w:tcBorders>
                    <w:top w:val="single" w:color="000000" w:sz="4" w:space="0"/>
                    <w:left w:val="nil"/>
                    <w:bottom w:val="single" w:color="000000" w:sz="4" w:space="0"/>
                    <w:right w:val="single" w:color="000000" w:sz="4" w:space="0"/>
                  </w:tcBorders>
                  <w:noWrap/>
                  <w:vAlign w:val="center"/>
                </w:tcPr>
                <w:p w14:paraId="5C3FBA1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1361</w:t>
                  </w:r>
                </w:p>
              </w:tc>
              <w:tc>
                <w:tcPr>
                  <w:tcW w:w="508" w:type="pct"/>
                  <w:tcBorders>
                    <w:top w:val="single" w:color="000000" w:sz="4" w:space="0"/>
                    <w:left w:val="nil"/>
                    <w:bottom w:val="single" w:color="000000" w:sz="4" w:space="0"/>
                    <w:right w:val="single" w:color="000000" w:sz="4" w:space="0"/>
                  </w:tcBorders>
                  <w:noWrap/>
                  <w:vAlign w:val="center"/>
                </w:tcPr>
                <w:p w14:paraId="3D3CDA7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1480</w:t>
                  </w:r>
                </w:p>
              </w:tc>
              <w:tc>
                <w:tcPr>
                  <w:tcW w:w="1207" w:type="pct"/>
                  <w:tcBorders>
                    <w:top w:val="single" w:color="000000" w:sz="4" w:space="0"/>
                    <w:left w:val="nil"/>
                    <w:bottom w:val="single" w:color="000000" w:sz="4" w:space="0"/>
                    <w:right w:val="single" w:color="000000" w:sz="4" w:space="0"/>
                  </w:tcBorders>
                  <w:noWrap/>
                  <w:vAlign w:val="center"/>
                </w:tcPr>
                <w:p w14:paraId="79ACD611">
                  <w:pPr>
                    <w:widowControl w:val="0"/>
                    <w:spacing w:line="240" w:lineRule="exact"/>
                    <w:jc w:val="center"/>
                    <w:rPr>
                      <w:rFonts w:hint="eastAsia" w:ascii="Times New Roman" w:hAnsi="Times New Roman" w:eastAsia="宋体" w:cs="Times New Roman"/>
                      <w:color w:val="000000" w:themeColor="text1"/>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森林</w:t>
                  </w:r>
                  <w:r>
                    <w:rPr>
                      <w:rFonts w:hint="eastAsia" w:ascii="Times New Roman" w:hAnsi="Times New Roman" w:eastAsia="宋体" w:cs="Times New Roman"/>
                      <w:color w:val="000000" w:themeColor="text1"/>
                      <w:sz w:val="21"/>
                      <w:szCs w:val="21"/>
                      <w:lang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eastAsia="zh-CN" w:bidi="ar"/>
                      <w14:textFill>
                        <w14:solidFill>
                          <w14:schemeClr w14:val="tx1"/>
                        </w14:solidFill>
                      </w14:textFill>
                    </w:rPr>
                    <w:t>灌丛</w:t>
                  </w:r>
                </w:p>
              </w:tc>
            </w:tr>
          </w:tbl>
          <w:p w14:paraId="1284157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③植被类型的划分方法</w:t>
            </w:r>
          </w:p>
          <w:p w14:paraId="7037D4CF">
            <w:pPr>
              <w:keepNext w:val="0"/>
              <w:keepLines w:val="0"/>
              <w:pageBreakBefore w:val="0"/>
              <w:widowControl w:val="0"/>
              <w:kinsoku/>
              <w:wordWrap/>
              <w:overflowPunct/>
              <w:topLinePunct w:val="0"/>
              <w:autoSpaceDE/>
              <w:autoSpaceDN/>
              <w:bidi w:val="0"/>
              <w:adjustRightInd w:val="0"/>
              <w:snapToGrid w:val="0"/>
              <w:spacing w:line="360" w:lineRule="auto"/>
              <w:ind w:firstLine="424" w:firstLineChars="177"/>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评价区内植被类型的划分按照《四川植被》分类系统及划分方法，进行植被类型的划分，包括植物型组、植被型、群系组和群系（相当于群落类型）四个层次。将建群种生活型相近、群落的外貌形态相似的植物群落归为植被型组；第二级为植被型，将建群种生活型相同或近似，对温度、水分条件生态关系一致的植物群落归为植被型，同一植被型具有相似的区系组成、结构、形态外貌、生态特点及动态演变历史；第三级为群系组，在植被型内根据建群种的亲缘关系（同属或者相近属），生活型或生境近似划分群系组；第四级为群系，将建群种或共建群种相同的植物群落的联合为群系。本次植被类型的划分主要是根据样方调查数据分析的基础上，按照上述原则逐级划分评价区内的植被类型，直至群系（相当于群落类型）水平。</w:t>
            </w:r>
          </w:p>
          <w:p w14:paraId="28EC08F4">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cs="Times New Roman"/>
                <w:b/>
                <w:bCs/>
                <w:color w:val="000000" w:themeColor="text1"/>
                <w:sz w:val="24"/>
                <w:szCs w:val="24"/>
                <w:highlight w:val="none"/>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4.3.2生态现状调查结果</w:t>
            </w:r>
          </w:p>
          <w:p w14:paraId="26396B0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kern w:val="0"/>
                <w:sz w:val="24"/>
                <w14:textFill>
                  <w14:solidFill>
                    <w14:schemeClr w14:val="tx1"/>
                  </w14:solidFill>
                </w14:textFill>
              </w:rPr>
            </w:pPr>
            <w:r>
              <w:rPr>
                <w:rFonts w:hint="eastAsia" w:ascii="Times New Roman" w:hAnsi="Times New Roman" w:cs="Times New Roman"/>
                <w:color w:val="000000" w:themeColor="text1"/>
                <w:kern w:val="0"/>
                <w:sz w:val="24"/>
                <w:lang w:val="en-US" w:eastAsia="zh-CN"/>
                <w14:textFill>
                  <w14:solidFill>
                    <w14:schemeClr w14:val="tx1"/>
                  </w14:solidFill>
                </w14:textFill>
              </w:rPr>
              <w:t>涉及商业机密，不予公示</w:t>
            </w:r>
            <w:r>
              <w:rPr>
                <w:rFonts w:hint="default" w:ascii="Times New Roman" w:hAnsi="Times New Roman" w:cs="Times New Roman"/>
                <w:color w:val="000000" w:themeColor="text1"/>
                <w:kern w:val="0"/>
                <w:sz w:val="24"/>
                <w14:textFill>
                  <w14:solidFill>
                    <w14:schemeClr w14:val="tx1"/>
                  </w14:solidFill>
                </w14:textFill>
              </w:rPr>
              <w:t>。</w:t>
            </w:r>
          </w:p>
          <w:p w14:paraId="4E67B107">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14:textFill>
                  <w14:solidFill>
                    <w14:schemeClr w14:val="tx1"/>
                  </w14:solidFill>
                </w14:textFill>
              </w:rPr>
              <w:t>4.3.2.5</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水生生态现状</w:t>
            </w:r>
          </w:p>
          <w:p w14:paraId="2002C99F">
            <w:pPr>
              <w:widowControl w:val="0"/>
              <w:autoSpaceDE w:val="0"/>
              <w:autoSpaceDN w:val="0"/>
              <w:adjustRightInd w:val="0"/>
              <w:snapToGrid w:val="0"/>
              <w:spacing w:line="360" w:lineRule="auto"/>
              <w:ind w:firstLine="480" w:firstLineChars="200"/>
              <w:jc w:val="both"/>
              <w:rPr>
                <w:rFonts w:ascii="Times New Roman" w:hAnsi="Times New Roman" w:eastAsia="宋体" w:cs="Times New Roman"/>
                <w:color w:val="000000" w:themeColor="text1"/>
                <w:kern w:val="2"/>
                <w:sz w:val="24"/>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4"/>
                <w:szCs w:val="21"/>
                <w:lang w:val="en-US" w:eastAsia="zh-CN" w:bidi="ar-SA"/>
                <w14:textFill>
                  <w14:solidFill>
                    <w14:schemeClr w14:val="tx1"/>
                  </w14:solidFill>
                </w14:textFill>
              </w:rPr>
              <w:t>本次水生生物调查来源于</w:t>
            </w:r>
            <w:r>
              <w:rPr>
                <w:rFonts w:hint="eastAsia" w:ascii="Times New Roman" w:hAnsi="Times New Roman" w:eastAsia="宋体" w:cs="Times New Roman"/>
                <w:color w:val="000000" w:themeColor="text1"/>
                <w:kern w:val="2"/>
                <w:sz w:val="24"/>
                <w:szCs w:val="21"/>
                <w:lang w:val="en-US" w:eastAsia="zh-CN" w:bidi="ar-SA"/>
                <w14:textFill>
                  <w14:solidFill>
                    <w14:schemeClr w14:val="tx1"/>
                  </w14:solidFill>
                </w14:textFill>
              </w:rPr>
              <w:t>成都禾绿环保科技有限公司</w:t>
            </w:r>
            <w:r>
              <w:rPr>
                <w:rFonts w:ascii="Times New Roman" w:hAnsi="Times New Roman" w:eastAsia="宋体" w:cs="Times New Roman"/>
                <w:color w:val="000000" w:themeColor="text1"/>
                <w:kern w:val="2"/>
                <w:sz w:val="24"/>
                <w:szCs w:val="21"/>
                <w:lang w:val="en-US" w:eastAsia="zh-CN" w:bidi="ar-SA"/>
                <w14:textFill>
                  <w14:solidFill>
                    <w14:schemeClr w14:val="tx1"/>
                  </w14:solidFill>
                </w14:textFill>
              </w:rPr>
              <w:t>编制的《</w:t>
            </w:r>
            <w:r>
              <w:rPr>
                <w:rFonts w:hint="eastAsia" w:ascii="Times New Roman" w:hAnsi="Times New Roman" w:eastAsia="宋体" w:cs="Times New Roman"/>
                <w:color w:val="000000" w:themeColor="text1"/>
                <w:kern w:val="2"/>
                <w:sz w:val="24"/>
                <w:szCs w:val="21"/>
                <w:lang w:val="en-US" w:eastAsia="zh-CN" w:bidi="ar-SA"/>
                <w14:textFill>
                  <w14:solidFill>
                    <w14:schemeClr w14:val="tx1"/>
                  </w14:solidFill>
                </w14:textFill>
              </w:rPr>
              <w:t>泸定县城区自来水厂备用水源取水工程对水生生物影响评价专题报告</w:t>
            </w:r>
            <w:r>
              <w:rPr>
                <w:rFonts w:ascii="Times New Roman" w:hAnsi="Times New Roman" w:eastAsia="宋体" w:cs="Times New Roman"/>
                <w:color w:val="000000" w:themeColor="text1"/>
                <w:kern w:val="2"/>
                <w:sz w:val="24"/>
                <w:szCs w:val="21"/>
                <w:lang w:val="en-US" w:eastAsia="zh-CN" w:bidi="ar-SA"/>
                <w14:textFill>
                  <w14:solidFill>
                    <w14:schemeClr w14:val="tx1"/>
                  </w14:solidFill>
                </w14:textFill>
              </w:rPr>
              <w:t>》（以下简称“</w:t>
            </w:r>
            <w:r>
              <w:rPr>
                <w:rFonts w:hint="eastAsia" w:ascii="Times New Roman" w:hAnsi="Times New Roman" w:eastAsia="宋体" w:cs="Times New Roman"/>
                <w:color w:val="000000" w:themeColor="text1"/>
                <w:kern w:val="2"/>
                <w:sz w:val="24"/>
                <w:szCs w:val="21"/>
                <w:lang w:val="en-US" w:eastAsia="zh-CN" w:bidi="ar-SA"/>
                <w14:textFill>
                  <w14:solidFill>
                    <w14:schemeClr w14:val="tx1"/>
                  </w14:solidFill>
                </w14:textFill>
              </w:rPr>
              <w:t>专题报告</w:t>
            </w:r>
            <w:r>
              <w:rPr>
                <w:rFonts w:ascii="Times New Roman" w:hAnsi="Times New Roman" w:eastAsia="宋体" w:cs="Times New Roman"/>
                <w:color w:val="000000" w:themeColor="text1"/>
                <w:kern w:val="2"/>
                <w:sz w:val="24"/>
                <w:szCs w:val="21"/>
                <w:lang w:val="en-US" w:eastAsia="zh-CN" w:bidi="ar-SA"/>
                <w14:textFill>
                  <w14:solidFill>
                    <w14:schemeClr w14:val="tx1"/>
                  </w14:solidFill>
                </w14:textFill>
              </w:rPr>
              <w:t>”）中的调查结果。</w:t>
            </w:r>
          </w:p>
          <w:p w14:paraId="181460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ascii="Times New Roman" w:hAnsi="Times New Roman" w:cs="Times New Roman"/>
                <w:b w:val="0"/>
                <w:bCs w:val="0"/>
                <w:color w:val="000000" w:themeColor="text1"/>
                <w:sz w:val="24"/>
                <w:lang w:val="en-US" w:eastAsia="zh-CN"/>
                <w14:textFill>
                  <w14:solidFill>
                    <w14:schemeClr w14:val="tx1"/>
                  </w14:solidFill>
                </w14:textFill>
              </w:rPr>
              <w:t>1、径流特性</w:t>
            </w:r>
          </w:p>
          <w:p w14:paraId="6947A6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ascii="Times New Roman" w:hAnsi="Times New Roman" w:cs="Times New Roman"/>
                <w:b w:val="0"/>
                <w:bCs w:val="0"/>
                <w:color w:val="000000" w:themeColor="text1"/>
                <w:sz w:val="24"/>
                <w:lang w:val="en-US" w:eastAsia="zh-CN"/>
                <w14:textFill>
                  <w14:solidFill>
                    <w14:schemeClr w14:val="tx1"/>
                  </w14:solidFill>
                </w14:textFill>
              </w:rPr>
              <w:t>大渡河流域上游为冬冷夏凉、全年少雨的高原山地气候、年降水量500－750mm、以降雪为主、积雪期可达5个月。其余地区属季风气候、一般具冬暖、夏热、湿润多雨的特征、年降水量1000mm、泸定、石棉右岸地区1200-1500mm、下游部分地区可到1400-1900mm。暴雨多集中于中、下游地区的5-9月、7、8两月尤为突出。</w:t>
            </w:r>
          </w:p>
          <w:p w14:paraId="7CB9BF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ascii="Times New Roman" w:hAnsi="Times New Roman" w:cs="Times New Roman"/>
                <w:b w:val="0"/>
                <w:bCs w:val="0"/>
                <w:color w:val="000000" w:themeColor="text1"/>
                <w:sz w:val="24"/>
                <w:lang w:val="en-US" w:eastAsia="zh-CN"/>
                <w14:textFill>
                  <w14:solidFill>
                    <w14:schemeClr w14:val="tx1"/>
                  </w14:solidFill>
                </w14:textFill>
              </w:rPr>
              <w:t>河川径流主要来自降水。下游福禄镇水文站45年统计多年平均流量1500m3/s。有较丰富的地下水和冰雪融水补给（约占总量的20%）调节、径流变化较小。福禄镇、年内最大月（7月）水量为最小月（2月）水量的8.8倍、年径流的变差系数不足0.10、最大年平均流量1820m³/s（1938）为最小年平均流量1170m³/s（1973）的1.5倍。</w:t>
            </w:r>
          </w:p>
          <w:p w14:paraId="7D00D4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ascii="Times New Roman" w:hAnsi="Times New Roman" w:cs="Times New Roman"/>
                <w:b w:val="0"/>
                <w:bCs w:val="0"/>
                <w:color w:val="000000" w:themeColor="text1"/>
                <w:sz w:val="24"/>
                <w:lang w:val="en-US" w:eastAsia="zh-CN"/>
                <w14:textFill>
                  <w14:solidFill>
                    <w14:schemeClr w14:val="tx1"/>
                  </w14:solidFill>
                </w14:textFill>
              </w:rPr>
              <w:t>大渡河水系呈羽毛状分布、径流主要由降雨形成、部分为融雪补给。由于流域面积大、植被良好、上游第四纪覆盖层利于下渗和滞流、径流年际变化不大、年内分配比较均匀、洪枯水量差别不大。据下游福禄镇、水文站观测资料统计、多年平均流量1510m³/s、多年平均径流量473亿m³、径流模数相当于黄河的十倍、年平均径流量也超过黄河。丰水年的年水量达627亿m³、为多年平均的1.32倍、最枯年份的水量也有356亿m³、占多年平均值的0.75%。</w:t>
            </w:r>
          </w:p>
          <w:p w14:paraId="23E8CE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ascii="Times New Roman" w:hAnsi="Times New Roman" w:cs="Times New Roman"/>
                <w:b w:val="0"/>
                <w:bCs w:val="0"/>
                <w:color w:val="000000" w:themeColor="text1"/>
                <w:sz w:val="24"/>
                <w:lang w:val="en-US" w:eastAsia="zh-CN"/>
                <w14:textFill>
                  <w14:solidFill>
                    <w14:schemeClr w14:val="tx1"/>
                  </w14:solidFill>
                </w14:textFill>
              </w:rPr>
              <w:t>五里沟为大渡河左岸一级支流，发源于照璧山，大体自东向西流，于泸定水电站上游约1km处注入大渡河。全流域面积38.1km²，河道长度10.42km。</w:t>
            </w:r>
          </w:p>
          <w:p w14:paraId="18CDB2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lang w:val="en-US" w:eastAsia="zh-CN"/>
                <w14:textFill>
                  <w14:solidFill>
                    <w14:schemeClr w14:val="tx1"/>
                  </w14:solidFill>
                </w14:textFill>
              </w:rPr>
            </w:pPr>
            <w:r>
              <w:rPr>
                <w:rFonts w:hint="eastAsia" w:ascii="Times New Roman" w:hAnsi="Times New Roman" w:cs="Times New Roman"/>
                <w:b w:val="0"/>
                <w:bCs w:val="0"/>
                <w:color w:val="000000" w:themeColor="text1"/>
                <w:sz w:val="24"/>
                <w:lang w:val="en-US" w:eastAsia="zh-CN"/>
                <w14:textFill>
                  <w14:solidFill>
                    <w14:schemeClr w14:val="tx1"/>
                  </w14:solidFill>
                </w14:textFill>
              </w:rPr>
              <w:t>工程区径流主要是由降雨及融雪补给,径流量的年际年内变化与降水融雪相应。年径流量呈丰枯水交替变化，丰枯水年的年径流相差也较大，根据附近流域泸定水文站资料，径流年内分配不均，5～10月为丰水期，其多年平均水量占全年水量的81.3%，12～翌年4月为少水期，多年平均水量占全年水量18.7%，最枯期12～3月占全年水量的7%。年内最枯月径流一般出现在1～2月。</w:t>
            </w:r>
          </w:p>
          <w:p w14:paraId="34E92C92">
            <w:pPr>
              <w:widowControl w:val="0"/>
              <w:autoSpaceDE w:val="0"/>
              <w:autoSpaceDN w:val="0"/>
              <w:adjustRightInd w:val="0"/>
              <w:snapToGrid w:val="0"/>
              <w:spacing w:line="360" w:lineRule="auto"/>
              <w:ind w:firstLine="482" w:firstLineChars="200"/>
              <w:jc w:val="both"/>
              <w:rPr>
                <w:rFonts w:hint="default" w:ascii="Times New Roman" w:hAnsi="Times New Roman" w:eastAsia="宋体" w:cs="Times New Roman"/>
                <w:b/>
                <w:bCs/>
                <w:color w:val="000000" w:themeColor="text1"/>
                <w:kern w:val="2"/>
                <w:sz w:val="24"/>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1"/>
                <w:lang w:val="en-US" w:eastAsia="zh-CN" w:bidi="ar-SA"/>
                <w14:textFill>
                  <w14:solidFill>
                    <w14:schemeClr w14:val="tx1"/>
                  </w14:solidFill>
                </w14:textFill>
              </w:rPr>
              <w:t>2、调查点位、时间及调查范围</w:t>
            </w:r>
          </w:p>
          <w:p w14:paraId="28DBA57F">
            <w:pPr>
              <w:widowControl w:val="0"/>
              <w:autoSpaceDE w:val="0"/>
              <w:autoSpaceDN w:val="0"/>
              <w:adjustRightInd w:val="0"/>
              <w:snapToGrid w:val="0"/>
              <w:spacing w:line="360" w:lineRule="auto"/>
              <w:ind w:firstLine="482" w:firstLineChars="200"/>
              <w:jc w:val="both"/>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1"/>
                <w:lang w:val="en-US" w:eastAsia="zh-CN" w:bidi="ar-SA"/>
                <w14:textFill>
                  <w14:solidFill>
                    <w14:schemeClr w14:val="tx1"/>
                  </w14:solidFill>
                </w14:textFill>
              </w:rPr>
              <w:t>调查时间：</w:t>
            </w:r>
            <w:r>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t>2026年8月14日-202</w:t>
            </w:r>
            <w:r>
              <w:rPr>
                <w:rFonts w:hint="eastAsia" w:ascii="Times New Roman" w:hAnsi="Times New Roman" w:cs="Times New Roman"/>
                <w:color w:val="000000" w:themeColor="text1"/>
                <w:kern w:val="2"/>
                <w:sz w:val="24"/>
                <w:szCs w:val="21"/>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4"/>
                <w:szCs w:val="21"/>
                <w:lang w:val="en-US" w:eastAsia="zh-CN" w:bidi="ar-SA"/>
                <w14:textFill>
                  <w14:solidFill>
                    <w14:schemeClr w14:val="tx1"/>
                  </w14:solidFill>
                </w14:textFill>
              </w:rPr>
              <w:t>年8月17日</w:t>
            </w:r>
          </w:p>
          <w:p w14:paraId="3D678BF8">
            <w:pPr>
              <w:widowControl w:val="0"/>
              <w:autoSpaceDE w:val="0"/>
              <w:autoSpaceDN w:val="0"/>
              <w:adjustRightInd w:val="0"/>
              <w:snapToGrid w:val="0"/>
              <w:spacing w:line="360" w:lineRule="auto"/>
              <w:ind w:firstLine="482" w:firstLineChars="200"/>
              <w:jc w:val="both"/>
              <w:rPr>
                <w:rFonts w:hint="default" w:ascii="Times New Roman" w:hAnsi="Times New Roman" w:eastAsia="宋体" w:cs="Times New Roman"/>
                <w:b w:val="0"/>
                <w:bCs w:val="0"/>
                <w:color w:val="000000" w:themeColor="text1"/>
                <w:kern w:val="2"/>
                <w:sz w:val="24"/>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1"/>
                <w:lang w:val="en-US" w:eastAsia="zh-CN" w:bidi="ar-SA"/>
                <w14:textFill>
                  <w14:solidFill>
                    <w14:schemeClr w14:val="tx1"/>
                  </w14:solidFill>
                </w14:textFill>
              </w:rPr>
              <w:t>调查范围：</w:t>
            </w:r>
            <w:r>
              <w:rPr>
                <w:rFonts w:hint="default" w:ascii="Times New Roman" w:hAnsi="Times New Roman" w:eastAsia="宋体" w:cs="Times New Roman"/>
                <w:b w:val="0"/>
                <w:bCs w:val="0"/>
                <w:color w:val="000000" w:themeColor="text1"/>
                <w:kern w:val="2"/>
                <w:sz w:val="24"/>
                <w:szCs w:val="21"/>
                <w:lang w:val="en-US" w:eastAsia="zh-CN" w:bidi="ar-SA"/>
                <w14:textFill>
                  <w14:solidFill>
                    <w14:schemeClr w14:val="tx1"/>
                  </w14:solidFill>
                </w14:textFill>
              </w:rPr>
              <w:t>结合泸定县城区自来水厂备用水源取水工程新建项目所在的河流特性及涉水工程现状，将泸定县城区自来水厂备用水源取水工程新建取水口所在的五里沟上游1km河段，到下游2.3km，共计3.3km河段作为本次的评价范围。</w:t>
            </w:r>
          </w:p>
          <w:p w14:paraId="3920AC27">
            <w:pPr>
              <w:widowControl w:val="0"/>
              <w:autoSpaceDE w:val="0"/>
              <w:autoSpaceDN w:val="0"/>
              <w:adjustRightInd w:val="0"/>
              <w:snapToGrid w:val="0"/>
              <w:spacing w:line="360" w:lineRule="auto"/>
              <w:ind w:firstLine="482" w:firstLineChars="200"/>
              <w:jc w:val="both"/>
              <w:rPr>
                <w:rFonts w:hint="default" w:ascii="Times New Roman" w:hAnsi="Times New Roman" w:eastAsia="宋体" w:cs="Times New Roman"/>
                <w:b w:val="0"/>
                <w:bCs w:val="0"/>
                <w:color w:val="000000" w:themeColor="text1"/>
                <w:kern w:val="2"/>
                <w:sz w:val="24"/>
                <w:szCs w:val="21"/>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1"/>
                <w:lang w:val="en-US" w:eastAsia="zh-CN" w:bidi="ar-SA"/>
                <w14:textFill>
                  <w14:solidFill>
                    <w14:schemeClr w14:val="tx1"/>
                  </w14:solidFill>
                </w14:textFill>
              </w:rPr>
              <w:t>调查点位：</w:t>
            </w:r>
            <w:r>
              <w:rPr>
                <w:rFonts w:hint="default" w:ascii="Times New Roman" w:hAnsi="Times New Roman" w:eastAsia="宋体" w:cs="Times New Roman"/>
                <w:b w:val="0"/>
                <w:bCs w:val="0"/>
                <w:color w:val="000000" w:themeColor="text1"/>
                <w:kern w:val="2"/>
                <w:sz w:val="24"/>
                <w:szCs w:val="21"/>
                <w:lang w:val="en-US" w:eastAsia="zh-CN" w:bidi="ar-SA"/>
                <w14:textFill>
                  <w14:solidFill>
                    <w14:schemeClr w14:val="tx1"/>
                  </w14:solidFill>
                </w14:textFill>
              </w:rPr>
              <w:t>根据泸定县城区自来水厂备用水源取水工程影响河段水域的形态特点、水文条件和水生生物特性等，为满足样品的代表性和可比性，保证达到必要性的精度和满足统计学样品数，我们在工程建设河段的评价范围内共设置了3个水生生物采样点，分别为五里沟取水口上游0.8km、工程取水口和取水口下游1.2km，各点设置及基本情况见下表，具体调查点位示意图见附图3。</w:t>
            </w:r>
          </w:p>
          <w:p w14:paraId="00D2B15B">
            <w:pPr>
              <w:pStyle w:val="155"/>
              <w:numPr>
                <w:ilvl w:val="0"/>
                <w:numId w:val="19"/>
              </w:numPr>
              <w:spacing w:line="240" w:lineRule="auto"/>
              <w:ind w:firstLineChars="0"/>
              <w:jc w:val="center"/>
              <w:rPr>
                <w:rFonts w:ascii="Times New Roman" w:hAnsi="Times New Roman"/>
                <w:b/>
                <w:color w:val="000000" w:themeColor="text1"/>
                <w:szCs w:val="21"/>
                <w14:textFill>
                  <w14:solidFill>
                    <w14:schemeClr w14:val="tx1"/>
                  </w14:solidFill>
                </w14:textFill>
              </w:rPr>
            </w:pPr>
            <w:r>
              <w:rPr>
                <w:rFonts w:hint="eastAsia" w:ascii="Times New Roman" w:hAnsi="Times New Roman"/>
                <w:b/>
                <w:color w:val="000000" w:themeColor="text1"/>
                <w:szCs w:val="21"/>
                <w:lang w:val="en-US" w:eastAsia="zh-CN"/>
                <w14:textFill>
                  <w14:solidFill>
                    <w14:schemeClr w14:val="tx1"/>
                  </w14:solidFill>
                </w14:textFill>
              </w:rPr>
              <w:t>水生生物采样点一览表</w:t>
            </w:r>
          </w:p>
          <w:tbl>
            <w:tblPr>
              <w:tblStyle w:val="5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2"/>
              <w:gridCol w:w="2835"/>
              <w:gridCol w:w="3061"/>
              <w:gridCol w:w="1545"/>
            </w:tblGrid>
            <w:tr w14:paraId="2D03C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7" w:type="pct"/>
                  <w:vAlign w:val="center"/>
                </w:tcPr>
                <w:p w14:paraId="06C98F3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序号</w:t>
                  </w:r>
                </w:p>
              </w:tc>
              <w:tc>
                <w:tcPr>
                  <w:tcW w:w="1753" w:type="pct"/>
                  <w:vAlign w:val="center"/>
                </w:tcPr>
                <w:p w14:paraId="70B979D9">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调查河段</w:t>
                  </w:r>
                </w:p>
              </w:tc>
              <w:tc>
                <w:tcPr>
                  <w:tcW w:w="1893" w:type="pct"/>
                  <w:vAlign w:val="center"/>
                </w:tcPr>
                <w:p w14:paraId="4206BA0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GPS 位点信息</w:t>
                  </w:r>
                </w:p>
              </w:tc>
              <w:tc>
                <w:tcPr>
                  <w:tcW w:w="955" w:type="pct"/>
                  <w:vAlign w:val="center"/>
                </w:tcPr>
                <w:p w14:paraId="1C3ED0E0">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海拔</w:t>
                  </w:r>
                </w:p>
              </w:tc>
            </w:tr>
            <w:tr w14:paraId="474D2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7" w:type="pct"/>
                  <w:vAlign w:val="center"/>
                </w:tcPr>
                <w:p w14:paraId="619103DE">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w:t>
                  </w:r>
                </w:p>
              </w:tc>
              <w:tc>
                <w:tcPr>
                  <w:tcW w:w="1753" w:type="pct"/>
                  <w:vAlign w:val="center"/>
                </w:tcPr>
                <w:p w14:paraId="71FBFCD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五里沟取水口上游0.8km</w:t>
                  </w:r>
                </w:p>
              </w:tc>
              <w:tc>
                <w:tcPr>
                  <w:tcW w:w="1893" w:type="pct"/>
                  <w:vAlign w:val="center"/>
                </w:tcPr>
                <w:p w14:paraId="0F76FDF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E102°15'07.15"</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N29°57'00.90"</w:t>
                  </w:r>
                </w:p>
              </w:tc>
              <w:tc>
                <w:tcPr>
                  <w:tcW w:w="955" w:type="pct"/>
                  <w:vAlign w:val="center"/>
                </w:tcPr>
                <w:p w14:paraId="3813258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1781米</w:t>
                  </w:r>
                </w:p>
              </w:tc>
            </w:tr>
            <w:tr w14:paraId="35232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7" w:type="pct"/>
                  <w:vAlign w:val="center"/>
                </w:tcPr>
                <w:p w14:paraId="175C81FC">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2</w:t>
                  </w:r>
                </w:p>
              </w:tc>
              <w:tc>
                <w:tcPr>
                  <w:tcW w:w="1753" w:type="pct"/>
                  <w:vAlign w:val="center"/>
                </w:tcPr>
                <w:p w14:paraId="60F73264">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五里沟工程取水口</w:t>
                  </w:r>
                </w:p>
              </w:tc>
              <w:tc>
                <w:tcPr>
                  <w:tcW w:w="1893" w:type="pct"/>
                  <w:vAlign w:val="center"/>
                </w:tcPr>
                <w:p w14:paraId="41A2A2FB">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E102°1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4</w:t>
                  </w: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8</w:t>
                  </w: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32</w:t>
                  </w: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N29°57'00.</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95</w:t>
                  </w: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w:t>
                  </w:r>
                </w:p>
              </w:tc>
              <w:tc>
                <w:tcPr>
                  <w:tcW w:w="955" w:type="pct"/>
                  <w:vAlign w:val="center"/>
                </w:tcPr>
                <w:p w14:paraId="6D8B0B7A">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1721米</w:t>
                  </w:r>
                </w:p>
              </w:tc>
            </w:tr>
            <w:tr w14:paraId="61413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97" w:type="pct"/>
                  <w:vAlign w:val="center"/>
                </w:tcPr>
                <w:p w14:paraId="189A6ECF">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3</w:t>
                  </w:r>
                </w:p>
              </w:tc>
              <w:tc>
                <w:tcPr>
                  <w:tcW w:w="1753" w:type="pct"/>
                  <w:vAlign w:val="center"/>
                </w:tcPr>
                <w:p w14:paraId="20564596">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五里沟取水口下游1.2km</w:t>
                  </w:r>
                </w:p>
              </w:tc>
              <w:tc>
                <w:tcPr>
                  <w:tcW w:w="1893" w:type="pct"/>
                  <w:vAlign w:val="center"/>
                </w:tcPr>
                <w:p w14:paraId="2CA0D5E7">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E102°13'38.01"</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t>N29°57'10.00"</w:t>
                  </w:r>
                </w:p>
              </w:tc>
              <w:tc>
                <w:tcPr>
                  <w:tcW w:w="955" w:type="pct"/>
                  <w:vAlign w:val="center"/>
                </w:tcPr>
                <w:p w14:paraId="253B0715">
                  <w:pPr>
                    <w:widowControl w:val="0"/>
                    <w:spacing w:line="240" w:lineRule="exact"/>
                    <w:jc w:val="center"/>
                    <w:rPr>
                      <w:rFonts w:hint="default" w:ascii="Times New Roman" w:hAnsi="Times New Roman" w:eastAsia="宋体" w:cs="Times New Roman"/>
                      <w:color w:val="000000" w:themeColor="text1"/>
                      <w:sz w:val="21"/>
                      <w:szCs w:val="21"/>
                      <w:lang w:val="en-US" w:eastAsia="zh-CN" w:bidi="ar"/>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1677米</w:t>
                  </w:r>
                </w:p>
              </w:tc>
            </w:tr>
          </w:tbl>
          <w:p w14:paraId="6B4147E4">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both"/>
              <w:textAlignment w:val="auto"/>
              <w:rPr>
                <w:color w:val="000000" w:themeColor="text1"/>
                <w14:textFill>
                  <w14:solidFill>
                    <w14:schemeClr w14:val="tx1"/>
                  </w14:solidFill>
                </w14:textFill>
              </w:rPr>
            </w:pPr>
          </w:p>
          <w:p w14:paraId="7B46264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147945" cy="3425825"/>
                  <wp:effectExtent l="0" t="0" r="14605" b="3175"/>
                  <wp:docPr id="13582323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32303" name="图片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5147945" cy="3425825"/>
                          </a:xfrm>
                          <a:prstGeom prst="rect">
                            <a:avLst/>
                          </a:prstGeom>
                          <a:noFill/>
                        </pic:spPr>
                      </pic:pic>
                    </a:graphicData>
                  </a:graphic>
                </wp:inline>
              </w:drawing>
            </w:r>
          </w:p>
          <w:p w14:paraId="4CC091D4">
            <w:pPr>
              <w:pStyle w:val="438"/>
              <w:spacing w:line="240" w:lineRule="auto"/>
              <w:ind w:firstLine="422"/>
              <w:jc w:val="center"/>
              <w:rPr>
                <w:rFonts w:hint="default" w:ascii="Times New Roman" w:hAnsi="Times New Roman" w:cs="Times New Roman"/>
                <w:b/>
                <w:bCs/>
                <w:color w:val="000000" w:themeColor="text1"/>
                <w:sz w:val="21"/>
                <w:szCs w:val="21"/>
                <w14:textFill>
                  <w14:solidFill>
                    <w14:schemeClr w14:val="tx1"/>
                  </w14:solidFill>
                </w14:textFill>
              </w:rPr>
            </w:pPr>
            <w:r>
              <w:rPr>
                <w:rFonts w:hint="eastAsia" w:ascii="Times New Roman" w:hAnsi="Times New Roman" w:cs="Times New Roman"/>
                <w:b/>
                <w:bCs/>
                <w:color w:val="000000" w:themeColor="text1"/>
                <w:kern w:val="2"/>
                <w:sz w:val="21"/>
                <w:szCs w:val="21"/>
                <w:lang w:val="en-US" w:eastAsia="zh-CN" w:bidi="ar-SA"/>
                <w14:textFill>
                  <w14:solidFill>
                    <w14:schemeClr w14:val="tx1"/>
                  </w14:solidFill>
                </w14:textFill>
              </w:rPr>
              <w:t>图3-2</w:t>
            </w:r>
            <w:r>
              <w:rPr>
                <w:rFonts w:hint="default" w:ascii="Times New Roman" w:hAnsi="Times New Roman" w:cs="Times New Roman"/>
                <w:b/>
                <w:bCs/>
                <w:color w:val="000000" w:themeColor="text1"/>
                <w:sz w:val="21"/>
                <w:szCs w:val="21"/>
                <w14:textFill>
                  <w14:solidFill>
                    <w14:schemeClr w14:val="tx1"/>
                  </w14:solidFill>
                </w14:textFill>
              </w:rPr>
              <w:t>水生调查点位分布图</w:t>
            </w:r>
          </w:p>
          <w:p w14:paraId="0D1916F3">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cs="Times New Roman"/>
                <w:b/>
                <w:bCs/>
                <w:color w:val="000000" w:themeColor="text1"/>
                <w:kern w:val="2"/>
                <w:sz w:val="24"/>
                <w:szCs w:val="24"/>
                <w:lang w:val="en-US" w:eastAsia="zh-CN" w:bidi="ar-SA"/>
                <w14:textFill>
                  <w14:solidFill>
                    <w14:schemeClr w14:val="tx1"/>
                  </w14:solidFill>
                </w14:textFill>
              </w:rPr>
              <w:t>3</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、水域生态现状调查结果</w:t>
            </w:r>
          </w:p>
          <w:p w14:paraId="0E8CEE53">
            <w:pPr>
              <w:pStyle w:val="16"/>
              <w:spacing w:line="360" w:lineRule="auto"/>
              <w:ind w:firstLine="482"/>
              <w:rPr>
                <w:rFonts w:hint="default" w:ascii="Times New Roman" w:hAnsi="Times New Roman" w:cs="Times New Roman"/>
                <w:b/>
                <w:bCs/>
                <w:color w:val="000000" w:themeColor="text1"/>
                <w:sz w:val="24"/>
                <w:szCs w:val="24"/>
                <w14:textFill>
                  <w14:solidFill>
                    <w14:schemeClr w14:val="tx1"/>
                  </w14:solidFill>
                </w14:textFill>
              </w:rPr>
            </w:pPr>
            <w:bookmarkStart w:id="101" w:name="_Toc22099"/>
            <w:r>
              <w:rPr>
                <w:rFonts w:hint="eastAsia" w:ascii="Times New Roman" w:hAnsi="Times New Roman" w:cs="Times New Roman"/>
                <w:color w:val="000000" w:themeColor="text1"/>
                <w:kern w:val="0"/>
                <w:sz w:val="24"/>
                <w:lang w:val="en-US" w:eastAsia="zh-CN"/>
                <w14:textFill>
                  <w14:solidFill>
                    <w14:schemeClr w14:val="tx1"/>
                  </w14:solidFill>
                </w14:textFill>
              </w:rPr>
              <w:t>涉及商业机密，不予公示</w:t>
            </w:r>
            <w:r>
              <w:rPr>
                <w:rFonts w:hint="default" w:ascii="Times New Roman" w:hAnsi="Times New Roman" w:cs="Times New Roman"/>
                <w:color w:val="000000" w:themeColor="text1"/>
                <w:kern w:val="0"/>
                <w:sz w:val="24"/>
                <w14:textFill>
                  <w14:solidFill>
                    <w14:schemeClr w14:val="tx1"/>
                  </w14:solidFill>
                </w14:textFill>
              </w:rPr>
              <w:t>。</w:t>
            </w:r>
          </w:p>
          <w:p w14:paraId="50469860">
            <w:pPr>
              <w:pStyle w:val="16"/>
              <w:spacing w:line="360" w:lineRule="auto"/>
              <w:ind w:firstLine="482"/>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4.3.2.</w:t>
            </w:r>
            <w:r>
              <w:rPr>
                <w:rFonts w:hint="default" w:ascii="Times New Roman" w:hAnsi="Times New Roman" w:cs="Times New Roman"/>
                <w:b/>
                <w:bCs/>
                <w:color w:val="000000" w:themeColor="text1"/>
                <w:sz w:val="24"/>
                <w:szCs w:val="24"/>
                <w:lang w:val="en-US" w:eastAsia="zh-CN"/>
                <w14:textFill>
                  <w14:solidFill>
                    <w14:schemeClr w14:val="tx1"/>
                  </w14:solidFill>
                </w14:textFill>
              </w:rPr>
              <w:t>7生态现状综合小结</w:t>
            </w:r>
          </w:p>
          <w:bookmarkEnd w:id="101"/>
          <w:p w14:paraId="03229694">
            <w:pPr>
              <w:pStyle w:val="16"/>
              <w:numPr>
                <w:ilvl w:val="0"/>
                <w:numId w:val="20"/>
              </w:numPr>
              <w:bidi w:val="0"/>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依据全国土地利用现状调查技术规程、</w:t>
            </w:r>
            <w:r>
              <w:rPr>
                <w:rFonts w:hint="default" w:ascii="Times New Roman" w:hAnsi="Times New Roman" w:eastAsia="宋体" w:cs="Times New Roman"/>
                <w:color w:val="000000" w:themeColor="text1"/>
                <w:sz w:val="24"/>
                <w:szCs w:val="24"/>
                <w:lang w:eastAsia="zh-CN"/>
                <w14:textFill>
                  <w14:solidFill>
                    <w14:schemeClr w14:val="tx1"/>
                  </w14:solidFill>
                </w14:textFill>
              </w:rPr>
              <w:t>泸定县</w:t>
            </w:r>
            <w:r>
              <w:rPr>
                <w:rFonts w:hint="default" w:ascii="Times New Roman" w:hAnsi="Times New Roman" w:eastAsia="宋体" w:cs="Times New Roman"/>
                <w:color w:val="000000" w:themeColor="text1"/>
                <w:sz w:val="24"/>
                <w:szCs w:val="24"/>
                <w14:textFill>
                  <w14:solidFill>
                    <w14:schemeClr w14:val="tx1"/>
                  </w14:solidFill>
                </w14:textFill>
              </w:rPr>
              <w:t>国土变更调查、全国土地利用现状分类系统（GB/T21010-2017），评价区土地总面积</w:t>
            </w:r>
            <w:r>
              <w:rPr>
                <w:rFonts w:hint="default" w:ascii="Times New Roman" w:hAnsi="Times New Roman" w:eastAsia="宋体" w:cs="Times New Roman"/>
                <w:color w:val="000000" w:themeColor="text1"/>
                <w:sz w:val="24"/>
                <w:szCs w:val="24"/>
                <w:lang w:eastAsia="zh-CN"/>
                <w14:textFill>
                  <w14:solidFill>
                    <w14:schemeClr w14:val="tx1"/>
                  </w14:solidFill>
                </w14:textFill>
              </w:rPr>
              <w:t>1139.79</w:t>
            </w:r>
            <w:r>
              <w:rPr>
                <w:rFonts w:hint="default" w:ascii="Times New Roman" w:hAnsi="Times New Roman" w:eastAsia="宋体" w:cs="Times New Roman"/>
                <w:color w:val="000000" w:themeColor="text1"/>
                <w:sz w:val="24"/>
                <w:szCs w:val="24"/>
                <w14:textFill>
                  <w14:solidFill>
                    <w14:schemeClr w14:val="tx1"/>
                  </w14:solidFill>
                </w14:textFill>
              </w:rPr>
              <w:t>hm²。林地面积</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753.96</w:t>
            </w:r>
            <w:r>
              <w:rPr>
                <w:rFonts w:hint="default" w:ascii="Times New Roman" w:hAnsi="Times New Roman" w:eastAsia="宋体" w:cs="Times New Roman"/>
                <w:color w:val="000000" w:themeColor="text1"/>
                <w:sz w:val="24"/>
                <w:szCs w:val="24"/>
                <w14:textFill>
                  <w14:solidFill>
                    <w14:schemeClr w14:val="tx1"/>
                  </w14:solidFill>
                </w14:textFill>
              </w:rPr>
              <w:t>m²，占评价区总面积的6</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15</w:t>
            </w:r>
            <w:r>
              <w:rPr>
                <w:rFonts w:hint="default" w:ascii="Times New Roman" w:hAnsi="Times New Roman" w:eastAsia="宋体" w:cs="Times New Roman"/>
                <w:color w:val="000000" w:themeColor="text1"/>
                <w:sz w:val="24"/>
                <w:szCs w:val="24"/>
                <w14:textFill>
                  <w14:solidFill>
                    <w14:schemeClr w14:val="tx1"/>
                  </w14:solidFill>
                </w14:textFill>
              </w:rPr>
              <w:t>%；水域及水利设施用地面积</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154.99</w:t>
            </w:r>
            <w:r>
              <w:rPr>
                <w:rFonts w:hint="default" w:ascii="Times New Roman" w:hAnsi="Times New Roman" w:eastAsia="宋体" w:cs="Times New Roman"/>
                <w:color w:val="000000" w:themeColor="text1"/>
                <w:sz w:val="24"/>
                <w:szCs w:val="24"/>
                <w14:textFill>
                  <w14:solidFill>
                    <w14:schemeClr w14:val="tx1"/>
                  </w14:solidFill>
                </w14:textFill>
              </w:rPr>
              <w:t>hm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，占评价区总面积的</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13.6</w:t>
            </w:r>
            <w:r>
              <w:rPr>
                <w:rFonts w:hint="default" w:ascii="Times New Roman" w:hAnsi="Times New Roman" w:eastAsia="宋体" w:cs="Times New Roman"/>
                <w:color w:val="000000" w:themeColor="text1"/>
                <w:sz w:val="24"/>
                <w:szCs w:val="24"/>
                <w14:textFill>
                  <w14:solidFill>
                    <w14:schemeClr w14:val="tx1"/>
                  </w14:solidFill>
                </w14:textFill>
              </w:rPr>
              <w:t>%，其他土地类型占比均较小</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14:paraId="0FB0DE97">
            <w:pPr>
              <w:numPr>
                <w:ilvl w:val="0"/>
                <w:numId w:val="20"/>
              </w:numPr>
              <w:adjustRightInd w:val="0"/>
              <w:spacing w:line="360" w:lineRule="auto"/>
              <w:ind w:left="0" w:leftChars="0"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根据实地调查、标本采集鉴定和资料查询，统计评价区共有维管束植物</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73</w:t>
            </w:r>
            <w:r>
              <w:rPr>
                <w:rFonts w:hint="default" w:ascii="Times New Roman" w:hAnsi="Times New Roman" w:eastAsia="宋体" w:cs="Times New Roman"/>
                <w:color w:val="000000" w:themeColor="text1"/>
                <w:sz w:val="24"/>
                <w:szCs w:val="24"/>
                <w14:textFill>
                  <w14:solidFill>
                    <w14:schemeClr w14:val="tx1"/>
                  </w14:solidFill>
                </w14:textFill>
              </w:rPr>
              <w:t>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255</w:t>
            </w:r>
            <w:r>
              <w:rPr>
                <w:rFonts w:hint="default" w:ascii="Times New Roman" w:hAnsi="Times New Roman" w:eastAsia="宋体" w:cs="Times New Roman"/>
                <w:color w:val="000000" w:themeColor="text1"/>
                <w:sz w:val="24"/>
                <w:szCs w:val="24"/>
                <w:lang w:eastAsia="zh-CN"/>
                <w14:textFill>
                  <w14:solidFill>
                    <w14:schemeClr w14:val="tx1"/>
                  </w14:solidFill>
                </w14:textFill>
              </w:rPr>
              <w:t>属</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436</w:t>
            </w:r>
            <w:r>
              <w:rPr>
                <w:rFonts w:hint="default" w:ascii="Times New Roman" w:hAnsi="Times New Roman" w:eastAsia="宋体" w:cs="Times New Roman"/>
                <w:color w:val="000000" w:themeColor="text1"/>
                <w:sz w:val="24"/>
                <w:szCs w:val="24"/>
                <w14:textFill>
                  <w14:solidFill>
                    <w14:schemeClr w14:val="tx1"/>
                  </w14:solidFill>
                </w14:textFill>
              </w:rPr>
              <w:t>种，其中蕨类植物有1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15</w:t>
            </w:r>
            <w:r>
              <w:rPr>
                <w:rFonts w:hint="default" w:ascii="Times New Roman" w:hAnsi="Times New Roman" w:eastAsia="宋体" w:cs="Times New Roman"/>
                <w:color w:val="000000" w:themeColor="text1"/>
                <w:sz w:val="24"/>
                <w:szCs w:val="24"/>
                <w14:textFill>
                  <w14:solidFill>
                    <w14:schemeClr w14:val="tx1"/>
                  </w14:solidFill>
                </w14:textFill>
              </w:rPr>
              <w:t>属</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29</w:t>
            </w:r>
            <w:r>
              <w:rPr>
                <w:rFonts w:hint="default" w:ascii="Times New Roman" w:hAnsi="Times New Roman" w:eastAsia="宋体" w:cs="Times New Roman"/>
                <w:color w:val="000000" w:themeColor="text1"/>
                <w:sz w:val="24"/>
                <w:szCs w:val="24"/>
                <w14:textFill>
                  <w14:solidFill>
                    <w14:schemeClr w14:val="tx1"/>
                  </w14:solidFill>
                </w14:textFill>
              </w:rPr>
              <w:t>种，</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裸子植物1</w:t>
            </w:r>
            <w:r>
              <w:rPr>
                <w:rFonts w:hint="default" w:ascii="Times New Roman" w:hAnsi="Times New Roman" w:eastAsia="宋体" w:cs="Times New Roman"/>
                <w:color w:val="000000" w:themeColor="text1"/>
                <w:sz w:val="24"/>
                <w:szCs w:val="24"/>
                <w14:textFill>
                  <w14:solidFill>
                    <w14:schemeClr w14:val="tx1"/>
                  </w14:solidFill>
                </w14:textFill>
              </w:rPr>
              <w:t>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属</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种，被子植物有</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60</w:t>
            </w:r>
            <w:r>
              <w:rPr>
                <w:rFonts w:hint="default" w:ascii="Times New Roman" w:hAnsi="Times New Roman" w:eastAsia="宋体" w:cs="Times New Roman"/>
                <w:color w:val="000000" w:themeColor="text1"/>
                <w:sz w:val="24"/>
                <w:szCs w:val="24"/>
                <w14:textFill>
                  <w14:solidFill>
                    <w14:schemeClr w14:val="tx1"/>
                  </w14:solidFill>
                </w14:textFill>
              </w:rPr>
              <w:t>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241</w:t>
            </w:r>
            <w:r>
              <w:rPr>
                <w:rFonts w:hint="default" w:ascii="Times New Roman" w:hAnsi="Times New Roman" w:eastAsia="宋体" w:cs="Times New Roman"/>
                <w:color w:val="000000" w:themeColor="text1"/>
                <w:sz w:val="24"/>
                <w:szCs w:val="24"/>
                <w14:textFill>
                  <w14:solidFill>
                    <w14:schemeClr w14:val="tx1"/>
                  </w14:solidFill>
                </w14:textFill>
              </w:rPr>
              <w:t>属</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405</w:t>
            </w:r>
            <w:r>
              <w:rPr>
                <w:rFonts w:hint="default" w:ascii="Times New Roman" w:hAnsi="Times New Roman" w:eastAsia="宋体" w:cs="Times New Roman"/>
                <w:color w:val="000000" w:themeColor="text1"/>
                <w:sz w:val="24"/>
                <w:szCs w:val="24"/>
                <w14:textFill>
                  <w14:solidFill>
                    <w14:schemeClr w14:val="tx1"/>
                  </w14:solidFill>
                </w14:textFill>
              </w:rPr>
              <w:t>种。</w:t>
            </w:r>
          </w:p>
          <w:p w14:paraId="423EAF08">
            <w:pPr>
              <w:adjustRightInd w:val="0"/>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根据调查访问结合资料文献，此次评价区内</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436</w:t>
            </w:r>
            <w:r>
              <w:rPr>
                <w:rFonts w:hint="default" w:ascii="Times New Roman" w:hAnsi="Times New Roman" w:eastAsia="宋体" w:cs="Times New Roman"/>
                <w:color w:val="000000" w:themeColor="text1"/>
                <w:sz w:val="24"/>
                <w:szCs w:val="24"/>
                <w14:textFill>
                  <w14:solidFill>
                    <w14:schemeClr w14:val="tx1"/>
                  </w14:solidFill>
                </w14:textFill>
              </w:rPr>
              <w:t>种维管束植物中共有</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136种</w:t>
            </w:r>
            <w:r>
              <w:rPr>
                <w:rFonts w:hint="default" w:ascii="Times New Roman" w:hAnsi="Times New Roman" w:eastAsia="宋体" w:cs="Times New Roman"/>
                <w:color w:val="000000" w:themeColor="text1"/>
                <w:sz w:val="24"/>
                <w:szCs w:val="24"/>
                <w14:textFill>
                  <w14:solidFill>
                    <w14:schemeClr w14:val="tx1"/>
                  </w14:solidFill>
                </w14:textFill>
              </w:rPr>
              <w:t>中国特有种，评价区内</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无</w:t>
            </w:r>
            <w:r>
              <w:rPr>
                <w:rFonts w:hint="default" w:ascii="Times New Roman" w:hAnsi="Times New Roman" w:eastAsia="宋体" w:cs="Times New Roman"/>
                <w:color w:val="000000" w:themeColor="text1"/>
                <w:sz w:val="24"/>
                <w:szCs w:val="24"/>
                <w14:textFill>
                  <w14:solidFill>
                    <w14:schemeClr w14:val="tx1"/>
                  </w14:solidFill>
                </w14:textFill>
              </w:rPr>
              <w:t>易危</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濒危和极危植物分布，</w:t>
            </w:r>
            <w:r>
              <w:rPr>
                <w:rFonts w:hint="default" w:ascii="Times New Roman" w:hAnsi="Times New Roman" w:eastAsia="宋体" w:cs="Times New Roman"/>
                <w:color w:val="000000" w:themeColor="text1"/>
                <w:sz w:val="24"/>
                <w:szCs w:val="24"/>
                <w14:textFill>
                  <w14:solidFill>
                    <w14:schemeClr w14:val="tx1"/>
                  </w14:solidFill>
                </w14:textFill>
              </w:rPr>
              <w:t>无极小种群野生植物，无古树名木分布。</w:t>
            </w:r>
          </w:p>
          <w:p w14:paraId="34BD1F5C">
            <w:pPr>
              <w:pStyle w:val="16"/>
              <w:bidi w:val="0"/>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根据调查，本项目永久、临时占地工程中大部分重要野生植物均未被工程占用，仅有小部分特有种植物被占用，比如</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多</w:t>
            </w:r>
            <w:r>
              <w:rPr>
                <w:rFonts w:hint="default" w:ascii="Times New Roman" w:hAnsi="Times New Roman" w:eastAsia="宋体" w:cs="Times New Roman"/>
                <w:color w:val="000000" w:themeColor="text1"/>
                <w:sz w:val="24"/>
                <w:szCs w:val="24"/>
                <w14:textFill>
                  <w14:solidFill>
                    <w14:schemeClr w14:val="tx1"/>
                  </w14:solidFill>
                </w14:textFill>
              </w:rPr>
              <w:t>花胡枝子、</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滇</w:t>
            </w:r>
            <w:r>
              <w:rPr>
                <w:rFonts w:hint="default" w:ascii="Times New Roman" w:hAnsi="Times New Roman" w:eastAsia="宋体" w:cs="Times New Roman"/>
                <w:color w:val="000000" w:themeColor="text1"/>
                <w:sz w:val="24"/>
                <w:szCs w:val="24"/>
                <w14:textFill>
                  <w14:solidFill>
                    <w14:schemeClr w14:val="tx1"/>
                  </w14:solidFill>
                </w14:textFill>
              </w:rPr>
              <w:t>青冈</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灌柳</w:t>
            </w:r>
            <w:r>
              <w:rPr>
                <w:rFonts w:hint="default" w:ascii="Times New Roman" w:hAnsi="Times New Roman" w:eastAsia="宋体" w:cs="Times New Roman"/>
                <w:color w:val="000000" w:themeColor="text1"/>
                <w:sz w:val="24"/>
                <w:szCs w:val="24"/>
                <w14:textFill>
                  <w14:solidFill>
                    <w14:schemeClr w14:val="tx1"/>
                  </w14:solidFill>
                </w14:textFill>
              </w:rPr>
              <w:t>等。</w:t>
            </w:r>
          </w:p>
          <w:p w14:paraId="6C8B2E09">
            <w:pPr>
              <w:numPr>
                <w:ilvl w:val="0"/>
                <w:numId w:val="20"/>
              </w:numPr>
              <w:spacing w:line="360" w:lineRule="auto"/>
              <w:ind w:left="0" w:leftChars="0" w:firstLine="480" w:firstLineChars="200"/>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经统计分析，评价区域内有</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陆生</w:t>
            </w:r>
            <w:r>
              <w:rPr>
                <w:rFonts w:hint="default" w:ascii="Times New Roman" w:hAnsi="Times New Roman" w:eastAsia="宋体" w:cs="Times New Roman"/>
                <w:color w:val="000000" w:themeColor="text1"/>
                <w:sz w:val="24"/>
                <w:szCs w:val="24"/>
                <w14:textFill>
                  <w14:solidFill>
                    <w14:schemeClr w14:val="tx1"/>
                  </w14:solidFill>
                </w14:textFill>
              </w:rPr>
              <w:t>脊椎动物</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纲</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14</w:t>
            </w:r>
            <w:r>
              <w:rPr>
                <w:rFonts w:hint="default" w:ascii="Times New Roman" w:hAnsi="Times New Roman" w:eastAsia="宋体" w:cs="Times New Roman"/>
                <w:color w:val="000000" w:themeColor="text1"/>
                <w:sz w:val="24"/>
                <w:szCs w:val="24"/>
                <w14:textFill>
                  <w14:solidFill>
                    <w14:schemeClr w14:val="tx1"/>
                  </w14:solidFill>
                </w14:textFill>
              </w:rPr>
              <w:t>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36</w:t>
            </w:r>
            <w:r>
              <w:rPr>
                <w:rFonts w:hint="default" w:ascii="Times New Roman" w:hAnsi="Times New Roman" w:eastAsia="宋体" w:cs="Times New Roman"/>
                <w:color w:val="000000" w:themeColor="text1"/>
                <w:sz w:val="24"/>
                <w:szCs w:val="24"/>
                <w14:textFill>
                  <w14:solidFill>
                    <w14:schemeClr w14:val="tx1"/>
                  </w14:solidFill>
                </w14:textFill>
              </w:rPr>
              <w:t>科</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75</w:t>
            </w:r>
            <w:r>
              <w:rPr>
                <w:rFonts w:hint="default" w:ascii="Times New Roman" w:hAnsi="Times New Roman" w:eastAsia="宋体" w:cs="Times New Roman"/>
                <w:color w:val="000000" w:themeColor="text1"/>
                <w:sz w:val="24"/>
                <w:szCs w:val="24"/>
                <w14:textFill>
                  <w14:solidFill>
                    <w14:schemeClr w14:val="tx1"/>
                  </w14:solidFill>
                </w14:textFill>
              </w:rPr>
              <w:t>种。根据调查，</w:t>
            </w:r>
            <w:r>
              <w:rPr>
                <w:rFonts w:hint="default" w:ascii="Times New Roman" w:hAnsi="Times New Roman" w:eastAsia="宋体" w:cs="Times New Roman"/>
                <w:color w:val="000000" w:themeColor="text1"/>
                <w:kern w:val="0"/>
                <w:sz w:val="24"/>
                <w:szCs w:val="24"/>
                <w14:textFill>
                  <w14:solidFill>
                    <w14:schemeClr w14:val="tx1"/>
                  </w14:solidFill>
                </w14:textFill>
              </w:rPr>
              <w:t>评价区分布有国家二级重点保护</w:t>
            </w:r>
            <w:r>
              <w:rPr>
                <w:rFonts w:hint="default" w:ascii="Times New Roman" w:hAnsi="Times New Roman" w:eastAsia="宋体" w:cs="Times New Roman"/>
                <w:color w:val="000000" w:themeColor="text1"/>
                <w:kern w:val="0"/>
                <w:sz w:val="24"/>
                <w:szCs w:val="24"/>
                <w:lang w:val="en-US" w:eastAsia="zh-CN"/>
                <w14:textFill>
                  <w14:solidFill>
                    <w14:schemeClr w14:val="tx1"/>
                  </w14:solidFill>
                </w14:textFill>
              </w:rPr>
              <w:t>鸟类两种，分别为红隼和白腹锦鸡，国家二级重点保护</w:t>
            </w:r>
            <w:r>
              <w:rPr>
                <w:rFonts w:hint="default" w:ascii="Times New Roman" w:hAnsi="Times New Roman" w:eastAsia="宋体" w:cs="Times New Roman"/>
                <w:color w:val="000000" w:themeColor="text1"/>
                <w:kern w:val="0"/>
                <w:sz w:val="24"/>
                <w:szCs w:val="24"/>
                <w14:textFill>
                  <w14:solidFill>
                    <w14:schemeClr w14:val="tx1"/>
                  </w14:solidFill>
                </w14:textFill>
              </w:rPr>
              <w:t>兽类2种，分别为黑熊和豹猫，无四川省级重点保护陆生野生动物分布</w:t>
            </w:r>
            <w:r>
              <w:rPr>
                <w:rFonts w:hint="default" w:ascii="Times New Roman" w:hAnsi="Times New Roman" w:eastAsia="宋体" w:cs="Times New Roman"/>
                <w:color w:val="000000" w:themeColor="text1"/>
                <w:kern w:val="0"/>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评价区内无极危（CR）动物分布，分布有易危（VU）爬行动物</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种，分别为王锦蛇、黑眉锦蛇</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分布有</w:t>
            </w:r>
            <w:r>
              <w:rPr>
                <w:rFonts w:hint="default" w:ascii="Times New Roman" w:hAnsi="Times New Roman" w:eastAsia="宋体" w:cs="Times New Roman"/>
                <w:color w:val="000000" w:themeColor="text1"/>
                <w:sz w:val="24"/>
                <w:szCs w:val="24"/>
                <w14:textFill>
                  <w14:solidFill>
                    <w14:schemeClr w14:val="tx1"/>
                  </w14:solidFill>
                </w14:textFill>
              </w:rPr>
              <w:t>易危（VU）兽类黑熊</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评价区分</w:t>
            </w:r>
            <w:r>
              <w:rPr>
                <w:rFonts w:hint="default" w:ascii="Times New Roman" w:hAnsi="Times New Roman" w:eastAsia="宋体" w:cs="Times New Roman"/>
                <w:color w:val="000000" w:themeColor="text1"/>
                <w:sz w:val="24"/>
                <w:szCs w:val="24"/>
                <w:lang w:eastAsia="zh-CN"/>
                <w14:textFill>
                  <w14:solidFill>
                    <w14:schemeClr w14:val="tx1"/>
                  </w14:solidFill>
                </w14:textFill>
              </w:rPr>
              <w:t>布有</w:t>
            </w:r>
            <w:r>
              <w:rPr>
                <w:rFonts w:hint="default" w:ascii="Times New Roman" w:hAnsi="Times New Roman" w:eastAsia="宋体" w:cs="Times New Roman"/>
                <w:color w:val="000000" w:themeColor="text1"/>
                <w:sz w:val="24"/>
                <w:szCs w:val="24"/>
                <w14:textFill>
                  <w14:solidFill>
                    <w14:schemeClr w14:val="tx1"/>
                  </w14:solidFill>
                </w14:textFill>
              </w:rPr>
              <w:t>中国特有</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两栖类3种，分别为华西蟾蜍、倭蛙和高原林蛙；</w:t>
            </w:r>
            <w:r>
              <w:rPr>
                <w:rFonts w:hint="default" w:ascii="Times New Roman" w:hAnsi="Times New Roman" w:eastAsia="宋体" w:cs="Times New Roman"/>
                <w:color w:val="000000" w:themeColor="text1"/>
                <w:sz w:val="24"/>
                <w:szCs w:val="24"/>
                <w14:textFill>
                  <w14:solidFill>
                    <w14:schemeClr w14:val="tx1"/>
                  </w14:solidFill>
                </w14:textFill>
              </w:rPr>
              <w:t>中国特有兽类</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种为岩松鼠、小麂</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川西</w:t>
            </w:r>
            <w:r>
              <w:rPr>
                <w:rFonts w:hint="default" w:ascii="Times New Roman" w:hAnsi="Times New Roman" w:eastAsia="宋体" w:cs="Times New Roman"/>
                <w:color w:val="000000" w:themeColor="text1"/>
                <w:sz w:val="24"/>
                <w:szCs w:val="24"/>
                <w:lang w:eastAsia="zh-CN"/>
                <w14:textFill>
                  <w14:solidFill>
                    <w14:schemeClr w14:val="tx1"/>
                  </w14:solidFill>
                </w14:textFill>
              </w:rPr>
              <w:t>白腹鼠、高山姬鼠。</w:t>
            </w:r>
          </w:p>
          <w:p w14:paraId="5AE74A6D">
            <w:pPr>
              <w:keepNext w:val="0"/>
              <w:keepLines w:val="0"/>
              <w:pageBreakBefore w:val="0"/>
              <w:widowControl w:val="0"/>
              <w:numPr>
                <w:ilvl w:val="0"/>
                <w:numId w:val="20"/>
              </w:numPr>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highlight w:val="none"/>
                <w14:textFill>
                  <w14:solidFill>
                    <w14:schemeClr w14:val="tx1"/>
                  </w14:solidFill>
                </w14:textFill>
              </w:rPr>
              <w:t>工程影响调查评价水域内采集到浮游</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植物3门9科13属24种</w:t>
            </w:r>
            <w:r>
              <w:rPr>
                <w:rFonts w:hint="default" w:ascii="Times New Roman" w:hAnsi="Times New Roman" w:eastAsia="宋体" w:cs="Times New Roman"/>
                <w:b w:val="0"/>
                <w:bCs w:val="0"/>
                <w:color w:val="000000" w:themeColor="text1"/>
                <w:sz w:val="24"/>
                <w:highlight w:val="none"/>
                <w14:textFill>
                  <w14:solidFill>
                    <w14:schemeClr w14:val="tx1"/>
                  </w14:solidFill>
                </w14:textFill>
              </w:rPr>
              <w:t>，浮游动物3门6科6属7种，着生藻类2门11科12属16种，底栖动物1门2目3科3属3种。</w:t>
            </w:r>
          </w:p>
          <w:p w14:paraId="6920939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textAlignment w:val="auto"/>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5、地下水</w:t>
            </w:r>
          </w:p>
          <w:p w14:paraId="21CA45B2">
            <w:pPr>
              <w:spacing w:line="360" w:lineRule="auto"/>
              <w:ind w:firstLine="480"/>
              <w:rPr>
                <w:rFonts w:hint="default" w:ascii="Times New Roman" w:hAnsi="Times New Roman" w:eastAsia="宋体" w:cs="Times New Roman"/>
                <w:i/>
                <w:iCs/>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根据《建设项目环境影响报告表编制技术指南》（污染影响类）（试行）的要求：</w:t>
            </w:r>
            <w:r>
              <w:rPr>
                <w:rFonts w:hint="default" w:ascii="Times New Roman" w:hAnsi="Times New Roman" w:eastAsia="宋体" w:cs="Times New Roman"/>
                <w:i/>
                <w:iCs/>
                <w:color w:val="000000" w:themeColor="text1"/>
                <w:sz w:val="24"/>
                <w14:textFill>
                  <w14:solidFill>
                    <w14:schemeClr w14:val="tx1"/>
                  </w14:solidFill>
                </w14:textFill>
              </w:rPr>
              <w:t>原则上不开展环境质量现状调查。建设项目存在土壤、地下水环境污染途径的，应结合污染源、保护目标分布情况开展现状调查以留作背景值。</w:t>
            </w:r>
          </w:p>
          <w:p w14:paraId="67E08897">
            <w:pPr>
              <w:spacing w:line="360" w:lineRule="auto"/>
              <w:ind w:firstLine="48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w:t>
            </w:r>
            <w:r>
              <w:rPr>
                <w:rFonts w:hint="default" w:ascii="Times New Roman" w:hAnsi="Times New Roman" w:eastAsia="宋体" w:cs="Times New Roman"/>
                <w:color w:val="000000" w:themeColor="text1"/>
                <w:sz w:val="24"/>
                <w:lang w:val="en-US" w:eastAsia="zh-CN"/>
                <w14:textFill>
                  <w14:solidFill>
                    <w14:schemeClr w14:val="tx1"/>
                  </w14:solidFill>
                </w14:textFill>
              </w:rPr>
              <w:t>不存在污染地下水的途径，因此不</w:t>
            </w:r>
            <w:r>
              <w:rPr>
                <w:rFonts w:hint="default" w:ascii="Times New Roman" w:hAnsi="Times New Roman" w:eastAsia="宋体" w:cs="Times New Roman"/>
                <w:color w:val="000000" w:themeColor="text1"/>
                <w:sz w:val="24"/>
                <w14:textFill>
                  <w14:solidFill>
                    <w14:schemeClr w14:val="tx1"/>
                  </w14:solidFill>
                </w14:textFill>
              </w:rPr>
              <w:t>开展地下水现状调查。</w:t>
            </w:r>
          </w:p>
          <w:p w14:paraId="6897F04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textAlignment w:val="auto"/>
              <w:rPr>
                <w:rFonts w:hint="default" w:ascii="Times New Roman" w:hAnsi="Times New Roman" w:eastAsia="宋体" w:cs="Times New Roman"/>
                <w:b/>
                <w:color w:val="000000" w:themeColor="text1"/>
                <w:sz w:val="24"/>
                <w:lang w:val="en-US" w:eastAsia="zh-CN"/>
                <w14:textFill>
                  <w14:solidFill>
                    <w14:schemeClr w14:val="tx1"/>
                  </w14:solidFill>
                </w14:textFill>
              </w:rPr>
            </w:pPr>
            <w:r>
              <w:rPr>
                <w:rFonts w:hint="default" w:ascii="Times New Roman" w:hAnsi="Times New Roman" w:eastAsia="宋体" w:cs="Times New Roman"/>
                <w:b/>
                <w:color w:val="000000" w:themeColor="text1"/>
                <w:sz w:val="24"/>
                <w:lang w:val="en-US" w:eastAsia="zh-CN"/>
                <w14:textFill>
                  <w14:solidFill>
                    <w14:schemeClr w14:val="tx1"/>
                  </w14:solidFill>
                </w14:textFill>
              </w:rPr>
              <w:t>6</w:t>
            </w:r>
            <w:r>
              <w:rPr>
                <w:rFonts w:hint="default" w:ascii="Times New Roman" w:hAnsi="Times New Roman" w:eastAsia="宋体" w:cs="Times New Roman"/>
                <w:b/>
                <w:color w:val="000000" w:themeColor="text1"/>
                <w:sz w:val="24"/>
                <w14:textFill>
                  <w14:solidFill>
                    <w14:schemeClr w14:val="tx1"/>
                  </w14:solidFill>
                </w14:textFill>
              </w:rPr>
              <w:t>、</w:t>
            </w:r>
            <w:r>
              <w:rPr>
                <w:rFonts w:hint="default" w:ascii="Times New Roman" w:hAnsi="Times New Roman" w:eastAsia="宋体" w:cs="Times New Roman"/>
                <w:b/>
                <w:color w:val="000000" w:themeColor="text1"/>
                <w:sz w:val="24"/>
                <w:lang w:val="en-US" w:eastAsia="zh-CN"/>
                <w14:textFill>
                  <w14:solidFill>
                    <w14:schemeClr w14:val="tx1"/>
                  </w14:solidFill>
                </w14:textFill>
              </w:rPr>
              <w:t>土壤</w:t>
            </w:r>
          </w:p>
          <w:p w14:paraId="27E9A34B">
            <w:pPr>
              <w:spacing w:line="360" w:lineRule="auto"/>
              <w:ind w:firstLine="480"/>
              <w:rPr>
                <w:rFonts w:hint="default" w:ascii="Times New Roman" w:hAnsi="Times New Roman" w:eastAsia="宋体" w:cs="Times New Roman"/>
                <w:i/>
                <w:iCs/>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根据《建设项目环境影响报告表编制技术指南》（污染影响类）（试行）的要求：</w:t>
            </w:r>
            <w:r>
              <w:rPr>
                <w:rFonts w:hint="default" w:ascii="Times New Roman" w:hAnsi="Times New Roman" w:eastAsia="宋体" w:cs="Times New Roman"/>
                <w:i/>
                <w:iCs/>
                <w:color w:val="000000" w:themeColor="text1"/>
                <w:sz w:val="24"/>
                <w14:textFill>
                  <w14:solidFill>
                    <w14:schemeClr w14:val="tx1"/>
                  </w14:solidFill>
                </w14:textFill>
              </w:rPr>
              <w:t>原则上不开展环境质量现状调查。建设项目存在土壤、地下水环境污染途径的，应结合污染源、保护目标分布情况开展现状调查以留作背景值。</w:t>
            </w:r>
          </w:p>
          <w:p w14:paraId="463D1B45">
            <w:pPr>
              <w:spacing w:line="360" w:lineRule="auto"/>
              <w:ind w:firstLine="480"/>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w:t>
            </w:r>
            <w:r>
              <w:rPr>
                <w:rFonts w:hint="default" w:ascii="Times New Roman" w:hAnsi="Times New Roman" w:eastAsia="宋体" w:cs="Times New Roman"/>
                <w:color w:val="000000" w:themeColor="text1"/>
                <w:sz w:val="24"/>
                <w:lang w:val="en-US" w:eastAsia="zh-CN"/>
                <w14:textFill>
                  <w14:solidFill>
                    <w14:schemeClr w14:val="tx1"/>
                  </w14:solidFill>
                </w14:textFill>
              </w:rPr>
              <w:t>不存在污染土壤的途径，因此不</w:t>
            </w:r>
            <w:r>
              <w:rPr>
                <w:rFonts w:hint="default" w:ascii="Times New Roman" w:hAnsi="Times New Roman" w:eastAsia="宋体" w:cs="Times New Roman"/>
                <w:color w:val="000000" w:themeColor="text1"/>
                <w:sz w:val="24"/>
                <w14:textFill>
                  <w14:solidFill>
                    <w14:schemeClr w14:val="tx1"/>
                  </w14:solidFill>
                </w14:textFill>
              </w:rPr>
              <w:t>开展</w:t>
            </w:r>
            <w:r>
              <w:rPr>
                <w:rFonts w:hint="default" w:ascii="Times New Roman" w:hAnsi="Times New Roman" w:eastAsia="宋体" w:cs="Times New Roman"/>
                <w:color w:val="000000" w:themeColor="text1"/>
                <w:sz w:val="24"/>
                <w:lang w:val="en-US" w:eastAsia="zh-CN"/>
                <w14:textFill>
                  <w14:solidFill>
                    <w14:schemeClr w14:val="tx1"/>
                  </w14:solidFill>
                </w14:textFill>
              </w:rPr>
              <w:t>土壤</w:t>
            </w:r>
            <w:r>
              <w:rPr>
                <w:rFonts w:hint="default" w:ascii="Times New Roman" w:hAnsi="Times New Roman" w:eastAsia="宋体" w:cs="Times New Roman"/>
                <w:color w:val="000000" w:themeColor="text1"/>
                <w:sz w:val="24"/>
                <w14:textFill>
                  <w14:solidFill>
                    <w14:schemeClr w14:val="tx1"/>
                  </w14:solidFill>
                </w14:textFill>
              </w:rPr>
              <w:t>现状调查。</w:t>
            </w:r>
          </w:p>
        </w:tc>
      </w:tr>
      <w:tr w14:paraId="70FC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vAlign w:val="center"/>
          </w:tcPr>
          <w:p w14:paraId="0BB35182">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环境</w:t>
            </w:r>
          </w:p>
          <w:p w14:paraId="794AA19E">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保护</w:t>
            </w:r>
          </w:p>
          <w:p w14:paraId="5C9B1990">
            <w:pPr>
              <w:spacing w:line="360" w:lineRule="auto"/>
              <w:rPr>
                <w:rFonts w:hint="default" w:ascii="Times New Roman" w:hAnsi="Times New Roman" w:eastAsia="宋体" w:cs="Times New Roman"/>
                <w:snapToGrid w:val="0"/>
                <w:color w:val="000000" w:themeColor="text1"/>
                <w:kern w:val="21"/>
                <w:sz w:val="36"/>
                <w:szCs w:val="36"/>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目标</w:t>
            </w:r>
          </w:p>
        </w:tc>
        <w:tc>
          <w:tcPr>
            <w:tcW w:w="4754" w:type="pct"/>
            <w:vAlign w:val="center"/>
          </w:tcPr>
          <w:p w14:paraId="5D635EA3">
            <w:pPr>
              <w:autoSpaceDE w:val="0"/>
              <w:autoSpaceDN w:val="0"/>
              <w:spacing w:line="360" w:lineRule="auto"/>
              <w:ind w:firstLine="482" w:firstLineChars="200"/>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1、大气环境</w:t>
            </w:r>
          </w:p>
          <w:p w14:paraId="48328601">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本次评价的大气环境保护目标为供、配水站厂界外及其供水、配水管线周边500m范围内的自然保护区、风景名胜区、居住区、文化区和农村地区中人群较集中的区域等，具体见下表。</w:t>
            </w:r>
          </w:p>
          <w:p w14:paraId="554BB8B1">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环境保护级别：不因本项目的实施而改变评价区域内环境空气质量，</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其中四川大熊猫栖息地世界自然遗产地、二郎山生态保护区满足</w:t>
            </w:r>
            <w:r>
              <w:rPr>
                <w:rFonts w:hint="default" w:ascii="Times New Roman" w:hAnsi="Times New Roman" w:eastAsia="宋体" w:cs="Times New Roman"/>
                <w:color w:val="000000" w:themeColor="text1"/>
                <w:sz w:val="24"/>
                <w:szCs w:val="24"/>
                <w14:textFill>
                  <w14:solidFill>
                    <w14:schemeClr w14:val="tx1"/>
                  </w14:solidFill>
                </w14:textFill>
              </w:rPr>
              <w:t>《环境空气质量标准》（</w:t>
            </w:r>
            <w:r>
              <w:rPr>
                <w:rFonts w:hint="default" w:ascii="Times New Roman" w:hAnsi="Times New Roman" w:eastAsia="宋体" w:cs="Times New Roman"/>
                <w:color w:val="000000" w:themeColor="text1"/>
                <w:sz w:val="24"/>
                <w:szCs w:val="24"/>
                <w:lang w:eastAsia="zh-CN"/>
                <w14:textFill>
                  <w14:solidFill>
                    <w14:schemeClr w14:val="tx1"/>
                  </w14:solidFill>
                </w14:textFill>
              </w:rPr>
              <w:t>GB3095-2026</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一级标准，其他</w:t>
            </w:r>
            <w:r>
              <w:rPr>
                <w:rFonts w:hint="default" w:ascii="Times New Roman" w:hAnsi="Times New Roman" w:eastAsia="宋体" w:cs="Times New Roman"/>
                <w:color w:val="000000" w:themeColor="text1"/>
                <w:sz w:val="24"/>
                <w:szCs w:val="24"/>
                <w14:textFill>
                  <w14:solidFill>
                    <w14:schemeClr w14:val="tx1"/>
                  </w14:solidFill>
                </w14:textFill>
              </w:rPr>
              <w:t>满足《环境空气质量标准》（</w:t>
            </w:r>
            <w:r>
              <w:rPr>
                <w:rFonts w:hint="default" w:ascii="Times New Roman" w:hAnsi="Times New Roman" w:eastAsia="宋体" w:cs="Times New Roman"/>
                <w:color w:val="000000" w:themeColor="text1"/>
                <w:sz w:val="24"/>
                <w:szCs w:val="24"/>
                <w:lang w:eastAsia="zh-CN"/>
                <w14:textFill>
                  <w14:solidFill>
                    <w14:schemeClr w14:val="tx1"/>
                  </w14:solidFill>
                </w14:textFill>
              </w:rPr>
              <w:t>GB3095-2026</w:t>
            </w:r>
            <w:r>
              <w:rPr>
                <w:rFonts w:hint="default" w:ascii="Times New Roman" w:hAnsi="Times New Roman" w:eastAsia="宋体" w:cs="Times New Roman"/>
                <w:color w:val="000000" w:themeColor="text1"/>
                <w:sz w:val="24"/>
                <w:szCs w:val="24"/>
                <w14:textFill>
                  <w14:solidFill>
                    <w14:schemeClr w14:val="tx1"/>
                  </w14:solidFill>
                </w14:textFill>
              </w:rPr>
              <w:t>）二级标准。</w:t>
            </w:r>
          </w:p>
          <w:p w14:paraId="7C69463B">
            <w:pPr>
              <w:pStyle w:val="155"/>
              <w:numPr>
                <w:ilvl w:val="0"/>
                <w:numId w:val="19"/>
              </w:numPr>
              <w:spacing w:line="240" w:lineRule="auto"/>
              <w:ind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本项目管线大气环境主要保护目标表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517"/>
              <w:gridCol w:w="1248"/>
              <w:gridCol w:w="1251"/>
              <w:gridCol w:w="940"/>
              <w:gridCol w:w="1084"/>
              <w:gridCol w:w="717"/>
              <w:gridCol w:w="544"/>
              <w:gridCol w:w="785"/>
            </w:tblGrid>
            <w:tr w14:paraId="5A99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Merge w:val="restart"/>
                  <w:vAlign w:val="center"/>
                </w:tcPr>
                <w:p w14:paraId="6DB847E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保护目标</w:t>
                  </w:r>
                </w:p>
                <w:p w14:paraId="56E8F287">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名称</w:t>
                  </w:r>
                </w:p>
              </w:tc>
              <w:tc>
                <w:tcPr>
                  <w:tcW w:w="1544" w:type="pct"/>
                  <w:gridSpan w:val="2"/>
                  <w:vAlign w:val="center"/>
                </w:tcPr>
                <w:p w14:paraId="5E15B4EF">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国家2000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经纬度坐标</w:t>
                  </w:r>
                </w:p>
              </w:tc>
              <w:tc>
                <w:tcPr>
                  <w:tcW w:w="581" w:type="pct"/>
                  <w:vMerge w:val="restart"/>
                  <w:vAlign w:val="center"/>
                </w:tcPr>
                <w:p w14:paraId="688AE412">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性质</w:t>
                  </w:r>
                </w:p>
              </w:tc>
              <w:tc>
                <w:tcPr>
                  <w:tcW w:w="670" w:type="pct"/>
                  <w:vMerge w:val="restart"/>
                  <w:vAlign w:val="center"/>
                </w:tcPr>
                <w:p w14:paraId="3FCB031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保护内容</w:t>
                  </w:r>
                </w:p>
              </w:tc>
              <w:tc>
                <w:tcPr>
                  <w:tcW w:w="443" w:type="pct"/>
                  <w:vMerge w:val="restart"/>
                  <w:vAlign w:val="center"/>
                </w:tcPr>
                <w:p w14:paraId="7D6289F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环境</w:t>
                  </w:r>
                </w:p>
                <w:p w14:paraId="01C792A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功能区</w:t>
                  </w:r>
                </w:p>
              </w:tc>
              <w:tc>
                <w:tcPr>
                  <w:tcW w:w="336" w:type="pct"/>
                  <w:vMerge w:val="restart"/>
                  <w:vAlign w:val="center"/>
                </w:tcPr>
                <w:p w14:paraId="37C7B0A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相对</w:t>
                  </w:r>
                </w:p>
                <w:p w14:paraId="02D1080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w:t>
                  </w:r>
                </w:p>
                <w:p w14:paraId="282DDD12">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方位</w:t>
                  </w:r>
                </w:p>
              </w:tc>
              <w:tc>
                <w:tcPr>
                  <w:tcW w:w="485" w:type="pct"/>
                  <w:vMerge w:val="restart"/>
                  <w:vAlign w:val="center"/>
                </w:tcPr>
                <w:p w14:paraId="0286BDE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距项目</w:t>
                  </w:r>
                </w:p>
                <w:p w14:paraId="06311B6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最近距</w:t>
                  </w:r>
                </w:p>
                <w:p w14:paraId="24F4B38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离/m</w:t>
                  </w:r>
                </w:p>
              </w:tc>
            </w:tr>
            <w:tr w14:paraId="00D2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Merge w:val="continue"/>
                  <w:vAlign w:val="center"/>
                </w:tcPr>
                <w:p w14:paraId="7FE29CBB">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p>
              </w:tc>
              <w:tc>
                <w:tcPr>
                  <w:tcW w:w="771" w:type="pct"/>
                  <w:vAlign w:val="center"/>
                </w:tcPr>
                <w:p w14:paraId="33A3BF7A">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经度</w:t>
                  </w:r>
                </w:p>
              </w:tc>
              <w:tc>
                <w:tcPr>
                  <w:tcW w:w="772" w:type="pct"/>
                  <w:vAlign w:val="center"/>
                </w:tcPr>
                <w:p w14:paraId="2BF571D4">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纬度</w:t>
                  </w:r>
                </w:p>
              </w:tc>
              <w:tc>
                <w:tcPr>
                  <w:tcW w:w="581" w:type="pct"/>
                  <w:vMerge w:val="continue"/>
                  <w:vAlign w:val="center"/>
                </w:tcPr>
                <w:p w14:paraId="021CA8F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70" w:type="pct"/>
                  <w:vMerge w:val="continue"/>
                  <w:vAlign w:val="center"/>
                </w:tcPr>
                <w:p w14:paraId="2089A74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443" w:type="pct"/>
                  <w:vMerge w:val="continue"/>
                  <w:vAlign w:val="center"/>
                </w:tcPr>
                <w:p w14:paraId="5BE3091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336" w:type="pct"/>
                  <w:vMerge w:val="continue"/>
                  <w:vAlign w:val="center"/>
                </w:tcPr>
                <w:p w14:paraId="2FE08DF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485" w:type="pct"/>
                  <w:vMerge w:val="continue"/>
                  <w:vAlign w:val="center"/>
                </w:tcPr>
                <w:p w14:paraId="54B3626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2130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558EC1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体育馆</w:t>
                  </w:r>
                </w:p>
              </w:tc>
              <w:tc>
                <w:tcPr>
                  <w:tcW w:w="771" w:type="pct"/>
                  <w:vAlign w:val="center"/>
                </w:tcPr>
                <w:p w14:paraId="609257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102.242335</w:t>
                  </w:r>
                </w:p>
              </w:tc>
              <w:tc>
                <w:tcPr>
                  <w:tcW w:w="772" w:type="pct"/>
                  <w:vAlign w:val="center"/>
                </w:tcPr>
                <w:p w14:paraId="6922D4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29.950993</w:t>
                  </w:r>
                </w:p>
              </w:tc>
              <w:tc>
                <w:tcPr>
                  <w:tcW w:w="581" w:type="pct"/>
                  <w:vAlign w:val="center"/>
                </w:tcPr>
                <w:p w14:paraId="7830F5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文化</w:t>
                  </w:r>
                </w:p>
              </w:tc>
              <w:tc>
                <w:tcPr>
                  <w:tcW w:w="670" w:type="pct"/>
                  <w:vAlign w:val="center"/>
                </w:tcPr>
                <w:p w14:paraId="094A88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443" w:type="pct"/>
                  <w:vAlign w:val="center"/>
                </w:tcPr>
                <w:p w14:paraId="0B63B7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w:t>
                  </w:r>
                </w:p>
              </w:tc>
              <w:tc>
                <w:tcPr>
                  <w:tcW w:w="336" w:type="pct"/>
                  <w:vAlign w:val="center"/>
                </w:tcPr>
                <w:p w14:paraId="0B7E90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北</w:t>
                  </w:r>
                </w:p>
              </w:tc>
              <w:tc>
                <w:tcPr>
                  <w:tcW w:w="485" w:type="pct"/>
                  <w:vAlign w:val="center"/>
                </w:tcPr>
                <w:p w14:paraId="11811C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38</w:t>
                  </w:r>
                  <w:r>
                    <w:rPr>
                      <w:rFonts w:hint="default" w:ascii="Times New Roman" w:hAnsi="Times New Roman" w:eastAsia="宋体" w:cs="Times New Roman"/>
                      <w:color w:val="000000" w:themeColor="text1"/>
                      <w:sz w:val="21"/>
                      <w:szCs w:val="21"/>
                      <w14:textFill>
                        <w14:solidFill>
                          <w14:schemeClr w14:val="tx1"/>
                        </w14:solidFill>
                      </w14:textFill>
                    </w:rPr>
                    <w:t>m</w:t>
                  </w:r>
                </w:p>
              </w:tc>
            </w:tr>
            <w:tr w14:paraId="15AFC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58B390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散户居民</w:t>
                  </w:r>
                </w:p>
              </w:tc>
              <w:tc>
                <w:tcPr>
                  <w:tcW w:w="771" w:type="pct"/>
                  <w:vAlign w:val="center"/>
                </w:tcPr>
                <w:p w14:paraId="7BBC9C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102.230434</w:t>
                  </w:r>
                </w:p>
              </w:tc>
              <w:tc>
                <w:tcPr>
                  <w:tcW w:w="772" w:type="pct"/>
                  <w:vAlign w:val="center"/>
                </w:tcPr>
                <w:p w14:paraId="0DDA43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29.940934</w:t>
                  </w:r>
                </w:p>
              </w:tc>
              <w:tc>
                <w:tcPr>
                  <w:tcW w:w="581" w:type="pct"/>
                  <w:vAlign w:val="center"/>
                </w:tcPr>
                <w:p w14:paraId="094F98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4DA2AB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约</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14:textFill>
                        <w14:solidFill>
                          <w14:schemeClr w14:val="tx1"/>
                        </w14:solidFill>
                      </w14:textFill>
                    </w:rPr>
                    <w:t>0人</w:t>
                  </w:r>
                </w:p>
              </w:tc>
              <w:tc>
                <w:tcPr>
                  <w:tcW w:w="443" w:type="pct"/>
                  <w:vAlign w:val="center"/>
                </w:tcPr>
                <w:p w14:paraId="749473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w:t>
                  </w:r>
                </w:p>
              </w:tc>
              <w:tc>
                <w:tcPr>
                  <w:tcW w:w="336" w:type="pct"/>
                  <w:vAlign w:val="center"/>
                </w:tcPr>
                <w:p w14:paraId="7E28DD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w:t>
                  </w:r>
                </w:p>
              </w:tc>
              <w:tc>
                <w:tcPr>
                  <w:tcW w:w="485" w:type="pct"/>
                  <w:vAlign w:val="center"/>
                </w:tcPr>
                <w:p w14:paraId="00C80D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14:textFill>
                        <w14:solidFill>
                          <w14:schemeClr w14:val="tx1"/>
                        </w14:solidFill>
                      </w14:textFill>
                    </w:rPr>
                    <w:t>m</w:t>
                  </w:r>
                </w:p>
              </w:tc>
            </w:tr>
            <w:tr w14:paraId="79C3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13EDE5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四湾</w:t>
                  </w:r>
                </w:p>
              </w:tc>
              <w:tc>
                <w:tcPr>
                  <w:tcW w:w="771" w:type="pct"/>
                  <w:vAlign w:val="center"/>
                </w:tcPr>
                <w:p w14:paraId="288430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102.232722</w:t>
                  </w:r>
                </w:p>
              </w:tc>
              <w:tc>
                <w:tcPr>
                  <w:tcW w:w="772" w:type="pct"/>
                  <w:vAlign w:val="center"/>
                </w:tcPr>
                <w:p w14:paraId="72540A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29.938966</w:t>
                  </w:r>
                </w:p>
              </w:tc>
              <w:tc>
                <w:tcPr>
                  <w:tcW w:w="581" w:type="pct"/>
                  <w:vAlign w:val="center"/>
                </w:tcPr>
                <w:p w14:paraId="1D10BD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265196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约300人</w:t>
                  </w:r>
                </w:p>
              </w:tc>
              <w:tc>
                <w:tcPr>
                  <w:tcW w:w="443" w:type="pct"/>
                  <w:vAlign w:val="center"/>
                </w:tcPr>
                <w:p w14:paraId="231672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336" w:type="pct"/>
                  <w:vAlign w:val="center"/>
                </w:tcPr>
                <w:p w14:paraId="2F2468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w:t>
                  </w:r>
                </w:p>
              </w:tc>
              <w:tc>
                <w:tcPr>
                  <w:tcW w:w="485" w:type="pct"/>
                  <w:vAlign w:val="center"/>
                </w:tcPr>
                <w:p w14:paraId="22C4FA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14:textFill>
                        <w14:solidFill>
                          <w14:schemeClr w14:val="tx1"/>
                        </w14:solidFill>
                      </w14:textFill>
                    </w:rPr>
                    <w:t>m</w:t>
                  </w:r>
                </w:p>
              </w:tc>
            </w:tr>
            <w:tr w14:paraId="0DD7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4E4DDC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偏桥子</w:t>
                  </w:r>
                </w:p>
              </w:tc>
              <w:tc>
                <w:tcPr>
                  <w:tcW w:w="771" w:type="pct"/>
                  <w:vAlign w:val="center"/>
                </w:tcPr>
                <w:p w14:paraId="1C1ABF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102.231419</w:t>
                  </w:r>
                </w:p>
              </w:tc>
              <w:tc>
                <w:tcPr>
                  <w:tcW w:w="772" w:type="pct"/>
                  <w:vAlign w:val="center"/>
                </w:tcPr>
                <w:p w14:paraId="492398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29.936584</w:t>
                  </w:r>
                </w:p>
              </w:tc>
              <w:tc>
                <w:tcPr>
                  <w:tcW w:w="581" w:type="pct"/>
                  <w:vAlign w:val="center"/>
                </w:tcPr>
                <w:p w14:paraId="75A036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1E4C79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约15人</w:t>
                  </w:r>
                </w:p>
              </w:tc>
              <w:tc>
                <w:tcPr>
                  <w:tcW w:w="443" w:type="pct"/>
                  <w:vAlign w:val="center"/>
                </w:tcPr>
                <w:p w14:paraId="76CCD3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w:t>
                  </w:r>
                </w:p>
              </w:tc>
              <w:tc>
                <w:tcPr>
                  <w:tcW w:w="336" w:type="pct"/>
                  <w:vAlign w:val="center"/>
                </w:tcPr>
                <w:p w14:paraId="2AE7E3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w:t>
                  </w:r>
                </w:p>
              </w:tc>
              <w:tc>
                <w:tcPr>
                  <w:tcW w:w="485" w:type="pct"/>
                  <w:vAlign w:val="center"/>
                </w:tcPr>
                <w:p w14:paraId="1D0CC4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30</w:t>
                  </w:r>
                  <w:r>
                    <w:rPr>
                      <w:rFonts w:hint="default" w:ascii="Times New Roman" w:hAnsi="Times New Roman" w:eastAsia="宋体" w:cs="Times New Roman"/>
                      <w:color w:val="000000" w:themeColor="text1"/>
                      <w:sz w:val="21"/>
                      <w:szCs w:val="21"/>
                      <w14:textFill>
                        <w14:solidFill>
                          <w14:schemeClr w14:val="tx1"/>
                        </w14:solidFill>
                      </w14:textFill>
                    </w:rPr>
                    <w:t>m</w:t>
                  </w:r>
                </w:p>
              </w:tc>
            </w:tr>
            <w:tr w14:paraId="6B8A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27395F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安置小区</w:t>
                  </w:r>
                </w:p>
              </w:tc>
              <w:tc>
                <w:tcPr>
                  <w:tcW w:w="771" w:type="pct"/>
                  <w:vAlign w:val="center"/>
                </w:tcPr>
                <w:p w14:paraId="5F014C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102.229906</w:t>
                  </w:r>
                </w:p>
              </w:tc>
              <w:tc>
                <w:tcPr>
                  <w:tcW w:w="772" w:type="pct"/>
                  <w:vAlign w:val="center"/>
                </w:tcPr>
                <w:p w14:paraId="4FEFC3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29.928677</w:t>
                  </w:r>
                </w:p>
              </w:tc>
              <w:tc>
                <w:tcPr>
                  <w:tcW w:w="581" w:type="pct"/>
                  <w:vAlign w:val="center"/>
                </w:tcPr>
                <w:p w14:paraId="3C34D5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51E686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约600人</w:t>
                  </w:r>
                </w:p>
              </w:tc>
              <w:tc>
                <w:tcPr>
                  <w:tcW w:w="443" w:type="pct"/>
                  <w:vAlign w:val="center"/>
                </w:tcPr>
                <w:p w14:paraId="13D495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w:t>
                  </w:r>
                </w:p>
              </w:tc>
              <w:tc>
                <w:tcPr>
                  <w:tcW w:w="336" w:type="pct"/>
                  <w:vAlign w:val="center"/>
                </w:tcPr>
                <w:p w14:paraId="5D84FF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西</w:t>
                  </w:r>
                </w:p>
              </w:tc>
              <w:tc>
                <w:tcPr>
                  <w:tcW w:w="485" w:type="pct"/>
                  <w:vAlign w:val="center"/>
                </w:tcPr>
                <w:p w14:paraId="525D97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m</w:t>
                  </w:r>
                </w:p>
              </w:tc>
            </w:tr>
            <w:tr w14:paraId="3E20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4C5540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新桥村1</w:t>
                  </w:r>
                </w:p>
              </w:tc>
              <w:tc>
                <w:tcPr>
                  <w:tcW w:w="771" w:type="pct"/>
                  <w:vAlign w:val="center"/>
                </w:tcPr>
                <w:p w14:paraId="7D9631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102.229547</w:t>
                  </w:r>
                </w:p>
              </w:tc>
              <w:tc>
                <w:tcPr>
                  <w:tcW w:w="772" w:type="pct"/>
                  <w:vAlign w:val="center"/>
                </w:tcPr>
                <w:p w14:paraId="05F01E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29.925619</w:t>
                  </w:r>
                </w:p>
              </w:tc>
              <w:tc>
                <w:tcPr>
                  <w:tcW w:w="581" w:type="pct"/>
                  <w:vAlign w:val="center"/>
                </w:tcPr>
                <w:p w14:paraId="67D538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79F875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约800人</w:t>
                  </w:r>
                </w:p>
              </w:tc>
              <w:tc>
                <w:tcPr>
                  <w:tcW w:w="443" w:type="pct"/>
                  <w:vAlign w:val="center"/>
                </w:tcPr>
                <w:p w14:paraId="4BB86B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w:t>
                  </w:r>
                </w:p>
              </w:tc>
              <w:tc>
                <w:tcPr>
                  <w:tcW w:w="336" w:type="pct"/>
                  <w:vAlign w:val="center"/>
                </w:tcPr>
                <w:p w14:paraId="7D0F62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西</w:t>
                  </w:r>
                </w:p>
              </w:tc>
              <w:tc>
                <w:tcPr>
                  <w:tcW w:w="485" w:type="pct"/>
                  <w:vAlign w:val="center"/>
                </w:tcPr>
                <w:p w14:paraId="523108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14:textFill>
                        <w14:solidFill>
                          <w14:schemeClr w14:val="tx1"/>
                        </w14:solidFill>
                      </w14:textFill>
                    </w:rPr>
                    <w:t>m</w:t>
                  </w:r>
                </w:p>
              </w:tc>
            </w:tr>
            <w:tr w14:paraId="0E4E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119547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新桥村2</w:t>
                  </w:r>
                </w:p>
              </w:tc>
              <w:tc>
                <w:tcPr>
                  <w:tcW w:w="771" w:type="pct"/>
                  <w:vAlign w:val="center"/>
                </w:tcPr>
                <w:p w14:paraId="26D78D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102.229868</w:t>
                  </w:r>
                </w:p>
              </w:tc>
              <w:tc>
                <w:tcPr>
                  <w:tcW w:w="772" w:type="pct"/>
                  <w:vAlign w:val="center"/>
                </w:tcPr>
                <w:p w14:paraId="366D2A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29.925683</w:t>
                  </w:r>
                </w:p>
              </w:tc>
              <w:tc>
                <w:tcPr>
                  <w:tcW w:w="581" w:type="pct"/>
                  <w:vAlign w:val="center"/>
                </w:tcPr>
                <w:p w14:paraId="14F7A8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7C110A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约150人</w:t>
                  </w:r>
                </w:p>
              </w:tc>
              <w:tc>
                <w:tcPr>
                  <w:tcW w:w="443" w:type="pct"/>
                  <w:vAlign w:val="center"/>
                </w:tcPr>
                <w:p w14:paraId="34CB4C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w:t>
                  </w:r>
                </w:p>
              </w:tc>
              <w:tc>
                <w:tcPr>
                  <w:tcW w:w="336" w:type="pct"/>
                  <w:vAlign w:val="center"/>
                </w:tcPr>
                <w:p w14:paraId="764B38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w:t>
                  </w:r>
                </w:p>
              </w:tc>
              <w:tc>
                <w:tcPr>
                  <w:tcW w:w="485" w:type="pct"/>
                  <w:vAlign w:val="center"/>
                </w:tcPr>
                <w:p w14:paraId="3ECE60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1m</w:t>
                  </w:r>
                </w:p>
              </w:tc>
            </w:tr>
            <w:tr w14:paraId="3D003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12DECA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泸定桥小学</w:t>
                  </w:r>
                </w:p>
              </w:tc>
              <w:tc>
                <w:tcPr>
                  <w:tcW w:w="771" w:type="pct"/>
                  <w:vAlign w:val="center"/>
                </w:tcPr>
                <w:p w14:paraId="2B5313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102.229789</w:t>
                  </w:r>
                </w:p>
              </w:tc>
              <w:tc>
                <w:tcPr>
                  <w:tcW w:w="772" w:type="pct"/>
                  <w:vAlign w:val="center"/>
                </w:tcPr>
                <w:p w14:paraId="5E29BD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29.920391</w:t>
                  </w:r>
                </w:p>
              </w:tc>
              <w:tc>
                <w:tcPr>
                  <w:tcW w:w="581" w:type="pct"/>
                  <w:vAlign w:val="center"/>
                </w:tcPr>
                <w:p w14:paraId="1A8401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教育</w:t>
                  </w:r>
                </w:p>
              </w:tc>
              <w:tc>
                <w:tcPr>
                  <w:tcW w:w="670" w:type="pct"/>
                  <w:vAlign w:val="center"/>
                </w:tcPr>
                <w:p w14:paraId="24AF19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约100人</w:t>
                  </w:r>
                </w:p>
              </w:tc>
              <w:tc>
                <w:tcPr>
                  <w:tcW w:w="443" w:type="pct"/>
                  <w:vAlign w:val="center"/>
                </w:tcPr>
                <w:p w14:paraId="14404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336" w:type="pct"/>
                  <w:vAlign w:val="center"/>
                </w:tcPr>
                <w:p w14:paraId="11B5A6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w:t>
                  </w:r>
                </w:p>
              </w:tc>
              <w:tc>
                <w:tcPr>
                  <w:tcW w:w="485" w:type="pct"/>
                  <w:vAlign w:val="center"/>
                </w:tcPr>
                <w:p w14:paraId="1EE714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2m</w:t>
                  </w:r>
                </w:p>
              </w:tc>
            </w:tr>
            <w:tr w14:paraId="7B42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3CA475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泸定县1</w:t>
                  </w:r>
                </w:p>
              </w:tc>
              <w:tc>
                <w:tcPr>
                  <w:tcW w:w="771" w:type="pct"/>
                  <w:vAlign w:val="center"/>
                </w:tcPr>
                <w:p w14:paraId="0C308C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102.231344</w:t>
                  </w:r>
                </w:p>
              </w:tc>
              <w:tc>
                <w:tcPr>
                  <w:tcW w:w="772" w:type="pct"/>
                  <w:vAlign w:val="center"/>
                </w:tcPr>
                <w:p w14:paraId="3D9C30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29.918975</w:t>
                  </w:r>
                </w:p>
              </w:tc>
              <w:tc>
                <w:tcPr>
                  <w:tcW w:w="581" w:type="pct"/>
                  <w:vAlign w:val="center"/>
                </w:tcPr>
                <w:p w14:paraId="2BF5D4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10EB42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约300人</w:t>
                  </w:r>
                </w:p>
              </w:tc>
              <w:tc>
                <w:tcPr>
                  <w:tcW w:w="443" w:type="pct"/>
                  <w:vAlign w:val="center"/>
                </w:tcPr>
                <w:p w14:paraId="2C6EF7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w:t>
                  </w:r>
                </w:p>
              </w:tc>
              <w:tc>
                <w:tcPr>
                  <w:tcW w:w="336" w:type="pct"/>
                  <w:vAlign w:val="center"/>
                </w:tcPr>
                <w:p w14:paraId="382C50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西</w:t>
                  </w:r>
                </w:p>
              </w:tc>
              <w:tc>
                <w:tcPr>
                  <w:tcW w:w="485" w:type="pct"/>
                  <w:vAlign w:val="center"/>
                </w:tcPr>
                <w:p w14:paraId="17282C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14:textFill>
                        <w14:solidFill>
                          <w14:schemeClr w14:val="tx1"/>
                        </w14:solidFill>
                      </w14:textFill>
                    </w:rPr>
                    <w:t>m</w:t>
                  </w:r>
                </w:p>
              </w:tc>
            </w:tr>
            <w:tr w14:paraId="4335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47E1F9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泸定县2</w:t>
                  </w:r>
                </w:p>
              </w:tc>
              <w:tc>
                <w:tcPr>
                  <w:tcW w:w="771" w:type="pct"/>
                  <w:vAlign w:val="center"/>
                </w:tcPr>
                <w:p w14:paraId="43242B9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102.232010</w:t>
                  </w:r>
                </w:p>
              </w:tc>
              <w:tc>
                <w:tcPr>
                  <w:tcW w:w="772" w:type="pct"/>
                  <w:vAlign w:val="center"/>
                </w:tcPr>
                <w:p w14:paraId="5DAA5A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29.918685</w:t>
                  </w:r>
                </w:p>
              </w:tc>
              <w:tc>
                <w:tcPr>
                  <w:tcW w:w="581" w:type="pct"/>
                  <w:vAlign w:val="center"/>
                </w:tcPr>
                <w:p w14:paraId="6B4C0A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5F3A6E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约8000人</w:t>
                  </w:r>
                </w:p>
              </w:tc>
              <w:tc>
                <w:tcPr>
                  <w:tcW w:w="443" w:type="pct"/>
                  <w:vAlign w:val="center"/>
                </w:tcPr>
                <w:p w14:paraId="5FA31E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w:t>
                  </w:r>
                </w:p>
              </w:tc>
              <w:tc>
                <w:tcPr>
                  <w:tcW w:w="336" w:type="pct"/>
                  <w:vAlign w:val="center"/>
                </w:tcPr>
                <w:p w14:paraId="0FE565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w:t>
                  </w:r>
                </w:p>
              </w:tc>
              <w:tc>
                <w:tcPr>
                  <w:tcW w:w="485" w:type="pct"/>
                  <w:vAlign w:val="center"/>
                </w:tcPr>
                <w:p w14:paraId="6E72BF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1m</w:t>
                  </w:r>
                </w:p>
              </w:tc>
            </w:tr>
            <w:tr w14:paraId="26C0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5FC25F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泸定县人民政府</w:t>
                  </w:r>
                </w:p>
              </w:tc>
              <w:tc>
                <w:tcPr>
                  <w:tcW w:w="771" w:type="pct"/>
                  <w:vAlign w:val="center"/>
                </w:tcPr>
                <w:p w14:paraId="3ED385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102.233136</w:t>
                  </w:r>
                </w:p>
              </w:tc>
              <w:tc>
                <w:tcPr>
                  <w:tcW w:w="772" w:type="pct"/>
                  <w:vAlign w:val="center"/>
                </w:tcPr>
                <w:p w14:paraId="53BA51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29.916775</w:t>
                  </w:r>
                </w:p>
              </w:tc>
              <w:tc>
                <w:tcPr>
                  <w:tcW w:w="581" w:type="pct"/>
                  <w:vAlign w:val="center"/>
                </w:tcPr>
                <w:p w14:paraId="2DDCFC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行政办公</w:t>
                  </w:r>
                </w:p>
              </w:tc>
              <w:tc>
                <w:tcPr>
                  <w:tcW w:w="670" w:type="pct"/>
                  <w:vAlign w:val="center"/>
                </w:tcPr>
                <w:p w14:paraId="11C3DE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约200人</w:t>
                  </w:r>
                </w:p>
              </w:tc>
              <w:tc>
                <w:tcPr>
                  <w:tcW w:w="443" w:type="pct"/>
                  <w:vAlign w:val="center"/>
                </w:tcPr>
                <w:p w14:paraId="223CF5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336" w:type="pct"/>
                  <w:vAlign w:val="center"/>
                </w:tcPr>
                <w:p w14:paraId="17A21C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w:t>
                  </w:r>
                </w:p>
              </w:tc>
              <w:tc>
                <w:tcPr>
                  <w:tcW w:w="485" w:type="pct"/>
                  <w:vAlign w:val="center"/>
                </w:tcPr>
                <w:p w14:paraId="413198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12m</w:t>
                  </w:r>
                </w:p>
              </w:tc>
            </w:tr>
            <w:tr w14:paraId="2A14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629329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贡嘎山风景名胜区</w:t>
                  </w:r>
                </w:p>
              </w:tc>
              <w:tc>
                <w:tcPr>
                  <w:tcW w:w="771" w:type="pct"/>
                  <w:vAlign w:val="center"/>
                </w:tcPr>
                <w:p w14:paraId="0AFD5A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102.230969</w:t>
                  </w:r>
                </w:p>
              </w:tc>
              <w:tc>
                <w:tcPr>
                  <w:tcW w:w="772" w:type="pct"/>
                  <w:vAlign w:val="center"/>
                </w:tcPr>
                <w:p w14:paraId="6115C8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29.914522</w:t>
                  </w:r>
                </w:p>
              </w:tc>
              <w:tc>
                <w:tcPr>
                  <w:tcW w:w="581" w:type="pct"/>
                  <w:vAlign w:val="center"/>
                </w:tcPr>
                <w:p w14:paraId="25E82A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景区</w:t>
                  </w:r>
                </w:p>
              </w:tc>
              <w:tc>
                <w:tcPr>
                  <w:tcW w:w="670" w:type="pct"/>
                  <w:vAlign w:val="center"/>
                </w:tcPr>
                <w:p w14:paraId="601F35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443" w:type="pct"/>
                  <w:vAlign w:val="center"/>
                </w:tcPr>
                <w:p w14:paraId="7E1E50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w:t>
                  </w:r>
                </w:p>
              </w:tc>
              <w:tc>
                <w:tcPr>
                  <w:tcW w:w="336" w:type="pct"/>
                  <w:vAlign w:val="center"/>
                </w:tcPr>
                <w:p w14:paraId="3ABD75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西</w:t>
                  </w:r>
                </w:p>
              </w:tc>
              <w:tc>
                <w:tcPr>
                  <w:tcW w:w="485" w:type="pct"/>
                  <w:vAlign w:val="center"/>
                </w:tcPr>
                <w:p w14:paraId="17E0A1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212</w:t>
                  </w:r>
                  <w:r>
                    <w:rPr>
                      <w:rFonts w:hint="default" w:ascii="Times New Roman" w:hAnsi="Times New Roman" w:eastAsia="宋体" w:cs="Times New Roman"/>
                      <w:color w:val="000000" w:themeColor="text1"/>
                      <w:sz w:val="21"/>
                      <w:szCs w:val="21"/>
                      <w14:textFill>
                        <w14:solidFill>
                          <w14:schemeClr w14:val="tx1"/>
                        </w14:solidFill>
                      </w14:textFill>
                    </w:rPr>
                    <w:t>m</w:t>
                  </w:r>
                </w:p>
              </w:tc>
            </w:tr>
            <w:tr w14:paraId="0989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3FABB1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泸定县幼儿园</w:t>
                  </w:r>
                </w:p>
              </w:tc>
              <w:tc>
                <w:tcPr>
                  <w:tcW w:w="771" w:type="pct"/>
                  <w:vAlign w:val="center"/>
                </w:tcPr>
                <w:p w14:paraId="38CF51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102.233479</w:t>
                  </w:r>
                </w:p>
              </w:tc>
              <w:tc>
                <w:tcPr>
                  <w:tcW w:w="772" w:type="pct"/>
                  <w:vAlign w:val="center"/>
                </w:tcPr>
                <w:p w14:paraId="0465E1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29.913911</w:t>
                  </w:r>
                </w:p>
              </w:tc>
              <w:tc>
                <w:tcPr>
                  <w:tcW w:w="581" w:type="pct"/>
                  <w:vAlign w:val="center"/>
                </w:tcPr>
                <w:p w14:paraId="537979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教育</w:t>
                  </w:r>
                </w:p>
              </w:tc>
              <w:tc>
                <w:tcPr>
                  <w:tcW w:w="670" w:type="pct"/>
                  <w:vAlign w:val="center"/>
                </w:tcPr>
                <w:p w14:paraId="7642F2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约60人</w:t>
                  </w:r>
                </w:p>
              </w:tc>
              <w:tc>
                <w:tcPr>
                  <w:tcW w:w="443" w:type="pct"/>
                  <w:vAlign w:val="center"/>
                </w:tcPr>
                <w:p w14:paraId="015C60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336" w:type="pct"/>
                  <w:vAlign w:val="center"/>
                </w:tcPr>
                <w:p w14:paraId="4FFA5A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西</w:t>
                  </w:r>
                </w:p>
              </w:tc>
              <w:tc>
                <w:tcPr>
                  <w:tcW w:w="485" w:type="pct"/>
                  <w:vAlign w:val="center"/>
                </w:tcPr>
                <w:p w14:paraId="526862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26m</w:t>
                  </w:r>
                </w:p>
              </w:tc>
            </w:tr>
            <w:tr w14:paraId="330B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69A382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泸定县3</w:t>
                  </w:r>
                </w:p>
              </w:tc>
              <w:tc>
                <w:tcPr>
                  <w:tcW w:w="771" w:type="pct"/>
                  <w:vAlign w:val="center"/>
                </w:tcPr>
                <w:p w14:paraId="40D1E5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102.233292</w:t>
                  </w:r>
                </w:p>
              </w:tc>
              <w:tc>
                <w:tcPr>
                  <w:tcW w:w="772" w:type="pct"/>
                  <w:vAlign w:val="center"/>
                </w:tcPr>
                <w:p w14:paraId="4F52D6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29.911765</w:t>
                  </w:r>
                </w:p>
              </w:tc>
              <w:tc>
                <w:tcPr>
                  <w:tcW w:w="581" w:type="pct"/>
                  <w:vAlign w:val="center"/>
                </w:tcPr>
                <w:p w14:paraId="37E9B8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1C4813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约500人</w:t>
                  </w:r>
                </w:p>
              </w:tc>
              <w:tc>
                <w:tcPr>
                  <w:tcW w:w="443" w:type="pct"/>
                  <w:vAlign w:val="center"/>
                </w:tcPr>
                <w:p w14:paraId="1417C1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336" w:type="pct"/>
                  <w:vAlign w:val="center"/>
                </w:tcPr>
                <w:p w14:paraId="6E5666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南</w:t>
                  </w:r>
                </w:p>
              </w:tc>
              <w:tc>
                <w:tcPr>
                  <w:tcW w:w="485" w:type="pct"/>
                  <w:vAlign w:val="center"/>
                </w:tcPr>
                <w:p w14:paraId="03B432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10m</w:t>
                  </w:r>
                </w:p>
              </w:tc>
            </w:tr>
            <w:tr w14:paraId="0896F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6874DE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泸定县4</w:t>
                  </w:r>
                </w:p>
              </w:tc>
              <w:tc>
                <w:tcPr>
                  <w:tcW w:w="771" w:type="pct"/>
                  <w:vAlign w:val="center"/>
                </w:tcPr>
                <w:p w14:paraId="667C62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102.234075</w:t>
                  </w:r>
                </w:p>
              </w:tc>
              <w:tc>
                <w:tcPr>
                  <w:tcW w:w="772" w:type="pct"/>
                  <w:vAlign w:val="center"/>
                </w:tcPr>
                <w:p w14:paraId="4CC88B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29.912183</w:t>
                  </w:r>
                </w:p>
              </w:tc>
              <w:tc>
                <w:tcPr>
                  <w:tcW w:w="581" w:type="pct"/>
                  <w:vAlign w:val="center"/>
                </w:tcPr>
                <w:p w14:paraId="449488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居民</w:t>
                  </w:r>
                </w:p>
              </w:tc>
              <w:tc>
                <w:tcPr>
                  <w:tcW w:w="670" w:type="pct"/>
                  <w:vAlign w:val="center"/>
                </w:tcPr>
                <w:p w14:paraId="113DB3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约300人</w:t>
                  </w:r>
                </w:p>
              </w:tc>
              <w:tc>
                <w:tcPr>
                  <w:tcW w:w="443" w:type="pct"/>
                  <w:vAlign w:val="center"/>
                </w:tcPr>
                <w:p w14:paraId="071A86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336" w:type="pct"/>
                  <w:vAlign w:val="center"/>
                </w:tcPr>
                <w:p w14:paraId="1F9DB4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北</w:t>
                  </w:r>
                </w:p>
              </w:tc>
              <w:tc>
                <w:tcPr>
                  <w:tcW w:w="485" w:type="pct"/>
                  <w:vAlign w:val="center"/>
                </w:tcPr>
                <w:p w14:paraId="002AE4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1m</w:t>
                  </w:r>
                </w:p>
              </w:tc>
            </w:tr>
            <w:tr w14:paraId="3D82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6B4C3C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大雪山生物多样性维护水土保持生态保护红线</w:t>
                  </w:r>
                </w:p>
              </w:tc>
              <w:tc>
                <w:tcPr>
                  <w:tcW w:w="771" w:type="pct"/>
                  <w:vAlign w:val="center"/>
                </w:tcPr>
                <w:p w14:paraId="66C634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102.236779</w:t>
                  </w:r>
                </w:p>
              </w:tc>
              <w:tc>
                <w:tcPr>
                  <w:tcW w:w="772" w:type="pct"/>
                  <w:vAlign w:val="center"/>
                </w:tcPr>
                <w:p w14:paraId="5CCEA3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29.910300</w:t>
                  </w:r>
                </w:p>
              </w:tc>
              <w:tc>
                <w:tcPr>
                  <w:tcW w:w="581" w:type="pct"/>
                  <w:vAlign w:val="center"/>
                </w:tcPr>
                <w:p w14:paraId="7E6957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景区</w:t>
                  </w:r>
                </w:p>
              </w:tc>
              <w:tc>
                <w:tcPr>
                  <w:tcW w:w="670" w:type="pct"/>
                  <w:vAlign w:val="center"/>
                </w:tcPr>
                <w:p w14:paraId="2A45D9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443" w:type="pct"/>
                  <w:vAlign w:val="center"/>
                </w:tcPr>
                <w:p w14:paraId="54C2FC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一级</w:t>
                  </w:r>
                </w:p>
              </w:tc>
              <w:tc>
                <w:tcPr>
                  <w:tcW w:w="336" w:type="pct"/>
                  <w:vAlign w:val="center"/>
                </w:tcPr>
                <w:p w14:paraId="576FBD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东南</w:t>
                  </w:r>
                </w:p>
              </w:tc>
              <w:tc>
                <w:tcPr>
                  <w:tcW w:w="485" w:type="pct"/>
                  <w:vAlign w:val="center"/>
                </w:tcPr>
                <w:p w14:paraId="74C826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123</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w:t>
                  </w:r>
                </w:p>
              </w:tc>
            </w:tr>
            <w:tr w14:paraId="5B48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6" w:hRule="atLeast"/>
                <w:jc w:val="center"/>
              </w:trPr>
              <w:tc>
                <w:tcPr>
                  <w:tcW w:w="938" w:type="pct"/>
                  <w:vAlign w:val="center"/>
                </w:tcPr>
                <w:p w14:paraId="62558E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泸定县人民医院</w:t>
                  </w:r>
                </w:p>
              </w:tc>
              <w:tc>
                <w:tcPr>
                  <w:tcW w:w="771" w:type="pct"/>
                  <w:vAlign w:val="center"/>
                </w:tcPr>
                <w:p w14:paraId="075811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102.230701</w:t>
                  </w:r>
                </w:p>
              </w:tc>
              <w:tc>
                <w:tcPr>
                  <w:tcW w:w="772" w:type="pct"/>
                  <w:vAlign w:val="center"/>
                </w:tcPr>
                <w:p w14:paraId="589BB7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29.909936</w:t>
                  </w:r>
                </w:p>
              </w:tc>
              <w:tc>
                <w:tcPr>
                  <w:tcW w:w="581" w:type="pct"/>
                  <w:vAlign w:val="center"/>
                </w:tcPr>
                <w:p w14:paraId="68CB05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医疗</w:t>
                  </w:r>
                </w:p>
              </w:tc>
              <w:tc>
                <w:tcPr>
                  <w:tcW w:w="670" w:type="pct"/>
                  <w:vAlign w:val="center"/>
                </w:tcPr>
                <w:p w14:paraId="4F8DC9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约300人</w:t>
                  </w:r>
                </w:p>
              </w:tc>
              <w:tc>
                <w:tcPr>
                  <w:tcW w:w="443" w:type="pct"/>
                  <w:vAlign w:val="center"/>
                </w:tcPr>
                <w:p w14:paraId="0D8822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336" w:type="pct"/>
                  <w:vAlign w:val="center"/>
                </w:tcPr>
                <w:p w14:paraId="3A9D72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东</w:t>
                  </w:r>
                </w:p>
              </w:tc>
              <w:tc>
                <w:tcPr>
                  <w:tcW w:w="485" w:type="pct"/>
                  <w:vAlign w:val="center"/>
                </w:tcPr>
                <w:p w14:paraId="453347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350m</w:t>
                  </w:r>
                </w:p>
              </w:tc>
            </w:tr>
            <w:tr w14:paraId="3E1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8" w:type="pct"/>
                  <w:vAlign w:val="center"/>
                </w:tcPr>
                <w:p w14:paraId="26C545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四川大熊猫栖息地世界自然遗产地</w:t>
                  </w:r>
                </w:p>
              </w:tc>
              <w:tc>
                <w:tcPr>
                  <w:tcW w:w="771" w:type="pct"/>
                  <w:vAlign w:val="center"/>
                </w:tcPr>
                <w:p w14:paraId="2A00AF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102.251479</w:t>
                  </w:r>
                </w:p>
              </w:tc>
              <w:tc>
                <w:tcPr>
                  <w:tcW w:w="772" w:type="pct"/>
                  <w:vAlign w:val="center"/>
                </w:tcPr>
                <w:p w14:paraId="5DDF2C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29.952658</w:t>
                  </w:r>
                </w:p>
              </w:tc>
              <w:tc>
                <w:tcPr>
                  <w:tcW w:w="581" w:type="pct"/>
                  <w:vAlign w:val="center"/>
                </w:tcPr>
                <w:p w14:paraId="0418CA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景区</w:t>
                  </w:r>
                </w:p>
              </w:tc>
              <w:tc>
                <w:tcPr>
                  <w:tcW w:w="670" w:type="pct"/>
                  <w:vAlign w:val="center"/>
                </w:tcPr>
                <w:p w14:paraId="776653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443" w:type="pct"/>
                  <w:vAlign w:val="center"/>
                </w:tcPr>
                <w:p w14:paraId="58E1FE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一级</w:t>
                  </w:r>
                </w:p>
              </w:tc>
              <w:tc>
                <w:tcPr>
                  <w:tcW w:w="336" w:type="pct"/>
                  <w:vAlign w:val="center"/>
                </w:tcPr>
                <w:p w14:paraId="519EAC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485" w:type="pct"/>
                  <w:vAlign w:val="center"/>
                </w:tcPr>
                <w:p w14:paraId="1426EE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项目占用缓冲区</w:t>
                  </w:r>
                </w:p>
              </w:tc>
            </w:tr>
          </w:tbl>
          <w:p w14:paraId="145B0005">
            <w:pPr>
              <w:pStyle w:val="3"/>
              <w:ind w:left="0" w:leftChars="0" w:firstLine="0" w:firstLineChars="0"/>
              <w:rPr>
                <w:rFonts w:hint="default" w:ascii="Times New Roman" w:hAnsi="Times New Roman" w:eastAsia="宋体" w:cs="Times New Roman"/>
                <w:color w:val="000000" w:themeColor="text1"/>
                <w14:textFill>
                  <w14:solidFill>
                    <w14:schemeClr w14:val="tx1"/>
                  </w14:solidFill>
                </w14:textFill>
              </w:rPr>
            </w:pPr>
          </w:p>
        </w:tc>
      </w:tr>
    </w:tbl>
    <w:p w14:paraId="0D3F3EF2">
      <w:pPr>
        <w:spacing w:line="276" w:lineRule="auto"/>
        <w:jc w:val="center"/>
        <w:rPr>
          <w:rFonts w:hint="default" w:ascii="Times New Roman" w:hAnsi="Times New Roman" w:eastAsia="宋体" w:cs="Times New Roman"/>
          <w:color w:val="000000" w:themeColor="text1"/>
          <w14:textFill>
            <w14:solidFill>
              <w14:schemeClr w14:val="tx1"/>
            </w14:solidFill>
          </w14:textFill>
        </w:rPr>
        <w:sectPr>
          <w:pgSz w:w="11907" w:h="16840"/>
          <w:pgMar w:top="1418" w:right="1531" w:bottom="1418" w:left="1644" w:header="851" w:footer="851" w:gutter="0"/>
          <w:pgBorders>
            <w:top w:val="none" w:sz="0" w:space="0"/>
            <w:left w:val="none" w:sz="0" w:space="0"/>
            <w:bottom w:val="none" w:sz="0" w:space="0"/>
            <w:right w:val="none" w:sz="0" w:space="0"/>
          </w:pgBorders>
          <w:cols w:space="720" w:num="1"/>
          <w:docGrid w:type="lines" w:linePitch="312" w:charSpace="0"/>
        </w:sectPr>
      </w:pP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4"/>
      </w:tblGrid>
      <w:tr w14:paraId="482C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994" w:type="dxa"/>
          </w:tcPr>
          <w:p w14:paraId="4E5E71B3">
            <w:pPr>
              <w:spacing w:line="360" w:lineRule="auto"/>
              <w:ind w:firstLine="482" w:firstLineChars="200"/>
              <w:rPr>
                <w:rFonts w:hint="default" w:ascii="Times New Roman" w:hAnsi="Times New Roman" w:eastAsia="宋体" w:cs="Times New Roman"/>
                <w:b/>
                <w:color w:val="000000" w:themeColor="text1"/>
                <w:sz w:val="24"/>
                <w:szCs w:val="22"/>
                <w14:textFill>
                  <w14:solidFill>
                    <w14:schemeClr w14:val="tx1"/>
                  </w14:solidFill>
                </w14:textFill>
              </w:rPr>
            </w:pPr>
            <w:r>
              <w:rPr>
                <w:rFonts w:hint="default" w:ascii="Times New Roman" w:hAnsi="Times New Roman" w:eastAsia="宋体" w:cs="Times New Roman"/>
                <w:b/>
                <w:color w:val="000000" w:themeColor="text1"/>
                <w:sz w:val="24"/>
                <w:szCs w:val="28"/>
                <w14:textFill>
                  <w14:solidFill>
                    <w14:schemeClr w14:val="tx1"/>
                  </w14:solidFill>
                </w14:textFill>
              </w:rPr>
              <w:t>2、地表水环境</w:t>
            </w:r>
          </w:p>
          <w:p w14:paraId="183CCB2D">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szCs w:val="28"/>
                <w14:textFill>
                  <w14:solidFill>
                    <w14:schemeClr w14:val="tx1"/>
                  </w14:solidFill>
                </w14:textFill>
              </w:rPr>
              <w:t>根据《环境影响评价技术导则地表水环境》（HJ2.3-2018），水环境保护目标包括饮用水水源保护区、饮用水取水口，涉水的自然保护区、风景名胜区，重要湿地、重点保护与珍稀水生生物的栖息地、重要水生生物的自然产卵场及索饵场、越冬场和洄游通道，天然渔场等渔业水体，以及水产种质资源保护区等。</w:t>
            </w:r>
          </w:p>
          <w:p w14:paraId="6F4B4D72">
            <w:pPr>
              <w:spacing w:line="360" w:lineRule="auto"/>
              <w:ind w:firstLine="482"/>
              <w:rPr>
                <w:rFonts w:hint="default" w:ascii="Times New Roman" w:hAnsi="Times New Roman" w:eastAsia="宋体" w:cs="Times New Roman"/>
                <w:snapToGrid w:val="0"/>
                <w:color w:val="000000" w:themeColor="text1"/>
                <w:kern w:val="21"/>
                <w:sz w:val="24"/>
                <w14:textFill>
                  <w14:solidFill>
                    <w14:schemeClr w14:val="tx1"/>
                  </w14:solidFill>
                </w14:textFill>
              </w:rPr>
            </w:pPr>
            <w:r>
              <w:rPr>
                <w:rFonts w:hint="default" w:ascii="Times New Roman" w:hAnsi="Times New Roman" w:eastAsia="宋体" w:cs="Times New Roman"/>
                <w:snapToGrid w:val="0"/>
                <w:color w:val="000000" w:themeColor="text1"/>
                <w:kern w:val="21"/>
                <w:sz w:val="24"/>
                <w14:textFill>
                  <w14:solidFill>
                    <w14:schemeClr w14:val="tx1"/>
                  </w14:solidFill>
                </w14:textFill>
              </w:rPr>
              <w:t>项目</w:t>
            </w:r>
            <w:r>
              <w:rPr>
                <w:rFonts w:hint="default" w:ascii="Times New Roman" w:hAnsi="Times New Roman" w:eastAsia="宋体" w:cs="Times New Roman"/>
                <w:snapToGrid w:val="0"/>
                <w:color w:val="000000" w:themeColor="text1"/>
                <w:kern w:val="21"/>
                <w:sz w:val="24"/>
                <w:lang w:val="en-US" w:eastAsia="zh-CN"/>
                <w14:textFill>
                  <w14:solidFill>
                    <w14:schemeClr w14:val="tx1"/>
                  </w14:solidFill>
                </w14:textFill>
              </w:rPr>
              <w:t>所在五里沟</w:t>
            </w:r>
            <w:r>
              <w:rPr>
                <w:rFonts w:hint="default" w:ascii="Times New Roman" w:hAnsi="Times New Roman" w:eastAsia="宋体" w:cs="Times New Roman"/>
                <w:snapToGrid w:val="0"/>
                <w:color w:val="000000" w:themeColor="text1"/>
                <w:kern w:val="21"/>
                <w:sz w:val="24"/>
                <w14:textFill>
                  <w14:solidFill>
                    <w14:schemeClr w14:val="tx1"/>
                  </w14:solidFill>
                </w14:textFill>
              </w:rPr>
              <w:t>，无温泉资源分布，</w:t>
            </w:r>
            <w:r>
              <w:rPr>
                <w:rFonts w:hint="default" w:ascii="Times New Roman" w:hAnsi="Times New Roman" w:eastAsia="宋体" w:cs="Times New Roman"/>
                <w:snapToGrid w:val="0"/>
                <w:color w:val="000000" w:themeColor="text1"/>
                <w:kern w:val="21"/>
                <w:sz w:val="24"/>
                <w:lang w:val="en-US" w:eastAsia="zh-CN"/>
                <w14:textFill>
                  <w14:solidFill>
                    <w14:schemeClr w14:val="tx1"/>
                  </w14:solidFill>
                </w14:textFill>
              </w:rPr>
              <w:t>取水口下游500m范围内</w:t>
            </w:r>
            <w:r>
              <w:rPr>
                <w:rFonts w:hint="default" w:ascii="Times New Roman" w:hAnsi="Times New Roman" w:eastAsia="宋体" w:cs="Times New Roman"/>
                <w:snapToGrid w:val="0"/>
                <w:color w:val="000000" w:themeColor="text1"/>
                <w:kern w:val="21"/>
                <w:sz w:val="24"/>
                <w14:textFill>
                  <w14:solidFill>
                    <w14:schemeClr w14:val="tx1"/>
                  </w14:solidFill>
                </w14:textFill>
              </w:rPr>
              <w:t>不涉及重要湿地、重点保护与珍稀水生生物的栖息地、重要水生生物的自然产卵场及索饵场、越冬场和洄游通道，天然渔场等渔业水体，以及水产种质资源保护区等。</w:t>
            </w:r>
          </w:p>
          <w:p w14:paraId="349B609A">
            <w:pPr>
              <w:spacing w:line="360" w:lineRule="auto"/>
              <w:ind w:firstLine="482"/>
              <w:rPr>
                <w:rFonts w:hint="default" w:ascii="Times New Roman" w:hAnsi="Times New Roman" w:eastAsia="宋体" w:cs="Times New Roman"/>
                <w:snapToGrid w:val="0"/>
                <w:color w:val="000000" w:themeColor="text1"/>
                <w:kern w:val="21"/>
                <w:sz w:val="24"/>
                <w:lang w:eastAsia="zh-CN"/>
                <w14:textFill>
                  <w14:solidFill>
                    <w14:schemeClr w14:val="tx1"/>
                  </w14:solidFill>
                </w14:textFill>
              </w:rPr>
            </w:pPr>
            <w:r>
              <w:rPr>
                <w:rFonts w:hint="default" w:ascii="Times New Roman" w:hAnsi="Times New Roman" w:eastAsia="宋体" w:cs="Times New Roman"/>
                <w:snapToGrid w:val="0"/>
                <w:color w:val="000000" w:themeColor="text1"/>
                <w:kern w:val="21"/>
                <w:sz w:val="24"/>
                <w:lang w:val="en-US" w:eastAsia="zh-CN"/>
                <w14:textFill>
                  <w14:solidFill>
                    <w14:schemeClr w14:val="tx1"/>
                  </w14:solidFill>
                </w14:textFill>
              </w:rPr>
              <w:t>根据《四川省人民政府关于同意划定、调整、撤销泸州等九市（州）部分饮用水水源保护区的批复》（2018年2月1日），</w:t>
            </w:r>
            <w:r>
              <w:rPr>
                <w:rFonts w:hint="default" w:ascii="Times New Roman" w:hAnsi="Times New Roman" w:eastAsia="宋体" w:cs="Times New Roman"/>
                <w:snapToGrid w:val="0"/>
                <w:color w:val="000000" w:themeColor="text1"/>
                <w:kern w:val="21"/>
                <w:sz w:val="24"/>
                <w14:textFill>
                  <w14:solidFill>
                    <w14:schemeClr w14:val="tx1"/>
                  </w14:solidFill>
                </w14:textFill>
              </w:rPr>
              <w:t>泸桥镇集中式饮用水源一共2个（均为省级重要水源地、河流型）：羊圈沟饮用水源地（主水源）</w:t>
            </w:r>
            <w:r>
              <w:rPr>
                <w:rFonts w:hint="default" w:ascii="Times New Roman" w:hAnsi="Times New Roman" w:eastAsia="宋体" w:cs="Times New Roman"/>
                <w:snapToGrid w:val="0"/>
                <w:color w:val="000000" w:themeColor="text1"/>
                <w:kern w:val="21"/>
                <w:sz w:val="24"/>
                <w:lang w:eastAsia="zh-CN"/>
                <w14:textFill>
                  <w14:solidFill>
                    <w14:schemeClr w14:val="tx1"/>
                  </w14:solidFill>
                </w14:textFill>
              </w:rPr>
              <w:t>、</w:t>
            </w:r>
            <w:r>
              <w:rPr>
                <w:rFonts w:hint="default" w:ascii="Times New Roman" w:hAnsi="Times New Roman" w:eastAsia="宋体" w:cs="Times New Roman"/>
                <w:snapToGrid w:val="0"/>
                <w:color w:val="000000" w:themeColor="text1"/>
                <w:kern w:val="21"/>
                <w:sz w:val="24"/>
                <w14:textFill>
                  <w14:solidFill>
                    <w14:schemeClr w14:val="tx1"/>
                  </w14:solidFill>
                </w14:textFill>
              </w:rPr>
              <w:t>木角沟饮用水源地（备用水源/补充）</w:t>
            </w:r>
            <w:r>
              <w:rPr>
                <w:rFonts w:hint="default" w:ascii="Times New Roman" w:hAnsi="Times New Roman" w:eastAsia="宋体" w:cs="Times New Roman"/>
                <w:snapToGrid w:val="0"/>
                <w:color w:val="000000" w:themeColor="text1"/>
                <w:kern w:val="21"/>
                <w:sz w:val="24"/>
                <w:lang w:eastAsia="zh-CN"/>
                <w14:textFill>
                  <w14:solidFill>
                    <w14:schemeClr w14:val="tx1"/>
                  </w14:solidFill>
                </w14:textFill>
              </w:rPr>
              <w:t>。</w:t>
            </w:r>
          </w:p>
          <w:p w14:paraId="36E6EEEC">
            <w:pPr>
              <w:pStyle w:val="155"/>
              <w:numPr>
                <w:ilvl w:val="0"/>
                <w:numId w:val="19"/>
              </w:numPr>
              <w:spacing w:line="240" w:lineRule="auto"/>
              <w:ind w:firstLineChars="0"/>
              <w:jc w:val="center"/>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本项目饮用水水源保护区一览表</w:t>
            </w:r>
          </w:p>
          <w:tbl>
            <w:tblPr>
              <w:tblStyle w:val="5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64"/>
              <w:gridCol w:w="613"/>
              <w:gridCol w:w="690"/>
              <w:gridCol w:w="593"/>
              <w:gridCol w:w="1462"/>
              <w:gridCol w:w="1245"/>
              <w:gridCol w:w="2601"/>
              <w:gridCol w:w="2014"/>
              <w:gridCol w:w="2139"/>
              <w:gridCol w:w="2147"/>
            </w:tblGrid>
            <w:tr w14:paraId="32B9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95" w:type="pct"/>
                  <w:vMerge w:val="restart"/>
                  <w:vAlign w:val="center"/>
                </w:tcPr>
                <w:p w14:paraId="5468ABC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222" w:type="pct"/>
                  <w:vMerge w:val="restart"/>
                  <w:vAlign w:val="center"/>
                </w:tcPr>
                <w:p w14:paraId="4E92B52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乡镇名称</w:t>
                  </w:r>
                </w:p>
              </w:tc>
              <w:tc>
                <w:tcPr>
                  <w:tcW w:w="250" w:type="pct"/>
                  <w:vMerge w:val="restart"/>
                  <w:vAlign w:val="center"/>
                </w:tcPr>
                <w:p w14:paraId="6D3D6EE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水源地名称</w:t>
                  </w:r>
                </w:p>
              </w:tc>
              <w:tc>
                <w:tcPr>
                  <w:tcW w:w="215" w:type="pct"/>
                  <w:vMerge w:val="restart"/>
                  <w:vAlign w:val="center"/>
                </w:tcPr>
                <w:p w14:paraId="68D4F29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水源地</w:t>
                  </w:r>
                </w:p>
                <w:p w14:paraId="4C6BF7DA">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类型</w:t>
                  </w:r>
                </w:p>
              </w:tc>
              <w:tc>
                <w:tcPr>
                  <w:tcW w:w="983" w:type="pct"/>
                  <w:gridSpan w:val="2"/>
                  <w:vAlign w:val="center"/>
                </w:tcPr>
                <w:p w14:paraId="6510545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取水点坐标</w:t>
                  </w:r>
                </w:p>
              </w:tc>
              <w:tc>
                <w:tcPr>
                  <w:tcW w:w="1675" w:type="pct"/>
                  <w:gridSpan w:val="2"/>
                  <w:vAlign w:val="center"/>
                </w:tcPr>
                <w:p w14:paraId="3E8067E5">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一级保护区</w:t>
                  </w:r>
                </w:p>
              </w:tc>
              <w:tc>
                <w:tcPr>
                  <w:tcW w:w="1556" w:type="pct"/>
                  <w:gridSpan w:val="2"/>
                  <w:vAlign w:val="center"/>
                </w:tcPr>
                <w:p w14:paraId="5F1E914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二级保护区</w:t>
                  </w:r>
                </w:p>
              </w:tc>
            </w:tr>
            <w:tr w14:paraId="5D06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95" w:type="pct"/>
                  <w:vMerge w:val="continue"/>
                  <w:vAlign w:val="center"/>
                </w:tcPr>
                <w:p w14:paraId="0E40320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222" w:type="pct"/>
                  <w:vMerge w:val="continue"/>
                  <w:vAlign w:val="center"/>
                </w:tcPr>
                <w:p w14:paraId="4FCCACF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250" w:type="pct"/>
                  <w:vMerge w:val="continue"/>
                  <w:vAlign w:val="center"/>
                </w:tcPr>
                <w:p w14:paraId="7A1502F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215" w:type="pct"/>
                  <w:vMerge w:val="continue"/>
                  <w:vAlign w:val="center"/>
                </w:tcPr>
                <w:p w14:paraId="1320434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30" w:type="pct"/>
                  <w:vAlign w:val="center"/>
                </w:tcPr>
                <w:p w14:paraId="57C2E55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东经(度)</w:t>
                  </w:r>
                </w:p>
              </w:tc>
              <w:tc>
                <w:tcPr>
                  <w:tcW w:w="452" w:type="pct"/>
                  <w:vAlign w:val="center"/>
                </w:tcPr>
                <w:p w14:paraId="6AE645C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北纬(度)</w:t>
                  </w:r>
                </w:p>
              </w:tc>
              <w:tc>
                <w:tcPr>
                  <w:tcW w:w="944" w:type="pct"/>
                  <w:vAlign w:val="center"/>
                </w:tcPr>
                <w:p w14:paraId="1F0FBC1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水域范围</w:t>
                  </w:r>
                </w:p>
              </w:tc>
              <w:tc>
                <w:tcPr>
                  <w:tcW w:w="731" w:type="pct"/>
                  <w:vAlign w:val="center"/>
                </w:tcPr>
                <w:p w14:paraId="39AF54E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陆域范围</w:t>
                  </w:r>
                </w:p>
              </w:tc>
              <w:tc>
                <w:tcPr>
                  <w:tcW w:w="776" w:type="pct"/>
                  <w:vAlign w:val="center"/>
                </w:tcPr>
                <w:p w14:paraId="16593BF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水域范围</w:t>
                  </w:r>
                </w:p>
              </w:tc>
              <w:tc>
                <w:tcPr>
                  <w:tcW w:w="779" w:type="pct"/>
                  <w:vAlign w:val="center"/>
                </w:tcPr>
                <w:p w14:paraId="785E845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陆域范围</w:t>
                  </w:r>
                </w:p>
              </w:tc>
            </w:tr>
            <w:tr w14:paraId="58B2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95" w:type="pct"/>
                  <w:vAlign w:val="center"/>
                </w:tcPr>
                <w:p w14:paraId="6DF8344F">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222" w:type="pct"/>
                  <w:vAlign w:val="center"/>
                </w:tcPr>
                <w:p w14:paraId="65FBA10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泸桥镇</w:t>
                  </w:r>
                </w:p>
              </w:tc>
              <w:tc>
                <w:tcPr>
                  <w:tcW w:w="250" w:type="pct"/>
                  <w:vAlign w:val="center"/>
                </w:tcPr>
                <w:p w14:paraId="015E4E5C">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羊圈沟</w:t>
                  </w:r>
                </w:p>
              </w:tc>
              <w:tc>
                <w:tcPr>
                  <w:tcW w:w="215" w:type="pct"/>
                  <w:vAlign w:val="center"/>
                </w:tcPr>
                <w:p w14:paraId="19F0E2B6">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河流</w:t>
                  </w:r>
                </w:p>
              </w:tc>
              <w:tc>
                <w:tcPr>
                  <w:tcW w:w="530" w:type="pct"/>
                  <w:vAlign w:val="center"/>
                </w:tcPr>
                <w:p w14:paraId="493617F1">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102°14′40.08″</w:t>
                  </w:r>
                </w:p>
              </w:tc>
              <w:tc>
                <w:tcPr>
                  <w:tcW w:w="452" w:type="pct"/>
                  <w:vAlign w:val="center"/>
                </w:tcPr>
                <w:p w14:paraId="3B4143E4">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29°54′28.46″</w:t>
                  </w:r>
                </w:p>
              </w:tc>
              <w:tc>
                <w:tcPr>
                  <w:tcW w:w="944" w:type="pct"/>
                  <w:vAlign w:val="center"/>
                </w:tcPr>
                <w:p w14:paraId="51D660FC">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备用取水口下游100米至主取水口上游1000米河道内，5年一遇洪水淹没的水域范围，以及主取水口至第一自来水厂引水管入口的800米输水渠。</w:t>
                  </w:r>
                </w:p>
              </w:tc>
              <w:tc>
                <w:tcPr>
                  <w:tcW w:w="731" w:type="pct"/>
                  <w:vAlign w:val="center"/>
                </w:tcPr>
                <w:p w14:paraId="2853979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一级保护区水域边界沿两岸水平纵深50米及输水渠沿岸水平纵深50米的陆域范围。</w:t>
                  </w:r>
                </w:p>
              </w:tc>
              <w:tc>
                <w:tcPr>
                  <w:tcW w:w="776" w:type="pct"/>
                  <w:vAlign w:val="center"/>
                </w:tcPr>
                <w:p w14:paraId="29EC2360">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备用取水口下游300米以上除一级保护区水域外的整个流域范围。</w:t>
                  </w:r>
                </w:p>
              </w:tc>
              <w:tc>
                <w:tcPr>
                  <w:tcW w:w="779" w:type="pct"/>
                  <w:vAlign w:val="center"/>
                </w:tcPr>
                <w:p w14:paraId="6315DC56">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一级保护区水域下边界以上的所有汇水区域，除一级保护区外的陆域范围。</w:t>
                  </w:r>
                </w:p>
              </w:tc>
            </w:tr>
            <w:tr w14:paraId="3085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95" w:type="pct"/>
                  <w:vAlign w:val="center"/>
                </w:tcPr>
                <w:p w14:paraId="59B6F4AB">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222" w:type="pct"/>
                  <w:vAlign w:val="center"/>
                </w:tcPr>
                <w:p w14:paraId="5AD536E9">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泸桥镇</w:t>
                  </w:r>
                </w:p>
              </w:tc>
              <w:tc>
                <w:tcPr>
                  <w:tcW w:w="250" w:type="pct"/>
                  <w:vAlign w:val="center"/>
                </w:tcPr>
                <w:p w14:paraId="40A86CF9">
                  <w:pPr>
                    <w:spacing w:line="240" w:lineRule="auto"/>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木角沟</w:t>
                  </w:r>
                </w:p>
              </w:tc>
              <w:tc>
                <w:tcPr>
                  <w:tcW w:w="215" w:type="pct"/>
                  <w:vAlign w:val="center"/>
                </w:tcPr>
                <w:p w14:paraId="18696E9E">
                  <w:pPr>
                    <w:spacing w:line="240" w:lineRule="auto"/>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河流</w:t>
                  </w:r>
                </w:p>
              </w:tc>
              <w:tc>
                <w:tcPr>
                  <w:tcW w:w="530" w:type="pct"/>
                  <w:vAlign w:val="center"/>
                </w:tcPr>
                <w:p w14:paraId="1FC554EE">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102°09′55.01″</w:t>
                  </w:r>
                </w:p>
              </w:tc>
              <w:tc>
                <w:tcPr>
                  <w:tcW w:w="452" w:type="pct"/>
                  <w:vAlign w:val="center"/>
                </w:tcPr>
                <w:p w14:paraId="7057E468">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29°55′08.13″</w:t>
                  </w:r>
                </w:p>
              </w:tc>
              <w:tc>
                <w:tcPr>
                  <w:tcW w:w="944" w:type="pct"/>
                  <w:vAlign w:val="center"/>
                </w:tcPr>
                <w:p w14:paraId="76E2619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取水口下游100米至取水口上游1000米，5年一遇洪水淹没的水域范围。</w:t>
                  </w:r>
                </w:p>
              </w:tc>
              <w:tc>
                <w:tcPr>
                  <w:tcW w:w="731" w:type="pct"/>
                  <w:vAlign w:val="center"/>
                </w:tcPr>
                <w:p w14:paraId="65C6C8C7">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一级保护区水域边界沿两岸水平纵深50米的陆域范围。</w:t>
                  </w:r>
                </w:p>
              </w:tc>
              <w:tc>
                <w:tcPr>
                  <w:tcW w:w="776" w:type="pct"/>
                  <w:vAlign w:val="center"/>
                </w:tcPr>
                <w:p w14:paraId="16115BED">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取水口下游300米以上，除一级保护区水域外的整个流域范围。</w:t>
                  </w:r>
                </w:p>
              </w:tc>
              <w:tc>
                <w:tcPr>
                  <w:tcW w:w="779" w:type="pct"/>
                  <w:vAlign w:val="center"/>
                </w:tcPr>
                <w:p w14:paraId="33006093">
                  <w:pPr>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一级保护区水域下边界以上的所有汇水区域，除一级保护区外的陆域范围。</w:t>
                  </w:r>
                </w:p>
              </w:tc>
            </w:tr>
          </w:tbl>
          <w:p w14:paraId="786B9FEE">
            <w:pPr>
              <w:spacing w:line="360" w:lineRule="auto"/>
              <w:ind w:firstLine="480" w:firstLineChars="200"/>
              <w:rPr>
                <w:rFonts w:hint="default" w:ascii="Times New Roman" w:hAnsi="Times New Roman" w:eastAsia="宋体" w:cs="Times New Roman"/>
                <w:snapToGrid w:val="0"/>
                <w:color w:val="000000" w:themeColor="text1"/>
                <w:kern w:val="21"/>
                <w:sz w:val="24"/>
                <w14:textFill>
                  <w14:solidFill>
                    <w14:schemeClr w14:val="tx1"/>
                  </w14:solidFill>
                </w14:textFill>
              </w:rPr>
            </w:pPr>
            <w:r>
              <w:rPr>
                <w:rFonts w:hint="default" w:ascii="Times New Roman" w:hAnsi="Times New Roman" w:eastAsia="宋体" w:cs="Times New Roman"/>
                <w:snapToGrid w:val="0"/>
                <w:color w:val="000000" w:themeColor="text1"/>
                <w:kern w:val="21"/>
                <w:sz w:val="24"/>
                <w14:textFill>
                  <w14:solidFill>
                    <w14:schemeClr w14:val="tx1"/>
                  </w14:solidFill>
                </w14:textFill>
              </w:rPr>
              <w:t>地表水保护目标如表。</w:t>
            </w:r>
          </w:p>
          <w:p w14:paraId="53E36E1D">
            <w:pPr>
              <w:pStyle w:val="155"/>
              <w:numPr>
                <w:ilvl w:val="0"/>
                <w:numId w:val="19"/>
              </w:numPr>
              <w:spacing w:line="360" w:lineRule="auto"/>
              <w:ind w:firstLineChars="0"/>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本项目饮用水水源保护区一览表</w:t>
            </w:r>
          </w:p>
          <w:tbl>
            <w:tblPr>
              <w:tblStyle w:val="5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3"/>
              <w:gridCol w:w="2753"/>
              <w:gridCol w:w="2753"/>
              <w:gridCol w:w="3313"/>
              <w:gridCol w:w="2196"/>
            </w:tblGrid>
            <w:tr w14:paraId="4257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Pr>
                <w:p w14:paraId="570423BA">
                  <w:pPr>
                    <w:spacing w:line="276" w:lineRule="auto"/>
                    <w:jc w:val="center"/>
                    <w:rPr>
                      <w:rFonts w:hint="default" w:ascii="Times New Roman" w:hAnsi="Times New Roman" w:eastAsia="宋体" w:cs="Times New Roman"/>
                      <w:b/>
                      <w:bCs/>
                      <w:snapToGrid w:val="0"/>
                      <w:color w:val="000000" w:themeColor="text1"/>
                      <w:kern w:val="21"/>
                      <w:szCs w:val="21"/>
                      <w:lang w:eastAsia="zh-CN"/>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保护目标名称</w:t>
                  </w:r>
                </w:p>
              </w:tc>
              <w:tc>
                <w:tcPr>
                  <w:tcW w:w="999" w:type="pct"/>
                </w:tcPr>
                <w:p w14:paraId="54DB8490">
                  <w:pPr>
                    <w:spacing w:line="276" w:lineRule="auto"/>
                    <w:jc w:val="center"/>
                    <w:rPr>
                      <w:rFonts w:hint="default" w:ascii="Times New Roman" w:hAnsi="Times New Roman" w:eastAsia="宋体" w:cs="Times New Roman"/>
                      <w:b/>
                      <w:bCs/>
                      <w:snapToGrid w:val="0"/>
                      <w:color w:val="000000" w:themeColor="text1"/>
                      <w:kern w:val="21"/>
                      <w:szCs w:val="21"/>
                      <w:lang w:eastAsia="zh-CN"/>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涉及保护概况</w:t>
                  </w:r>
                </w:p>
              </w:tc>
              <w:tc>
                <w:tcPr>
                  <w:tcW w:w="999" w:type="pct"/>
                </w:tcPr>
                <w:p w14:paraId="04797B08">
                  <w:pPr>
                    <w:spacing w:line="276" w:lineRule="auto"/>
                    <w:jc w:val="center"/>
                    <w:rPr>
                      <w:rFonts w:hint="default" w:ascii="Times New Roman" w:hAnsi="Times New Roman" w:eastAsia="宋体" w:cs="Times New Roman"/>
                      <w:b/>
                      <w:bCs/>
                      <w:snapToGrid w:val="0"/>
                      <w:color w:val="000000" w:themeColor="text1"/>
                      <w:kern w:val="21"/>
                      <w:szCs w:val="21"/>
                      <w:lang w:eastAsia="zh-CN"/>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与工程关系</w:t>
                  </w:r>
                </w:p>
              </w:tc>
              <w:tc>
                <w:tcPr>
                  <w:tcW w:w="1203" w:type="pct"/>
                </w:tcPr>
                <w:p w14:paraId="437198E7">
                  <w:pPr>
                    <w:spacing w:line="276" w:lineRule="auto"/>
                    <w:jc w:val="center"/>
                    <w:rPr>
                      <w:rFonts w:hint="default" w:ascii="Times New Roman" w:hAnsi="Times New Roman" w:eastAsia="宋体" w:cs="Times New Roman"/>
                      <w:b/>
                      <w:bCs/>
                      <w:snapToGrid w:val="0"/>
                      <w:color w:val="000000" w:themeColor="text1"/>
                      <w:kern w:val="21"/>
                      <w:szCs w:val="21"/>
                      <w:lang w:eastAsia="zh-CN"/>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保护要求</w:t>
                  </w:r>
                </w:p>
              </w:tc>
              <w:tc>
                <w:tcPr>
                  <w:tcW w:w="797" w:type="pct"/>
                </w:tcPr>
                <w:p w14:paraId="7803BC31">
                  <w:pPr>
                    <w:spacing w:line="276" w:lineRule="auto"/>
                    <w:jc w:val="center"/>
                    <w:rPr>
                      <w:rFonts w:hint="default" w:ascii="Times New Roman" w:hAnsi="Times New Roman" w:eastAsia="宋体" w:cs="Times New Roman"/>
                      <w:b/>
                      <w:bCs/>
                      <w:snapToGrid w:val="0"/>
                      <w:color w:val="000000" w:themeColor="text1"/>
                      <w:kern w:val="21"/>
                      <w:szCs w:val="21"/>
                      <w:lang w:eastAsia="zh-CN"/>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备注</w:t>
                  </w:r>
                </w:p>
              </w:tc>
            </w:tr>
            <w:tr w14:paraId="74E3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14:paraId="281DA2B0">
                  <w:pPr>
                    <w:spacing w:line="276" w:lineRule="auto"/>
                    <w:jc w:val="center"/>
                    <w:rPr>
                      <w:rFonts w:hint="default" w:ascii="Times New Roman" w:hAnsi="Times New Roman" w:eastAsia="宋体" w:cs="Times New Roman"/>
                      <w:snapToGrid w:val="0"/>
                      <w:color w:val="000000" w:themeColor="text1"/>
                      <w:kern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kern w:val="21"/>
                      <w:szCs w:val="21"/>
                      <w:lang w:val="en-US" w:eastAsia="zh-CN"/>
                      <w14:textFill>
                        <w14:solidFill>
                          <w14:schemeClr w14:val="tx1"/>
                        </w14:solidFill>
                      </w14:textFill>
                    </w:rPr>
                    <w:t>五里沟</w:t>
                  </w:r>
                </w:p>
              </w:tc>
              <w:tc>
                <w:tcPr>
                  <w:tcW w:w="999" w:type="pct"/>
                  <w:vAlign w:val="center"/>
                </w:tcPr>
                <w:p w14:paraId="13F71414">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地表水</w:t>
                  </w:r>
                </w:p>
              </w:tc>
              <w:tc>
                <w:tcPr>
                  <w:tcW w:w="999" w:type="pct"/>
                  <w:vAlign w:val="center"/>
                </w:tcPr>
                <w:p w14:paraId="08CA0A74">
                  <w:pPr>
                    <w:spacing w:line="276" w:lineRule="auto"/>
                    <w:jc w:val="center"/>
                    <w:rPr>
                      <w:rFonts w:hint="default" w:ascii="Times New Roman" w:hAnsi="Times New Roman" w:eastAsia="宋体" w:cs="Times New Roman"/>
                      <w:snapToGrid w:val="0"/>
                      <w:color w:val="000000" w:themeColor="text1"/>
                      <w:kern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Cs w:val="21"/>
                      <w:lang w:val="en-US" w:eastAsia="zh-CN"/>
                      <w14:textFill>
                        <w14:solidFill>
                          <w14:schemeClr w14:val="tx1"/>
                        </w14:solidFill>
                      </w14:textFill>
                    </w:rPr>
                    <w:t>项目取水口所在河流</w:t>
                  </w:r>
                </w:p>
              </w:tc>
              <w:tc>
                <w:tcPr>
                  <w:tcW w:w="1203" w:type="pct"/>
                  <w:vMerge w:val="restart"/>
                  <w:vAlign w:val="center"/>
                </w:tcPr>
                <w:p w14:paraId="49FFA6AF">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《地表水环境质量标准》（GB3838-2002）中</w:t>
                  </w:r>
                  <w:r>
                    <w:rPr>
                      <w:rFonts w:hint="eastAsia" w:ascii="Times New Roman" w:hAnsi="Times New Roman" w:cs="Times New Roman"/>
                      <w:snapToGrid w:val="0"/>
                      <w:color w:val="000000" w:themeColor="text1"/>
                      <w:kern w:val="21"/>
                      <w:szCs w:val="21"/>
                      <w:lang w:val="en-US" w:eastAsia="zh-CN"/>
                      <w14:textFill>
                        <w14:solidFill>
                          <w14:schemeClr w14:val="tx1"/>
                        </w14:solidFill>
                      </w14:textFill>
                    </w:rPr>
                    <w:t>III</w:t>
                  </w:r>
                  <w:r>
                    <w:rPr>
                      <w:rFonts w:hint="default" w:ascii="Times New Roman" w:hAnsi="Times New Roman" w:eastAsia="宋体" w:cs="Times New Roman"/>
                      <w:snapToGrid w:val="0"/>
                      <w:color w:val="000000" w:themeColor="text1"/>
                      <w:kern w:val="21"/>
                      <w:szCs w:val="21"/>
                      <w14:textFill>
                        <w14:solidFill>
                          <w14:schemeClr w14:val="tx1"/>
                        </w14:solidFill>
                      </w14:textFill>
                    </w:rPr>
                    <w:t>类标准</w:t>
                  </w:r>
                </w:p>
              </w:tc>
              <w:tc>
                <w:tcPr>
                  <w:tcW w:w="797" w:type="pct"/>
                  <w:vAlign w:val="center"/>
                </w:tcPr>
                <w:p w14:paraId="6FAA574C">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w:t>
                  </w:r>
                </w:p>
              </w:tc>
            </w:tr>
            <w:tr w14:paraId="7FBC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14:paraId="657A73EF">
                  <w:pPr>
                    <w:spacing w:line="276" w:lineRule="auto"/>
                    <w:jc w:val="center"/>
                    <w:rPr>
                      <w:rFonts w:hint="default" w:ascii="Times New Roman" w:hAnsi="Times New Roman" w:eastAsia="宋体" w:cs="Times New Roman"/>
                      <w:snapToGrid w:val="0"/>
                      <w:color w:val="000000" w:themeColor="text1"/>
                      <w:kern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kern w:val="21"/>
                      <w:szCs w:val="21"/>
                      <w:lang w:val="en-US" w:eastAsia="zh-CN"/>
                      <w14:textFill>
                        <w14:solidFill>
                          <w14:schemeClr w14:val="tx1"/>
                        </w14:solidFill>
                      </w14:textFill>
                    </w:rPr>
                    <w:t>大渡河</w:t>
                  </w:r>
                </w:p>
              </w:tc>
              <w:tc>
                <w:tcPr>
                  <w:tcW w:w="999" w:type="pct"/>
                  <w:vAlign w:val="center"/>
                </w:tcPr>
                <w:p w14:paraId="25BE873F">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地表水</w:t>
                  </w:r>
                </w:p>
              </w:tc>
              <w:tc>
                <w:tcPr>
                  <w:tcW w:w="999" w:type="pct"/>
                  <w:vAlign w:val="center"/>
                </w:tcPr>
                <w:p w14:paraId="19573330">
                  <w:pPr>
                    <w:spacing w:line="276" w:lineRule="auto"/>
                    <w:jc w:val="center"/>
                    <w:rPr>
                      <w:rFonts w:hint="default" w:ascii="Times New Roman" w:hAnsi="Times New Roman" w:eastAsia="宋体" w:cs="Times New Roman"/>
                      <w:snapToGrid w:val="0"/>
                      <w:color w:val="000000" w:themeColor="text1"/>
                      <w:kern w:val="21"/>
                      <w:szCs w:val="21"/>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21"/>
                      <w:szCs w:val="21"/>
                      <w:lang w:val="en-US" w:eastAsia="zh-CN"/>
                      <w14:textFill>
                        <w14:solidFill>
                          <w14:schemeClr w14:val="tx1"/>
                        </w14:solidFill>
                      </w14:textFill>
                    </w:rPr>
                    <w:t>五里沟汇入大渡河</w:t>
                  </w:r>
                </w:p>
              </w:tc>
              <w:tc>
                <w:tcPr>
                  <w:tcW w:w="1203" w:type="pct"/>
                  <w:vMerge w:val="continue"/>
                  <w:vAlign w:val="center"/>
                </w:tcPr>
                <w:p w14:paraId="41536DDD">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p>
              </w:tc>
              <w:tc>
                <w:tcPr>
                  <w:tcW w:w="797" w:type="pct"/>
                  <w:vAlign w:val="center"/>
                </w:tcPr>
                <w:p w14:paraId="38AA7E51">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w:t>
                  </w:r>
                </w:p>
              </w:tc>
            </w:tr>
          </w:tbl>
          <w:p w14:paraId="63EBF4C6">
            <w:pPr>
              <w:spacing w:line="360" w:lineRule="auto"/>
              <w:ind w:firstLine="482" w:firstLineChars="200"/>
              <w:rPr>
                <w:rFonts w:hint="default" w:ascii="Times New Roman" w:hAnsi="Times New Roman" w:eastAsia="宋体" w:cs="Times New Roman"/>
                <w:b/>
                <w:color w:val="000000" w:themeColor="text1"/>
                <w:sz w:val="24"/>
                <w:szCs w:val="28"/>
                <w14:textFill>
                  <w14:solidFill>
                    <w14:schemeClr w14:val="tx1"/>
                  </w14:solidFill>
                </w14:textFill>
              </w:rPr>
            </w:pPr>
            <w:r>
              <w:rPr>
                <w:rFonts w:hint="default" w:ascii="Times New Roman" w:hAnsi="Times New Roman" w:eastAsia="宋体" w:cs="Times New Roman"/>
                <w:b/>
                <w:color w:val="000000" w:themeColor="text1"/>
                <w:sz w:val="24"/>
                <w:szCs w:val="28"/>
                <w14:textFill>
                  <w14:solidFill>
                    <w14:schemeClr w14:val="tx1"/>
                  </w14:solidFill>
                </w14:textFill>
              </w:rPr>
              <w:t>3、声环境</w:t>
            </w:r>
          </w:p>
          <w:p w14:paraId="6E1A3E26">
            <w:pPr>
              <w:spacing w:line="360" w:lineRule="auto"/>
              <w:ind w:firstLine="48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w:t>
            </w:r>
            <w:r>
              <w:rPr>
                <w:rFonts w:hint="default" w:ascii="Times New Roman" w:hAnsi="Times New Roman" w:eastAsia="宋体" w:cs="Times New Roman"/>
                <w:color w:val="000000" w:themeColor="text1"/>
                <w:sz w:val="24"/>
                <w:lang w:val="en-US" w:eastAsia="zh-CN"/>
                <w14:textFill>
                  <w14:solidFill>
                    <w14:schemeClr w14:val="tx1"/>
                  </w14:solidFill>
                </w14:textFill>
              </w:rPr>
              <w:t>管线</w:t>
            </w:r>
            <w:r>
              <w:rPr>
                <w:rFonts w:hint="default" w:ascii="Times New Roman" w:hAnsi="Times New Roman" w:eastAsia="宋体" w:cs="Times New Roman"/>
                <w:color w:val="000000" w:themeColor="text1"/>
                <w:sz w:val="24"/>
                <w14:textFill>
                  <w14:solidFill>
                    <w14:schemeClr w14:val="tx1"/>
                  </w14:solidFill>
                </w14:textFill>
              </w:rPr>
              <w:t>周边50m范围内居民。项目位于声环境功能2类区，执行《声环境质量标准》（GB3096-2008）2类标准。</w:t>
            </w:r>
          </w:p>
          <w:p w14:paraId="096E031C">
            <w:pPr>
              <w:pStyle w:val="155"/>
              <w:numPr>
                <w:ilvl w:val="0"/>
                <w:numId w:val="19"/>
              </w:numPr>
              <w:spacing w:line="360" w:lineRule="auto"/>
              <w:ind w:firstLineChars="0"/>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本项目管线</w:t>
            </w:r>
            <w:r>
              <w:rPr>
                <w:rFonts w:hint="default" w:ascii="Times New Roman" w:hAnsi="Times New Roman" w:eastAsia="宋体" w:cs="Times New Roman"/>
                <w:b/>
                <w:color w:val="000000" w:themeColor="text1"/>
                <w:szCs w:val="21"/>
                <w:lang w:val="en-US" w:eastAsia="zh-CN"/>
                <w14:textFill>
                  <w14:solidFill>
                    <w14:schemeClr w14:val="tx1"/>
                  </w14:solidFill>
                </w14:textFill>
              </w:rPr>
              <w:t>声</w:t>
            </w:r>
            <w:r>
              <w:rPr>
                <w:rFonts w:hint="default" w:ascii="Times New Roman" w:hAnsi="Times New Roman" w:eastAsia="宋体" w:cs="Times New Roman"/>
                <w:b/>
                <w:color w:val="000000" w:themeColor="text1"/>
                <w:szCs w:val="21"/>
                <w14:textFill>
                  <w14:solidFill>
                    <w14:schemeClr w14:val="tx1"/>
                  </w14:solidFill>
                </w14:textFill>
              </w:rPr>
              <w:t>环境主要保护目标表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586"/>
              <w:gridCol w:w="2123"/>
              <w:gridCol w:w="2127"/>
              <w:gridCol w:w="1601"/>
              <w:gridCol w:w="1455"/>
              <w:gridCol w:w="1020"/>
              <w:gridCol w:w="1170"/>
              <w:gridCol w:w="1686"/>
            </w:tblGrid>
            <w:tr w14:paraId="28D0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Merge w:val="restart"/>
                  <w:vAlign w:val="center"/>
                </w:tcPr>
                <w:p w14:paraId="38F072A9">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保护目标</w:t>
                  </w:r>
                </w:p>
                <w:p w14:paraId="7EFD16E4">
                  <w:pPr>
                    <w:spacing w:line="240"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名称</w:t>
                  </w:r>
                </w:p>
              </w:tc>
              <w:tc>
                <w:tcPr>
                  <w:tcW w:w="1543" w:type="pct"/>
                  <w:gridSpan w:val="2"/>
                  <w:vAlign w:val="center"/>
                </w:tcPr>
                <w:p w14:paraId="63EE7258">
                  <w:pPr>
                    <w:spacing w:line="240"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国家2000</w:t>
                  </w:r>
                  <w:r>
                    <w:rPr>
                      <w:rFonts w:hint="default" w:ascii="Times New Roman" w:hAnsi="Times New Roman" w:eastAsia="宋体" w:cs="Times New Roman"/>
                      <w:color w:val="000000" w:themeColor="text1"/>
                      <w:szCs w:val="21"/>
                      <w:lang w:val="en-US" w:eastAsia="zh-CN"/>
                      <w14:textFill>
                        <w14:solidFill>
                          <w14:schemeClr w14:val="tx1"/>
                        </w14:solidFill>
                      </w14:textFill>
                    </w:rPr>
                    <w:t>经纬度坐标</w:t>
                  </w:r>
                </w:p>
              </w:tc>
              <w:tc>
                <w:tcPr>
                  <w:tcW w:w="581" w:type="pct"/>
                  <w:vMerge w:val="restart"/>
                  <w:vAlign w:val="center"/>
                </w:tcPr>
                <w:p w14:paraId="09D89C41">
                  <w:pPr>
                    <w:spacing w:line="240"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性质</w:t>
                  </w:r>
                </w:p>
              </w:tc>
              <w:tc>
                <w:tcPr>
                  <w:tcW w:w="528" w:type="pct"/>
                  <w:vMerge w:val="restart"/>
                  <w:vAlign w:val="center"/>
                </w:tcPr>
                <w:p w14:paraId="164F8031">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保护内容</w:t>
                  </w:r>
                </w:p>
              </w:tc>
              <w:tc>
                <w:tcPr>
                  <w:tcW w:w="370" w:type="pct"/>
                  <w:vMerge w:val="restart"/>
                  <w:vAlign w:val="center"/>
                </w:tcPr>
                <w:p w14:paraId="415EA40D">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环境</w:t>
                  </w:r>
                </w:p>
                <w:p w14:paraId="7BE604AA">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功能区</w:t>
                  </w:r>
                </w:p>
              </w:tc>
              <w:tc>
                <w:tcPr>
                  <w:tcW w:w="424" w:type="pct"/>
                  <w:vMerge w:val="restart"/>
                  <w:vAlign w:val="center"/>
                </w:tcPr>
                <w:p w14:paraId="3530E8D6">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相对项目方位</w:t>
                  </w:r>
                </w:p>
              </w:tc>
              <w:tc>
                <w:tcPr>
                  <w:tcW w:w="612" w:type="pct"/>
                  <w:vMerge w:val="restart"/>
                  <w:vAlign w:val="center"/>
                </w:tcPr>
                <w:p w14:paraId="0C7F340E">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距项目最近距</w:t>
                  </w:r>
                </w:p>
                <w:p w14:paraId="3CC78503">
                  <w:pPr>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离/m</w:t>
                  </w:r>
                </w:p>
              </w:tc>
            </w:tr>
            <w:tr w14:paraId="6A1F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9" w:type="pct"/>
                  <w:vMerge w:val="continue"/>
                  <w:vAlign w:val="center"/>
                </w:tcPr>
                <w:p w14:paraId="52EBF36A">
                  <w:pPr>
                    <w:spacing w:line="276"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p>
              </w:tc>
              <w:tc>
                <w:tcPr>
                  <w:tcW w:w="770" w:type="pct"/>
                  <w:vAlign w:val="center"/>
                </w:tcPr>
                <w:p w14:paraId="6A8CEEB8">
                  <w:pPr>
                    <w:spacing w:line="276"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经度</w:t>
                  </w:r>
                </w:p>
              </w:tc>
              <w:tc>
                <w:tcPr>
                  <w:tcW w:w="772" w:type="pct"/>
                  <w:vAlign w:val="center"/>
                </w:tcPr>
                <w:p w14:paraId="58223AB4">
                  <w:pPr>
                    <w:spacing w:line="276" w:lineRule="auto"/>
                    <w:jc w:val="center"/>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纬度</w:t>
                  </w:r>
                </w:p>
              </w:tc>
              <w:tc>
                <w:tcPr>
                  <w:tcW w:w="581" w:type="pct"/>
                  <w:vMerge w:val="continue"/>
                  <w:vAlign w:val="center"/>
                </w:tcPr>
                <w:p w14:paraId="0C7C5C44">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p>
              </w:tc>
              <w:tc>
                <w:tcPr>
                  <w:tcW w:w="528" w:type="pct"/>
                  <w:vMerge w:val="continue"/>
                  <w:vAlign w:val="center"/>
                </w:tcPr>
                <w:p w14:paraId="0010A582">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p>
              </w:tc>
              <w:tc>
                <w:tcPr>
                  <w:tcW w:w="370" w:type="pct"/>
                  <w:vMerge w:val="continue"/>
                  <w:vAlign w:val="center"/>
                </w:tcPr>
                <w:p w14:paraId="216A19F7">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p>
              </w:tc>
              <w:tc>
                <w:tcPr>
                  <w:tcW w:w="424" w:type="pct"/>
                  <w:vMerge w:val="continue"/>
                  <w:vAlign w:val="center"/>
                </w:tcPr>
                <w:p w14:paraId="2FA5A370">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p>
              </w:tc>
              <w:tc>
                <w:tcPr>
                  <w:tcW w:w="612" w:type="pct"/>
                  <w:vMerge w:val="continue"/>
                  <w:vAlign w:val="center"/>
                </w:tcPr>
                <w:p w14:paraId="2935951E">
                  <w:pPr>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p>
              </w:tc>
            </w:tr>
            <w:tr w14:paraId="0427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0ACDB5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体育馆</w:t>
                  </w:r>
                </w:p>
              </w:tc>
              <w:tc>
                <w:tcPr>
                  <w:tcW w:w="770" w:type="pct"/>
                  <w:vAlign w:val="center"/>
                </w:tcPr>
                <w:p w14:paraId="6EA323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102.242335</w:t>
                  </w:r>
                </w:p>
              </w:tc>
              <w:tc>
                <w:tcPr>
                  <w:tcW w:w="772" w:type="pct"/>
                  <w:vAlign w:val="center"/>
                </w:tcPr>
                <w:p w14:paraId="3C0F44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29.950993</w:t>
                  </w:r>
                </w:p>
              </w:tc>
              <w:tc>
                <w:tcPr>
                  <w:tcW w:w="581" w:type="pct"/>
                  <w:vAlign w:val="center"/>
                </w:tcPr>
                <w:p w14:paraId="556ECD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文化</w:t>
                  </w:r>
                </w:p>
              </w:tc>
              <w:tc>
                <w:tcPr>
                  <w:tcW w:w="528" w:type="pct"/>
                  <w:vAlign w:val="center"/>
                </w:tcPr>
                <w:p w14:paraId="7968A2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w:t>
                  </w:r>
                </w:p>
              </w:tc>
              <w:tc>
                <w:tcPr>
                  <w:tcW w:w="370" w:type="pct"/>
                  <w:vAlign w:val="center"/>
                </w:tcPr>
                <w:p w14:paraId="6C5AD7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13561C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北</w:t>
                  </w:r>
                </w:p>
              </w:tc>
              <w:tc>
                <w:tcPr>
                  <w:tcW w:w="612" w:type="pct"/>
                  <w:vAlign w:val="center"/>
                </w:tcPr>
                <w:p w14:paraId="10C98A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38</w:t>
                  </w:r>
                  <w:r>
                    <w:rPr>
                      <w:rFonts w:hint="default" w:ascii="Times New Roman" w:hAnsi="Times New Roman" w:eastAsia="宋体" w:cs="Times New Roman"/>
                      <w:color w:val="000000" w:themeColor="text1"/>
                      <w:szCs w:val="21"/>
                      <w14:textFill>
                        <w14:solidFill>
                          <w14:schemeClr w14:val="tx1"/>
                        </w14:solidFill>
                      </w14:textFill>
                    </w:rPr>
                    <w:t>m</w:t>
                  </w:r>
                </w:p>
              </w:tc>
            </w:tr>
            <w:tr w14:paraId="2BC0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390AC6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散户居民</w:t>
                  </w:r>
                </w:p>
              </w:tc>
              <w:tc>
                <w:tcPr>
                  <w:tcW w:w="770" w:type="pct"/>
                  <w:vAlign w:val="center"/>
                </w:tcPr>
                <w:p w14:paraId="415C23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102.230434</w:t>
                  </w:r>
                </w:p>
              </w:tc>
              <w:tc>
                <w:tcPr>
                  <w:tcW w:w="772" w:type="pct"/>
                  <w:vAlign w:val="center"/>
                </w:tcPr>
                <w:p w14:paraId="5D9B69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29.940934</w:t>
                  </w:r>
                </w:p>
              </w:tc>
              <w:tc>
                <w:tcPr>
                  <w:tcW w:w="581" w:type="pct"/>
                  <w:vAlign w:val="center"/>
                </w:tcPr>
                <w:p w14:paraId="208BCD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642F67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约</w:t>
                  </w:r>
                  <w:r>
                    <w:rPr>
                      <w:rFonts w:hint="default" w:ascii="Times New Roman" w:hAnsi="Times New Roman" w:eastAsia="宋体" w:cs="Times New Roman"/>
                      <w:color w:val="000000" w:themeColor="text1"/>
                      <w:szCs w:val="21"/>
                      <w:lang w:val="en-US" w:eastAsia="zh-CN"/>
                      <w14:textFill>
                        <w14:solidFill>
                          <w14:schemeClr w14:val="tx1"/>
                        </w14:solidFill>
                      </w14:textFill>
                    </w:rPr>
                    <w:t>4</w:t>
                  </w:r>
                  <w:r>
                    <w:rPr>
                      <w:rFonts w:hint="default" w:ascii="Times New Roman" w:hAnsi="Times New Roman" w:eastAsia="宋体" w:cs="Times New Roman"/>
                      <w:color w:val="000000" w:themeColor="text1"/>
                      <w:szCs w:val="21"/>
                      <w14:textFill>
                        <w14:solidFill>
                          <w14:schemeClr w14:val="tx1"/>
                        </w14:solidFill>
                      </w14:textFill>
                    </w:rPr>
                    <w:t>0人</w:t>
                  </w:r>
                </w:p>
              </w:tc>
              <w:tc>
                <w:tcPr>
                  <w:tcW w:w="370" w:type="pct"/>
                  <w:vAlign w:val="center"/>
                </w:tcPr>
                <w:p w14:paraId="362071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5993CC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东</w:t>
                  </w:r>
                </w:p>
              </w:tc>
              <w:tc>
                <w:tcPr>
                  <w:tcW w:w="612" w:type="pct"/>
                  <w:vAlign w:val="center"/>
                </w:tcPr>
                <w:p w14:paraId="1722C6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12</w:t>
                  </w:r>
                  <w:r>
                    <w:rPr>
                      <w:rFonts w:hint="default" w:ascii="Times New Roman" w:hAnsi="Times New Roman" w:eastAsia="宋体" w:cs="Times New Roman"/>
                      <w:color w:val="000000" w:themeColor="text1"/>
                      <w:szCs w:val="21"/>
                      <w14:textFill>
                        <w14:solidFill>
                          <w14:schemeClr w14:val="tx1"/>
                        </w14:solidFill>
                      </w14:textFill>
                    </w:rPr>
                    <w:t>m</w:t>
                  </w:r>
                </w:p>
              </w:tc>
            </w:tr>
            <w:tr w14:paraId="41BA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77557E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四湾</w:t>
                  </w:r>
                </w:p>
              </w:tc>
              <w:tc>
                <w:tcPr>
                  <w:tcW w:w="770" w:type="pct"/>
                  <w:vAlign w:val="center"/>
                </w:tcPr>
                <w:p w14:paraId="0C4293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102.232722</w:t>
                  </w:r>
                </w:p>
              </w:tc>
              <w:tc>
                <w:tcPr>
                  <w:tcW w:w="772" w:type="pct"/>
                  <w:vAlign w:val="center"/>
                </w:tcPr>
                <w:p w14:paraId="7536E7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29.938966</w:t>
                  </w:r>
                </w:p>
              </w:tc>
              <w:tc>
                <w:tcPr>
                  <w:tcW w:w="581" w:type="pct"/>
                  <w:vAlign w:val="center"/>
                </w:tcPr>
                <w:p w14:paraId="065EF0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79CBF1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约300人</w:t>
                  </w:r>
                </w:p>
              </w:tc>
              <w:tc>
                <w:tcPr>
                  <w:tcW w:w="370" w:type="pct"/>
                  <w:vAlign w:val="center"/>
                </w:tcPr>
                <w:p w14:paraId="75A745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6AC6D6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东</w:t>
                  </w:r>
                </w:p>
              </w:tc>
              <w:tc>
                <w:tcPr>
                  <w:tcW w:w="612" w:type="pct"/>
                  <w:vAlign w:val="center"/>
                </w:tcPr>
                <w:p w14:paraId="625952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r>
                    <w:rPr>
                      <w:rFonts w:hint="default" w:ascii="Times New Roman" w:hAnsi="Times New Roman" w:eastAsia="宋体" w:cs="Times New Roman"/>
                      <w:color w:val="000000" w:themeColor="text1"/>
                      <w:szCs w:val="21"/>
                      <w:lang w:val="en-US" w:eastAsia="zh-CN"/>
                      <w14:textFill>
                        <w14:solidFill>
                          <w14:schemeClr w14:val="tx1"/>
                        </w14:solidFill>
                      </w14:textFill>
                    </w:rPr>
                    <w:t>1</w:t>
                  </w:r>
                  <w:r>
                    <w:rPr>
                      <w:rFonts w:hint="default" w:ascii="Times New Roman" w:hAnsi="Times New Roman" w:eastAsia="宋体" w:cs="Times New Roman"/>
                      <w:color w:val="000000" w:themeColor="text1"/>
                      <w:szCs w:val="21"/>
                      <w14:textFill>
                        <w14:solidFill>
                          <w14:schemeClr w14:val="tx1"/>
                        </w14:solidFill>
                      </w14:textFill>
                    </w:rPr>
                    <w:t>m</w:t>
                  </w:r>
                </w:p>
              </w:tc>
            </w:tr>
            <w:tr w14:paraId="17BE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3E5016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偏桥子</w:t>
                  </w:r>
                </w:p>
              </w:tc>
              <w:tc>
                <w:tcPr>
                  <w:tcW w:w="770" w:type="pct"/>
                  <w:vAlign w:val="center"/>
                </w:tcPr>
                <w:p w14:paraId="628C95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102.231419</w:t>
                  </w:r>
                </w:p>
              </w:tc>
              <w:tc>
                <w:tcPr>
                  <w:tcW w:w="772" w:type="pct"/>
                  <w:vAlign w:val="center"/>
                </w:tcPr>
                <w:p w14:paraId="6C0B89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29.936584</w:t>
                  </w:r>
                </w:p>
              </w:tc>
              <w:tc>
                <w:tcPr>
                  <w:tcW w:w="581" w:type="pct"/>
                  <w:vAlign w:val="center"/>
                </w:tcPr>
                <w:p w14:paraId="24F672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375154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约15人</w:t>
                  </w:r>
                </w:p>
              </w:tc>
              <w:tc>
                <w:tcPr>
                  <w:tcW w:w="370" w:type="pct"/>
                  <w:vAlign w:val="center"/>
                </w:tcPr>
                <w:p w14:paraId="5043A5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070DB8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东</w:t>
                  </w:r>
                </w:p>
              </w:tc>
              <w:tc>
                <w:tcPr>
                  <w:tcW w:w="612" w:type="pct"/>
                  <w:vAlign w:val="center"/>
                </w:tcPr>
                <w:p w14:paraId="7BF021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30</w:t>
                  </w:r>
                  <w:r>
                    <w:rPr>
                      <w:rFonts w:hint="default" w:ascii="Times New Roman" w:hAnsi="Times New Roman" w:eastAsia="宋体" w:cs="Times New Roman"/>
                      <w:color w:val="000000" w:themeColor="text1"/>
                      <w:szCs w:val="21"/>
                      <w14:textFill>
                        <w14:solidFill>
                          <w14:schemeClr w14:val="tx1"/>
                        </w14:solidFill>
                      </w14:textFill>
                    </w:rPr>
                    <w:t>m</w:t>
                  </w:r>
                </w:p>
              </w:tc>
            </w:tr>
            <w:tr w14:paraId="020C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6A9534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安置小区</w:t>
                  </w:r>
                </w:p>
              </w:tc>
              <w:tc>
                <w:tcPr>
                  <w:tcW w:w="770" w:type="pct"/>
                  <w:vAlign w:val="center"/>
                </w:tcPr>
                <w:p w14:paraId="705CF0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102.229906</w:t>
                  </w:r>
                </w:p>
              </w:tc>
              <w:tc>
                <w:tcPr>
                  <w:tcW w:w="772" w:type="pct"/>
                  <w:vAlign w:val="center"/>
                </w:tcPr>
                <w:p w14:paraId="3062F1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29.928677</w:t>
                  </w:r>
                </w:p>
              </w:tc>
              <w:tc>
                <w:tcPr>
                  <w:tcW w:w="581" w:type="pct"/>
                  <w:vAlign w:val="center"/>
                </w:tcPr>
                <w:p w14:paraId="7F9B5C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744601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约600人</w:t>
                  </w:r>
                </w:p>
              </w:tc>
              <w:tc>
                <w:tcPr>
                  <w:tcW w:w="370" w:type="pct"/>
                  <w:vAlign w:val="center"/>
                </w:tcPr>
                <w:p w14:paraId="5A81CD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5AA27F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西</w:t>
                  </w:r>
                </w:p>
              </w:tc>
              <w:tc>
                <w:tcPr>
                  <w:tcW w:w="612" w:type="pct"/>
                  <w:vAlign w:val="center"/>
                </w:tcPr>
                <w:p w14:paraId="15852F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r>
                    <w:rPr>
                      <w:rFonts w:hint="default" w:ascii="Times New Roman" w:hAnsi="Times New Roman" w:eastAsia="宋体" w:cs="Times New Roman"/>
                      <w:color w:val="000000" w:themeColor="text1"/>
                      <w:szCs w:val="21"/>
                      <w:lang w:val="en-US" w:eastAsia="zh-CN"/>
                      <w14:textFill>
                        <w14:solidFill>
                          <w14:schemeClr w14:val="tx1"/>
                        </w14:solidFill>
                      </w14:textFill>
                    </w:rPr>
                    <w:t>3</w:t>
                  </w:r>
                  <w:r>
                    <w:rPr>
                      <w:rFonts w:hint="default" w:ascii="Times New Roman" w:hAnsi="Times New Roman" w:eastAsia="宋体" w:cs="Times New Roman"/>
                      <w:color w:val="000000" w:themeColor="text1"/>
                      <w:szCs w:val="21"/>
                      <w14:textFill>
                        <w14:solidFill>
                          <w14:schemeClr w14:val="tx1"/>
                        </w14:solidFill>
                      </w14:textFill>
                    </w:rPr>
                    <w:t>m</w:t>
                  </w:r>
                </w:p>
              </w:tc>
            </w:tr>
            <w:tr w14:paraId="0B73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66E3AB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新桥村1</w:t>
                  </w:r>
                </w:p>
              </w:tc>
              <w:tc>
                <w:tcPr>
                  <w:tcW w:w="770" w:type="pct"/>
                  <w:vAlign w:val="center"/>
                </w:tcPr>
                <w:p w14:paraId="5A91C8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102.229547</w:t>
                  </w:r>
                </w:p>
              </w:tc>
              <w:tc>
                <w:tcPr>
                  <w:tcW w:w="772" w:type="pct"/>
                  <w:vAlign w:val="center"/>
                </w:tcPr>
                <w:p w14:paraId="0E41D8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29.925619</w:t>
                  </w:r>
                </w:p>
              </w:tc>
              <w:tc>
                <w:tcPr>
                  <w:tcW w:w="581" w:type="pct"/>
                  <w:vAlign w:val="center"/>
                </w:tcPr>
                <w:p w14:paraId="1EF123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5ABBD0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约800人</w:t>
                  </w:r>
                </w:p>
              </w:tc>
              <w:tc>
                <w:tcPr>
                  <w:tcW w:w="370" w:type="pct"/>
                  <w:vAlign w:val="center"/>
                </w:tcPr>
                <w:p w14:paraId="627527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38492D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西</w:t>
                  </w:r>
                </w:p>
              </w:tc>
              <w:tc>
                <w:tcPr>
                  <w:tcW w:w="612" w:type="pct"/>
                  <w:vAlign w:val="center"/>
                </w:tcPr>
                <w:p w14:paraId="0DCD58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r>
                    <w:rPr>
                      <w:rFonts w:hint="default" w:ascii="Times New Roman" w:hAnsi="Times New Roman" w:eastAsia="宋体" w:cs="Times New Roman"/>
                      <w:color w:val="000000" w:themeColor="text1"/>
                      <w:szCs w:val="21"/>
                      <w:lang w:val="en-US" w:eastAsia="zh-CN"/>
                      <w14:textFill>
                        <w14:solidFill>
                          <w14:schemeClr w14:val="tx1"/>
                        </w14:solidFill>
                      </w14:textFill>
                    </w:rPr>
                    <w:t>0</w:t>
                  </w:r>
                  <w:r>
                    <w:rPr>
                      <w:rFonts w:hint="default" w:ascii="Times New Roman" w:hAnsi="Times New Roman" w:eastAsia="宋体" w:cs="Times New Roman"/>
                      <w:color w:val="000000" w:themeColor="text1"/>
                      <w:szCs w:val="21"/>
                      <w14:textFill>
                        <w14:solidFill>
                          <w14:schemeClr w14:val="tx1"/>
                        </w14:solidFill>
                      </w14:textFill>
                    </w:rPr>
                    <w:t>m</w:t>
                  </w:r>
                </w:p>
              </w:tc>
            </w:tr>
            <w:tr w14:paraId="4160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602F6D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新桥村2</w:t>
                  </w:r>
                </w:p>
              </w:tc>
              <w:tc>
                <w:tcPr>
                  <w:tcW w:w="770" w:type="pct"/>
                  <w:vAlign w:val="center"/>
                </w:tcPr>
                <w:p w14:paraId="116944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102.229868</w:t>
                  </w:r>
                </w:p>
              </w:tc>
              <w:tc>
                <w:tcPr>
                  <w:tcW w:w="772" w:type="pct"/>
                  <w:vAlign w:val="center"/>
                </w:tcPr>
                <w:p w14:paraId="6226EE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29.925683</w:t>
                  </w:r>
                </w:p>
              </w:tc>
              <w:tc>
                <w:tcPr>
                  <w:tcW w:w="581" w:type="pct"/>
                  <w:vAlign w:val="center"/>
                </w:tcPr>
                <w:p w14:paraId="239E00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5FFA6D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约150人</w:t>
                  </w:r>
                </w:p>
              </w:tc>
              <w:tc>
                <w:tcPr>
                  <w:tcW w:w="370" w:type="pct"/>
                  <w:vAlign w:val="center"/>
                </w:tcPr>
                <w:p w14:paraId="585DDD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0E7D86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东</w:t>
                  </w:r>
                </w:p>
              </w:tc>
              <w:tc>
                <w:tcPr>
                  <w:tcW w:w="612" w:type="pct"/>
                  <w:vAlign w:val="center"/>
                </w:tcPr>
                <w:p w14:paraId="766B4F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1m</w:t>
                  </w:r>
                </w:p>
              </w:tc>
            </w:tr>
            <w:tr w14:paraId="3EDF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5C8E42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泸定桥小学</w:t>
                  </w:r>
                </w:p>
              </w:tc>
              <w:tc>
                <w:tcPr>
                  <w:tcW w:w="770" w:type="pct"/>
                  <w:vAlign w:val="center"/>
                </w:tcPr>
                <w:p w14:paraId="1B34E0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102.229789</w:t>
                  </w:r>
                </w:p>
              </w:tc>
              <w:tc>
                <w:tcPr>
                  <w:tcW w:w="772" w:type="pct"/>
                  <w:vAlign w:val="center"/>
                </w:tcPr>
                <w:p w14:paraId="707B99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29.920391</w:t>
                  </w:r>
                </w:p>
              </w:tc>
              <w:tc>
                <w:tcPr>
                  <w:tcW w:w="581" w:type="pct"/>
                  <w:vAlign w:val="center"/>
                </w:tcPr>
                <w:p w14:paraId="69C9EC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教育</w:t>
                  </w:r>
                </w:p>
              </w:tc>
              <w:tc>
                <w:tcPr>
                  <w:tcW w:w="528" w:type="pct"/>
                  <w:vAlign w:val="center"/>
                </w:tcPr>
                <w:p w14:paraId="039F26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约100人</w:t>
                  </w:r>
                </w:p>
              </w:tc>
              <w:tc>
                <w:tcPr>
                  <w:tcW w:w="370" w:type="pct"/>
                  <w:vAlign w:val="center"/>
                </w:tcPr>
                <w:p w14:paraId="2FCB8F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41ECBA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东</w:t>
                  </w:r>
                </w:p>
              </w:tc>
              <w:tc>
                <w:tcPr>
                  <w:tcW w:w="612" w:type="pct"/>
                  <w:vAlign w:val="center"/>
                </w:tcPr>
                <w:p w14:paraId="28EDBB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2m</w:t>
                  </w:r>
                </w:p>
              </w:tc>
            </w:tr>
            <w:tr w14:paraId="6D84C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5C7F3A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泸定县1</w:t>
                  </w:r>
                </w:p>
              </w:tc>
              <w:tc>
                <w:tcPr>
                  <w:tcW w:w="770" w:type="pct"/>
                  <w:vAlign w:val="center"/>
                </w:tcPr>
                <w:p w14:paraId="30422A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102.231344</w:t>
                  </w:r>
                </w:p>
              </w:tc>
              <w:tc>
                <w:tcPr>
                  <w:tcW w:w="772" w:type="pct"/>
                  <w:vAlign w:val="center"/>
                </w:tcPr>
                <w:p w14:paraId="5FF052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29.918975</w:t>
                  </w:r>
                </w:p>
              </w:tc>
              <w:tc>
                <w:tcPr>
                  <w:tcW w:w="581" w:type="pct"/>
                  <w:vAlign w:val="center"/>
                </w:tcPr>
                <w:p w14:paraId="39B421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3CD192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约300人</w:t>
                  </w:r>
                </w:p>
              </w:tc>
              <w:tc>
                <w:tcPr>
                  <w:tcW w:w="370" w:type="pct"/>
                  <w:vAlign w:val="center"/>
                </w:tcPr>
                <w:p w14:paraId="1E9C26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426712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西</w:t>
                  </w:r>
                </w:p>
              </w:tc>
              <w:tc>
                <w:tcPr>
                  <w:tcW w:w="612" w:type="pct"/>
                  <w:vAlign w:val="center"/>
                </w:tcPr>
                <w:p w14:paraId="41EA5B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r>
                    <w:rPr>
                      <w:rFonts w:hint="default" w:ascii="Times New Roman" w:hAnsi="Times New Roman" w:eastAsia="宋体" w:cs="Times New Roman"/>
                      <w:color w:val="000000" w:themeColor="text1"/>
                      <w:szCs w:val="21"/>
                      <w:lang w:val="en-US" w:eastAsia="zh-CN"/>
                      <w14:textFill>
                        <w14:solidFill>
                          <w14:schemeClr w14:val="tx1"/>
                        </w14:solidFill>
                      </w14:textFill>
                    </w:rPr>
                    <w:t>0</w:t>
                  </w:r>
                  <w:r>
                    <w:rPr>
                      <w:rFonts w:hint="default" w:ascii="Times New Roman" w:hAnsi="Times New Roman" w:eastAsia="宋体" w:cs="Times New Roman"/>
                      <w:color w:val="000000" w:themeColor="text1"/>
                      <w:szCs w:val="21"/>
                      <w14:textFill>
                        <w14:solidFill>
                          <w14:schemeClr w14:val="tx1"/>
                        </w14:solidFill>
                      </w14:textFill>
                    </w:rPr>
                    <w:t>m</w:t>
                  </w:r>
                </w:p>
              </w:tc>
            </w:tr>
            <w:tr w14:paraId="0067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65EF1F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泸定县2</w:t>
                  </w:r>
                </w:p>
              </w:tc>
              <w:tc>
                <w:tcPr>
                  <w:tcW w:w="770" w:type="pct"/>
                  <w:vAlign w:val="center"/>
                </w:tcPr>
                <w:p w14:paraId="0B47EB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102.232010</w:t>
                  </w:r>
                </w:p>
              </w:tc>
              <w:tc>
                <w:tcPr>
                  <w:tcW w:w="772" w:type="pct"/>
                  <w:vAlign w:val="center"/>
                </w:tcPr>
                <w:p w14:paraId="783F7A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29.918685</w:t>
                  </w:r>
                </w:p>
              </w:tc>
              <w:tc>
                <w:tcPr>
                  <w:tcW w:w="581" w:type="pct"/>
                  <w:vAlign w:val="center"/>
                </w:tcPr>
                <w:p w14:paraId="46F9C8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1A25CA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约8000人</w:t>
                  </w:r>
                </w:p>
              </w:tc>
              <w:tc>
                <w:tcPr>
                  <w:tcW w:w="370" w:type="pct"/>
                  <w:vAlign w:val="center"/>
                </w:tcPr>
                <w:p w14:paraId="20D5CF2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114C7D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东</w:t>
                  </w:r>
                </w:p>
              </w:tc>
              <w:tc>
                <w:tcPr>
                  <w:tcW w:w="612" w:type="pct"/>
                  <w:vAlign w:val="center"/>
                </w:tcPr>
                <w:p w14:paraId="788705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1m</w:t>
                  </w:r>
                </w:p>
              </w:tc>
            </w:tr>
            <w:tr w14:paraId="0B17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7888B9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泸定县人民政府</w:t>
                  </w:r>
                </w:p>
              </w:tc>
              <w:tc>
                <w:tcPr>
                  <w:tcW w:w="770" w:type="pct"/>
                  <w:vAlign w:val="center"/>
                </w:tcPr>
                <w:p w14:paraId="2D441C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102.233136</w:t>
                  </w:r>
                </w:p>
              </w:tc>
              <w:tc>
                <w:tcPr>
                  <w:tcW w:w="772" w:type="pct"/>
                  <w:vAlign w:val="center"/>
                </w:tcPr>
                <w:p w14:paraId="2AD901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29.916775</w:t>
                  </w:r>
                </w:p>
              </w:tc>
              <w:tc>
                <w:tcPr>
                  <w:tcW w:w="581" w:type="pct"/>
                  <w:vAlign w:val="center"/>
                </w:tcPr>
                <w:p w14:paraId="02DB40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行政办公</w:t>
                  </w:r>
                </w:p>
              </w:tc>
              <w:tc>
                <w:tcPr>
                  <w:tcW w:w="528" w:type="pct"/>
                  <w:vAlign w:val="center"/>
                </w:tcPr>
                <w:p w14:paraId="112A28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约200人</w:t>
                  </w:r>
                </w:p>
              </w:tc>
              <w:tc>
                <w:tcPr>
                  <w:tcW w:w="370" w:type="pct"/>
                  <w:vAlign w:val="center"/>
                </w:tcPr>
                <w:p w14:paraId="3E9D3C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0EBC40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东</w:t>
                  </w:r>
                </w:p>
              </w:tc>
              <w:tc>
                <w:tcPr>
                  <w:tcW w:w="612" w:type="pct"/>
                  <w:vAlign w:val="center"/>
                </w:tcPr>
                <w:p w14:paraId="5D115E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12m</w:t>
                  </w:r>
                </w:p>
              </w:tc>
            </w:tr>
            <w:tr w14:paraId="0EAC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138BC5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泸定县幼儿园</w:t>
                  </w:r>
                </w:p>
              </w:tc>
              <w:tc>
                <w:tcPr>
                  <w:tcW w:w="770" w:type="pct"/>
                  <w:vAlign w:val="center"/>
                </w:tcPr>
                <w:p w14:paraId="1639BC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102.233479</w:t>
                  </w:r>
                </w:p>
              </w:tc>
              <w:tc>
                <w:tcPr>
                  <w:tcW w:w="772" w:type="pct"/>
                  <w:vAlign w:val="center"/>
                </w:tcPr>
                <w:p w14:paraId="12BADE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29.913911</w:t>
                  </w:r>
                </w:p>
              </w:tc>
              <w:tc>
                <w:tcPr>
                  <w:tcW w:w="581" w:type="pct"/>
                  <w:vAlign w:val="center"/>
                </w:tcPr>
                <w:p w14:paraId="52C75A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教育</w:t>
                  </w:r>
                </w:p>
              </w:tc>
              <w:tc>
                <w:tcPr>
                  <w:tcW w:w="528" w:type="pct"/>
                  <w:vAlign w:val="center"/>
                </w:tcPr>
                <w:p w14:paraId="31CCBB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约60人</w:t>
                  </w:r>
                </w:p>
              </w:tc>
              <w:tc>
                <w:tcPr>
                  <w:tcW w:w="370" w:type="pct"/>
                  <w:vAlign w:val="center"/>
                </w:tcPr>
                <w:p w14:paraId="1573FA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1B05EA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西</w:t>
                  </w:r>
                </w:p>
              </w:tc>
              <w:tc>
                <w:tcPr>
                  <w:tcW w:w="612" w:type="pct"/>
                  <w:vAlign w:val="center"/>
                </w:tcPr>
                <w:p w14:paraId="2BB1A0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26m</w:t>
                  </w:r>
                </w:p>
              </w:tc>
            </w:tr>
            <w:tr w14:paraId="634B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4A7399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泸定县3</w:t>
                  </w:r>
                </w:p>
              </w:tc>
              <w:tc>
                <w:tcPr>
                  <w:tcW w:w="770" w:type="pct"/>
                  <w:vAlign w:val="center"/>
                </w:tcPr>
                <w:p w14:paraId="08004F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102.233292</w:t>
                  </w:r>
                </w:p>
              </w:tc>
              <w:tc>
                <w:tcPr>
                  <w:tcW w:w="772" w:type="pct"/>
                  <w:vAlign w:val="center"/>
                </w:tcPr>
                <w:p w14:paraId="4D8110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29.911765</w:t>
                  </w:r>
                </w:p>
              </w:tc>
              <w:tc>
                <w:tcPr>
                  <w:tcW w:w="581" w:type="pct"/>
                  <w:vAlign w:val="center"/>
                </w:tcPr>
                <w:p w14:paraId="0A606C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3D0C75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约500人</w:t>
                  </w:r>
                </w:p>
              </w:tc>
              <w:tc>
                <w:tcPr>
                  <w:tcW w:w="370" w:type="pct"/>
                  <w:vAlign w:val="center"/>
                </w:tcPr>
                <w:p w14:paraId="761F0A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3C7A30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南</w:t>
                  </w:r>
                </w:p>
              </w:tc>
              <w:tc>
                <w:tcPr>
                  <w:tcW w:w="612" w:type="pct"/>
                  <w:vAlign w:val="center"/>
                </w:tcPr>
                <w:p w14:paraId="0E6641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10m</w:t>
                  </w:r>
                </w:p>
              </w:tc>
            </w:tr>
            <w:tr w14:paraId="7013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939" w:type="pct"/>
                  <w:vAlign w:val="center"/>
                </w:tcPr>
                <w:p w14:paraId="4B97C2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泸定县4</w:t>
                  </w:r>
                </w:p>
              </w:tc>
              <w:tc>
                <w:tcPr>
                  <w:tcW w:w="770" w:type="pct"/>
                  <w:vAlign w:val="center"/>
                </w:tcPr>
                <w:p w14:paraId="5F16FA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102.234075</w:t>
                  </w:r>
                </w:p>
              </w:tc>
              <w:tc>
                <w:tcPr>
                  <w:tcW w:w="772" w:type="pct"/>
                  <w:vAlign w:val="center"/>
                </w:tcPr>
                <w:p w14:paraId="66E3F6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29.912183</w:t>
                  </w:r>
                </w:p>
              </w:tc>
              <w:tc>
                <w:tcPr>
                  <w:tcW w:w="581" w:type="pct"/>
                  <w:vAlign w:val="center"/>
                </w:tcPr>
                <w:p w14:paraId="7E11E5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居民</w:t>
                  </w:r>
                </w:p>
              </w:tc>
              <w:tc>
                <w:tcPr>
                  <w:tcW w:w="528" w:type="pct"/>
                  <w:vAlign w:val="center"/>
                </w:tcPr>
                <w:p w14:paraId="6E996D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约300人</w:t>
                  </w:r>
                </w:p>
              </w:tc>
              <w:tc>
                <w:tcPr>
                  <w:tcW w:w="370" w:type="pct"/>
                  <w:vAlign w:val="center"/>
                </w:tcPr>
                <w:p w14:paraId="6E5629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2类</w:t>
                  </w:r>
                </w:p>
              </w:tc>
              <w:tc>
                <w:tcPr>
                  <w:tcW w:w="424" w:type="pct"/>
                  <w:vAlign w:val="center"/>
                </w:tcPr>
                <w:p w14:paraId="1AF383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北</w:t>
                  </w:r>
                </w:p>
              </w:tc>
              <w:tc>
                <w:tcPr>
                  <w:tcW w:w="612" w:type="pct"/>
                  <w:vAlign w:val="center"/>
                </w:tcPr>
                <w:p w14:paraId="692B76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1m</w:t>
                  </w:r>
                </w:p>
              </w:tc>
            </w:tr>
          </w:tbl>
          <w:p w14:paraId="48382188">
            <w:pPr>
              <w:rPr>
                <w:rFonts w:hint="default" w:ascii="Times New Roman" w:hAnsi="Times New Roman" w:eastAsia="宋体" w:cs="Times New Roman"/>
                <w:color w:val="000000" w:themeColor="text1"/>
                <w14:textFill>
                  <w14:solidFill>
                    <w14:schemeClr w14:val="tx1"/>
                  </w14:solidFill>
                </w14:textFill>
              </w:rPr>
            </w:pPr>
          </w:p>
        </w:tc>
      </w:tr>
    </w:tbl>
    <w:p w14:paraId="6489E447">
      <w:pPr>
        <w:spacing w:line="360" w:lineRule="auto"/>
        <w:ind w:firstLine="482"/>
        <w:rPr>
          <w:rFonts w:hint="default" w:ascii="Times New Roman" w:hAnsi="Times New Roman" w:eastAsia="宋体" w:cs="Times New Roman"/>
          <w:snapToGrid w:val="0"/>
          <w:color w:val="000000" w:themeColor="text1"/>
          <w:kern w:val="21"/>
          <w:sz w:val="36"/>
          <w:szCs w:val="36"/>
          <w14:textFill>
            <w14:solidFill>
              <w14:schemeClr w14:val="tx1"/>
            </w14:solidFill>
          </w14:textFill>
        </w:rPr>
        <w:sectPr>
          <w:pgSz w:w="16840" w:h="11907" w:orient="landscape"/>
          <w:pgMar w:top="1644" w:right="1418" w:bottom="1531" w:left="1418" w:header="851" w:footer="851" w:gutter="0"/>
          <w:pgBorders>
            <w:top w:val="none" w:sz="0" w:space="0"/>
            <w:left w:val="none" w:sz="0" w:space="0"/>
            <w:bottom w:val="none" w:sz="0" w:space="0"/>
            <w:right w:val="none" w:sz="0" w:space="0"/>
          </w:pgBorders>
          <w:cols w:space="720" w:num="1"/>
          <w:docGrid w:type="lines" w:linePitch="312" w:charSpace="0"/>
        </w:sectPr>
      </w:pPr>
    </w:p>
    <w:tbl>
      <w:tblPr>
        <w:tblStyle w:val="5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85" w:type="dxa"/>
          <w:bottom w:w="0" w:type="dxa"/>
          <w:right w:w="85" w:type="dxa"/>
        </w:tblCellMar>
      </w:tblPr>
      <w:tblGrid>
        <w:gridCol w:w="416"/>
        <w:gridCol w:w="8296"/>
      </w:tblGrid>
      <w:tr w14:paraId="317847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rPr>
          <w:trHeight w:val="7635" w:hRule="atLeast"/>
        </w:trPr>
        <w:tc>
          <w:tcPr>
            <w:tcW w:w="239" w:type="pct"/>
            <w:vAlign w:val="center"/>
          </w:tcPr>
          <w:p w14:paraId="19077407">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环境</w:t>
            </w:r>
          </w:p>
          <w:p w14:paraId="4DFAEA2A">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保护</w:t>
            </w:r>
          </w:p>
          <w:p w14:paraId="2DF61AE3">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目标</w:t>
            </w:r>
          </w:p>
        </w:tc>
        <w:tc>
          <w:tcPr>
            <w:tcW w:w="4761" w:type="pct"/>
            <w:vAlign w:val="center"/>
          </w:tcPr>
          <w:p w14:paraId="48358DDF">
            <w:pPr>
              <w:spacing w:line="360" w:lineRule="auto"/>
              <w:ind w:firstLine="482" w:firstLineChars="200"/>
              <w:rPr>
                <w:rFonts w:hint="default" w:ascii="Times New Roman" w:hAnsi="Times New Roman" w:eastAsia="宋体" w:cs="Times New Roman"/>
                <w:b/>
                <w:color w:val="000000" w:themeColor="text1"/>
                <w:sz w:val="24"/>
                <w:szCs w:val="28"/>
                <w14:textFill>
                  <w14:solidFill>
                    <w14:schemeClr w14:val="tx1"/>
                  </w14:solidFill>
                </w14:textFill>
              </w:rPr>
            </w:pPr>
            <w:r>
              <w:rPr>
                <w:rFonts w:hint="default" w:ascii="Times New Roman" w:hAnsi="Times New Roman" w:eastAsia="宋体" w:cs="Times New Roman"/>
                <w:b/>
                <w:color w:val="000000" w:themeColor="text1"/>
                <w:sz w:val="24"/>
                <w:szCs w:val="28"/>
                <w14:textFill>
                  <w14:solidFill>
                    <w14:schemeClr w14:val="tx1"/>
                  </w14:solidFill>
                </w14:textFill>
              </w:rPr>
              <w:t>4、地下水</w:t>
            </w:r>
          </w:p>
          <w:p w14:paraId="49906C9E">
            <w:pPr>
              <w:spacing w:line="360" w:lineRule="auto"/>
              <w:ind w:firstLine="48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周边500m范围内的无地下水集中式饮用水水源和热水、矿泉水、温泉等特殊地下水资源。地下水水质不因本项目的建设和营运而恶化，不改变现有的水体功能，评价区域内水体水质应达到《地下水质量标准》（GB/T14848-2017）中的III类标准要求。</w:t>
            </w:r>
          </w:p>
          <w:p w14:paraId="44A3C39D">
            <w:pPr>
              <w:spacing w:line="360" w:lineRule="auto"/>
              <w:ind w:firstLine="482" w:firstLineChars="200"/>
              <w:rPr>
                <w:rFonts w:hint="default" w:ascii="Times New Roman" w:hAnsi="Times New Roman" w:eastAsia="宋体" w:cs="Times New Roman"/>
                <w:b/>
                <w:color w:val="000000" w:themeColor="text1"/>
                <w:sz w:val="24"/>
                <w:szCs w:val="28"/>
                <w14:textFill>
                  <w14:solidFill>
                    <w14:schemeClr w14:val="tx1"/>
                  </w14:solidFill>
                </w14:textFill>
              </w:rPr>
            </w:pPr>
            <w:r>
              <w:rPr>
                <w:rFonts w:hint="default" w:ascii="Times New Roman" w:hAnsi="Times New Roman" w:eastAsia="宋体" w:cs="Times New Roman"/>
                <w:b/>
                <w:color w:val="000000" w:themeColor="text1"/>
                <w:sz w:val="24"/>
                <w:szCs w:val="28"/>
                <w14:textFill>
                  <w14:solidFill>
                    <w14:schemeClr w14:val="tx1"/>
                  </w14:solidFill>
                </w14:textFill>
              </w:rPr>
              <w:t>5、生态环境</w:t>
            </w:r>
          </w:p>
          <w:p w14:paraId="59942C2F">
            <w:pPr>
              <w:spacing w:line="360" w:lineRule="auto"/>
              <w:ind w:firstLine="48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本项目属于四川省</w:t>
            </w:r>
            <w:r>
              <w:rPr>
                <w:rFonts w:hint="default" w:ascii="Times New Roman" w:hAnsi="Times New Roman" w:eastAsia="宋体" w:cs="Times New Roman"/>
                <w:color w:val="000000" w:themeColor="text1"/>
                <w:sz w:val="24"/>
                <w:lang w:eastAsia="zh-CN"/>
                <w14:textFill>
                  <w14:solidFill>
                    <w14:schemeClr w14:val="tx1"/>
                  </w14:solidFill>
                </w14:textFill>
              </w:rPr>
              <w:t>甘孜藏族自治州泸定县泸桥镇</w:t>
            </w:r>
            <w:r>
              <w:rPr>
                <w:rFonts w:hint="default" w:ascii="Times New Roman" w:hAnsi="Times New Roman" w:eastAsia="宋体" w:cs="Times New Roman"/>
                <w:color w:val="000000" w:themeColor="text1"/>
                <w:sz w:val="24"/>
                <w14:textFill>
                  <w14:solidFill>
                    <w14:schemeClr w14:val="tx1"/>
                  </w14:solidFill>
                </w14:textFill>
              </w:rPr>
              <w:t>；根据现场调查，本项目生态环境保护目标如下表：</w:t>
            </w:r>
          </w:p>
          <w:p w14:paraId="0A5BEDBC">
            <w:pPr>
              <w:pStyle w:val="155"/>
              <w:numPr>
                <w:ilvl w:val="0"/>
                <w:numId w:val="19"/>
              </w:numPr>
              <w:spacing w:line="360" w:lineRule="auto"/>
              <w:ind w:firstLineChars="0"/>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本项目</w:t>
            </w:r>
            <w:r>
              <w:rPr>
                <w:rFonts w:hint="eastAsia" w:ascii="Times New Roman" w:hAnsi="Times New Roman"/>
                <w:b/>
                <w:color w:val="000000" w:themeColor="text1"/>
                <w:szCs w:val="21"/>
                <w14:textFill>
                  <w14:solidFill>
                    <w14:schemeClr w14:val="tx1"/>
                  </w14:solidFill>
                </w14:textFill>
              </w:rPr>
              <w:t>生态环境保护</w:t>
            </w:r>
            <w:r>
              <w:rPr>
                <w:rFonts w:ascii="Times New Roman" w:hAnsi="Times New Roman"/>
                <w:b/>
                <w:color w:val="000000" w:themeColor="text1"/>
                <w:szCs w:val="21"/>
                <w14:textFill>
                  <w14:solidFill>
                    <w14:schemeClr w14:val="tx1"/>
                  </w14:solidFill>
                </w14:textFill>
              </w:rPr>
              <w:t>目标</w:t>
            </w:r>
            <w:r>
              <w:rPr>
                <w:rFonts w:hint="eastAsia" w:ascii="Times New Roman" w:hAnsi="Times New Roman"/>
                <w:b/>
                <w:color w:val="000000" w:themeColor="text1"/>
                <w:szCs w:val="21"/>
                <w14:textFill>
                  <w14:solidFill>
                    <w14:schemeClr w14:val="tx1"/>
                  </w14:solidFill>
                </w14:textFill>
              </w:rPr>
              <w:t>表</w:t>
            </w:r>
          </w:p>
          <w:tbl>
            <w:tblPr>
              <w:tblStyle w:val="5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44"/>
              <w:gridCol w:w="854"/>
              <w:gridCol w:w="3605"/>
              <w:gridCol w:w="2089"/>
              <w:gridCol w:w="921"/>
            </w:tblGrid>
            <w:tr w14:paraId="1BCB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blHeader/>
                <w:jc w:val="center"/>
              </w:trPr>
              <w:tc>
                <w:tcPr>
                  <w:tcW w:w="923" w:type="pct"/>
                  <w:gridSpan w:val="2"/>
                  <w:vAlign w:val="center"/>
                </w:tcPr>
                <w:p w14:paraId="20FE7E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类别</w:t>
                  </w:r>
                </w:p>
              </w:tc>
              <w:tc>
                <w:tcPr>
                  <w:tcW w:w="2221" w:type="pct"/>
                  <w:vAlign w:val="center"/>
                </w:tcPr>
                <w:p w14:paraId="70B5D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概况</w:t>
                  </w:r>
                </w:p>
              </w:tc>
              <w:tc>
                <w:tcPr>
                  <w:tcW w:w="1287" w:type="pct"/>
                  <w:vAlign w:val="center"/>
                </w:tcPr>
                <w:p w14:paraId="77E130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与项目关系</w:t>
                  </w:r>
                </w:p>
              </w:tc>
              <w:tc>
                <w:tcPr>
                  <w:tcW w:w="567" w:type="pct"/>
                  <w:vAlign w:val="center"/>
                </w:tcPr>
                <w:p w14:paraId="784F76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主要保护内容</w:t>
                  </w:r>
                </w:p>
              </w:tc>
            </w:tr>
            <w:tr w14:paraId="15D4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1" w:hRule="atLeast"/>
                <w:jc w:val="center"/>
              </w:trPr>
              <w:tc>
                <w:tcPr>
                  <w:tcW w:w="397" w:type="pct"/>
                  <w:vMerge w:val="restart"/>
                  <w:vAlign w:val="center"/>
                </w:tcPr>
                <w:p w14:paraId="1E4600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生态敏感区</w:t>
                  </w:r>
                </w:p>
              </w:tc>
              <w:tc>
                <w:tcPr>
                  <w:tcW w:w="526" w:type="pct"/>
                  <w:vAlign w:val="center"/>
                </w:tcPr>
                <w:p w14:paraId="154E580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四川大熊猫栖息地世界自然遗产地</w:t>
                  </w:r>
                </w:p>
              </w:tc>
              <w:tc>
                <w:tcPr>
                  <w:tcW w:w="2221" w:type="pct"/>
                  <w:vAlign w:val="center"/>
                </w:tcPr>
                <w:p w14:paraId="786C5A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四川大熊猫栖息地世界自然遗产面积9245 km</w:t>
                  </w:r>
                  <w:r>
                    <w:rPr>
                      <w:rFonts w:hint="default" w:ascii="Times New Roman" w:hAnsi="Times New Roman" w:eastAsia="宋体" w:cs="Times New Roman"/>
                      <w:color w:val="000000" w:themeColor="text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Cs w:val="21"/>
                      <w:lang w:val="en-US" w:eastAsia="zh-CN"/>
                      <w14:textFill>
                        <w14:solidFill>
                          <w14:schemeClr w14:val="tx1"/>
                        </w14:solidFill>
                      </w14:textFill>
                    </w:rPr>
                    <w:t>（包括核心区面积5527 km</w:t>
                  </w:r>
                  <w:r>
                    <w:rPr>
                      <w:rFonts w:hint="default" w:ascii="Times New Roman" w:hAnsi="Times New Roman" w:eastAsia="宋体" w:cs="Times New Roman"/>
                      <w:color w:val="000000" w:themeColor="text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Cs w:val="21"/>
                      <w:lang w:val="en-US" w:eastAsia="zh-CN"/>
                      <w14:textFill>
                        <w14:solidFill>
                          <w14:schemeClr w14:val="tx1"/>
                        </w14:solidFill>
                      </w14:textFill>
                    </w:rPr>
                    <w:t>，保护区面积3718 km</w:t>
                  </w:r>
                  <w:r>
                    <w:rPr>
                      <w:rFonts w:hint="default" w:ascii="Times New Roman" w:hAnsi="Times New Roman" w:eastAsia="宋体" w:cs="Times New Roman"/>
                      <w:color w:val="000000" w:themeColor="text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Cs w:val="21"/>
                      <w:lang w:val="en-US" w:eastAsia="zh-CN"/>
                      <w14:textFill>
                        <w14:solidFill>
                          <w14:schemeClr w14:val="tx1"/>
                        </w14:solidFill>
                      </w14:textFill>
                    </w:rPr>
                    <w:t>）；外围保护区（缓冲区）面积5271km</w:t>
                  </w:r>
                  <w:r>
                    <w:rPr>
                      <w:rFonts w:hint="default" w:ascii="Times New Roman" w:hAnsi="Times New Roman" w:eastAsia="宋体" w:cs="Times New Roman"/>
                      <w:color w:val="000000" w:themeColor="text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Cs w:val="21"/>
                      <w:lang w:val="en-US" w:eastAsia="zh-CN"/>
                      <w14:textFill>
                        <w14:solidFill>
                          <w14:schemeClr w14:val="tx1"/>
                        </w14:solidFill>
                      </w14:textFill>
                    </w:rPr>
                    <w:t>，共计14516 km</w:t>
                  </w:r>
                  <w:r>
                    <w:rPr>
                      <w:rFonts w:hint="default" w:ascii="Times New Roman" w:hAnsi="Times New Roman" w:eastAsia="宋体" w:cs="Times New Roman"/>
                      <w:color w:val="000000" w:themeColor="text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Cs w:val="21"/>
                      <w:lang w:val="en-US" w:eastAsia="zh-CN"/>
                      <w14:textFill>
                        <w14:solidFill>
                          <w14:schemeClr w14:val="tx1"/>
                        </w14:solidFill>
                      </w14:textFill>
                    </w:rPr>
                    <w:t>。</w:t>
                  </w:r>
                  <w:r>
                    <w:rPr>
                      <w:rFonts w:hint="eastAsia" w:ascii="Times New Roman" w:hAnsi="Times New Roman" w:eastAsia="宋体" w:cs="Times New Roman"/>
                      <w:color w:val="000000" w:themeColor="text1"/>
                      <w:szCs w:val="21"/>
                      <w:lang w:val="en-US" w:eastAsia="zh-CN"/>
                      <w14:textFill>
                        <w14:solidFill>
                          <w14:schemeClr w14:val="tx1"/>
                        </w14:solidFill>
                      </w14:textFill>
                    </w:rPr>
                    <w:t>缓冲区</w:t>
                  </w:r>
                  <w:r>
                    <w:rPr>
                      <w:rFonts w:hint="default" w:ascii="Times New Roman" w:hAnsi="Times New Roman" w:eastAsia="宋体" w:cs="Times New Roman"/>
                      <w:color w:val="000000" w:themeColor="text1"/>
                      <w:szCs w:val="21"/>
                      <w:lang w:val="en-US" w:eastAsia="zh-CN"/>
                      <w14:textFill>
                        <w14:solidFill>
                          <w14:schemeClr w14:val="tx1"/>
                        </w14:solidFill>
                      </w14:textFill>
                    </w:rPr>
                    <w:t>可以在国家法律、法规允许的范围内，开展科学实验、教学实习、参观考察、旅游、野生动植物的繁殖驯化及其他有益于资源合理利用的活动，充分发挥保护区生态、社会和经济效益。</w:t>
                  </w:r>
                </w:p>
              </w:tc>
              <w:tc>
                <w:tcPr>
                  <w:tcW w:w="1287" w:type="pct"/>
                  <w:vAlign w:val="center"/>
                </w:tcPr>
                <w:p w14:paraId="5354D4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本项目在遗产地缓冲区内新建取水头部一座（包含1处取水口，1座沉砂池）、2处消能井以及新建管网2976m，涉及永久占地0.0263hm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，临时占地0.2975hm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2</w:t>
                  </w:r>
                </w:p>
              </w:tc>
              <w:tc>
                <w:tcPr>
                  <w:tcW w:w="567" w:type="pct"/>
                  <w:vAlign w:val="center"/>
                </w:tcPr>
                <w:p w14:paraId="4A7D2D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自然遗产地的保护物种、大熊猫种群、栖息地和主食竹等保护对象</w:t>
                  </w:r>
                </w:p>
              </w:tc>
            </w:tr>
            <w:tr w14:paraId="672D0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91" w:hRule="atLeast"/>
                <w:jc w:val="center"/>
              </w:trPr>
              <w:tc>
                <w:tcPr>
                  <w:tcW w:w="397" w:type="pct"/>
                  <w:vMerge w:val="continue"/>
                  <w:vAlign w:val="center"/>
                </w:tcPr>
                <w:p w14:paraId="7B9DBC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526" w:type="pct"/>
                  <w:vAlign w:val="center"/>
                </w:tcPr>
                <w:p w14:paraId="05BC29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大雪山生物多样性维护-水土保持生态保护红线</w:t>
                  </w:r>
                </w:p>
              </w:tc>
              <w:tc>
                <w:tcPr>
                  <w:tcW w:w="2221" w:type="pct"/>
                  <w:vAlign w:val="center"/>
                </w:tcPr>
                <w:p w14:paraId="307DA2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该区域生态系统涉及森林、高寒湿地、草甸等，代表性物种有冷杉、云杉、四川雉鹑、绿尾虹雉、大紫胸鹦鹉、黑颈鹤、白唇鹿、雪豹、玉带海雕、金丝猴、牛羚等，是生物多样性保护的重要区域。保护重点是加强森林植被及森林生态系统保护，保护湿地和珍稀野生动植物及其生境，维护生态功能；加强干旱河谷和高山峡谷区地质灾害综合整治，防治水土流失。</w:t>
                  </w:r>
                </w:p>
              </w:tc>
              <w:tc>
                <w:tcPr>
                  <w:tcW w:w="1287" w:type="pct"/>
                  <w:vAlign w:val="center"/>
                </w:tcPr>
                <w:p w14:paraId="1B3035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本项目管线终点距离该生态保护红线最近约123m</w:t>
                  </w:r>
                </w:p>
              </w:tc>
              <w:tc>
                <w:tcPr>
                  <w:tcW w:w="567" w:type="pct"/>
                  <w:vAlign w:val="center"/>
                </w:tcPr>
                <w:p w14:paraId="2F37B1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湿地和珍稀野生动植物及其生境，维护生态功能，防治水土流失</w:t>
                  </w:r>
                </w:p>
              </w:tc>
            </w:tr>
            <w:tr w14:paraId="0CD9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1" w:hRule="atLeast"/>
                <w:jc w:val="center"/>
              </w:trPr>
              <w:tc>
                <w:tcPr>
                  <w:tcW w:w="397" w:type="pct"/>
                  <w:vMerge w:val="continue"/>
                  <w:vAlign w:val="center"/>
                </w:tcPr>
                <w:p w14:paraId="1E1A2F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526" w:type="pct"/>
                  <w:vAlign w:val="center"/>
                </w:tcPr>
                <w:p w14:paraId="6B3C09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贡嘎山风景名胜区</w:t>
                  </w:r>
                </w:p>
              </w:tc>
              <w:tc>
                <w:tcPr>
                  <w:tcW w:w="2221" w:type="pct"/>
                  <w:vAlign w:val="center"/>
                </w:tcPr>
                <w:p w14:paraId="1B4772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贡嘎山风景名胜区位于四川省甘孜藏族自治州境内，涉及泸定、九龙、康定等3 县市，为国家重点风景名胜区。</w:t>
                  </w:r>
                </w:p>
                <w:p w14:paraId="0A944A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风景区规划面积9400.23km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包含贡嘎山和泸定桥两个片区。风景区是以“蜀山之王”贡嘎山为核心，以巍峨雄壮的极高山地貌、气势磅礴的现代冰川、举世罕见的滩池红石、灵动秀美的高山湖泊、辽阔秀丽的草甸花海为主要特征，以完整的气象和植被垂直带谱、革命遗迹、雪域温泉、石林石景、珍稀动植物、人文风情等为补充，是集资源保护与培育、科普研学、运动健身、康养度假、风情体验、爱国教育等多种功能为一体</w:t>
                  </w:r>
                </w:p>
                <w:p w14:paraId="2F9C59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的特大型山岳类国家级风景名胜区。</w:t>
                  </w:r>
                </w:p>
              </w:tc>
              <w:tc>
                <w:tcPr>
                  <w:tcW w:w="1287" w:type="pct"/>
                  <w:vAlign w:val="center"/>
                </w:tcPr>
                <w:p w14:paraId="49A139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本项目管线距离贡嘎山风景名胜区泸定桥片区边界最近约</w:t>
                  </w:r>
                  <w:r>
                    <w:rPr>
                      <w:rFonts w:hint="eastAsia" w:ascii="Times New Roman" w:hAnsi="Times New Roman" w:cs="Times New Roman"/>
                      <w:color w:val="000000" w:themeColor="text1"/>
                      <w:szCs w:val="21"/>
                      <w:lang w:val="en-US" w:eastAsia="zh-CN"/>
                      <w14:textFill>
                        <w14:solidFill>
                          <w14:schemeClr w14:val="tx1"/>
                        </w14:solidFill>
                      </w14:textFill>
                    </w:rPr>
                    <w:t>212</w:t>
                  </w:r>
                  <w:r>
                    <w:rPr>
                      <w:rFonts w:hint="eastAsia" w:ascii="Times New Roman" w:hAnsi="Times New Roman" w:eastAsia="宋体" w:cs="Times New Roman"/>
                      <w:color w:val="000000" w:themeColor="text1"/>
                      <w:szCs w:val="21"/>
                      <w:lang w:val="en-US" w:eastAsia="zh-CN"/>
                      <w14:textFill>
                        <w14:solidFill>
                          <w14:schemeClr w14:val="tx1"/>
                        </w14:solidFill>
                      </w14:textFill>
                    </w:rPr>
                    <w:t>m</w:t>
                  </w:r>
                </w:p>
              </w:tc>
              <w:tc>
                <w:tcPr>
                  <w:tcW w:w="567" w:type="pct"/>
                  <w:vAlign w:val="center"/>
                </w:tcPr>
                <w:p w14:paraId="231B1B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保护风景资源的真实性和完整、保持景观格局的完整</w:t>
                  </w:r>
                </w:p>
              </w:tc>
            </w:tr>
            <w:tr w14:paraId="15BD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397" w:type="pct"/>
                  <w:vMerge w:val="restart"/>
                  <w:vAlign w:val="center"/>
                </w:tcPr>
                <w:p w14:paraId="468E2F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重要物种</w:t>
                  </w:r>
                </w:p>
              </w:tc>
              <w:tc>
                <w:tcPr>
                  <w:tcW w:w="526" w:type="pct"/>
                  <w:vAlign w:val="center"/>
                </w:tcPr>
                <w:p w14:paraId="223056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植物</w:t>
                  </w:r>
                </w:p>
              </w:tc>
              <w:tc>
                <w:tcPr>
                  <w:tcW w:w="2221" w:type="pct"/>
                  <w:vAlign w:val="center"/>
                </w:tcPr>
                <w:p w14:paraId="6CD7D1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（1）重点保护野生植物：无；</w:t>
                  </w:r>
                </w:p>
                <w:p w14:paraId="73683D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（2）受威胁物种：</w:t>
                  </w:r>
                  <w:r>
                    <w:rPr>
                      <w:rFonts w:hint="eastAsia" w:ascii="Times New Roman" w:hAnsi="Times New Roman" w:eastAsia="宋体" w:cs="Times New Roman"/>
                      <w:color w:val="000000" w:themeColor="text1"/>
                      <w:szCs w:val="21"/>
                      <w:lang w:val="en-US" w:eastAsia="zh-CN"/>
                      <w14:textFill>
                        <w14:solidFill>
                          <w14:schemeClr w14:val="tx1"/>
                        </w14:solidFill>
                      </w14:textFill>
                    </w:rPr>
                    <w:t>无</w:t>
                  </w:r>
                  <w:r>
                    <w:rPr>
                      <w:rFonts w:hint="default" w:ascii="Times New Roman" w:hAnsi="Times New Roman" w:eastAsia="宋体" w:cs="Times New Roman"/>
                      <w:color w:val="000000" w:themeColor="text1"/>
                      <w:szCs w:val="21"/>
                      <w:lang w:val="en-US" w:eastAsia="zh-CN"/>
                      <w14:textFill>
                        <w14:solidFill>
                          <w14:schemeClr w14:val="tx1"/>
                        </w14:solidFill>
                      </w14:textFill>
                    </w:rPr>
                    <w:t>；</w:t>
                  </w:r>
                </w:p>
                <w:p w14:paraId="104EA7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（3）特有种：特有</w:t>
                  </w:r>
                  <w:r>
                    <w:rPr>
                      <w:rFonts w:hint="eastAsia" w:ascii="Times New Roman" w:hAnsi="Times New Roman" w:eastAsia="宋体" w:cs="Times New Roman"/>
                      <w:color w:val="000000" w:themeColor="text1"/>
                      <w:szCs w:val="21"/>
                      <w:lang w:val="en-US" w:eastAsia="zh-CN"/>
                      <w14:textFill>
                        <w14:solidFill>
                          <w14:schemeClr w14:val="tx1"/>
                        </w14:solidFill>
                      </w14:textFill>
                    </w:rPr>
                    <w:t>野生</w:t>
                  </w:r>
                  <w:r>
                    <w:rPr>
                      <w:rFonts w:hint="default" w:ascii="Times New Roman" w:hAnsi="Times New Roman" w:eastAsia="宋体" w:cs="Times New Roman"/>
                      <w:color w:val="000000" w:themeColor="text1"/>
                      <w:szCs w:val="21"/>
                      <w:lang w:val="en-US" w:eastAsia="zh-CN"/>
                      <w14:textFill>
                        <w14:solidFill>
                          <w14:schemeClr w14:val="tx1"/>
                        </w14:solidFill>
                      </w14:textFill>
                    </w:rPr>
                    <w:t>植物136</w:t>
                  </w:r>
                  <w:r>
                    <w:rPr>
                      <w:rFonts w:hint="eastAsia" w:ascii="Times New Roman" w:hAnsi="Times New Roman" w:eastAsia="宋体" w:cs="Times New Roman"/>
                      <w:color w:val="000000" w:themeColor="text1"/>
                      <w:szCs w:val="21"/>
                      <w:lang w:val="en-US" w:eastAsia="zh-CN"/>
                      <w14:textFill>
                        <w14:solidFill>
                          <w14:schemeClr w14:val="tx1"/>
                        </w14:solidFill>
                      </w14:textFill>
                    </w:rPr>
                    <w:t>种</w:t>
                  </w:r>
                  <w:r>
                    <w:rPr>
                      <w:rFonts w:hint="default" w:ascii="Times New Roman" w:hAnsi="Times New Roman" w:eastAsia="宋体" w:cs="Times New Roman"/>
                      <w:color w:val="000000" w:themeColor="text1"/>
                      <w:szCs w:val="21"/>
                      <w:lang w:val="en-US" w:eastAsia="zh-CN"/>
                      <w14:textFill>
                        <w14:solidFill>
                          <w14:schemeClr w14:val="tx1"/>
                        </w14:solidFill>
                      </w14:textFill>
                    </w:rPr>
                    <w:t>；</w:t>
                  </w:r>
                </w:p>
                <w:p w14:paraId="3780F5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（4）极小种群物种：无；</w:t>
                  </w:r>
                </w:p>
                <w:p w14:paraId="58EA11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（5）古树名木：无。</w:t>
                  </w:r>
                </w:p>
              </w:tc>
              <w:tc>
                <w:tcPr>
                  <w:tcW w:w="1287" w:type="pct"/>
                  <w:vAlign w:val="center"/>
                </w:tcPr>
                <w:p w14:paraId="2CFEFA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本项目永久、临时占地工程中大部分重要野生植物均未被工程占用，仅有小部分特有种植物被占用，比如</w:t>
                  </w:r>
                  <w:r>
                    <w:rPr>
                      <w:rFonts w:hint="eastAsia" w:ascii="Times New Roman" w:hAnsi="Times New Roman" w:eastAsia="宋体" w:cs="Times New Roman"/>
                      <w:color w:val="000000" w:themeColor="text1"/>
                      <w:szCs w:val="21"/>
                      <w:lang w:val="en-US" w:eastAsia="zh-CN"/>
                      <w14:textFill>
                        <w14:solidFill>
                          <w14:schemeClr w14:val="tx1"/>
                        </w14:solidFill>
                      </w14:textFill>
                    </w:rPr>
                    <w:t>多花胡枝子、滇青冈、灌柳</w:t>
                  </w:r>
                  <w:r>
                    <w:rPr>
                      <w:rFonts w:hint="default" w:ascii="Times New Roman" w:hAnsi="Times New Roman" w:eastAsia="宋体" w:cs="Times New Roman"/>
                      <w:color w:val="000000" w:themeColor="text1"/>
                      <w:szCs w:val="21"/>
                      <w:lang w:val="en-US" w:eastAsia="zh-CN"/>
                      <w14:textFill>
                        <w14:solidFill>
                          <w14:schemeClr w14:val="tx1"/>
                        </w14:solidFill>
                      </w14:textFill>
                    </w:rPr>
                    <w:t>等</w:t>
                  </w:r>
                </w:p>
              </w:tc>
              <w:tc>
                <w:tcPr>
                  <w:tcW w:w="567" w:type="pct"/>
                  <w:vAlign w:val="center"/>
                </w:tcPr>
                <w:p w14:paraId="76EDFF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保护植物及其生境</w:t>
                  </w:r>
                </w:p>
              </w:tc>
            </w:tr>
            <w:tr w14:paraId="49F5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79" w:hRule="atLeast"/>
                <w:jc w:val="center"/>
              </w:trPr>
              <w:tc>
                <w:tcPr>
                  <w:tcW w:w="397" w:type="pct"/>
                  <w:vMerge w:val="continue"/>
                  <w:vAlign w:val="center"/>
                </w:tcPr>
                <w:p w14:paraId="2765E7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p>
              </w:tc>
              <w:tc>
                <w:tcPr>
                  <w:tcW w:w="526" w:type="pct"/>
                  <w:vAlign w:val="center"/>
                </w:tcPr>
                <w:p w14:paraId="6F2B01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陆生</w:t>
                  </w:r>
                </w:p>
                <w:p w14:paraId="1ACBA8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动物</w:t>
                  </w:r>
                </w:p>
              </w:tc>
              <w:tc>
                <w:tcPr>
                  <w:tcW w:w="2221" w:type="pct"/>
                  <w:vAlign w:val="center"/>
                </w:tcPr>
                <w:p w14:paraId="2C006D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重点保护野生动物：</w:t>
                  </w:r>
                  <w:r>
                    <w:rPr>
                      <w:rFonts w:hint="eastAsia" w:ascii="Times New Roman" w:hAnsi="Times New Roman" w:eastAsia="宋体" w:cs="Times New Roman"/>
                      <w:color w:val="000000" w:themeColor="text1"/>
                      <w:szCs w:val="21"/>
                      <w:lang w:val="en-US" w:eastAsia="zh-CN"/>
                      <w14:textFill>
                        <w14:solidFill>
                          <w14:schemeClr w14:val="tx1"/>
                        </w14:solidFill>
                      </w14:textFill>
                    </w:rPr>
                    <w:t>国家二级保护鸟类2种（红隼、白腹锦鸡），国家二级保护兽类2种（黑熊、豹猫）</w:t>
                  </w:r>
                  <w:r>
                    <w:rPr>
                      <w:rFonts w:hint="default" w:ascii="Times New Roman" w:hAnsi="Times New Roman" w:eastAsia="宋体" w:cs="Times New Roman"/>
                      <w:color w:val="000000" w:themeColor="text1"/>
                      <w:szCs w:val="21"/>
                      <w:lang w:val="en-US" w:eastAsia="zh-CN"/>
                      <w14:textFill>
                        <w14:solidFill>
                          <w14:schemeClr w14:val="tx1"/>
                        </w14:solidFill>
                      </w14:textFill>
                    </w:rPr>
                    <w:t>；</w:t>
                  </w:r>
                </w:p>
                <w:p w14:paraId="2A7611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（2）受威胁物种：</w:t>
                  </w:r>
                  <w:r>
                    <w:rPr>
                      <w:rFonts w:hint="eastAsia" w:ascii="Times New Roman" w:hAnsi="Times New Roman" w:eastAsia="宋体" w:cs="Times New Roman"/>
                      <w:color w:val="000000" w:themeColor="text1"/>
                      <w:szCs w:val="21"/>
                      <w:lang w:val="en-US" w:eastAsia="zh-CN"/>
                      <w14:textFill>
                        <w14:solidFill>
                          <w14:schemeClr w14:val="tx1"/>
                        </w14:solidFill>
                      </w14:textFill>
                    </w:rPr>
                    <w:t>易危（VU）爬行动物2种，分别为王锦蛇、黑眉锦蛇，分布有易危（VU）兽类黑熊</w:t>
                  </w:r>
                  <w:r>
                    <w:rPr>
                      <w:rFonts w:hint="default" w:ascii="Times New Roman" w:hAnsi="Times New Roman" w:eastAsia="宋体" w:cs="Times New Roman"/>
                      <w:color w:val="000000" w:themeColor="text1"/>
                      <w:szCs w:val="21"/>
                      <w:lang w:val="en-US" w:eastAsia="zh-CN"/>
                      <w14:textFill>
                        <w14:solidFill>
                          <w14:schemeClr w14:val="tx1"/>
                        </w14:solidFill>
                      </w14:textFill>
                    </w:rPr>
                    <w:t>；</w:t>
                  </w:r>
                </w:p>
                <w:p w14:paraId="067F6A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（3）特有种：</w:t>
                  </w:r>
                  <w:r>
                    <w:rPr>
                      <w:rFonts w:hint="eastAsia" w:ascii="Times New Roman" w:hAnsi="Times New Roman" w:eastAsia="宋体" w:cs="Times New Roman"/>
                      <w:color w:val="000000" w:themeColor="text1"/>
                      <w:szCs w:val="21"/>
                      <w:lang w:val="en-US" w:eastAsia="zh-CN"/>
                      <w14:textFill>
                        <w14:solidFill>
                          <w14:schemeClr w14:val="tx1"/>
                        </w14:solidFill>
                      </w14:textFill>
                    </w:rPr>
                    <w:t>特有两栖类3种，分别为华西蟾蜍、倭蛙和高原林蛙；特有兽类4种，分别为岩松鼠、小麂、川西白腹鼠、高山姬鼠。</w:t>
                  </w:r>
                </w:p>
              </w:tc>
              <w:tc>
                <w:tcPr>
                  <w:tcW w:w="1287" w:type="pct"/>
                  <w:vAlign w:val="center"/>
                </w:tcPr>
                <w:p w14:paraId="5752B7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项目用地不占用陆生重要物种集中分布区、栖息地、迁徙通道，以及重要繁殖地、停歇地、越冬地</w:t>
                  </w:r>
                </w:p>
              </w:tc>
              <w:tc>
                <w:tcPr>
                  <w:tcW w:w="567" w:type="pct"/>
                  <w:vAlign w:val="center"/>
                </w:tcPr>
                <w:p w14:paraId="7CC36E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lang w:val="en-US" w:eastAsia="zh-CN"/>
                      <w14:textFill>
                        <w14:solidFill>
                          <w14:schemeClr w14:val="tx1"/>
                        </w14:solidFill>
                      </w14:textFill>
                    </w:rPr>
                    <w:t>保护野生动物及栖息地</w:t>
                  </w:r>
                </w:p>
              </w:tc>
            </w:tr>
            <w:tr w14:paraId="3EED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79" w:hRule="atLeast"/>
                <w:jc w:val="center"/>
              </w:trPr>
              <w:tc>
                <w:tcPr>
                  <w:tcW w:w="397" w:type="pct"/>
                  <w:vMerge w:val="continue"/>
                  <w:vAlign w:val="center"/>
                </w:tcPr>
                <w:p w14:paraId="62BA611B">
                  <w:pPr>
                    <w:pStyle w:val="14"/>
                    <w:snapToGrid/>
                    <w:spacing w:before="0" w:after="0" w:line="240" w:lineRule="auto"/>
                    <w:ind w:right="0"/>
                    <w:jc w:val="center"/>
                    <w:rPr>
                      <w:color w:val="000000" w:themeColor="text1"/>
                      <w:sz w:val="21"/>
                      <w:szCs w:val="21"/>
                      <w14:textFill>
                        <w14:solidFill>
                          <w14:schemeClr w14:val="tx1"/>
                        </w14:solidFill>
                      </w14:textFill>
                    </w:rPr>
                  </w:pPr>
                </w:p>
              </w:tc>
              <w:tc>
                <w:tcPr>
                  <w:tcW w:w="873" w:type="dxa"/>
                  <w:vAlign w:val="center"/>
                </w:tcPr>
                <w:p w14:paraId="35F4DCB4">
                  <w:pPr>
                    <w:pStyle w:val="14"/>
                    <w:snapToGrid/>
                    <w:spacing w:before="0" w:after="0" w:line="240" w:lineRule="auto"/>
                    <w:ind w:right="0" w:right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鱼类</w:t>
                  </w:r>
                </w:p>
              </w:tc>
              <w:tc>
                <w:tcPr>
                  <w:tcW w:w="3685" w:type="dxa"/>
                  <w:vAlign w:val="center"/>
                </w:tcPr>
                <w:p w14:paraId="27218351">
                  <w:pPr>
                    <w:pStyle w:val="14"/>
                    <w:snapToGrid/>
                    <w:spacing w:before="0" w:after="0" w:line="240" w:lineRule="auto"/>
                    <w:ind w:right="0" w:right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重点保护野生鱼类：无；</w:t>
                  </w:r>
                </w:p>
                <w:p w14:paraId="58A5F1BE">
                  <w:pPr>
                    <w:pStyle w:val="14"/>
                    <w:snapToGrid/>
                    <w:spacing w:before="0" w:after="0" w:line="240" w:lineRule="auto"/>
                    <w:ind w:right="0" w:right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受威胁物种：无；</w:t>
                  </w:r>
                </w:p>
                <w:p w14:paraId="5F61C5DF">
                  <w:pPr>
                    <w:pStyle w:val="14"/>
                    <w:snapToGrid/>
                    <w:spacing w:before="0" w:after="0" w:line="240" w:lineRule="auto"/>
                    <w:ind w:right="0" w:right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特有种：无。</w:t>
                  </w:r>
                </w:p>
              </w:tc>
              <w:tc>
                <w:tcPr>
                  <w:tcW w:w="2135" w:type="dxa"/>
                  <w:vAlign w:val="center"/>
                </w:tcPr>
                <w:p w14:paraId="467557E6">
                  <w:pPr>
                    <w:pStyle w:val="14"/>
                    <w:snapToGrid/>
                    <w:spacing w:before="0" w:after="0" w:line="240" w:lineRule="auto"/>
                    <w:ind w:right="0" w:right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所在河段未调查到鱼类资源</w:t>
                  </w:r>
                </w:p>
              </w:tc>
              <w:tc>
                <w:tcPr>
                  <w:tcW w:w="941" w:type="dxa"/>
                  <w:vAlign w:val="center"/>
                </w:tcPr>
                <w:p w14:paraId="4DDFB4A2">
                  <w:pPr>
                    <w:pStyle w:val="14"/>
                    <w:snapToGrid/>
                    <w:spacing w:before="0" w:after="0" w:line="240" w:lineRule="auto"/>
                    <w:ind w:right="0" w:rightChars="0"/>
                    <w:jc w:val="center"/>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保护重要</w:t>
                  </w:r>
                  <w:r>
                    <w:rPr>
                      <w:rFonts w:hint="eastAsia"/>
                      <w:color w:val="000000" w:themeColor="text1"/>
                      <w:sz w:val="21"/>
                      <w:szCs w:val="21"/>
                      <w:highlight w:val="none"/>
                      <w:lang w:val="en-US" w:eastAsia="zh-CN"/>
                      <w14:textFill>
                        <w14:solidFill>
                          <w14:schemeClr w14:val="tx1"/>
                        </w14:solidFill>
                      </w14:textFill>
                    </w:rPr>
                    <w:t>水生生物</w:t>
                  </w:r>
                  <w:r>
                    <w:rPr>
                      <w:rFonts w:hint="eastAsia"/>
                      <w:color w:val="000000" w:themeColor="text1"/>
                      <w:sz w:val="21"/>
                      <w:szCs w:val="21"/>
                      <w:highlight w:val="none"/>
                      <w14:textFill>
                        <w14:solidFill>
                          <w14:schemeClr w14:val="tx1"/>
                        </w14:solidFill>
                      </w14:textFill>
                    </w:rPr>
                    <w:t>生境</w:t>
                  </w:r>
                </w:p>
              </w:tc>
            </w:tr>
          </w:tbl>
          <w:p w14:paraId="160ECF59">
            <w:pPr>
              <w:rPr>
                <w:rFonts w:hint="default" w:ascii="Times New Roman" w:hAnsi="Times New Roman" w:eastAsia="宋体" w:cs="Times New Roman"/>
                <w:color w:val="000000" w:themeColor="text1"/>
                <w14:textFill>
                  <w14:solidFill>
                    <w14:schemeClr w14:val="tx1"/>
                  </w14:solidFill>
                </w14:textFill>
              </w:rPr>
            </w:pPr>
          </w:p>
          <w:p w14:paraId="245379E7">
            <w:pPr>
              <w:rPr>
                <w:rFonts w:hint="default" w:ascii="Times New Roman" w:hAnsi="Times New Roman" w:eastAsia="宋体" w:cs="Times New Roman"/>
                <w:color w:val="000000" w:themeColor="text1"/>
                <w14:textFill>
                  <w14:solidFill>
                    <w14:schemeClr w14:val="tx1"/>
                  </w14:solidFill>
                </w14:textFill>
              </w:rPr>
            </w:pPr>
          </w:p>
        </w:tc>
      </w:tr>
      <w:tr w14:paraId="67A05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239" w:type="pct"/>
            <w:tcMar>
              <w:left w:w="28" w:type="dxa"/>
              <w:right w:w="28" w:type="dxa"/>
            </w:tcMar>
            <w:vAlign w:val="center"/>
          </w:tcPr>
          <w:p w14:paraId="6E53E0CF">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污染</w:t>
            </w:r>
          </w:p>
          <w:p w14:paraId="22E459DD">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物排</w:t>
            </w:r>
          </w:p>
          <w:p w14:paraId="2D584615">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放控</w:t>
            </w:r>
          </w:p>
          <w:p w14:paraId="2E856274">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制标</w:t>
            </w:r>
          </w:p>
          <w:p w14:paraId="4E1ED947">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准</w:t>
            </w:r>
          </w:p>
        </w:tc>
        <w:tc>
          <w:tcPr>
            <w:tcW w:w="4761" w:type="pct"/>
            <w:vAlign w:val="center"/>
          </w:tcPr>
          <w:p w14:paraId="10824A2B">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1、大气污染物</w:t>
            </w:r>
          </w:p>
          <w:p w14:paraId="26F24A6D">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本项目位于</w:t>
            </w:r>
            <w:r>
              <w:rPr>
                <w:rFonts w:hint="default" w:ascii="Times New Roman" w:hAnsi="Times New Roman" w:eastAsia="宋体" w:cs="Times New Roman"/>
                <w:color w:val="000000" w:themeColor="text1"/>
                <w:sz w:val="24"/>
                <w:szCs w:val="24"/>
                <w:lang w:eastAsia="zh-CN"/>
                <w14:textFill>
                  <w14:solidFill>
                    <w14:schemeClr w14:val="tx1"/>
                  </w14:solidFill>
                </w14:textFill>
              </w:rPr>
              <w:t>甘孜藏族自治州泸定县</w:t>
            </w:r>
            <w:r>
              <w:rPr>
                <w:rFonts w:hint="default" w:ascii="Times New Roman" w:hAnsi="Times New Roman" w:eastAsia="宋体" w:cs="Times New Roman"/>
                <w:color w:val="000000" w:themeColor="text1"/>
                <w:sz w:val="24"/>
                <w:szCs w:val="24"/>
                <w14:textFill>
                  <w14:solidFill>
                    <w14:schemeClr w14:val="tx1"/>
                  </w14:solidFill>
                </w14:textFill>
              </w:rPr>
              <w:t>，施工期施工场地扬尘执行《四川省施工场地扬尘排放标准》（DB51/2682-2020）表1中</w:t>
            </w:r>
            <w:r>
              <w:rPr>
                <w:rFonts w:hint="default" w:ascii="Times New Roman" w:hAnsi="Times New Roman" w:eastAsia="宋体" w:cs="Times New Roman"/>
                <w:color w:val="000000" w:themeColor="text1"/>
                <w:sz w:val="24"/>
                <w:szCs w:val="24"/>
                <w:lang w:eastAsia="zh-CN"/>
                <w14:textFill>
                  <w14:solidFill>
                    <w14:schemeClr w14:val="tx1"/>
                  </w14:solidFill>
                </w14:textFill>
              </w:rPr>
              <w:t>甘孜藏族自治州</w:t>
            </w:r>
            <w:r>
              <w:rPr>
                <w:rFonts w:hint="default" w:ascii="Times New Roman" w:hAnsi="Times New Roman" w:eastAsia="宋体" w:cs="Times New Roman"/>
                <w:color w:val="000000" w:themeColor="text1"/>
                <w:sz w:val="24"/>
                <w:szCs w:val="24"/>
                <w14:textFill>
                  <w14:solidFill>
                    <w14:schemeClr w14:val="tx1"/>
                  </w14:solidFill>
                </w14:textFill>
              </w:rPr>
              <w:t>区域的总悬浮颗粒物排放限值。</w:t>
            </w:r>
          </w:p>
          <w:p w14:paraId="381E01DA">
            <w:pPr>
              <w:pStyle w:val="155"/>
              <w:numPr>
                <w:ilvl w:val="0"/>
                <w:numId w:val="19"/>
              </w:numPr>
              <w:spacing w:line="360" w:lineRule="auto"/>
              <w:ind w:firstLineChars="0"/>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《四川省施工场地扬尘排放标准》（DB51/2682-2020）</w:t>
            </w:r>
          </w:p>
          <w:tbl>
            <w:tblPr>
              <w:tblStyle w:val="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4"/>
              <w:gridCol w:w="1226"/>
              <w:gridCol w:w="3402"/>
              <w:gridCol w:w="2114"/>
            </w:tblGrid>
            <w:tr w14:paraId="4B50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vAlign w:val="center"/>
                </w:tcPr>
                <w:p w14:paraId="7239E242">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污染物</w:t>
                  </w:r>
                </w:p>
              </w:tc>
              <w:tc>
                <w:tcPr>
                  <w:tcW w:w="755" w:type="pct"/>
                  <w:vAlign w:val="center"/>
                </w:tcPr>
                <w:p w14:paraId="31A9E48E">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区域</w:t>
                  </w:r>
                </w:p>
              </w:tc>
              <w:tc>
                <w:tcPr>
                  <w:tcW w:w="2095" w:type="pct"/>
                  <w:vAlign w:val="center"/>
                </w:tcPr>
                <w:p w14:paraId="5DB1E8B0">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施工阶段</w:t>
                  </w:r>
                </w:p>
              </w:tc>
              <w:tc>
                <w:tcPr>
                  <w:tcW w:w="1302" w:type="pct"/>
                  <w:vAlign w:val="center"/>
                </w:tcPr>
                <w:p w14:paraId="0D387E42">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排放限值（μg/</w:t>
                  </w:r>
                  <w:r>
                    <w:rPr>
                      <w:rFonts w:hint="eastAsia" w:ascii="Times New Roman" w:hAnsi="Times New Roman" w:cs="Times New Roman"/>
                      <w:snapToGrid w:val="0"/>
                      <w:color w:val="000000" w:themeColor="text1"/>
                      <w:kern w:val="21"/>
                      <w:szCs w:val="21"/>
                      <w:lang w:eastAsia="zh-CN"/>
                      <w14:textFill>
                        <w14:solidFill>
                          <w14:schemeClr w14:val="tx1"/>
                        </w14:solidFill>
                      </w14:textFill>
                    </w:rPr>
                    <w:t>m</w:t>
                  </w:r>
                  <w:r>
                    <w:rPr>
                      <w:rFonts w:hint="eastAsia" w:ascii="Times New Roman" w:hAnsi="Times New Roman" w:cs="Times New Roman"/>
                      <w:snapToGrid w:val="0"/>
                      <w:color w:val="000000" w:themeColor="text1"/>
                      <w:kern w:val="21"/>
                      <w:szCs w:val="21"/>
                      <w:vertAlign w:val="superscript"/>
                      <w:lang w:eastAsia="zh-CN"/>
                      <w14:textFill>
                        <w14:solidFill>
                          <w14:schemeClr w14:val="tx1"/>
                        </w14:solidFill>
                      </w14:textFill>
                    </w:rPr>
                    <w:t>3</w:t>
                  </w:r>
                  <w:r>
                    <w:rPr>
                      <w:rFonts w:hint="default" w:ascii="Times New Roman" w:hAnsi="Times New Roman" w:eastAsia="宋体" w:cs="Times New Roman"/>
                      <w:snapToGrid w:val="0"/>
                      <w:color w:val="000000" w:themeColor="text1"/>
                      <w:kern w:val="21"/>
                      <w:szCs w:val="21"/>
                      <w14:textFill>
                        <w14:solidFill>
                          <w14:schemeClr w14:val="tx1"/>
                        </w14:solidFill>
                      </w14:textFill>
                    </w:rPr>
                    <w:t>）</w:t>
                  </w:r>
                </w:p>
              </w:tc>
            </w:tr>
            <w:tr w14:paraId="475D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vMerge w:val="restart"/>
                  <w:vAlign w:val="center"/>
                </w:tcPr>
                <w:p w14:paraId="668DEC42">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总悬浮颗粒物（TSP）</w:t>
                  </w:r>
                </w:p>
              </w:tc>
              <w:tc>
                <w:tcPr>
                  <w:tcW w:w="755" w:type="pct"/>
                  <w:vMerge w:val="restart"/>
                  <w:vAlign w:val="center"/>
                </w:tcPr>
                <w:p w14:paraId="6DAD82F4">
                  <w:pPr>
                    <w:spacing w:line="276" w:lineRule="auto"/>
                    <w:jc w:val="center"/>
                    <w:rPr>
                      <w:rFonts w:hint="default" w:ascii="Times New Roman" w:hAnsi="Times New Roman" w:eastAsia="宋体" w:cs="Times New Roman"/>
                      <w:snapToGrid w:val="0"/>
                      <w:color w:val="000000" w:themeColor="text1"/>
                      <w:kern w:val="21"/>
                      <w:szCs w:val="21"/>
                      <w:lang w:eastAsia="zh-CN"/>
                      <w14:textFill>
                        <w14:solidFill>
                          <w14:schemeClr w14:val="tx1"/>
                        </w14:solidFill>
                      </w14:textFill>
                    </w:rPr>
                  </w:pPr>
                  <w:r>
                    <w:rPr>
                      <w:rFonts w:hint="default" w:ascii="Times New Roman" w:hAnsi="Times New Roman" w:eastAsia="宋体" w:cs="Times New Roman"/>
                      <w:snapToGrid w:val="0"/>
                      <w:color w:val="000000" w:themeColor="text1"/>
                      <w:kern w:val="21"/>
                      <w:szCs w:val="21"/>
                      <w:lang w:eastAsia="zh-CN"/>
                      <w14:textFill>
                        <w14:solidFill>
                          <w14:schemeClr w14:val="tx1"/>
                        </w14:solidFill>
                      </w14:textFill>
                    </w:rPr>
                    <w:t>甘孜藏族自治州</w:t>
                  </w:r>
                </w:p>
              </w:tc>
              <w:tc>
                <w:tcPr>
                  <w:tcW w:w="2095" w:type="pct"/>
                  <w:vAlign w:val="center"/>
                </w:tcPr>
                <w:p w14:paraId="3485C8D2">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拆除工程/土石方开挖/土石方回填</w:t>
                  </w:r>
                </w:p>
              </w:tc>
              <w:tc>
                <w:tcPr>
                  <w:tcW w:w="1302" w:type="pct"/>
                  <w:vAlign w:val="center"/>
                </w:tcPr>
                <w:p w14:paraId="0B75F5A3">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lang w:val="en-US" w:eastAsia="zh-CN"/>
                      <w14:textFill>
                        <w14:solidFill>
                          <w14:schemeClr w14:val="tx1"/>
                        </w14:solidFill>
                      </w14:textFill>
                    </w:rPr>
                    <w:t>9</w:t>
                  </w:r>
                  <w:r>
                    <w:rPr>
                      <w:rFonts w:hint="default" w:ascii="Times New Roman" w:hAnsi="Times New Roman" w:eastAsia="宋体" w:cs="Times New Roman"/>
                      <w:snapToGrid w:val="0"/>
                      <w:color w:val="000000" w:themeColor="text1"/>
                      <w:kern w:val="21"/>
                      <w:szCs w:val="21"/>
                      <w14:textFill>
                        <w14:solidFill>
                          <w14:schemeClr w14:val="tx1"/>
                        </w14:solidFill>
                      </w14:textFill>
                    </w:rPr>
                    <w:t>00</w:t>
                  </w:r>
                </w:p>
              </w:tc>
            </w:tr>
            <w:tr w14:paraId="0BDB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vMerge w:val="continue"/>
                  <w:vAlign w:val="center"/>
                </w:tcPr>
                <w:p w14:paraId="5A3E7C58">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p>
              </w:tc>
              <w:tc>
                <w:tcPr>
                  <w:tcW w:w="755" w:type="pct"/>
                  <w:vMerge w:val="continue"/>
                  <w:vAlign w:val="center"/>
                </w:tcPr>
                <w:p w14:paraId="2A351A15">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p>
              </w:tc>
              <w:tc>
                <w:tcPr>
                  <w:tcW w:w="2095" w:type="pct"/>
                  <w:vAlign w:val="center"/>
                </w:tcPr>
                <w:p w14:paraId="52365080">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14:textFill>
                        <w14:solidFill>
                          <w14:schemeClr w14:val="tx1"/>
                        </w14:solidFill>
                      </w14:textFill>
                    </w:rPr>
                    <w:t>其他工程阶段</w:t>
                  </w:r>
                </w:p>
              </w:tc>
              <w:tc>
                <w:tcPr>
                  <w:tcW w:w="1302" w:type="pct"/>
                  <w:vAlign w:val="center"/>
                </w:tcPr>
                <w:p w14:paraId="08BB132C">
                  <w:pPr>
                    <w:spacing w:line="276" w:lineRule="auto"/>
                    <w:jc w:val="center"/>
                    <w:rPr>
                      <w:rFonts w:hint="default" w:ascii="Times New Roman" w:hAnsi="Times New Roman" w:eastAsia="宋体" w:cs="Times New Roman"/>
                      <w:snapToGrid w:val="0"/>
                      <w:color w:val="000000" w:themeColor="text1"/>
                      <w:kern w:val="21"/>
                      <w:szCs w:val="21"/>
                      <w14:textFill>
                        <w14:solidFill>
                          <w14:schemeClr w14:val="tx1"/>
                        </w14:solidFill>
                      </w14:textFill>
                    </w:rPr>
                  </w:pPr>
                  <w:r>
                    <w:rPr>
                      <w:rFonts w:hint="default" w:ascii="Times New Roman" w:hAnsi="Times New Roman" w:eastAsia="宋体" w:cs="Times New Roman"/>
                      <w:snapToGrid w:val="0"/>
                      <w:color w:val="000000" w:themeColor="text1"/>
                      <w:kern w:val="21"/>
                      <w:szCs w:val="21"/>
                      <w:lang w:val="en-US" w:eastAsia="zh-CN"/>
                      <w14:textFill>
                        <w14:solidFill>
                          <w14:schemeClr w14:val="tx1"/>
                        </w14:solidFill>
                      </w14:textFill>
                    </w:rPr>
                    <w:t>3</w:t>
                  </w:r>
                  <w:r>
                    <w:rPr>
                      <w:rFonts w:hint="default" w:ascii="Times New Roman" w:hAnsi="Times New Roman" w:eastAsia="宋体" w:cs="Times New Roman"/>
                      <w:snapToGrid w:val="0"/>
                      <w:color w:val="000000" w:themeColor="text1"/>
                      <w:kern w:val="21"/>
                      <w:szCs w:val="21"/>
                      <w14:textFill>
                        <w14:solidFill>
                          <w14:schemeClr w14:val="tx1"/>
                        </w14:solidFill>
                      </w14:textFill>
                    </w:rPr>
                    <w:t>50</w:t>
                  </w:r>
                </w:p>
              </w:tc>
            </w:tr>
          </w:tbl>
          <w:p w14:paraId="18E31ECD">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2、废水污染物</w:t>
            </w:r>
          </w:p>
          <w:p w14:paraId="061ADFE6">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废水主要为施工过程中产生的施工废水，施工人员产生的生活污水。施工废水经沉淀处理后循环使用，用于洒水降尘，不外排；生活污水。</w:t>
            </w:r>
          </w:p>
          <w:p w14:paraId="5283926C">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3、噪声</w:t>
            </w:r>
          </w:p>
          <w:p w14:paraId="1C950F4B">
            <w:pPr>
              <w:spacing w:line="360" w:lineRule="auto"/>
              <w:ind w:firstLine="480" w:firstLineChars="200"/>
              <w:rPr>
                <w:rFonts w:hint="default" w:ascii="Times New Roman" w:hAnsi="Times New Roman" w:eastAsia="宋体" w:cs="Times New Roman"/>
                <w:color w:val="000000" w:themeColor="text1"/>
                <w:sz w:val="24"/>
                <w:szCs w:val="20"/>
                <w14:textFill>
                  <w14:solidFill>
                    <w14:schemeClr w14:val="tx1"/>
                  </w14:solidFill>
                </w14:textFill>
              </w:rPr>
            </w:pPr>
            <w:r>
              <w:rPr>
                <w:rFonts w:hint="default" w:ascii="Times New Roman" w:hAnsi="Times New Roman" w:eastAsia="宋体" w:cs="Times New Roman"/>
                <w:color w:val="000000" w:themeColor="text1"/>
                <w:sz w:val="24"/>
                <w:szCs w:val="20"/>
                <w14:textFill>
                  <w14:solidFill>
                    <w14:schemeClr w14:val="tx1"/>
                  </w14:solidFill>
                </w14:textFill>
              </w:rPr>
              <w:t>（1）施工期</w:t>
            </w:r>
          </w:p>
          <w:p w14:paraId="1D786825">
            <w:pPr>
              <w:spacing w:line="360" w:lineRule="auto"/>
              <w:ind w:firstLine="480" w:firstLineChars="200"/>
              <w:rPr>
                <w:rFonts w:hint="default" w:ascii="Times New Roman" w:hAnsi="Times New Roman" w:eastAsia="宋体" w:cs="Times New Roman"/>
                <w:color w:val="000000" w:themeColor="text1"/>
                <w:sz w:val="24"/>
                <w:szCs w:val="20"/>
                <w14:textFill>
                  <w14:solidFill>
                    <w14:schemeClr w14:val="tx1"/>
                  </w14:solidFill>
                </w14:textFill>
              </w:rPr>
            </w:pPr>
            <w:r>
              <w:rPr>
                <w:rFonts w:hint="default" w:ascii="Times New Roman" w:hAnsi="Times New Roman" w:eastAsia="宋体" w:cs="Times New Roman"/>
                <w:color w:val="000000" w:themeColor="text1"/>
                <w:sz w:val="24"/>
                <w:szCs w:val="32"/>
                <w14:textFill>
                  <w14:solidFill>
                    <w14:schemeClr w14:val="tx1"/>
                  </w14:solidFill>
                </w14:textFill>
              </w:rPr>
              <w:t>施工期噪声</w:t>
            </w:r>
            <w:r>
              <w:rPr>
                <w:rFonts w:hint="default" w:ascii="Times New Roman" w:hAnsi="Times New Roman" w:eastAsia="宋体" w:cs="Times New Roman"/>
                <w:color w:val="000000" w:themeColor="text1"/>
                <w:sz w:val="24"/>
                <w:szCs w:val="20"/>
                <w14:textFill>
                  <w14:solidFill>
                    <w14:schemeClr w14:val="tx1"/>
                  </w14:solidFill>
                </w14:textFill>
              </w:rPr>
              <w:t>执行《</w:t>
            </w:r>
            <w:r>
              <w:rPr>
                <w:rFonts w:hint="eastAsia" w:ascii="Times New Roman" w:hAnsi="Times New Roman" w:cs="Times New Roman"/>
                <w:color w:val="000000" w:themeColor="text1"/>
                <w:sz w:val="24"/>
                <w:szCs w:val="20"/>
                <w:lang w:eastAsia="zh-CN"/>
                <w14:textFill>
                  <w14:solidFill>
                    <w14:schemeClr w14:val="tx1"/>
                  </w14:solidFill>
                </w14:textFill>
              </w:rPr>
              <w:t>建筑施工噪声排放标准</w:t>
            </w:r>
            <w:r>
              <w:rPr>
                <w:rFonts w:hint="default" w:ascii="Times New Roman" w:hAnsi="Times New Roman" w:eastAsia="宋体" w:cs="Times New Roman"/>
                <w:color w:val="000000" w:themeColor="text1"/>
                <w:sz w:val="24"/>
                <w:szCs w:val="20"/>
                <w14:textFill>
                  <w14:solidFill>
                    <w14:schemeClr w14:val="tx1"/>
                  </w14:solidFill>
                </w14:textFill>
              </w:rPr>
              <w:t>》（</w:t>
            </w:r>
            <w:r>
              <w:rPr>
                <w:rFonts w:hint="default" w:ascii="Times New Roman" w:hAnsi="Times New Roman" w:eastAsia="宋体" w:cs="Times New Roman"/>
                <w:color w:val="000000" w:themeColor="text1"/>
                <w:sz w:val="24"/>
                <w:szCs w:val="20"/>
                <w:lang w:eastAsia="zh-CN"/>
                <w14:textFill>
                  <w14:solidFill>
                    <w14:schemeClr w14:val="tx1"/>
                  </w14:solidFill>
                </w14:textFill>
              </w:rPr>
              <w:t>GB12523-2025</w:t>
            </w:r>
            <w:r>
              <w:rPr>
                <w:rFonts w:hint="default" w:ascii="Times New Roman" w:hAnsi="Times New Roman" w:eastAsia="宋体" w:cs="Times New Roman"/>
                <w:color w:val="000000" w:themeColor="text1"/>
                <w:sz w:val="24"/>
                <w:szCs w:val="20"/>
                <w14:textFill>
                  <w14:solidFill>
                    <w14:schemeClr w14:val="tx1"/>
                  </w14:solidFill>
                </w14:textFill>
              </w:rPr>
              <w:t>）。</w:t>
            </w:r>
          </w:p>
          <w:p w14:paraId="2F401A40">
            <w:pPr>
              <w:pStyle w:val="155"/>
              <w:numPr>
                <w:ilvl w:val="0"/>
                <w:numId w:val="19"/>
              </w:numPr>
              <w:spacing w:line="360" w:lineRule="auto"/>
              <w:ind w:firstLineChars="0"/>
              <w:jc w:val="center"/>
              <w:rPr>
                <w:rFonts w:hint="default" w:ascii="Times New Roman" w:hAnsi="Times New Roman" w:eastAsia="宋体" w:cs="Times New Roman"/>
                <w:b/>
                <w:color w:val="000000" w:themeColor="text1"/>
                <w:szCs w:val="21"/>
                <w14:textFill>
                  <w14:solidFill>
                    <w14:schemeClr w14:val="tx1"/>
                  </w14:solidFill>
                </w14:textFill>
              </w:rPr>
            </w:pPr>
            <w:r>
              <w:rPr>
                <w:rFonts w:hint="eastAsia" w:ascii="Times New Roman" w:hAnsi="Times New Roman" w:cs="Times New Roman"/>
                <w:b/>
                <w:color w:val="000000" w:themeColor="text1"/>
                <w:szCs w:val="21"/>
                <w:lang w:eastAsia="zh-CN"/>
                <w14:textFill>
                  <w14:solidFill>
                    <w14:schemeClr w14:val="tx1"/>
                  </w14:solidFill>
                </w14:textFill>
              </w:rPr>
              <w:t>建筑施工噪声排放标准</w:t>
            </w:r>
            <w:r>
              <w:rPr>
                <w:rFonts w:hint="default" w:ascii="Times New Roman" w:hAnsi="Times New Roman" w:eastAsia="宋体" w:cs="Times New Roman"/>
                <w:b/>
                <w:color w:val="000000" w:themeColor="text1"/>
                <w:szCs w:val="21"/>
                <w14:textFill>
                  <w14:solidFill>
                    <w14:schemeClr w14:val="tx1"/>
                  </w14:solidFill>
                </w14:textFill>
              </w:rPr>
              <w:t>等效声级Leq：dB（A）</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6"/>
              <w:gridCol w:w="3165"/>
              <w:gridCol w:w="2505"/>
            </w:tblGrid>
            <w:tr w14:paraId="7F5B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jc w:val="center"/>
              </w:trPr>
              <w:tc>
                <w:tcPr>
                  <w:tcW w:w="1507" w:type="pct"/>
                  <w:vAlign w:val="center"/>
                </w:tcPr>
                <w:p w14:paraId="493BD5AD">
                  <w:pPr>
                    <w:widowControl/>
                    <w:spacing w:line="276" w:lineRule="auto"/>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时段</w:t>
                  </w:r>
                </w:p>
              </w:tc>
              <w:tc>
                <w:tcPr>
                  <w:tcW w:w="1950" w:type="pct"/>
                  <w:vAlign w:val="center"/>
                </w:tcPr>
                <w:p w14:paraId="1781322E">
                  <w:pPr>
                    <w:widowControl/>
                    <w:spacing w:line="276" w:lineRule="auto"/>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昼间</w:t>
                  </w:r>
                </w:p>
              </w:tc>
              <w:tc>
                <w:tcPr>
                  <w:tcW w:w="1543" w:type="pct"/>
                  <w:vAlign w:val="center"/>
                </w:tcPr>
                <w:p w14:paraId="526ECA81">
                  <w:pPr>
                    <w:widowControl/>
                    <w:spacing w:line="276" w:lineRule="auto"/>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夜间</w:t>
                  </w:r>
                </w:p>
              </w:tc>
            </w:tr>
            <w:tr w14:paraId="157A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507" w:type="pct"/>
                  <w:vAlign w:val="center"/>
                </w:tcPr>
                <w:p w14:paraId="76805E6C">
                  <w:pPr>
                    <w:widowControl/>
                    <w:spacing w:line="276"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施工期</w:t>
                  </w:r>
                </w:p>
              </w:tc>
              <w:tc>
                <w:tcPr>
                  <w:tcW w:w="1950" w:type="pct"/>
                  <w:vAlign w:val="center"/>
                </w:tcPr>
                <w:p w14:paraId="35B34D0C">
                  <w:pPr>
                    <w:widowControl/>
                    <w:spacing w:line="276"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70</w:t>
                  </w:r>
                </w:p>
              </w:tc>
              <w:tc>
                <w:tcPr>
                  <w:tcW w:w="1543" w:type="pct"/>
                  <w:vAlign w:val="center"/>
                </w:tcPr>
                <w:p w14:paraId="3A9F89EB">
                  <w:pPr>
                    <w:widowControl/>
                    <w:spacing w:line="276"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55</w:t>
                  </w:r>
                </w:p>
              </w:tc>
            </w:tr>
          </w:tbl>
          <w:p w14:paraId="25A0B9F8">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w:t>
            </w:r>
            <w:r>
              <w:rPr>
                <w:rFonts w:hint="default" w:ascii="Times New Roman" w:hAnsi="Times New Roman" w:eastAsia="宋体" w:cs="Times New Roman"/>
                <w:color w:val="000000" w:themeColor="text1"/>
                <w:sz w:val="24"/>
                <w:szCs w:val="32"/>
                <w14:textFill>
                  <w14:solidFill>
                    <w14:schemeClr w14:val="tx1"/>
                  </w14:solidFill>
                </w14:textFill>
              </w:rPr>
              <w:t>运营期</w:t>
            </w:r>
          </w:p>
          <w:p w14:paraId="220B3603">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运营期</w:t>
            </w:r>
            <w:r>
              <w:rPr>
                <w:rFonts w:hint="default" w:ascii="Times New Roman" w:hAnsi="Times New Roman" w:eastAsia="宋体" w:cs="Times New Roman"/>
                <w:color w:val="000000" w:themeColor="text1"/>
                <w:sz w:val="24"/>
                <w:szCs w:val="32"/>
                <w14:textFill>
                  <w14:solidFill>
                    <w14:schemeClr w14:val="tx1"/>
                  </w14:solidFill>
                </w14:textFill>
              </w:rPr>
              <w:t>噪声</w:t>
            </w:r>
            <w:r>
              <w:rPr>
                <w:rFonts w:hint="default" w:ascii="Times New Roman" w:hAnsi="Times New Roman" w:eastAsia="宋体" w:cs="Times New Roman"/>
                <w:color w:val="000000" w:themeColor="text1"/>
                <w:sz w:val="24"/>
                <w:szCs w:val="22"/>
                <w14:textFill>
                  <w14:solidFill>
                    <w14:schemeClr w14:val="tx1"/>
                  </w14:solidFill>
                </w14:textFill>
              </w:rPr>
              <w:t>执行《工业企业厂界环境噪声排放标准》（GB12348-2008）2类标准。</w:t>
            </w:r>
          </w:p>
          <w:p w14:paraId="2323DF8B">
            <w:pPr>
              <w:pStyle w:val="155"/>
              <w:numPr>
                <w:ilvl w:val="0"/>
                <w:numId w:val="19"/>
              </w:numPr>
              <w:spacing w:line="360" w:lineRule="auto"/>
              <w:ind w:firstLineChars="0"/>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工业企业厂界环境噪声排放限值单位：dB（A）</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0"/>
              <w:gridCol w:w="2480"/>
              <w:gridCol w:w="3156"/>
            </w:tblGrid>
            <w:tr w14:paraId="796C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582" w:type="dxa"/>
                  <w:vAlign w:val="center"/>
                </w:tcPr>
                <w:p w14:paraId="324391CB">
                  <w:pPr>
                    <w:widowControl/>
                    <w:spacing w:line="276" w:lineRule="auto"/>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时段</w:t>
                  </w:r>
                </w:p>
              </w:tc>
              <w:tc>
                <w:tcPr>
                  <w:tcW w:w="2582" w:type="dxa"/>
                  <w:vAlign w:val="center"/>
                </w:tcPr>
                <w:p w14:paraId="653CD85C">
                  <w:pPr>
                    <w:widowControl/>
                    <w:spacing w:line="276" w:lineRule="auto"/>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昼间</w:t>
                  </w:r>
                </w:p>
              </w:tc>
              <w:tc>
                <w:tcPr>
                  <w:tcW w:w="3291" w:type="dxa"/>
                  <w:vAlign w:val="center"/>
                </w:tcPr>
                <w:p w14:paraId="6A45236D">
                  <w:pPr>
                    <w:widowControl/>
                    <w:spacing w:line="276" w:lineRule="auto"/>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夜间</w:t>
                  </w:r>
                </w:p>
              </w:tc>
            </w:tr>
            <w:tr w14:paraId="39FC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jc w:val="center"/>
              </w:trPr>
              <w:tc>
                <w:tcPr>
                  <w:tcW w:w="2582" w:type="dxa"/>
                  <w:vAlign w:val="center"/>
                </w:tcPr>
                <w:p w14:paraId="652F818F">
                  <w:pPr>
                    <w:widowControl/>
                    <w:spacing w:line="276" w:lineRule="auto"/>
                    <w:jc w:val="center"/>
                    <w:rPr>
                      <w:rFonts w:hint="default" w:ascii="Times New Roman" w:hAnsi="Times New Roman" w:eastAsia="宋体" w:cs="Times New Roman"/>
                      <w:b/>
                      <w:color w:val="000000" w:themeColor="text1"/>
                      <w:szCs w:val="21"/>
                      <w14:textFill>
                        <w14:solidFill>
                          <w14:schemeClr w14:val="tx1"/>
                        </w14:solidFill>
                      </w14:textFill>
                    </w:rPr>
                  </w:pPr>
                  <w:r>
                    <w:rPr>
                      <w:rFonts w:hint="default" w:ascii="Times New Roman" w:hAnsi="Times New Roman" w:eastAsia="宋体" w:cs="Times New Roman"/>
                      <w:b/>
                      <w:color w:val="000000" w:themeColor="text1"/>
                      <w:szCs w:val="21"/>
                      <w14:textFill>
                        <w14:solidFill>
                          <w14:schemeClr w14:val="tx1"/>
                        </w14:solidFill>
                      </w14:textFill>
                    </w:rPr>
                    <w:t>2类排放标准限值</w:t>
                  </w:r>
                </w:p>
              </w:tc>
              <w:tc>
                <w:tcPr>
                  <w:tcW w:w="2582" w:type="dxa"/>
                  <w:vAlign w:val="center"/>
                </w:tcPr>
                <w:p w14:paraId="6A8A4228">
                  <w:pPr>
                    <w:widowControl/>
                    <w:spacing w:line="276"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60</w:t>
                  </w:r>
                </w:p>
              </w:tc>
              <w:tc>
                <w:tcPr>
                  <w:tcW w:w="3291" w:type="dxa"/>
                  <w:vAlign w:val="center"/>
                </w:tcPr>
                <w:p w14:paraId="5518F85C">
                  <w:pPr>
                    <w:widowControl/>
                    <w:spacing w:line="276" w:lineRule="auto"/>
                    <w:jc w:val="center"/>
                    <w:rPr>
                      <w:rFonts w:hint="default" w:ascii="Times New Roman" w:hAnsi="Times New Roman" w:eastAsia="宋体" w:cs="Times New Roman"/>
                      <w:bCs/>
                      <w:color w:val="000000" w:themeColor="text1"/>
                      <w:szCs w:val="21"/>
                      <w14:textFill>
                        <w14:solidFill>
                          <w14:schemeClr w14:val="tx1"/>
                        </w14:solidFill>
                      </w14:textFill>
                    </w:rPr>
                  </w:pPr>
                  <w:r>
                    <w:rPr>
                      <w:rFonts w:hint="default" w:ascii="Times New Roman" w:hAnsi="Times New Roman" w:eastAsia="宋体" w:cs="Times New Roman"/>
                      <w:bCs/>
                      <w:color w:val="000000" w:themeColor="text1"/>
                      <w:szCs w:val="21"/>
                      <w14:textFill>
                        <w14:solidFill>
                          <w14:schemeClr w14:val="tx1"/>
                        </w14:solidFill>
                      </w14:textFill>
                    </w:rPr>
                    <w:t>50</w:t>
                  </w:r>
                </w:p>
              </w:tc>
            </w:tr>
          </w:tbl>
          <w:p w14:paraId="2EF6930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4、固体废弃物</w:t>
            </w:r>
          </w:p>
          <w:p w14:paraId="447366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项目一般工业固废采用库房、包装工具（罐、桶、包装袋等）贮存，其贮存场所应满足防渗漏、防雨淋、防扬尘等环境保护要求，不得形成二次污染。</w:t>
            </w:r>
          </w:p>
          <w:p w14:paraId="5DECFC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危险废物按照《危险废物贮存污染控制标准》（GB18597—2023）。</w:t>
            </w:r>
          </w:p>
        </w:tc>
      </w:tr>
      <w:tr w14:paraId="3BBC56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85" w:type="dxa"/>
            <w:bottom w:w="0" w:type="dxa"/>
            <w:right w:w="85" w:type="dxa"/>
          </w:tblCellMar>
        </w:tblPrEx>
        <w:tc>
          <w:tcPr>
            <w:tcW w:w="239" w:type="pct"/>
            <w:vAlign w:val="center"/>
          </w:tcPr>
          <w:p w14:paraId="0C703837">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总量</w:t>
            </w:r>
          </w:p>
          <w:p w14:paraId="482955AB">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控制</w:t>
            </w:r>
          </w:p>
          <w:p w14:paraId="74C86A18">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指标</w:t>
            </w:r>
          </w:p>
        </w:tc>
        <w:tc>
          <w:tcPr>
            <w:tcW w:w="4761" w:type="pct"/>
            <w:vAlign w:val="center"/>
          </w:tcPr>
          <w:p w14:paraId="479B06E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参考</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《美丽中国建设 “十五五” 规划》（国发〔2026〕20号）</w:t>
            </w:r>
            <w:r>
              <w:rPr>
                <w:rFonts w:hint="default" w:ascii="Times New Roman" w:hAnsi="Times New Roman" w:eastAsia="宋体" w:cs="Times New Roman"/>
                <w:color w:val="000000" w:themeColor="text1"/>
                <w:sz w:val="24"/>
                <w:szCs w:val="22"/>
                <w14:textFill>
                  <w14:solidFill>
                    <w14:schemeClr w14:val="tx1"/>
                  </w14:solidFill>
                </w14:textFill>
              </w:rPr>
              <w:t>，总量控制指标为化学需氧量（COD）、总磷（TP）、氮氧化物（NO</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x</w:t>
            </w:r>
            <w:r>
              <w:rPr>
                <w:rFonts w:hint="default" w:ascii="Times New Roman" w:hAnsi="Times New Roman" w:eastAsia="宋体" w:cs="Times New Roman"/>
                <w:color w:val="000000" w:themeColor="text1"/>
                <w:sz w:val="24"/>
                <w:szCs w:val="22"/>
                <w14:textFill>
                  <w14:solidFill>
                    <w14:schemeClr w14:val="tx1"/>
                  </w14:solidFill>
                </w14:textFill>
              </w:rPr>
              <w:t>）、挥发性有机物（VOCs）。</w:t>
            </w:r>
          </w:p>
          <w:p w14:paraId="216523F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2"/>
                <w:lang w:eastAsia="zh-CN"/>
                <w14:textFill>
                  <w14:solidFill>
                    <w14:schemeClr w14:val="tx1"/>
                  </w14:solidFill>
                </w14:textFill>
              </w:rPr>
            </w:pPr>
            <w:r>
              <w:rPr>
                <w:rFonts w:hint="default" w:ascii="Times New Roman" w:hAnsi="Times New Roman" w:eastAsia="宋体" w:cs="Times New Roman"/>
                <w:color w:val="000000" w:themeColor="text1"/>
                <w:sz w:val="24"/>
                <w:szCs w:val="22"/>
                <w:lang w:eastAsia="zh-CN"/>
                <w14:textFill>
                  <w14:solidFill>
                    <w14:schemeClr w14:val="tx1"/>
                  </w14:solidFill>
                </w14:textFill>
              </w:rPr>
              <w:t>本项目运行过程</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无废气、废水排放</w:t>
            </w:r>
            <w:r>
              <w:rPr>
                <w:rFonts w:hint="default" w:ascii="Times New Roman" w:hAnsi="Times New Roman" w:eastAsia="宋体" w:cs="Times New Roman"/>
                <w:color w:val="000000" w:themeColor="text1"/>
                <w:sz w:val="24"/>
                <w:szCs w:val="22"/>
                <w:lang w:eastAsia="zh-CN"/>
                <w14:textFill>
                  <w14:solidFill>
                    <w14:schemeClr w14:val="tx1"/>
                  </w14:solidFill>
                </w14:textFill>
              </w:rPr>
              <w:t>。</w:t>
            </w:r>
          </w:p>
          <w:p w14:paraId="40207B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故本项目不设置总量控制指标。</w:t>
            </w:r>
          </w:p>
          <w:p w14:paraId="39297C12">
            <w:pPr>
              <w:rPr>
                <w:rFonts w:hint="default" w:ascii="Times New Roman" w:hAnsi="Times New Roman" w:eastAsia="宋体" w:cs="Times New Roman"/>
                <w:bCs/>
                <w:color w:val="000000" w:themeColor="text1"/>
                <w14:textFill>
                  <w14:solidFill>
                    <w14:schemeClr w14:val="tx1"/>
                  </w14:solidFill>
                </w14:textFill>
              </w:rPr>
            </w:pPr>
          </w:p>
          <w:p w14:paraId="732E0745">
            <w:pPr>
              <w:rPr>
                <w:rFonts w:hint="default" w:ascii="Times New Roman" w:hAnsi="Times New Roman" w:eastAsia="宋体" w:cs="Times New Roman"/>
                <w:color w:val="000000" w:themeColor="text1"/>
                <w14:textFill>
                  <w14:solidFill>
                    <w14:schemeClr w14:val="tx1"/>
                  </w14:solidFill>
                </w14:textFill>
              </w:rPr>
            </w:pPr>
          </w:p>
          <w:p w14:paraId="54C0D4CA">
            <w:pPr>
              <w:pStyle w:val="3"/>
              <w:ind w:left="0" w:firstLine="0"/>
              <w:rPr>
                <w:rFonts w:hint="default" w:ascii="Times New Roman" w:hAnsi="Times New Roman" w:eastAsia="宋体" w:cs="Times New Roman"/>
                <w:color w:val="000000" w:themeColor="text1"/>
                <w14:textFill>
                  <w14:solidFill>
                    <w14:schemeClr w14:val="tx1"/>
                  </w14:solidFill>
                </w14:textFill>
              </w:rPr>
            </w:pPr>
          </w:p>
          <w:p w14:paraId="5C7626D3">
            <w:pPr>
              <w:rPr>
                <w:rFonts w:hint="default" w:ascii="Times New Roman" w:hAnsi="Times New Roman" w:eastAsia="宋体" w:cs="Times New Roman"/>
                <w:color w:val="000000" w:themeColor="text1"/>
                <w14:textFill>
                  <w14:solidFill>
                    <w14:schemeClr w14:val="tx1"/>
                  </w14:solidFill>
                </w14:textFill>
              </w:rPr>
            </w:pPr>
          </w:p>
        </w:tc>
      </w:tr>
    </w:tbl>
    <w:p w14:paraId="0F37EBC1">
      <w:pPr>
        <w:rPr>
          <w:rFonts w:hint="default" w:ascii="Times New Roman" w:hAnsi="Times New Roman" w:eastAsia="宋体" w:cs="Times New Roman"/>
          <w:color w:val="000000" w:themeColor="text1"/>
          <w14:textFill>
            <w14:solidFill>
              <w14:schemeClr w14:val="tx1"/>
            </w14:solidFill>
          </w14:textFill>
        </w:rPr>
        <w:sectPr>
          <w:pgSz w:w="11907" w:h="16840"/>
          <w:pgMar w:top="1418" w:right="1531" w:bottom="1418" w:left="1644" w:header="851" w:footer="851" w:gutter="0"/>
          <w:pgBorders>
            <w:top w:val="none" w:sz="0" w:space="0"/>
            <w:left w:val="none" w:sz="0" w:space="0"/>
            <w:bottom w:val="none" w:sz="0" w:space="0"/>
            <w:right w:val="none" w:sz="0" w:space="0"/>
          </w:pgBorders>
          <w:cols w:space="720" w:num="1"/>
          <w:docGrid w:type="lines" w:linePitch="312" w:charSpace="0"/>
        </w:sectPr>
      </w:pPr>
    </w:p>
    <w:p w14:paraId="6F5BF8AB">
      <w:pPr>
        <w:pStyle w:val="3"/>
        <w:keepLines/>
        <w:overflowPunct/>
        <w:snapToGrid/>
        <w:spacing w:before="0" w:after="0" w:line="360" w:lineRule="auto"/>
        <w:ind w:left="0" w:firstLine="0"/>
        <w:jc w:val="center"/>
        <w:rPr>
          <w:rFonts w:hint="default" w:ascii="Times New Roman" w:hAnsi="Times New Roman" w:eastAsia="宋体" w:cs="Times New Roman"/>
          <w:b/>
          <w:bCs w:val="0"/>
          <w:snapToGrid w:val="0"/>
          <w:color w:val="000000" w:themeColor="text1"/>
          <w:kern w:val="21"/>
          <w:sz w:val="30"/>
          <w:szCs w:val="30"/>
          <w14:textFill>
            <w14:solidFill>
              <w14:schemeClr w14:val="tx1"/>
            </w14:solidFill>
          </w14:textFill>
        </w:rPr>
      </w:pPr>
      <w:r>
        <w:rPr>
          <w:rFonts w:hint="default" w:ascii="Times New Roman" w:hAnsi="Times New Roman" w:eastAsia="宋体" w:cs="Times New Roman"/>
          <w:b/>
          <w:bCs w:val="0"/>
          <w:snapToGrid w:val="0"/>
          <w:color w:val="000000" w:themeColor="text1"/>
          <w:kern w:val="21"/>
          <w:sz w:val="30"/>
          <w:szCs w:val="30"/>
          <w14:textFill>
            <w14:solidFill>
              <w14:schemeClr w14:val="tx1"/>
            </w14:solidFill>
          </w14:textFill>
        </w:rPr>
        <w:t>四、主要环境影响和保护措施</w:t>
      </w:r>
    </w:p>
    <w:tbl>
      <w:tblPr>
        <w:tblStyle w:val="5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22"/>
        <w:gridCol w:w="8403"/>
      </w:tblGrid>
      <w:tr w14:paraId="15D652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39" w:type="pct"/>
            <w:tcMar>
              <w:left w:w="28" w:type="dxa"/>
              <w:right w:w="28" w:type="dxa"/>
            </w:tcMar>
            <w:vAlign w:val="center"/>
          </w:tcPr>
          <w:p w14:paraId="365FA2BF">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施工</w:t>
            </w:r>
          </w:p>
          <w:p w14:paraId="0DF33F26">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期环</w:t>
            </w:r>
          </w:p>
          <w:p w14:paraId="47CA4C67">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境保</w:t>
            </w:r>
          </w:p>
          <w:p w14:paraId="36E1DCB7">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护措</w:t>
            </w:r>
          </w:p>
          <w:p w14:paraId="11DD3565">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施</w:t>
            </w:r>
          </w:p>
        </w:tc>
        <w:tc>
          <w:tcPr>
            <w:tcW w:w="4761" w:type="pct"/>
            <w:vAlign w:val="center"/>
          </w:tcPr>
          <w:p w14:paraId="6E5620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根据建设单位介绍，本项目施工期主要</w:t>
            </w:r>
            <w:r>
              <w:rPr>
                <w:rFonts w:hint="default" w:ascii="Times New Roman" w:hAnsi="Times New Roman" w:eastAsia="宋体" w:cs="Times New Roman"/>
                <w:color w:val="000000" w:themeColor="text1"/>
                <w:sz w:val="24"/>
                <w:lang w:val="en-US" w:eastAsia="zh-CN"/>
                <w14:textFill>
                  <w14:solidFill>
                    <w14:schemeClr w14:val="tx1"/>
                  </w14:solidFill>
                </w14:textFill>
              </w:rPr>
              <w:t>为取水口、泵站、</w:t>
            </w:r>
            <w:r>
              <w:rPr>
                <w:rFonts w:hint="default" w:ascii="Times New Roman" w:hAnsi="Times New Roman" w:eastAsia="宋体" w:cs="Times New Roman"/>
                <w:color w:val="000000" w:themeColor="text1"/>
                <w:sz w:val="24"/>
                <w14:textFill>
                  <w14:solidFill>
                    <w14:schemeClr w14:val="tx1"/>
                  </w14:solidFill>
                </w14:textFill>
              </w:rPr>
              <w:t>供水、配水管网建设施工。</w:t>
            </w:r>
          </w:p>
          <w:p w14:paraId="791C8E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建设包括场地平整、基础工程、主体工程和设备安装工程；施工过程将产生施工废水、机械噪声、尾气、施工扬尘、建筑垃圾和工程弃土，以及施工人员的生活污水和生活垃圾。配水管网安装具体施工办法是机械开挖管沟，人工辅助清理沟道，人工安装管道，人工配合机械回填管沟。工程挖掘量小，主要采用人工作业；因此，施工期对环境影响较小，但施工噪声、施工扬尘、建筑弃渣仍会造成环境影响，以及交通阻隔等</w:t>
            </w:r>
            <w:r>
              <w:rPr>
                <w:rFonts w:hint="default" w:ascii="Times New Roman" w:hAnsi="Times New Roman" w:eastAsia="宋体" w:cs="Times New Roman"/>
                <w:bCs/>
                <w:color w:val="000000" w:themeColor="text1"/>
                <w:sz w:val="24"/>
                <w14:textFill>
                  <w14:solidFill>
                    <w14:schemeClr w14:val="tx1"/>
                  </w14:solidFill>
                </w14:textFill>
              </w:rPr>
              <w:t>。</w:t>
            </w:r>
          </w:p>
          <w:p w14:paraId="579E1FA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themeColor="text1"/>
                <w:sz w:val="24"/>
                <w:szCs w:val="32"/>
                <w14:textFill>
                  <w14:solidFill>
                    <w14:schemeClr w14:val="tx1"/>
                  </w14:solidFill>
                </w14:textFill>
              </w:rPr>
            </w:pPr>
            <w:r>
              <w:rPr>
                <w:rFonts w:hint="default" w:ascii="Times New Roman" w:hAnsi="Times New Roman" w:eastAsia="宋体" w:cs="Times New Roman"/>
                <w:b/>
                <w:bCs/>
                <w:color w:val="000000" w:themeColor="text1"/>
                <w:sz w:val="24"/>
                <w:szCs w:val="32"/>
                <w14:textFill>
                  <w14:solidFill>
                    <w14:schemeClr w14:val="tx1"/>
                  </w14:solidFill>
                </w14:textFill>
              </w:rPr>
              <w:t>1、废气环境影响及保护措施</w:t>
            </w:r>
          </w:p>
          <w:p w14:paraId="68319F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2"/>
                <w:lang w:val="en-US" w:eastAsia="zh-CN"/>
                <w14:textFill>
                  <w14:solidFill>
                    <w14:schemeClr w14:val="tx1"/>
                  </w14:solidFill>
                </w14:textFill>
              </w:rPr>
              <w:t>本项目不设置拌合站，采用商品混凝土。</w:t>
            </w:r>
            <w:r>
              <w:rPr>
                <w:rFonts w:hint="default" w:ascii="Times New Roman" w:hAnsi="Times New Roman" w:eastAsia="宋体" w:cs="Times New Roman"/>
                <w:bCs/>
                <w:color w:val="000000" w:themeColor="text1"/>
                <w:sz w:val="24"/>
                <w:szCs w:val="32"/>
                <w14:textFill>
                  <w14:solidFill>
                    <w14:schemeClr w14:val="tx1"/>
                  </w14:solidFill>
                </w14:textFill>
              </w:rPr>
              <w:t>本项目施工期废气主要为施工扬尘、焊接烟尘、施工机械废气及车辆尾气。</w:t>
            </w:r>
          </w:p>
          <w:p w14:paraId="52C42DB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000000" w:themeColor="text1"/>
                <w:sz w:val="24"/>
                <w:szCs w:val="32"/>
                <w14:textFill>
                  <w14:solidFill>
                    <w14:schemeClr w14:val="tx1"/>
                  </w14:solidFill>
                </w14:textFill>
              </w:rPr>
            </w:pPr>
            <w:r>
              <w:rPr>
                <w:rFonts w:hint="default" w:ascii="Times New Roman" w:hAnsi="Times New Roman" w:eastAsia="宋体" w:cs="Times New Roman"/>
                <w:b/>
                <w:bCs/>
                <w:color w:val="000000" w:themeColor="text1"/>
                <w:sz w:val="24"/>
                <w:szCs w:val="32"/>
                <w14:textFill>
                  <w14:solidFill>
                    <w14:schemeClr w14:val="tx1"/>
                  </w14:solidFill>
                </w14:textFill>
              </w:rPr>
              <w:t>（1）</w:t>
            </w:r>
            <w:r>
              <w:rPr>
                <w:rFonts w:hint="default" w:ascii="Times New Roman" w:hAnsi="Times New Roman" w:eastAsia="宋体" w:cs="Times New Roman"/>
                <w:b/>
                <w:color w:val="000000" w:themeColor="text1"/>
                <w:sz w:val="24"/>
                <w:szCs w:val="32"/>
                <w14:textFill>
                  <w14:solidFill>
                    <w14:schemeClr w14:val="tx1"/>
                  </w14:solidFill>
                </w14:textFill>
              </w:rPr>
              <w:t>施工扬尘</w:t>
            </w:r>
          </w:p>
          <w:p w14:paraId="4B1B62E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产生情况：</w:t>
            </w:r>
            <w:r>
              <w:rPr>
                <w:rFonts w:hint="default" w:ascii="Times New Roman" w:hAnsi="Times New Roman" w:eastAsia="宋体" w:cs="Times New Roman"/>
                <w:bCs/>
                <w:color w:val="000000" w:themeColor="text1"/>
                <w:sz w:val="24"/>
                <w14:textFill>
                  <w14:solidFill>
                    <w14:schemeClr w14:val="tx1"/>
                  </w14:solidFill>
                </w14:textFill>
              </w:rPr>
              <w:t>工程施工过程中由于地表植被和表层土壤结构遭到破坏，土质疏松，地表裸露，在2级以上风力作用下会产生扬尘，扬尘污染造成大气中TSP值增高，对下风向的空气造成污染。施工期扬尘主要来自以下几方面：</w:t>
            </w:r>
          </w:p>
          <w:p w14:paraId="74AD4CE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①施工作业带、施工场地地表清理、表土剥离、表土回填等产生的扬尘；</w:t>
            </w:r>
          </w:p>
          <w:p w14:paraId="376CC4E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②土石方开挖、现场堆放、回填等工程产生扬尘；</w:t>
            </w:r>
          </w:p>
          <w:p w14:paraId="62CA19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③材料堆场堆放的砼骨料、砂在装卸、堆放、转运过程中会产生扬尘；</w:t>
            </w:r>
          </w:p>
          <w:p w14:paraId="7E40FF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④施工多余土石方、建筑垃圾的清理及堆放产生扬尘；</w:t>
            </w:r>
          </w:p>
          <w:p w14:paraId="1E9A37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⑤车辆及施工机械往来造成的道路扬尘。</w:t>
            </w:r>
          </w:p>
          <w:p w14:paraId="1D549A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color w:val="000000" w:themeColor="text1"/>
                <w:kern w:val="0"/>
                <w:sz w:val="24"/>
                <w:lang w:bidi="ar"/>
                <w14:textFill>
                  <w14:solidFill>
                    <w14:schemeClr w14:val="tx1"/>
                  </w14:solidFill>
                </w14:textFill>
              </w:rPr>
              <w:t>其中据有关调查显示，施工场地的扬尘主要是由运输车辆的行驶产生，约占扬尘总量的60%，而洒水抑尘和保持路面清洁是减少扬尘的最有效手段。路面清洁度与扬尘产生量的关系分析：</w:t>
            </w:r>
            <w:r>
              <w:rPr>
                <w:rFonts w:hint="default" w:ascii="Times New Roman" w:hAnsi="Times New Roman" w:eastAsia="宋体" w:cs="Times New Roman"/>
                <w:color w:val="000000" w:themeColor="text1"/>
                <w:sz w:val="24"/>
                <w14:textFill>
                  <w14:solidFill>
                    <w14:schemeClr w14:val="tx1"/>
                  </w14:solidFill>
                </w14:textFill>
              </w:rPr>
              <w:t>在道路完全干燥的情况下，运输车辆行驶动力起尘量可按下述经验公式计算：</w:t>
            </w:r>
          </w:p>
          <w:p w14:paraId="51BE45AC">
            <w:pPr>
              <w:spacing w:line="360" w:lineRule="auto"/>
              <w:jc w:val="center"/>
              <w:rPr>
                <w:rFonts w:hint="default" w:ascii="Times New Roman" w:hAnsi="Times New Roman" w:eastAsia="宋体" w:cs="Times New Roman"/>
                <w:color w:val="000000" w:themeColor="text1"/>
                <w:sz w:val="24"/>
                <w:vertAlign w:val="superscript"/>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Q=0.123</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（V/5）</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（W/6.8）</w:t>
            </w:r>
            <w:r>
              <w:rPr>
                <w:rFonts w:hint="default" w:ascii="Times New Roman" w:hAnsi="Times New Roman" w:eastAsia="宋体" w:cs="Times New Roman"/>
                <w:color w:val="000000" w:themeColor="text1"/>
                <w:sz w:val="24"/>
                <w:vertAlign w:val="superscript"/>
                <w14:textFill>
                  <w14:solidFill>
                    <w14:schemeClr w14:val="tx1"/>
                  </w14:solidFill>
                </w14:textFill>
              </w:rPr>
              <w:t>0.85</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（P/0.5）</w:t>
            </w:r>
            <w:r>
              <w:rPr>
                <w:rFonts w:hint="default" w:ascii="Times New Roman" w:hAnsi="Times New Roman" w:eastAsia="宋体" w:cs="Times New Roman"/>
                <w:color w:val="000000" w:themeColor="text1"/>
                <w:sz w:val="24"/>
                <w:vertAlign w:val="superscript"/>
                <w14:textFill>
                  <w14:solidFill>
                    <w14:schemeClr w14:val="tx1"/>
                  </w14:solidFill>
                </w14:textFill>
              </w:rPr>
              <w:t>0.75</w:t>
            </w:r>
          </w:p>
          <w:p w14:paraId="0B83B021">
            <w:pPr>
              <w:spacing w:line="360" w:lineRule="auto"/>
              <w:ind w:firstLine="720" w:firstLineChars="300"/>
              <w:jc w:val="left"/>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式中：Q—汽车行驶时的扬尘，kg/Km·辆；</w:t>
            </w:r>
          </w:p>
          <w:p w14:paraId="560890E4">
            <w:pPr>
              <w:spacing w:line="360" w:lineRule="auto"/>
              <w:ind w:firstLine="1440" w:firstLineChars="600"/>
              <w:jc w:val="left"/>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V—汽车速度，km/h；</w:t>
            </w:r>
          </w:p>
          <w:p w14:paraId="21AB6FCB">
            <w:pPr>
              <w:spacing w:line="360" w:lineRule="auto"/>
              <w:ind w:firstLine="1440" w:firstLineChars="600"/>
              <w:jc w:val="left"/>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W—汽车载重量，t；</w:t>
            </w:r>
          </w:p>
          <w:p w14:paraId="48EC86FA">
            <w:pPr>
              <w:spacing w:line="360" w:lineRule="auto"/>
              <w:ind w:firstLine="1440" w:firstLineChars="600"/>
              <w:jc w:val="left"/>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P—道路表面粉尘量，kg/m</w:t>
            </w:r>
            <w:r>
              <w:rPr>
                <w:rFonts w:hint="default" w:ascii="Times New Roman" w:hAnsi="Times New Roman" w:eastAsia="宋体" w:cs="Times New Roman"/>
                <w:color w:val="000000" w:themeColor="text1"/>
                <w:sz w:val="24"/>
                <w:vertAlign w:val="superscript"/>
                <w14:textFill>
                  <w14:solidFill>
                    <w14:schemeClr w14:val="tx1"/>
                  </w14:solidFill>
                </w14:textFill>
              </w:rPr>
              <w:t>2</w:t>
            </w:r>
            <w:r>
              <w:rPr>
                <w:rFonts w:hint="default" w:ascii="Times New Roman" w:hAnsi="Times New Roman" w:eastAsia="宋体" w:cs="Times New Roman"/>
                <w:color w:val="000000" w:themeColor="text1"/>
                <w:sz w:val="24"/>
                <w14:textFill>
                  <w14:solidFill>
                    <w14:schemeClr w14:val="tx1"/>
                  </w14:solidFill>
                </w14:textFill>
              </w:rPr>
              <w:t>；</w:t>
            </w:r>
          </w:p>
          <w:p w14:paraId="3503028E">
            <w:pPr>
              <w:spacing w:line="360" w:lineRule="auto"/>
              <w:ind w:firstLine="480"/>
              <w:rPr>
                <w:rFonts w:hint="default" w:ascii="Times New Roman" w:hAnsi="Times New Roman" w:eastAsia="宋体" w:cs="Times New Roman"/>
                <w:color w:val="000000" w:themeColor="text1"/>
                <w:kern w:val="0"/>
                <w:sz w:val="24"/>
                <w:lang w:eastAsia="zh-CN" w:bidi="ar"/>
                <w14:textFill>
                  <w14:solidFill>
                    <w14:schemeClr w14:val="tx1"/>
                  </w14:solidFill>
                </w14:textFill>
              </w:rPr>
            </w:pPr>
            <w:r>
              <w:rPr>
                <w:rFonts w:hint="default" w:ascii="Times New Roman" w:hAnsi="Times New Roman" w:eastAsia="宋体" w:cs="Times New Roman"/>
                <w:color w:val="000000" w:themeColor="text1"/>
                <w:kern w:val="0"/>
                <w:sz w:val="24"/>
                <w:lang w:bidi="ar"/>
                <w14:textFill>
                  <w14:solidFill>
                    <w14:schemeClr w14:val="tx1"/>
                  </w14:solidFill>
                </w14:textFill>
              </w:rPr>
              <w:t>由上可知，在同样路面清洁程度条件下，车速越快，扬尘量越大；而在同样车速情况下，路面越脏，扬尘量越大。因此限制车辆行驶速度及保持路面的清洁是减少汽车扬尘的最有效手段。</w:t>
            </w:r>
          </w:p>
          <w:p w14:paraId="4F85E457">
            <w:pPr>
              <w:pStyle w:val="165"/>
              <w:numPr>
                <w:ilvl w:val="0"/>
                <w:numId w:val="21"/>
              </w:numPr>
              <w:spacing w:line="240" w:lineRule="auto"/>
              <w:ind w:left="0" w:firstLine="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在不同车速和地面清洁程度的汽车扬尘单位：kg/km·辆</w:t>
            </w:r>
          </w:p>
          <w:tbl>
            <w:tblPr>
              <w:tblStyle w:val="55"/>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389"/>
              <w:gridCol w:w="1117"/>
              <w:gridCol w:w="1213"/>
              <w:gridCol w:w="1117"/>
              <w:gridCol w:w="1117"/>
              <w:gridCol w:w="1117"/>
              <w:gridCol w:w="1117"/>
            </w:tblGrid>
            <w:tr w14:paraId="799FEC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79" w:hRule="atLeast"/>
                <w:jc w:val="center"/>
              </w:trPr>
              <w:tc>
                <w:tcPr>
                  <w:tcW w:w="849" w:type="pct"/>
                  <w:tcBorders>
                    <w:top w:val="single" w:color="auto" w:sz="4" w:space="0"/>
                    <w:left w:val="single" w:color="auto" w:sz="4" w:space="0"/>
                    <w:bottom w:val="single" w:color="auto" w:sz="4" w:space="0"/>
                    <w:right w:val="single" w:color="auto" w:sz="4" w:space="0"/>
                    <w:tl2br w:val="single" w:color="auto" w:sz="4" w:space="0"/>
                  </w:tcBorders>
                  <w:vAlign w:val="center"/>
                </w:tcPr>
                <w:p w14:paraId="5E95C6E1">
                  <w:pPr>
                    <w:adjustRightInd w:val="0"/>
                    <w:spacing w:line="240" w:lineRule="auto"/>
                    <w:jc w:val="right"/>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P</w:t>
                  </w:r>
                </w:p>
                <w:p w14:paraId="32FB8772">
                  <w:pPr>
                    <w:pStyle w:val="121"/>
                    <w:spacing w:line="240" w:lineRule="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车速</w:t>
                  </w:r>
                </w:p>
              </w:tc>
              <w:tc>
                <w:tcPr>
                  <w:tcW w:w="682" w:type="pct"/>
                  <w:tcBorders>
                    <w:top w:val="single" w:color="auto" w:sz="4" w:space="0"/>
                    <w:left w:val="single" w:color="auto" w:sz="4" w:space="0"/>
                    <w:bottom w:val="single" w:color="auto" w:sz="4" w:space="0"/>
                    <w:right w:val="single" w:color="auto" w:sz="4" w:space="0"/>
                  </w:tcBorders>
                  <w:vAlign w:val="center"/>
                </w:tcPr>
                <w:p w14:paraId="7687F4DB">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0.1</w:t>
                  </w:r>
                </w:p>
              </w:tc>
              <w:tc>
                <w:tcPr>
                  <w:tcW w:w="741" w:type="pct"/>
                  <w:tcBorders>
                    <w:top w:val="single" w:color="auto" w:sz="4" w:space="0"/>
                    <w:left w:val="single" w:color="auto" w:sz="4" w:space="0"/>
                    <w:bottom w:val="single" w:color="auto" w:sz="4" w:space="0"/>
                    <w:right w:val="single" w:color="auto" w:sz="4" w:space="0"/>
                  </w:tcBorders>
                  <w:vAlign w:val="center"/>
                </w:tcPr>
                <w:p w14:paraId="58C96A98">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0.2</w:t>
                  </w:r>
                </w:p>
              </w:tc>
              <w:tc>
                <w:tcPr>
                  <w:tcW w:w="682" w:type="pct"/>
                  <w:tcBorders>
                    <w:top w:val="single" w:color="auto" w:sz="4" w:space="0"/>
                    <w:left w:val="single" w:color="auto" w:sz="4" w:space="0"/>
                    <w:bottom w:val="single" w:color="auto" w:sz="4" w:space="0"/>
                    <w:right w:val="single" w:color="auto" w:sz="4" w:space="0"/>
                  </w:tcBorders>
                  <w:vAlign w:val="center"/>
                </w:tcPr>
                <w:p w14:paraId="420B3EEE">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0.3</w:t>
                  </w:r>
                </w:p>
              </w:tc>
              <w:tc>
                <w:tcPr>
                  <w:tcW w:w="682" w:type="pct"/>
                  <w:tcBorders>
                    <w:top w:val="single" w:color="auto" w:sz="4" w:space="0"/>
                    <w:left w:val="single" w:color="auto" w:sz="4" w:space="0"/>
                    <w:bottom w:val="single" w:color="auto" w:sz="4" w:space="0"/>
                    <w:right w:val="single" w:color="auto" w:sz="4" w:space="0"/>
                  </w:tcBorders>
                  <w:vAlign w:val="center"/>
                </w:tcPr>
                <w:p w14:paraId="447A1803">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0.4</w:t>
                  </w:r>
                </w:p>
              </w:tc>
              <w:tc>
                <w:tcPr>
                  <w:tcW w:w="682" w:type="pct"/>
                  <w:tcBorders>
                    <w:top w:val="single" w:color="auto" w:sz="4" w:space="0"/>
                    <w:left w:val="single" w:color="auto" w:sz="4" w:space="0"/>
                    <w:bottom w:val="single" w:color="auto" w:sz="4" w:space="0"/>
                    <w:right w:val="single" w:color="auto" w:sz="4" w:space="0"/>
                  </w:tcBorders>
                  <w:vAlign w:val="center"/>
                </w:tcPr>
                <w:p w14:paraId="1AF805FB">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0.5</w:t>
                  </w:r>
                </w:p>
              </w:tc>
              <w:tc>
                <w:tcPr>
                  <w:tcW w:w="682" w:type="pct"/>
                  <w:tcBorders>
                    <w:top w:val="single" w:color="auto" w:sz="4" w:space="0"/>
                    <w:left w:val="single" w:color="auto" w:sz="4" w:space="0"/>
                    <w:bottom w:val="single" w:color="auto" w:sz="4" w:space="0"/>
                    <w:right w:val="single" w:color="auto" w:sz="4" w:space="0"/>
                  </w:tcBorders>
                  <w:vAlign w:val="center"/>
                </w:tcPr>
                <w:p w14:paraId="380A2E53">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w:t>
                  </w:r>
                </w:p>
              </w:tc>
            </w:tr>
            <w:tr w14:paraId="035398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49" w:type="pct"/>
                  <w:tcBorders>
                    <w:top w:val="single" w:color="auto" w:sz="4" w:space="0"/>
                    <w:left w:val="single" w:color="auto" w:sz="4" w:space="0"/>
                    <w:bottom w:val="single" w:color="auto" w:sz="4" w:space="0"/>
                    <w:right w:val="single" w:color="auto" w:sz="4" w:space="0"/>
                  </w:tcBorders>
                  <w:vAlign w:val="center"/>
                </w:tcPr>
                <w:p w14:paraId="0735A717">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5km/h</w:t>
                  </w:r>
                </w:p>
              </w:tc>
              <w:tc>
                <w:tcPr>
                  <w:tcW w:w="682" w:type="pct"/>
                  <w:tcBorders>
                    <w:top w:val="single" w:color="auto" w:sz="4" w:space="0"/>
                    <w:left w:val="single" w:color="auto" w:sz="4" w:space="0"/>
                    <w:bottom w:val="single" w:color="auto" w:sz="4" w:space="0"/>
                    <w:right w:val="single" w:color="auto" w:sz="4" w:space="0"/>
                  </w:tcBorders>
                  <w:vAlign w:val="center"/>
                </w:tcPr>
                <w:p w14:paraId="3057DE52">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0.051</w:t>
                  </w:r>
                </w:p>
              </w:tc>
              <w:tc>
                <w:tcPr>
                  <w:tcW w:w="741" w:type="pct"/>
                  <w:tcBorders>
                    <w:top w:val="single" w:color="auto" w:sz="4" w:space="0"/>
                    <w:left w:val="single" w:color="auto" w:sz="4" w:space="0"/>
                    <w:bottom w:val="single" w:color="auto" w:sz="4" w:space="0"/>
                    <w:right w:val="single" w:color="auto" w:sz="4" w:space="0"/>
                  </w:tcBorders>
                  <w:vAlign w:val="center"/>
                </w:tcPr>
                <w:p w14:paraId="35F8B5C6">
                  <w:pPr>
                    <w:adjustRightInd w:val="0"/>
                    <w:spacing w:line="240" w:lineRule="auto"/>
                    <w:ind w:left="-105" w:leftChars="-5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0.086</w:t>
                  </w:r>
                </w:p>
              </w:tc>
              <w:tc>
                <w:tcPr>
                  <w:tcW w:w="682" w:type="pct"/>
                  <w:tcBorders>
                    <w:top w:val="single" w:color="auto" w:sz="4" w:space="0"/>
                    <w:left w:val="single" w:color="auto" w:sz="4" w:space="0"/>
                    <w:bottom w:val="single" w:color="auto" w:sz="4" w:space="0"/>
                    <w:right w:val="single" w:color="auto" w:sz="4" w:space="0"/>
                  </w:tcBorders>
                  <w:vAlign w:val="center"/>
                </w:tcPr>
                <w:p w14:paraId="2162396F">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0.116</w:t>
                  </w:r>
                </w:p>
              </w:tc>
              <w:tc>
                <w:tcPr>
                  <w:tcW w:w="682" w:type="pct"/>
                  <w:tcBorders>
                    <w:top w:val="single" w:color="auto" w:sz="4" w:space="0"/>
                    <w:left w:val="single" w:color="auto" w:sz="4" w:space="0"/>
                    <w:bottom w:val="single" w:color="auto" w:sz="4" w:space="0"/>
                    <w:right w:val="single" w:color="auto" w:sz="4" w:space="0"/>
                  </w:tcBorders>
                  <w:vAlign w:val="center"/>
                </w:tcPr>
                <w:p w14:paraId="50421C42">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0.144</w:t>
                  </w:r>
                </w:p>
              </w:tc>
              <w:tc>
                <w:tcPr>
                  <w:tcW w:w="682" w:type="pct"/>
                  <w:tcBorders>
                    <w:top w:val="single" w:color="auto" w:sz="4" w:space="0"/>
                    <w:left w:val="single" w:color="auto" w:sz="4" w:space="0"/>
                    <w:bottom w:val="single" w:color="auto" w:sz="4" w:space="0"/>
                    <w:right w:val="single" w:color="auto" w:sz="4" w:space="0"/>
                  </w:tcBorders>
                  <w:vAlign w:val="center"/>
                </w:tcPr>
                <w:p w14:paraId="1342EE04">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0.171</w:t>
                  </w:r>
                </w:p>
              </w:tc>
              <w:tc>
                <w:tcPr>
                  <w:tcW w:w="682" w:type="pct"/>
                  <w:tcBorders>
                    <w:top w:val="single" w:color="auto" w:sz="4" w:space="0"/>
                    <w:left w:val="single" w:color="auto" w:sz="4" w:space="0"/>
                    <w:bottom w:val="single" w:color="auto" w:sz="4" w:space="0"/>
                    <w:right w:val="single" w:color="auto" w:sz="4" w:space="0"/>
                  </w:tcBorders>
                  <w:vAlign w:val="center"/>
                </w:tcPr>
                <w:p w14:paraId="09B1C15C">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0.287</w:t>
                  </w:r>
                </w:p>
              </w:tc>
            </w:tr>
            <w:tr w14:paraId="6E9D20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49" w:type="pct"/>
                  <w:tcBorders>
                    <w:top w:val="single" w:color="auto" w:sz="4" w:space="0"/>
                    <w:left w:val="single" w:color="auto" w:sz="4" w:space="0"/>
                    <w:bottom w:val="single" w:color="auto" w:sz="4" w:space="0"/>
                    <w:right w:val="single" w:color="auto" w:sz="4" w:space="0"/>
                  </w:tcBorders>
                  <w:vAlign w:val="center"/>
                </w:tcPr>
                <w:p w14:paraId="391BA00A">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10km/h</w:t>
                  </w:r>
                </w:p>
              </w:tc>
              <w:tc>
                <w:tcPr>
                  <w:tcW w:w="682" w:type="pct"/>
                  <w:tcBorders>
                    <w:top w:val="single" w:color="auto" w:sz="4" w:space="0"/>
                    <w:left w:val="single" w:color="auto" w:sz="4" w:space="0"/>
                    <w:bottom w:val="single" w:color="auto" w:sz="4" w:space="0"/>
                    <w:right w:val="single" w:color="auto" w:sz="4" w:space="0"/>
                  </w:tcBorders>
                  <w:vAlign w:val="center"/>
                </w:tcPr>
                <w:p w14:paraId="73D765FD">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0.102</w:t>
                  </w:r>
                </w:p>
              </w:tc>
              <w:tc>
                <w:tcPr>
                  <w:tcW w:w="741" w:type="pct"/>
                  <w:tcBorders>
                    <w:top w:val="single" w:color="auto" w:sz="4" w:space="0"/>
                    <w:left w:val="single" w:color="auto" w:sz="4" w:space="0"/>
                    <w:bottom w:val="single" w:color="auto" w:sz="4" w:space="0"/>
                    <w:right w:val="single" w:color="auto" w:sz="4" w:space="0"/>
                  </w:tcBorders>
                  <w:vAlign w:val="center"/>
                </w:tcPr>
                <w:p w14:paraId="2970A142">
                  <w:pPr>
                    <w:adjustRightInd w:val="0"/>
                    <w:spacing w:line="240" w:lineRule="auto"/>
                    <w:ind w:left="-105" w:leftChars="-5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0.171</w:t>
                  </w:r>
                </w:p>
              </w:tc>
              <w:tc>
                <w:tcPr>
                  <w:tcW w:w="682" w:type="pct"/>
                  <w:tcBorders>
                    <w:top w:val="single" w:color="auto" w:sz="4" w:space="0"/>
                    <w:left w:val="single" w:color="auto" w:sz="4" w:space="0"/>
                    <w:bottom w:val="single" w:color="auto" w:sz="4" w:space="0"/>
                    <w:right w:val="single" w:color="auto" w:sz="4" w:space="0"/>
                  </w:tcBorders>
                  <w:vAlign w:val="center"/>
                </w:tcPr>
                <w:p w14:paraId="60E72EAD">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0.232</w:t>
                  </w:r>
                </w:p>
              </w:tc>
              <w:tc>
                <w:tcPr>
                  <w:tcW w:w="682" w:type="pct"/>
                  <w:tcBorders>
                    <w:top w:val="single" w:color="auto" w:sz="4" w:space="0"/>
                    <w:left w:val="single" w:color="auto" w:sz="4" w:space="0"/>
                    <w:bottom w:val="single" w:color="auto" w:sz="4" w:space="0"/>
                    <w:right w:val="single" w:color="auto" w:sz="4" w:space="0"/>
                  </w:tcBorders>
                  <w:vAlign w:val="center"/>
                </w:tcPr>
                <w:p w14:paraId="1FF68A8D">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0.289</w:t>
                  </w:r>
                </w:p>
              </w:tc>
              <w:tc>
                <w:tcPr>
                  <w:tcW w:w="682" w:type="pct"/>
                  <w:tcBorders>
                    <w:top w:val="single" w:color="auto" w:sz="4" w:space="0"/>
                    <w:left w:val="single" w:color="auto" w:sz="4" w:space="0"/>
                    <w:bottom w:val="single" w:color="auto" w:sz="4" w:space="0"/>
                    <w:right w:val="single" w:color="auto" w:sz="4" w:space="0"/>
                  </w:tcBorders>
                  <w:vAlign w:val="center"/>
                </w:tcPr>
                <w:p w14:paraId="502E05AF">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0.341</w:t>
                  </w:r>
                </w:p>
              </w:tc>
              <w:tc>
                <w:tcPr>
                  <w:tcW w:w="682" w:type="pct"/>
                  <w:tcBorders>
                    <w:top w:val="single" w:color="auto" w:sz="4" w:space="0"/>
                    <w:left w:val="single" w:color="auto" w:sz="4" w:space="0"/>
                    <w:bottom w:val="single" w:color="auto" w:sz="4" w:space="0"/>
                    <w:right w:val="single" w:color="auto" w:sz="4" w:space="0"/>
                  </w:tcBorders>
                  <w:vAlign w:val="center"/>
                </w:tcPr>
                <w:p w14:paraId="109CE8D6">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0.574</w:t>
                  </w:r>
                </w:p>
              </w:tc>
            </w:tr>
            <w:tr w14:paraId="700EEC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49" w:type="pct"/>
                  <w:tcBorders>
                    <w:top w:val="single" w:color="auto" w:sz="4" w:space="0"/>
                    <w:left w:val="single" w:color="auto" w:sz="4" w:space="0"/>
                    <w:bottom w:val="single" w:color="auto" w:sz="4" w:space="0"/>
                    <w:right w:val="single" w:color="auto" w:sz="4" w:space="0"/>
                  </w:tcBorders>
                  <w:vAlign w:val="center"/>
                </w:tcPr>
                <w:p w14:paraId="1CF68DA7">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15km/h</w:t>
                  </w:r>
                </w:p>
              </w:tc>
              <w:tc>
                <w:tcPr>
                  <w:tcW w:w="682" w:type="pct"/>
                  <w:tcBorders>
                    <w:top w:val="single" w:color="auto" w:sz="4" w:space="0"/>
                    <w:left w:val="single" w:color="auto" w:sz="4" w:space="0"/>
                    <w:bottom w:val="single" w:color="auto" w:sz="4" w:space="0"/>
                    <w:right w:val="single" w:color="auto" w:sz="4" w:space="0"/>
                  </w:tcBorders>
                  <w:vAlign w:val="center"/>
                </w:tcPr>
                <w:p w14:paraId="39A4FDA2">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0.153</w:t>
                  </w:r>
                </w:p>
              </w:tc>
              <w:tc>
                <w:tcPr>
                  <w:tcW w:w="741" w:type="pct"/>
                  <w:tcBorders>
                    <w:top w:val="single" w:color="auto" w:sz="4" w:space="0"/>
                    <w:left w:val="single" w:color="auto" w:sz="4" w:space="0"/>
                    <w:bottom w:val="single" w:color="auto" w:sz="4" w:space="0"/>
                    <w:right w:val="single" w:color="auto" w:sz="4" w:space="0"/>
                  </w:tcBorders>
                  <w:vAlign w:val="center"/>
                </w:tcPr>
                <w:p w14:paraId="09A31203">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0.257</w:t>
                  </w:r>
                </w:p>
              </w:tc>
              <w:tc>
                <w:tcPr>
                  <w:tcW w:w="682" w:type="pct"/>
                  <w:tcBorders>
                    <w:top w:val="single" w:color="auto" w:sz="4" w:space="0"/>
                    <w:left w:val="single" w:color="auto" w:sz="4" w:space="0"/>
                    <w:bottom w:val="single" w:color="auto" w:sz="4" w:space="0"/>
                    <w:right w:val="single" w:color="auto" w:sz="4" w:space="0"/>
                  </w:tcBorders>
                  <w:vAlign w:val="center"/>
                </w:tcPr>
                <w:p w14:paraId="4FF6AE9E">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0.349</w:t>
                  </w:r>
                </w:p>
              </w:tc>
              <w:tc>
                <w:tcPr>
                  <w:tcW w:w="682" w:type="pct"/>
                  <w:tcBorders>
                    <w:top w:val="single" w:color="auto" w:sz="4" w:space="0"/>
                    <w:left w:val="single" w:color="auto" w:sz="4" w:space="0"/>
                    <w:bottom w:val="single" w:color="auto" w:sz="4" w:space="0"/>
                    <w:right w:val="single" w:color="auto" w:sz="4" w:space="0"/>
                  </w:tcBorders>
                  <w:vAlign w:val="center"/>
                </w:tcPr>
                <w:p w14:paraId="4595BFB6">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0.433</w:t>
                  </w:r>
                </w:p>
              </w:tc>
              <w:tc>
                <w:tcPr>
                  <w:tcW w:w="682" w:type="pct"/>
                  <w:tcBorders>
                    <w:top w:val="single" w:color="auto" w:sz="4" w:space="0"/>
                    <w:left w:val="single" w:color="auto" w:sz="4" w:space="0"/>
                    <w:bottom w:val="single" w:color="auto" w:sz="4" w:space="0"/>
                    <w:right w:val="single" w:color="auto" w:sz="4" w:space="0"/>
                  </w:tcBorders>
                  <w:vAlign w:val="center"/>
                </w:tcPr>
                <w:p w14:paraId="1CE87A91">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0.512</w:t>
                  </w:r>
                </w:p>
              </w:tc>
              <w:tc>
                <w:tcPr>
                  <w:tcW w:w="682" w:type="pct"/>
                  <w:tcBorders>
                    <w:top w:val="single" w:color="auto" w:sz="4" w:space="0"/>
                    <w:left w:val="single" w:color="auto" w:sz="4" w:space="0"/>
                    <w:bottom w:val="single" w:color="auto" w:sz="4" w:space="0"/>
                    <w:right w:val="single" w:color="auto" w:sz="4" w:space="0"/>
                  </w:tcBorders>
                  <w:vAlign w:val="center"/>
                </w:tcPr>
                <w:p w14:paraId="1DB2D12A">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0.861</w:t>
                  </w:r>
                </w:p>
              </w:tc>
            </w:tr>
            <w:tr w14:paraId="2D9CEF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49" w:type="pct"/>
                  <w:tcBorders>
                    <w:top w:val="single" w:color="auto" w:sz="4" w:space="0"/>
                    <w:left w:val="single" w:color="auto" w:sz="4" w:space="0"/>
                    <w:bottom w:val="single" w:color="auto" w:sz="4" w:space="0"/>
                    <w:right w:val="single" w:color="auto" w:sz="4" w:space="0"/>
                  </w:tcBorders>
                  <w:vAlign w:val="center"/>
                </w:tcPr>
                <w:p w14:paraId="07931BAE">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20km/h</w:t>
                  </w:r>
                </w:p>
              </w:tc>
              <w:tc>
                <w:tcPr>
                  <w:tcW w:w="682" w:type="pct"/>
                  <w:tcBorders>
                    <w:top w:val="single" w:color="auto" w:sz="4" w:space="0"/>
                    <w:left w:val="single" w:color="auto" w:sz="4" w:space="0"/>
                    <w:bottom w:val="single" w:color="auto" w:sz="4" w:space="0"/>
                    <w:right w:val="single" w:color="auto" w:sz="4" w:space="0"/>
                  </w:tcBorders>
                  <w:vAlign w:val="center"/>
                </w:tcPr>
                <w:p w14:paraId="31999264">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0.255</w:t>
                  </w:r>
                </w:p>
              </w:tc>
              <w:tc>
                <w:tcPr>
                  <w:tcW w:w="741" w:type="pct"/>
                  <w:tcBorders>
                    <w:top w:val="single" w:color="auto" w:sz="4" w:space="0"/>
                    <w:left w:val="single" w:color="auto" w:sz="4" w:space="0"/>
                    <w:bottom w:val="single" w:color="auto" w:sz="4" w:space="0"/>
                    <w:right w:val="single" w:color="auto" w:sz="4" w:space="0"/>
                  </w:tcBorders>
                  <w:vAlign w:val="center"/>
                </w:tcPr>
                <w:p w14:paraId="6B91D84C">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0.429</w:t>
                  </w:r>
                </w:p>
              </w:tc>
              <w:tc>
                <w:tcPr>
                  <w:tcW w:w="682" w:type="pct"/>
                  <w:tcBorders>
                    <w:top w:val="single" w:color="auto" w:sz="4" w:space="0"/>
                    <w:left w:val="single" w:color="auto" w:sz="4" w:space="0"/>
                    <w:bottom w:val="single" w:color="auto" w:sz="4" w:space="0"/>
                    <w:right w:val="single" w:color="auto" w:sz="4" w:space="0"/>
                  </w:tcBorders>
                  <w:vAlign w:val="center"/>
                </w:tcPr>
                <w:p w14:paraId="5523D0DF">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0.582</w:t>
                  </w:r>
                </w:p>
              </w:tc>
              <w:tc>
                <w:tcPr>
                  <w:tcW w:w="682" w:type="pct"/>
                  <w:tcBorders>
                    <w:top w:val="single" w:color="auto" w:sz="4" w:space="0"/>
                    <w:left w:val="single" w:color="auto" w:sz="4" w:space="0"/>
                    <w:bottom w:val="single" w:color="auto" w:sz="4" w:space="0"/>
                    <w:right w:val="single" w:color="auto" w:sz="4" w:space="0"/>
                  </w:tcBorders>
                  <w:vAlign w:val="center"/>
                </w:tcPr>
                <w:p w14:paraId="5A10DF31">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0.722</w:t>
                  </w:r>
                </w:p>
              </w:tc>
              <w:tc>
                <w:tcPr>
                  <w:tcW w:w="682" w:type="pct"/>
                  <w:tcBorders>
                    <w:top w:val="single" w:color="auto" w:sz="4" w:space="0"/>
                    <w:left w:val="single" w:color="auto" w:sz="4" w:space="0"/>
                    <w:bottom w:val="single" w:color="auto" w:sz="4" w:space="0"/>
                    <w:right w:val="single" w:color="auto" w:sz="4" w:space="0"/>
                  </w:tcBorders>
                  <w:vAlign w:val="center"/>
                </w:tcPr>
                <w:p w14:paraId="544F2F05">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0.853</w:t>
                  </w:r>
                </w:p>
              </w:tc>
              <w:tc>
                <w:tcPr>
                  <w:tcW w:w="682" w:type="pct"/>
                  <w:tcBorders>
                    <w:top w:val="single" w:color="auto" w:sz="4" w:space="0"/>
                    <w:left w:val="single" w:color="auto" w:sz="4" w:space="0"/>
                    <w:bottom w:val="single" w:color="auto" w:sz="4" w:space="0"/>
                    <w:right w:val="single" w:color="auto" w:sz="4" w:space="0"/>
                  </w:tcBorders>
                  <w:vAlign w:val="center"/>
                </w:tcPr>
                <w:p w14:paraId="7CCBB2F2">
                  <w:pPr>
                    <w:adjustRightInd w:val="0"/>
                    <w:spacing w:line="240"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1.435</w:t>
                  </w:r>
                </w:p>
              </w:tc>
            </w:tr>
          </w:tbl>
          <w:p w14:paraId="78A9E3BE">
            <w:pPr>
              <w:spacing w:line="360" w:lineRule="auto"/>
              <w:ind w:firstLine="480"/>
              <w:rPr>
                <w:rFonts w:hint="default" w:ascii="Times New Roman" w:hAnsi="Times New Roman" w:eastAsia="宋体" w:cs="Times New Roman"/>
                <w:color w:val="000000" w:themeColor="text1"/>
                <w:kern w:val="0"/>
                <w:sz w:val="24"/>
                <w:lang w:bidi="ar"/>
                <w14:textFill>
                  <w14:solidFill>
                    <w14:schemeClr w14:val="tx1"/>
                  </w14:solidFill>
                </w14:textFill>
              </w:rPr>
            </w:pPr>
            <w:r>
              <w:rPr>
                <w:rFonts w:hint="default" w:ascii="Times New Roman" w:hAnsi="Times New Roman" w:eastAsia="宋体" w:cs="Times New Roman"/>
                <w:color w:val="000000" w:themeColor="text1"/>
                <w:kern w:val="0"/>
                <w:sz w:val="24"/>
                <w:lang w:bidi="ar"/>
                <w14:textFill>
                  <w14:solidFill>
                    <w14:schemeClr w14:val="tx1"/>
                  </w14:solidFill>
                </w14:textFill>
              </w:rPr>
              <w:t>施工扬尘的另一种重要产生方式是建筑材料的露天堆放，这类扬尘的主要特点是受作业时风速大小的影响显著。因此，禁止在大风天气时进行此类作业以及减少建筑材料的露天堆放是抑制这类扬尘的一种很有效的手段。</w:t>
            </w:r>
          </w:p>
          <w:p w14:paraId="2892EBA8">
            <w:pPr>
              <w:spacing w:line="360" w:lineRule="auto"/>
              <w:ind w:firstLine="480"/>
              <w:rPr>
                <w:rFonts w:hint="default" w:ascii="Times New Roman" w:hAnsi="Times New Roman" w:eastAsia="宋体" w:cs="Times New Roman"/>
                <w:color w:val="000000" w:themeColor="text1"/>
                <w:kern w:val="0"/>
                <w:sz w:val="24"/>
                <w:lang w:bidi="ar"/>
                <w14:textFill>
                  <w14:solidFill>
                    <w14:schemeClr w14:val="tx1"/>
                  </w14:solidFill>
                </w14:textFill>
              </w:rPr>
            </w:pPr>
            <w:r>
              <w:rPr>
                <w:rFonts w:hint="default" w:ascii="Times New Roman" w:hAnsi="Times New Roman" w:eastAsia="宋体" w:cs="Times New Roman"/>
                <w:b/>
                <w:bCs/>
                <w:color w:val="000000" w:themeColor="text1"/>
                <w:kern w:val="0"/>
                <w:sz w:val="24"/>
                <w:lang w:bidi="ar"/>
                <w14:textFill>
                  <w14:solidFill>
                    <w14:schemeClr w14:val="tx1"/>
                  </w14:solidFill>
                </w14:textFill>
              </w:rPr>
              <w:t>治理措施：</w:t>
            </w:r>
            <w:r>
              <w:rPr>
                <w:rFonts w:hint="default" w:ascii="Times New Roman" w:hAnsi="Times New Roman" w:eastAsia="宋体" w:cs="Times New Roman"/>
                <w:color w:val="000000" w:themeColor="text1"/>
                <w:kern w:val="0"/>
                <w:sz w:val="24"/>
                <w:lang w:bidi="ar"/>
                <w14:textFill>
                  <w14:solidFill>
                    <w14:schemeClr w14:val="tx1"/>
                  </w14:solidFill>
                </w14:textFill>
              </w:rPr>
              <w:t>针对施工扬尘，项目施工时</w:t>
            </w:r>
            <w:r>
              <w:rPr>
                <w:rFonts w:hint="eastAsia" w:ascii="Times New Roman" w:hAnsi="Times New Roman" w:cs="Times New Roman"/>
                <w:color w:val="000000" w:themeColor="text1"/>
                <w:kern w:val="0"/>
                <w:sz w:val="24"/>
                <w:lang w:eastAsia="zh-CN" w:bidi="ar"/>
                <w14:textFill>
                  <w14:solidFill>
                    <w14:schemeClr w14:val="tx1"/>
                  </w14:solidFill>
                </w14:textFill>
              </w:rPr>
              <w:t>，</w:t>
            </w:r>
            <w:r>
              <w:rPr>
                <w:rFonts w:hint="eastAsia" w:ascii="Times New Roman" w:hAnsi="Times New Roman" w:cs="Times New Roman"/>
                <w:color w:val="000000" w:themeColor="text1"/>
                <w:kern w:val="0"/>
                <w:sz w:val="24"/>
                <w:lang w:val="en-US" w:eastAsia="zh-CN" w:bidi="ar"/>
                <w14:textFill>
                  <w14:solidFill>
                    <w14:schemeClr w14:val="tx1"/>
                  </w14:solidFill>
                </w14:textFill>
              </w:rPr>
              <w:t>临近保护目标段</w:t>
            </w:r>
            <w:r>
              <w:rPr>
                <w:rFonts w:hint="default" w:ascii="Times New Roman" w:hAnsi="Times New Roman" w:eastAsia="宋体" w:cs="Times New Roman"/>
                <w:color w:val="000000" w:themeColor="text1"/>
                <w:kern w:val="0"/>
                <w:sz w:val="24"/>
                <w:lang w:bidi="ar"/>
                <w14:textFill>
                  <w14:solidFill>
                    <w14:schemeClr w14:val="tx1"/>
                  </w14:solidFill>
                </w14:textFill>
              </w:rPr>
              <w:t>设置围挡遮蔽施工现场、采用定期对地面洒水、对撒落在路面的渣土及时清除、施工现场主要运输道路尽量采用硬化路面、自卸车、垃圾运输车等运输车辆不允许超载，出场前一律清洗轮胎，用毡布覆盖，并在施工区出口设置防尘飞扬垫等一系列措施，及时采取洒水等降尘措施，可以大大减少施工扬尘对环境空气的影响。</w:t>
            </w:r>
          </w:p>
          <w:p w14:paraId="27675AC8">
            <w:pPr>
              <w:spacing w:line="360" w:lineRule="auto"/>
              <w:ind w:firstLine="480"/>
              <w:rPr>
                <w:rFonts w:hint="default" w:ascii="Times New Roman" w:hAnsi="Times New Roman" w:eastAsia="宋体" w:cs="Times New Roman"/>
                <w:color w:val="000000" w:themeColor="text1"/>
                <w:kern w:val="0"/>
                <w:sz w:val="24"/>
                <w:lang w:bidi="ar"/>
                <w14:textFill>
                  <w14:solidFill>
                    <w14:schemeClr w14:val="tx1"/>
                  </w14:solidFill>
                </w14:textFill>
              </w:rPr>
            </w:pPr>
            <w:r>
              <w:rPr>
                <w:rFonts w:hint="default" w:ascii="Times New Roman" w:hAnsi="Times New Roman" w:eastAsia="宋体" w:cs="Times New Roman"/>
                <w:color w:val="000000" w:themeColor="text1"/>
                <w:kern w:val="0"/>
                <w:sz w:val="24"/>
                <w:lang w:bidi="ar"/>
                <w14:textFill>
                  <w14:solidFill>
                    <w14:schemeClr w14:val="tx1"/>
                  </w14:solidFill>
                </w14:textFill>
              </w:rPr>
              <w:t>另外，抑制扬尘的一个简洁有效的措施是洒水。如果在施工期间对车辆行驶的路面实施只洒水不清扫，可使扬尘量减少70%~80%，若清扫后每天洒水4~5次，抑尘效率能达90%以上。</w:t>
            </w:r>
          </w:p>
          <w:p w14:paraId="431280D3">
            <w:pPr>
              <w:pStyle w:val="165"/>
              <w:numPr>
                <w:ilvl w:val="0"/>
                <w:numId w:val="21"/>
              </w:numPr>
              <w:spacing w:line="240" w:lineRule="auto"/>
              <w:ind w:left="0" w:firstLine="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施工场地洒水抑尘试验结果单位：mg/</w:t>
            </w:r>
            <w:r>
              <w:rPr>
                <w:rFonts w:hint="eastAsia" w:ascii="Times New Roman" w:hAnsi="Times New Roman" w:cs="Times New Roman"/>
                <w:b/>
                <w:bCs/>
                <w:color w:val="000000" w:themeColor="text1"/>
                <w:sz w:val="21"/>
                <w:szCs w:val="21"/>
                <w:lang w:eastAsia="zh-CN"/>
                <w14:textFill>
                  <w14:solidFill>
                    <w14:schemeClr w14:val="tx1"/>
                  </w14:solidFill>
                </w14:textFill>
              </w:rPr>
              <w:t>m</w:t>
            </w:r>
            <w:r>
              <w:rPr>
                <w:rFonts w:hint="eastAsia" w:ascii="Times New Roman" w:hAnsi="Times New Roman" w:cs="Times New Roman"/>
                <w:b/>
                <w:bCs/>
                <w:color w:val="000000" w:themeColor="text1"/>
                <w:sz w:val="21"/>
                <w:szCs w:val="21"/>
                <w:vertAlign w:val="superscript"/>
                <w:lang w:eastAsia="zh-CN"/>
                <w14:textFill>
                  <w14:solidFill>
                    <w14:schemeClr w14:val="tx1"/>
                  </w14:solidFill>
                </w14:textFill>
              </w:rPr>
              <w:t>3</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949"/>
              <w:gridCol w:w="1356"/>
              <w:gridCol w:w="1356"/>
              <w:gridCol w:w="1356"/>
              <w:gridCol w:w="1349"/>
            </w:tblGrid>
            <w:tr w14:paraId="3F4B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688" w:type="pct"/>
                  <w:gridSpan w:val="2"/>
                  <w:vAlign w:val="center"/>
                </w:tcPr>
                <w:p w14:paraId="37E4F425">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距离</w:t>
                  </w:r>
                </w:p>
              </w:tc>
              <w:tc>
                <w:tcPr>
                  <w:tcW w:w="829" w:type="pct"/>
                  <w:vAlign w:val="center"/>
                </w:tcPr>
                <w:p w14:paraId="657712F2">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5m</w:t>
                  </w:r>
                </w:p>
              </w:tc>
              <w:tc>
                <w:tcPr>
                  <w:tcW w:w="829" w:type="pct"/>
                  <w:vAlign w:val="center"/>
                </w:tcPr>
                <w:p w14:paraId="241EB026">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20m</w:t>
                  </w:r>
                </w:p>
              </w:tc>
              <w:tc>
                <w:tcPr>
                  <w:tcW w:w="829" w:type="pct"/>
                  <w:vAlign w:val="center"/>
                </w:tcPr>
                <w:p w14:paraId="48585A4D">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50m</w:t>
                  </w:r>
                </w:p>
              </w:tc>
              <w:tc>
                <w:tcPr>
                  <w:tcW w:w="825" w:type="pct"/>
                  <w:vAlign w:val="center"/>
                </w:tcPr>
                <w:p w14:paraId="008D142B">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100m</w:t>
                  </w:r>
                </w:p>
              </w:tc>
            </w:tr>
            <w:tr w14:paraId="4E68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 w:hRule="atLeast"/>
                <w:jc w:val="center"/>
              </w:trPr>
              <w:tc>
                <w:tcPr>
                  <w:tcW w:w="1108" w:type="pct"/>
                  <w:vMerge w:val="restart"/>
                  <w:vAlign w:val="center"/>
                </w:tcPr>
                <w:p w14:paraId="49D82398">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TSP小时平均</w:t>
                  </w:r>
                </w:p>
                <w:p w14:paraId="03DA4FAB">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浓度</w:t>
                  </w:r>
                </w:p>
              </w:tc>
              <w:tc>
                <w:tcPr>
                  <w:tcW w:w="580" w:type="pct"/>
                  <w:vAlign w:val="center"/>
                </w:tcPr>
                <w:p w14:paraId="692F179A">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不洒水</w:t>
                  </w:r>
                </w:p>
              </w:tc>
              <w:tc>
                <w:tcPr>
                  <w:tcW w:w="829" w:type="pct"/>
                  <w:vAlign w:val="center"/>
                </w:tcPr>
                <w:p w14:paraId="4EA96FE5">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10.14</w:t>
                  </w:r>
                </w:p>
              </w:tc>
              <w:tc>
                <w:tcPr>
                  <w:tcW w:w="829" w:type="pct"/>
                  <w:vAlign w:val="center"/>
                </w:tcPr>
                <w:p w14:paraId="5536952F">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2.89</w:t>
                  </w:r>
                </w:p>
              </w:tc>
              <w:tc>
                <w:tcPr>
                  <w:tcW w:w="829" w:type="pct"/>
                  <w:vAlign w:val="center"/>
                </w:tcPr>
                <w:p w14:paraId="2A06029E">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1.15</w:t>
                  </w:r>
                </w:p>
              </w:tc>
              <w:tc>
                <w:tcPr>
                  <w:tcW w:w="825" w:type="pct"/>
                  <w:vAlign w:val="center"/>
                </w:tcPr>
                <w:p w14:paraId="439F395F">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0.86</w:t>
                  </w:r>
                </w:p>
              </w:tc>
            </w:tr>
            <w:tr w14:paraId="6759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 w:hRule="atLeast"/>
                <w:jc w:val="center"/>
              </w:trPr>
              <w:tc>
                <w:tcPr>
                  <w:tcW w:w="1108" w:type="pct"/>
                  <w:vMerge w:val="continue"/>
                  <w:vAlign w:val="center"/>
                </w:tcPr>
                <w:p w14:paraId="23AA6040">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580" w:type="pct"/>
                  <w:vAlign w:val="center"/>
                </w:tcPr>
                <w:p w14:paraId="5A3B4480">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洒水</w:t>
                  </w:r>
                </w:p>
              </w:tc>
              <w:tc>
                <w:tcPr>
                  <w:tcW w:w="829" w:type="pct"/>
                  <w:vAlign w:val="center"/>
                </w:tcPr>
                <w:p w14:paraId="2EBFC6C1">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2.01</w:t>
                  </w:r>
                </w:p>
              </w:tc>
              <w:tc>
                <w:tcPr>
                  <w:tcW w:w="829" w:type="pct"/>
                  <w:vAlign w:val="center"/>
                </w:tcPr>
                <w:p w14:paraId="0E38B54E">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1.40</w:t>
                  </w:r>
                </w:p>
              </w:tc>
              <w:tc>
                <w:tcPr>
                  <w:tcW w:w="829" w:type="pct"/>
                  <w:vAlign w:val="center"/>
                </w:tcPr>
                <w:p w14:paraId="309026FC">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0.67</w:t>
                  </w:r>
                </w:p>
              </w:tc>
              <w:tc>
                <w:tcPr>
                  <w:tcW w:w="825" w:type="pct"/>
                  <w:vAlign w:val="center"/>
                </w:tcPr>
                <w:p w14:paraId="25346D7C">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0.60</w:t>
                  </w:r>
                </w:p>
              </w:tc>
            </w:tr>
          </w:tbl>
          <w:p w14:paraId="5CD5898B">
            <w:pPr>
              <w:spacing w:line="360" w:lineRule="auto"/>
              <w:ind w:firstLine="480"/>
              <w:rPr>
                <w:rFonts w:hint="default" w:ascii="Times New Roman" w:hAnsi="Times New Roman" w:eastAsia="宋体" w:cs="Times New Roman"/>
                <w:color w:val="000000" w:themeColor="text1"/>
                <w:kern w:val="0"/>
                <w:sz w:val="24"/>
                <w:lang w:bidi="ar"/>
                <w14:textFill>
                  <w14:solidFill>
                    <w14:schemeClr w14:val="tx1"/>
                  </w14:solidFill>
                </w14:textFill>
              </w:rPr>
            </w:pPr>
            <w:r>
              <w:rPr>
                <w:rFonts w:hint="default" w:ascii="Times New Roman" w:hAnsi="Times New Roman" w:eastAsia="宋体" w:cs="Times New Roman"/>
                <w:color w:val="000000" w:themeColor="text1"/>
                <w:kern w:val="0"/>
                <w:sz w:val="24"/>
                <w:lang w:bidi="ar"/>
                <w14:textFill>
                  <w14:solidFill>
                    <w14:schemeClr w14:val="tx1"/>
                  </w14:solidFill>
                </w14:textFill>
              </w:rPr>
              <w:t>根据《深圳市建设工程施工工地扬尘污染特征分析》（技术与市场2017年第24卷第4期）可知，土石方施工为扬尘排放量最大的施工阶段，其扬尘源主要为施工道路及场地外边界道路两侧运输车辆经过引起的扬尘，在采取洒水清扫、道路硬化、防尘网覆盖等扬尘治理措施后，施工现场的扬尘均能得到有效治理，土石方阶段和主体结构施工阶段各点位采取扬尘治理措施后的TSP浓度平均值在0.111-0.232mg/</w:t>
            </w:r>
            <w:r>
              <w:rPr>
                <w:rFonts w:hint="eastAsia" w:ascii="Times New Roman" w:hAnsi="Times New Roman" w:cs="Times New Roman"/>
                <w:color w:val="000000" w:themeColor="text1"/>
                <w:kern w:val="0"/>
                <w:sz w:val="24"/>
                <w:lang w:eastAsia="zh-CN" w:bidi="ar"/>
                <w14:textFill>
                  <w14:solidFill>
                    <w14:schemeClr w14:val="tx1"/>
                  </w14:solidFill>
                </w14:textFill>
              </w:rPr>
              <w:t>m</w:t>
            </w:r>
            <w:r>
              <w:rPr>
                <w:rFonts w:hint="eastAsia" w:ascii="Times New Roman" w:hAnsi="Times New Roman" w:cs="Times New Roman"/>
                <w:color w:val="000000" w:themeColor="text1"/>
                <w:kern w:val="0"/>
                <w:sz w:val="24"/>
                <w:vertAlign w:val="superscript"/>
                <w:lang w:eastAsia="zh-CN" w:bidi="ar"/>
                <w14:textFill>
                  <w14:solidFill>
                    <w14:schemeClr w14:val="tx1"/>
                  </w14:solidFill>
                </w14:textFill>
              </w:rPr>
              <w:t>3</w:t>
            </w:r>
            <w:r>
              <w:rPr>
                <w:rFonts w:hint="default" w:ascii="Times New Roman" w:hAnsi="Times New Roman" w:eastAsia="宋体" w:cs="Times New Roman"/>
                <w:color w:val="000000" w:themeColor="text1"/>
                <w:kern w:val="0"/>
                <w:sz w:val="24"/>
                <w:lang w:bidi="ar"/>
                <w14:textFill>
                  <w14:solidFill>
                    <w14:schemeClr w14:val="tx1"/>
                  </w14:solidFill>
                </w14:textFill>
              </w:rPr>
              <w:t>之间，可达到环境空气质量二级标准日均值0.3mg/</w:t>
            </w:r>
            <w:r>
              <w:rPr>
                <w:rFonts w:hint="eastAsia" w:ascii="Times New Roman" w:hAnsi="Times New Roman" w:cs="Times New Roman"/>
                <w:color w:val="000000" w:themeColor="text1"/>
                <w:kern w:val="0"/>
                <w:sz w:val="24"/>
                <w:lang w:eastAsia="zh-CN" w:bidi="ar"/>
                <w14:textFill>
                  <w14:solidFill>
                    <w14:schemeClr w14:val="tx1"/>
                  </w14:solidFill>
                </w14:textFill>
              </w:rPr>
              <w:t>m</w:t>
            </w:r>
            <w:r>
              <w:rPr>
                <w:rFonts w:hint="eastAsia" w:ascii="Times New Roman" w:hAnsi="Times New Roman" w:cs="Times New Roman"/>
                <w:color w:val="000000" w:themeColor="text1"/>
                <w:kern w:val="0"/>
                <w:sz w:val="24"/>
                <w:vertAlign w:val="superscript"/>
                <w:lang w:eastAsia="zh-CN" w:bidi="ar"/>
                <w14:textFill>
                  <w14:solidFill>
                    <w14:schemeClr w14:val="tx1"/>
                  </w14:solidFill>
                </w14:textFill>
              </w:rPr>
              <w:t>3</w:t>
            </w:r>
            <w:r>
              <w:rPr>
                <w:rFonts w:hint="default" w:ascii="Times New Roman" w:hAnsi="Times New Roman" w:eastAsia="宋体" w:cs="Times New Roman"/>
                <w:color w:val="000000" w:themeColor="text1"/>
                <w:kern w:val="0"/>
                <w:sz w:val="24"/>
                <w:lang w:bidi="ar"/>
                <w14:textFill>
                  <w14:solidFill>
                    <w14:schemeClr w14:val="tx1"/>
                  </w14:solidFill>
                </w14:textFill>
              </w:rPr>
              <w:t>要求，抑尘措施可行。综上可知，通过采取洒水抑尘、及时清理路面、运输车辆密闭或遮盖、裸露地表和堆场加盖防雨布或防尘网等措施，可以有效减少施工扬尘的产生，在严格落实各项污染防治措施的前提下，施工扬尘不会导致区域环境空气质量明显恶化，且项目各施工点位涉及的施工范围小、施工期短，施工扬尘的影响也会随着施工结束而结束，对周边环境影响较小。</w:t>
            </w:r>
          </w:p>
          <w:p w14:paraId="5697735F">
            <w:pPr>
              <w:spacing w:line="360" w:lineRule="auto"/>
              <w:ind w:firstLine="480"/>
              <w:rPr>
                <w:rFonts w:hint="default" w:ascii="Times New Roman" w:hAnsi="Times New Roman" w:eastAsia="宋体" w:cs="Times New Roman"/>
                <w:b/>
                <w:bCs/>
                <w:color w:val="000000" w:themeColor="text1"/>
                <w:kern w:val="0"/>
                <w:sz w:val="24"/>
                <w:lang w:bidi="ar"/>
                <w14:textFill>
                  <w14:solidFill>
                    <w14:schemeClr w14:val="tx1"/>
                  </w14:solidFill>
                </w14:textFill>
              </w:rPr>
            </w:pPr>
            <w:r>
              <w:rPr>
                <w:rFonts w:hint="default" w:ascii="Times New Roman" w:hAnsi="Times New Roman" w:eastAsia="宋体" w:cs="Times New Roman"/>
                <w:b/>
                <w:bCs/>
                <w:color w:val="000000" w:themeColor="text1"/>
                <w:kern w:val="0"/>
                <w:sz w:val="24"/>
                <w:lang w:bidi="ar"/>
                <w14:textFill>
                  <w14:solidFill>
                    <w14:schemeClr w14:val="tx1"/>
                  </w14:solidFill>
                </w14:textFill>
              </w:rPr>
              <w:t>（2）焊接烟尘</w:t>
            </w:r>
          </w:p>
          <w:p w14:paraId="0363B0A0">
            <w:pPr>
              <w:spacing w:line="360" w:lineRule="auto"/>
              <w:ind w:firstLine="482"/>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产生情况：</w:t>
            </w:r>
            <w:r>
              <w:rPr>
                <w:rFonts w:hint="default" w:ascii="Times New Roman" w:hAnsi="Times New Roman" w:eastAsia="宋体" w:cs="Times New Roman"/>
                <w:color w:val="000000" w:themeColor="text1"/>
                <w:sz w:val="24"/>
                <w14:textFill>
                  <w14:solidFill>
                    <w14:schemeClr w14:val="tx1"/>
                  </w14:solidFill>
                </w14:textFill>
              </w:rPr>
              <w:t>在管道敷设过程中，需对钢结构部分进行焊接，此时将产生少量的焊接烟尘，烟尘中主要污染物为颗粒物等，以无组织形式排放。由于项目周边地势空旷，大气扩散条件较好，且产生的焊接烟尘量很小</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烟尘中主要污染物为TSP、CO、</w:t>
            </w:r>
            <w:r>
              <w:rPr>
                <w:rFonts w:hint="default" w:ascii="Times New Roman" w:hAnsi="Times New Roman" w:eastAsia="宋体" w:cs="Times New Roman"/>
                <w:color w:val="000000" w:themeColor="text1"/>
                <w:sz w:val="24"/>
                <w:lang w:eastAsia="zh-CN"/>
                <w14:textFill>
                  <w14:solidFill>
                    <w14:schemeClr w14:val="tx1"/>
                  </w14:solidFill>
                </w14:textFill>
              </w:rPr>
              <w:t>NOx</w:t>
            </w:r>
            <w:r>
              <w:rPr>
                <w:rFonts w:hint="default" w:ascii="Times New Roman" w:hAnsi="Times New Roman" w:eastAsia="宋体" w:cs="Times New Roman"/>
                <w:color w:val="000000" w:themeColor="text1"/>
                <w:sz w:val="24"/>
                <w14:textFill>
                  <w14:solidFill>
                    <w14:schemeClr w14:val="tx1"/>
                  </w14:solidFill>
                </w14:textFill>
              </w:rPr>
              <w:t>，以无组织形式排放。</w:t>
            </w:r>
          </w:p>
          <w:p w14:paraId="01AFBD83">
            <w:pPr>
              <w:spacing w:line="360" w:lineRule="auto"/>
              <w:ind w:firstLine="482"/>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b/>
                <w:bCs/>
                <w:color w:val="000000" w:themeColor="text1"/>
                <w:kern w:val="0"/>
                <w:sz w:val="24"/>
                <w:lang w:bidi="ar"/>
                <w14:textFill>
                  <w14:solidFill>
                    <w14:schemeClr w14:val="tx1"/>
                  </w14:solidFill>
                </w14:textFill>
              </w:rPr>
              <w:t>治理措施：</w:t>
            </w:r>
            <w:r>
              <w:rPr>
                <w:rFonts w:hint="default" w:ascii="Times New Roman" w:hAnsi="Times New Roman" w:eastAsia="宋体" w:cs="Times New Roman"/>
                <w:color w:val="000000" w:themeColor="text1"/>
                <w:kern w:val="0"/>
                <w:sz w:val="24"/>
                <w:lang w:bidi="ar"/>
                <w14:textFill>
                  <w14:solidFill>
                    <w14:schemeClr w14:val="tx1"/>
                  </w14:solidFill>
                </w14:textFill>
              </w:rPr>
              <w:t>本工程产生的焊接烟尘废气量较小，且施工场地分散，废气污染源具有排放量小、间断分散的特点，</w:t>
            </w:r>
            <w:r>
              <w:rPr>
                <w:rFonts w:hint="default" w:ascii="Times New Roman" w:hAnsi="Times New Roman" w:eastAsia="宋体" w:cs="Times New Roman"/>
                <w:color w:val="000000" w:themeColor="text1"/>
                <w:sz w:val="24"/>
                <w14:textFill>
                  <w14:solidFill>
                    <w14:schemeClr w14:val="tx1"/>
                  </w14:solidFill>
                </w14:textFill>
              </w:rPr>
              <w:t>项目周边地势空旷，大气扩散条件较好，且产生的焊接烟尘量很小，以无组织形式排放。因此，焊接烟尘的排放对周边环境空气质量影响很小。</w:t>
            </w:r>
          </w:p>
          <w:p w14:paraId="32780B9D">
            <w:pPr>
              <w:spacing w:line="360" w:lineRule="auto"/>
              <w:ind w:firstLine="480"/>
              <w:rPr>
                <w:rFonts w:hint="default" w:ascii="Times New Roman" w:hAnsi="Times New Roman" w:eastAsia="宋体" w:cs="Times New Roman"/>
                <w:b/>
                <w:bCs/>
                <w:color w:val="000000" w:themeColor="text1"/>
                <w:kern w:val="0"/>
                <w:sz w:val="24"/>
                <w:lang w:bidi="ar"/>
                <w14:textFill>
                  <w14:solidFill>
                    <w14:schemeClr w14:val="tx1"/>
                  </w14:solidFill>
                </w14:textFill>
              </w:rPr>
            </w:pPr>
            <w:r>
              <w:rPr>
                <w:rFonts w:hint="default" w:ascii="Times New Roman" w:hAnsi="Times New Roman" w:eastAsia="宋体" w:cs="Times New Roman"/>
                <w:b/>
                <w:bCs/>
                <w:color w:val="000000" w:themeColor="text1"/>
                <w:kern w:val="0"/>
                <w:sz w:val="24"/>
                <w:lang w:bidi="ar"/>
                <w14:textFill>
                  <w14:solidFill>
                    <w14:schemeClr w14:val="tx1"/>
                  </w14:solidFill>
                </w14:textFill>
              </w:rPr>
              <w:t>（</w:t>
            </w:r>
            <w:r>
              <w:rPr>
                <w:rFonts w:hint="default" w:ascii="Times New Roman" w:hAnsi="Times New Roman" w:eastAsia="宋体" w:cs="Times New Roman"/>
                <w:b/>
                <w:bCs/>
                <w:color w:val="000000" w:themeColor="text1"/>
                <w:kern w:val="0"/>
                <w:sz w:val="24"/>
                <w:lang w:val="en-US" w:eastAsia="zh-CN" w:bidi="ar"/>
                <w14:textFill>
                  <w14:solidFill>
                    <w14:schemeClr w14:val="tx1"/>
                  </w14:solidFill>
                </w14:textFill>
              </w:rPr>
              <w:t>3</w:t>
            </w:r>
            <w:r>
              <w:rPr>
                <w:rFonts w:hint="default" w:ascii="Times New Roman" w:hAnsi="Times New Roman" w:eastAsia="宋体" w:cs="Times New Roman"/>
                <w:b/>
                <w:bCs/>
                <w:color w:val="000000" w:themeColor="text1"/>
                <w:kern w:val="0"/>
                <w:sz w:val="24"/>
                <w:lang w:bidi="ar"/>
                <w14:textFill>
                  <w14:solidFill>
                    <w14:schemeClr w14:val="tx1"/>
                  </w14:solidFill>
                </w14:textFill>
              </w:rPr>
              <w:t>）燃油废气</w:t>
            </w:r>
          </w:p>
          <w:p w14:paraId="4262668B">
            <w:pPr>
              <w:spacing w:line="360" w:lineRule="auto"/>
              <w:ind w:firstLine="480"/>
              <w:rPr>
                <w:rFonts w:hint="default" w:ascii="Times New Roman" w:hAnsi="Times New Roman" w:eastAsia="宋体" w:cs="Times New Roman"/>
                <w:color w:val="000000" w:themeColor="text1"/>
                <w:kern w:val="0"/>
                <w:sz w:val="24"/>
                <w:lang w:bidi="ar"/>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产生情况：</w:t>
            </w:r>
            <w:r>
              <w:rPr>
                <w:rFonts w:hint="default" w:ascii="Times New Roman" w:hAnsi="Times New Roman" w:eastAsia="宋体" w:cs="Times New Roman"/>
                <w:color w:val="000000" w:themeColor="text1"/>
                <w:kern w:val="0"/>
                <w:sz w:val="24"/>
                <w:lang w:bidi="ar"/>
                <w14:textFill>
                  <w14:solidFill>
                    <w14:schemeClr w14:val="tx1"/>
                  </w14:solidFill>
                </w14:textFill>
              </w:rPr>
              <w:t>施工期间，施工机械和运输工具的燃油废气主要含有CO、</w:t>
            </w:r>
            <w:r>
              <w:rPr>
                <w:rFonts w:hint="default" w:ascii="Times New Roman" w:hAnsi="Times New Roman" w:eastAsia="宋体" w:cs="Times New Roman"/>
                <w:color w:val="000000" w:themeColor="text1"/>
                <w:kern w:val="0"/>
                <w:sz w:val="24"/>
                <w:lang w:eastAsia="zh-CN" w:bidi="ar"/>
                <w14:textFill>
                  <w14:solidFill>
                    <w14:schemeClr w14:val="tx1"/>
                  </w14:solidFill>
                </w14:textFill>
              </w:rPr>
              <w:t>NOx</w:t>
            </w:r>
            <w:r>
              <w:rPr>
                <w:rFonts w:hint="default" w:ascii="Times New Roman" w:hAnsi="Times New Roman" w:eastAsia="宋体" w:cs="Times New Roman"/>
                <w:color w:val="000000" w:themeColor="text1"/>
                <w:kern w:val="0"/>
                <w:sz w:val="24"/>
                <w:lang w:bidi="ar"/>
                <w14:textFill>
                  <w14:solidFill>
                    <w14:schemeClr w14:val="tx1"/>
                  </w14:solidFill>
                </w14:textFill>
              </w:rPr>
              <w:t>以及未完全燃烧的THC等。</w:t>
            </w:r>
          </w:p>
          <w:p w14:paraId="5404BA89">
            <w:pPr>
              <w:spacing w:line="360" w:lineRule="auto"/>
              <w:ind w:firstLine="480"/>
              <w:rPr>
                <w:rFonts w:hint="default" w:ascii="Times New Roman" w:hAnsi="Times New Roman" w:eastAsia="宋体" w:cs="Times New Roman"/>
                <w:color w:val="000000" w:themeColor="text1"/>
                <w:kern w:val="0"/>
                <w:sz w:val="24"/>
                <w:lang w:bidi="ar"/>
                <w14:textFill>
                  <w14:solidFill>
                    <w14:schemeClr w14:val="tx1"/>
                  </w14:solidFill>
                </w14:textFill>
              </w:rPr>
            </w:pPr>
            <w:r>
              <w:rPr>
                <w:rFonts w:hint="default" w:ascii="Times New Roman" w:hAnsi="Times New Roman" w:eastAsia="宋体" w:cs="Times New Roman"/>
                <w:b/>
                <w:bCs/>
                <w:color w:val="000000" w:themeColor="text1"/>
                <w:kern w:val="0"/>
                <w:sz w:val="24"/>
                <w:lang w:bidi="ar"/>
                <w14:textFill>
                  <w14:solidFill>
                    <w14:schemeClr w14:val="tx1"/>
                  </w14:solidFill>
                </w14:textFill>
              </w:rPr>
              <w:t>治理措施：</w:t>
            </w:r>
            <w:r>
              <w:rPr>
                <w:rFonts w:hint="default" w:ascii="Times New Roman" w:hAnsi="Times New Roman" w:eastAsia="宋体" w:cs="Times New Roman"/>
                <w:color w:val="000000" w:themeColor="text1"/>
                <w:kern w:val="0"/>
                <w:sz w:val="24"/>
                <w:lang w:bidi="ar"/>
                <w14:textFill>
                  <w14:solidFill>
                    <w14:schemeClr w14:val="tx1"/>
                  </w14:solidFill>
                </w14:textFill>
              </w:rPr>
              <w:t>通过选用符合国家有关卫生标准的施工机械和运输工具、使用低硫优质柴油作燃料、加强设备检修、加强车辆管理等措施后，可有效降低项目燃油废气的产生，使其排放的废气符合国家有关标准；同时由于燃油废气均属间断性无组织排放，特点是排放量小，加之施工工场开阔，扩散条件良好，对其不加处理也可达到相应的排放标准。燃油废气不会对项目区域内的大气环境造成较大影响。</w:t>
            </w:r>
          </w:p>
          <w:p w14:paraId="54750404">
            <w:pPr>
              <w:spacing w:line="360" w:lineRule="auto"/>
              <w:ind w:firstLine="482"/>
              <w:rPr>
                <w:rFonts w:hint="default" w:ascii="Times New Roman" w:hAnsi="Times New Roman" w:eastAsia="宋体" w:cs="Times New Roman"/>
                <w:b/>
                <w:bCs/>
                <w:color w:val="000000" w:themeColor="text1"/>
                <w:sz w:val="24"/>
                <w:szCs w:val="32"/>
                <w14:textFill>
                  <w14:solidFill>
                    <w14:schemeClr w14:val="tx1"/>
                  </w14:solidFill>
                </w14:textFill>
              </w:rPr>
            </w:pPr>
            <w:r>
              <w:rPr>
                <w:rFonts w:hint="default" w:ascii="Times New Roman" w:hAnsi="Times New Roman" w:eastAsia="宋体" w:cs="Times New Roman"/>
                <w:b/>
                <w:bCs/>
                <w:color w:val="000000" w:themeColor="text1"/>
                <w:sz w:val="24"/>
                <w:szCs w:val="32"/>
                <w14:textFill>
                  <w14:solidFill>
                    <w14:schemeClr w14:val="tx1"/>
                  </w14:solidFill>
                </w14:textFill>
              </w:rPr>
              <w:t>（</w:t>
            </w:r>
            <w:r>
              <w:rPr>
                <w:rFonts w:hint="default" w:ascii="Times New Roman" w:hAnsi="Times New Roman" w:eastAsia="宋体" w:cs="Times New Roman"/>
                <w:b/>
                <w:bCs/>
                <w:color w:val="000000" w:themeColor="text1"/>
                <w:sz w:val="24"/>
                <w:szCs w:val="32"/>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32"/>
                <w14:textFill>
                  <w14:solidFill>
                    <w14:schemeClr w14:val="tx1"/>
                  </w14:solidFill>
                </w14:textFill>
              </w:rPr>
              <w:t>）汽车尾气</w:t>
            </w:r>
          </w:p>
          <w:p w14:paraId="2827FD06">
            <w:pPr>
              <w:spacing w:line="360" w:lineRule="auto"/>
              <w:ind w:firstLine="482"/>
              <w:rPr>
                <w:rFonts w:hint="default" w:ascii="Times New Roman" w:hAnsi="Times New Roman" w:eastAsia="宋体" w:cs="Times New Roman"/>
                <w:bCs/>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产生情况：</w:t>
            </w:r>
            <w:r>
              <w:rPr>
                <w:rFonts w:hint="default" w:ascii="Times New Roman" w:hAnsi="Times New Roman" w:eastAsia="宋体" w:cs="Times New Roman"/>
                <w:bCs/>
                <w:color w:val="000000" w:themeColor="text1"/>
                <w:sz w:val="24"/>
                <w:szCs w:val="32"/>
                <w14:textFill>
                  <w14:solidFill>
                    <w14:schemeClr w14:val="tx1"/>
                  </w14:solidFill>
                </w14:textFill>
              </w:rPr>
              <w:t>运输车辆过程中排放的尾气，主要污染物是碳氢化合物、CO、</w:t>
            </w:r>
            <w:r>
              <w:rPr>
                <w:rFonts w:hint="default" w:ascii="Times New Roman" w:hAnsi="Times New Roman" w:eastAsia="宋体" w:cs="Times New Roman"/>
                <w:bCs/>
                <w:color w:val="000000" w:themeColor="text1"/>
                <w:sz w:val="24"/>
                <w:szCs w:val="32"/>
                <w:lang w:eastAsia="zh-CN"/>
                <w14:textFill>
                  <w14:solidFill>
                    <w14:schemeClr w14:val="tx1"/>
                  </w14:solidFill>
                </w14:textFill>
              </w:rPr>
              <w:t>NOx</w:t>
            </w:r>
            <w:r>
              <w:rPr>
                <w:rFonts w:hint="default" w:ascii="Times New Roman" w:hAnsi="Times New Roman" w:eastAsia="宋体" w:cs="Times New Roman"/>
                <w:bCs/>
                <w:color w:val="000000" w:themeColor="text1"/>
                <w:sz w:val="24"/>
                <w:szCs w:val="32"/>
                <w14:textFill>
                  <w14:solidFill>
                    <w14:schemeClr w14:val="tx1"/>
                  </w14:solidFill>
                </w14:textFill>
              </w:rPr>
              <w:t>等</w:t>
            </w:r>
            <w:r>
              <w:rPr>
                <w:rFonts w:hint="default" w:ascii="Times New Roman" w:hAnsi="Times New Roman" w:eastAsia="宋体" w:cs="Times New Roman"/>
                <w:bCs/>
                <w:color w:val="000000" w:themeColor="text1"/>
                <w:sz w:val="24"/>
                <w:szCs w:val="32"/>
                <w:lang w:eastAsia="zh-CN"/>
                <w14:textFill>
                  <w14:solidFill>
                    <w14:schemeClr w14:val="tx1"/>
                  </w14:solidFill>
                </w14:textFill>
              </w:rPr>
              <w:t>。</w:t>
            </w:r>
          </w:p>
          <w:p w14:paraId="2122946A">
            <w:pPr>
              <w:spacing w:line="360" w:lineRule="auto"/>
              <w:ind w:firstLine="482"/>
              <w:rPr>
                <w:rFonts w:hint="default" w:ascii="Times New Roman" w:hAnsi="Times New Roman" w:eastAsia="宋体" w:cs="Times New Roman"/>
                <w:bCs/>
                <w:color w:val="000000" w:themeColor="text1"/>
                <w:sz w:val="24"/>
                <w:szCs w:val="32"/>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治理措施</w:t>
            </w:r>
            <w:r>
              <w:rPr>
                <w:rFonts w:hint="default" w:ascii="Times New Roman" w:hAnsi="Times New Roman" w:eastAsia="宋体" w:cs="Times New Roman"/>
                <w:bCs/>
                <w:color w:val="000000" w:themeColor="text1"/>
                <w:sz w:val="24"/>
                <w:szCs w:val="32"/>
                <w14:textFill>
                  <w14:solidFill>
                    <w14:schemeClr w14:val="tx1"/>
                  </w14:solidFill>
                </w14:textFill>
              </w:rPr>
              <w:t>：施工车辆应按规定方向进出，减少怠速行驶，降低尾气排放。</w:t>
            </w:r>
          </w:p>
          <w:p w14:paraId="46A47A0E">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综上所述，本项目采取上述治理措施后，本项目施工期产生废气可实现达标排放，不会对周围大气环境产生不利影响，随着施工结束而消失。</w:t>
            </w:r>
          </w:p>
          <w:p w14:paraId="2EEB32DE">
            <w:pPr>
              <w:spacing w:line="360" w:lineRule="auto"/>
              <w:ind w:firstLine="480"/>
              <w:rPr>
                <w:rFonts w:hint="default" w:ascii="Times New Roman" w:hAnsi="Times New Roman" w:eastAsia="宋体" w:cs="Times New Roman"/>
                <w:bCs/>
                <w:color w:val="000000" w:themeColor="text1"/>
                <w:sz w:val="24"/>
                <w:szCs w:val="32"/>
                <w14:textFill>
                  <w14:solidFill>
                    <w14:schemeClr w14:val="tx1"/>
                  </w14:solidFill>
                </w14:textFill>
              </w:rPr>
            </w:pPr>
            <w:r>
              <w:rPr>
                <w:rFonts w:hint="default" w:ascii="Times New Roman" w:hAnsi="Times New Roman" w:eastAsia="宋体" w:cs="Times New Roman"/>
                <w:b/>
                <w:bCs/>
                <w:color w:val="000000" w:themeColor="text1"/>
                <w:sz w:val="24"/>
                <w:szCs w:val="32"/>
                <w14:textFill>
                  <w14:solidFill>
                    <w14:schemeClr w14:val="tx1"/>
                  </w14:solidFill>
                </w14:textFill>
              </w:rPr>
              <w:t>2、</w:t>
            </w:r>
            <w:r>
              <w:rPr>
                <w:rFonts w:hint="default" w:ascii="Times New Roman" w:hAnsi="Times New Roman" w:eastAsia="宋体" w:cs="Times New Roman"/>
                <w:b/>
                <w:color w:val="000000" w:themeColor="text1"/>
                <w:sz w:val="24"/>
                <w:szCs w:val="32"/>
                <w14:textFill>
                  <w14:solidFill>
                    <w14:schemeClr w14:val="tx1"/>
                  </w14:solidFill>
                </w14:textFill>
              </w:rPr>
              <w:t>废水污染物</w:t>
            </w:r>
          </w:p>
          <w:p w14:paraId="100B48F1">
            <w:pPr>
              <w:spacing w:line="360" w:lineRule="auto"/>
              <w:ind w:firstLine="482"/>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szCs w:val="32"/>
                <w:lang w:val="en-US" w:eastAsia="zh-CN"/>
                <w14:textFill>
                  <w14:solidFill>
                    <w14:schemeClr w14:val="tx1"/>
                  </w14:solidFill>
                </w14:textFill>
              </w:rPr>
              <w:t>本项目不设置拌合站，采用商品混凝土。</w:t>
            </w:r>
            <w:r>
              <w:rPr>
                <w:rFonts w:hint="default" w:ascii="Times New Roman" w:hAnsi="Times New Roman" w:eastAsia="宋体" w:cs="Times New Roman"/>
                <w:bCs/>
                <w:color w:val="000000" w:themeColor="text1"/>
                <w:sz w:val="24"/>
                <w14:textFill>
                  <w14:solidFill>
                    <w14:schemeClr w14:val="tx1"/>
                  </w14:solidFill>
                </w14:textFill>
              </w:rPr>
              <w:t>本项目施工生产废水包括施工废水和施工人员生活污水。本项目不设置机修区，设备维修就近利用</w:t>
            </w:r>
            <w:r>
              <w:rPr>
                <w:rFonts w:hint="default" w:ascii="Times New Roman" w:hAnsi="Times New Roman" w:eastAsia="宋体" w:cs="Times New Roman"/>
                <w:bCs/>
                <w:color w:val="000000" w:themeColor="text1"/>
                <w:sz w:val="24"/>
                <w:lang w:val="en-US" w:eastAsia="zh-CN"/>
                <w14:textFill>
                  <w14:solidFill>
                    <w14:schemeClr w14:val="tx1"/>
                  </w14:solidFill>
                </w14:textFill>
              </w:rPr>
              <w:t>泸桥镇现有</w:t>
            </w:r>
            <w:r>
              <w:rPr>
                <w:rFonts w:hint="default" w:ascii="Times New Roman" w:hAnsi="Times New Roman" w:eastAsia="宋体" w:cs="Times New Roman"/>
                <w:bCs/>
                <w:color w:val="000000" w:themeColor="text1"/>
                <w:sz w:val="24"/>
                <w14:textFill>
                  <w14:solidFill>
                    <w14:schemeClr w14:val="tx1"/>
                  </w14:solidFill>
                </w14:textFill>
              </w:rPr>
              <w:t>维修点，不涉及机修含油废水；因此，施工废水主要来自混凝土搅拌、施工机械和车辆冲洗废水；施工人员废水主要为施工人员生活污水，项目施工人员生活污水依托租用居民房屋已建处理设施处理，用于周边农田施肥，不外排，不会对区域地表水体造成影响。</w:t>
            </w:r>
          </w:p>
          <w:p w14:paraId="35656E2B">
            <w:pPr>
              <w:spacing w:line="360" w:lineRule="auto"/>
              <w:ind w:firstLine="482"/>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（1）</w:t>
            </w:r>
            <w:r>
              <w:rPr>
                <w:rFonts w:hint="default" w:ascii="Times New Roman" w:hAnsi="Times New Roman" w:eastAsia="宋体" w:cs="Times New Roman"/>
                <w:b/>
                <w:bCs/>
                <w:color w:val="000000" w:themeColor="text1"/>
                <w:sz w:val="24"/>
                <w14:textFill>
                  <w14:solidFill>
                    <w14:schemeClr w14:val="tx1"/>
                  </w14:solidFill>
                </w14:textFill>
              </w:rPr>
              <w:t>施工废水</w:t>
            </w:r>
          </w:p>
          <w:p w14:paraId="0F402D62">
            <w:pPr>
              <w:spacing w:line="360" w:lineRule="auto"/>
              <w:ind w:firstLine="482"/>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本工程设置</w:t>
            </w:r>
            <w:r>
              <w:rPr>
                <w:rFonts w:hint="default" w:ascii="Times New Roman" w:hAnsi="Times New Roman" w:eastAsia="宋体" w:cs="Times New Roman"/>
                <w:color w:val="000000" w:themeColor="text1"/>
                <w:sz w:val="24"/>
                <w:lang w:val="en-US" w:eastAsia="zh-CN"/>
                <w14:textFill>
                  <w14:solidFill>
                    <w14:schemeClr w14:val="tx1"/>
                  </w14:solidFill>
                </w14:textFill>
              </w:rPr>
              <w:t>1</w:t>
            </w:r>
            <w:r>
              <w:rPr>
                <w:rFonts w:hint="default" w:ascii="Times New Roman" w:hAnsi="Times New Roman" w:eastAsia="宋体" w:cs="Times New Roman"/>
                <w:color w:val="000000" w:themeColor="text1"/>
                <w:sz w:val="24"/>
                <w14:textFill>
                  <w14:solidFill>
                    <w14:schemeClr w14:val="tx1"/>
                  </w14:solidFill>
                </w14:textFill>
              </w:rPr>
              <w:t>个施工工区</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位于永久占地范围内</w:t>
            </w:r>
            <w:r>
              <w:rPr>
                <w:rFonts w:hint="default" w:ascii="Times New Roman" w:hAnsi="Times New Roman" w:eastAsia="宋体" w:cs="Times New Roman"/>
                <w:color w:val="000000" w:themeColor="text1"/>
                <w:sz w:val="24"/>
                <w14:textFill>
                  <w14:solidFill>
                    <w14:schemeClr w14:val="tx1"/>
                  </w14:solidFill>
                </w14:textFill>
              </w:rPr>
              <w:t>，施工工区进出车辆车轮冲洗过程将产生少量含油废水，污染因子主要为石油类和SS，其中石油类浓度为10~30mg/L、SS浓度为500~4000mg/L，排放特点为间歇性排放，施工场地施工机械和车辆冲洗用水量约为5</w:t>
            </w:r>
            <w:r>
              <w:rPr>
                <w:rFonts w:hint="eastAsia" w:ascii="Times New Roman" w:hAnsi="Times New Roman" w:cs="Times New Roman"/>
                <w:color w:val="000000" w:themeColor="text1"/>
                <w:sz w:val="24"/>
                <w:lang w:eastAsia="zh-CN"/>
                <w14:textFill>
                  <w14:solidFill>
                    <w14:schemeClr w14:val="tx1"/>
                  </w14:solidFill>
                </w14:textFill>
              </w:rPr>
              <w:t>m</w:t>
            </w:r>
            <w:r>
              <w:rPr>
                <w:rFonts w:hint="eastAsia" w:ascii="Times New Roman" w:hAnsi="Times New Roman" w:cs="Times New Roman"/>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/d，产污系数按90%计算，则废水产生量为</w:t>
            </w:r>
            <w:r>
              <w:rPr>
                <w:rFonts w:hint="default" w:ascii="Times New Roman" w:hAnsi="Times New Roman" w:eastAsia="宋体" w:cs="Times New Roman"/>
                <w:color w:val="000000" w:themeColor="text1"/>
                <w:sz w:val="24"/>
                <w:lang w:val="en-US" w:eastAsia="zh-CN"/>
                <w14:textFill>
                  <w14:solidFill>
                    <w14:schemeClr w14:val="tx1"/>
                  </w14:solidFill>
                </w14:textFill>
              </w:rPr>
              <w:t>4</w:t>
            </w:r>
            <w:r>
              <w:rPr>
                <w:rFonts w:hint="default" w:ascii="Times New Roman" w:hAnsi="Times New Roman" w:eastAsia="宋体" w:cs="Times New Roman"/>
                <w:color w:val="000000" w:themeColor="text1"/>
                <w:sz w:val="24"/>
                <w14:textFill>
                  <w14:solidFill>
                    <w14:schemeClr w14:val="tx1"/>
                  </w14:solidFill>
                </w14:textFill>
              </w:rPr>
              <w:t>.5</w:t>
            </w:r>
            <w:r>
              <w:rPr>
                <w:rFonts w:hint="eastAsia" w:ascii="Times New Roman" w:hAnsi="Times New Roman" w:cs="Times New Roman"/>
                <w:color w:val="000000" w:themeColor="text1"/>
                <w:sz w:val="24"/>
                <w:lang w:eastAsia="zh-CN"/>
                <w14:textFill>
                  <w14:solidFill>
                    <w14:schemeClr w14:val="tx1"/>
                  </w14:solidFill>
                </w14:textFill>
              </w:rPr>
              <w:t>m</w:t>
            </w:r>
            <w:r>
              <w:rPr>
                <w:rFonts w:hint="eastAsia" w:ascii="Times New Roman" w:hAnsi="Times New Roman" w:cs="Times New Roman"/>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/d</w:t>
            </w:r>
            <w:r>
              <w:rPr>
                <w:rFonts w:hint="default" w:ascii="Times New Roman" w:hAnsi="Times New Roman" w:eastAsia="宋体" w:cs="Times New Roman"/>
                <w:color w:val="000000" w:themeColor="text1"/>
                <w:sz w:val="24"/>
                <w:lang w:eastAsia="zh-CN"/>
                <w14:textFill>
                  <w14:solidFill>
                    <w14:schemeClr w14:val="tx1"/>
                  </w14:solidFill>
                </w14:textFill>
              </w:rPr>
              <w:t>。</w:t>
            </w:r>
          </w:p>
          <w:p w14:paraId="2C19C033">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治理措施</w:t>
            </w:r>
            <w:r>
              <w:rPr>
                <w:rFonts w:hint="default" w:ascii="Times New Roman" w:hAnsi="Times New Roman" w:eastAsia="宋体" w:cs="Times New Roman"/>
                <w:bCs/>
                <w:color w:val="000000" w:themeColor="text1"/>
                <w:sz w:val="24"/>
                <w:szCs w:val="32"/>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本项目拟</w:t>
            </w:r>
            <w:r>
              <w:rPr>
                <w:rFonts w:hint="default" w:ascii="Times New Roman" w:hAnsi="Times New Roman" w:eastAsia="宋体" w:cs="Times New Roman"/>
                <w:color w:val="000000" w:themeColor="text1"/>
                <w:sz w:val="24"/>
                <w:lang w:val="en-US" w:eastAsia="zh-CN"/>
                <w14:textFill>
                  <w14:solidFill>
                    <w14:schemeClr w14:val="tx1"/>
                  </w14:solidFill>
                </w14:textFill>
              </w:rPr>
              <w:t>在</w:t>
            </w:r>
            <w:r>
              <w:rPr>
                <w:rFonts w:hint="default" w:ascii="Times New Roman" w:hAnsi="Times New Roman" w:eastAsia="宋体" w:cs="Times New Roman"/>
                <w:color w:val="000000" w:themeColor="text1"/>
                <w:sz w:val="24"/>
                <w14:textFill>
                  <w14:solidFill>
                    <w14:schemeClr w14:val="tx1"/>
                  </w14:solidFill>
                </w14:textFill>
              </w:rPr>
              <w:t>施工工区设置</w:t>
            </w:r>
            <w:r>
              <w:rPr>
                <w:rFonts w:hint="eastAsia" w:ascii="Times New Roman" w:hAnsi="Times New Roman" w:cs="Times New Roman"/>
                <w:color w:val="000000" w:themeColor="text1"/>
                <w:sz w:val="24"/>
                <w:lang w:eastAsia="zh-CN"/>
                <w14:textFill>
                  <w14:solidFill>
                    <w14:schemeClr w14:val="tx1"/>
                  </w14:solidFill>
                </w14:textFill>
              </w:rPr>
              <w:t>5m</w:t>
            </w:r>
            <w:r>
              <w:rPr>
                <w:rFonts w:hint="eastAsia" w:ascii="Times New Roman" w:hAnsi="Times New Roman" w:cs="Times New Roman"/>
                <w:color w:val="000000" w:themeColor="text1"/>
                <w:sz w:val="24"/>
                <w:vertAlign w:val="superscript"/>
                <w:lang w:eastAsia="zh-CN"/>
                <w14:textFill>
                  <w14:solidFill>
                    <w14:schemeClr w14:val="tx1"/>
                  </w14:solidFill>
                </w14:textFill>
              </w:rPr>
              <w:t>3</w:t>
            </w:r>
            <w:r>
              <w:rPr>
                <w:rFonts w:hint="eastAsia" w:ascii="Times New Roman" w:hAnsi="Times New Roman" w:cs="Times New Roman"/>
                <w:color w:val="000000" w:themeColor="text1"/>
                <w:sz w:val="24"/>
                <w:lang w:eastAsia="zh-CN"/>
                <w14:textFill>
                  <w14:solidFill>
                    <w14:schemeClr w14:val="tx1"/>
                  </w14:solidFill>
                </w14:textFill>
              </w:rPr>
              <w:t>隔油沉淀池</w:t>
            </w:r>
            <w:r>
              <w:rPr>
                <w:rFonts w:hint="default" w:ascii="Times New Roman" w:hAnsi="Times New Roman" w:eastAsia="宋体" w:cs="Times New Roman"/>
                <w:color w:val="000000" w:themeColor="text1"/>
                <w:sz w:val="24"/>
                <w14:textFill>
                  <w14:solidFill>
                    <w14:schemeClr w14:val="tx1"/>
                  </w14:solidFill>
                </w14:textFill>
              </w:rPr>
              <w:t>进行处理，施工机械和车辆冲洗冲洗废水通过隔油沉淀之后的废水回用于冲洗过程中，循环使用，不外排。隔油沉淀池约15天清理一次，隔油渣清理后不在施工场地内暂存，直接交由资质单位处理</w:t>
            </w:r>
          </w:p>
          <w:p w14:paraId="72EF35D2">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散料堆场四周用石块或水泥砌块围出高0.5m的防冲刷墙，以防止散料被雨水冲刷流失。</w:t>
            </w:r>
          </w:p>
          <w:p w14:paraId="3AAA26B1">
            <w:pPr>
              <w:spacing w:line="360" w:lineRule="auto"/>
              <w:ind w:firstLine="482"/>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w:t>
            </w:r>
            <w:r>
              <w:rPr>
                <w:rFonts w:hint="default" w:ascii="Times New Roman" w:hAnsi="Times New Roman" w:eastAsia="宋体" w:cs="Times New Roman"/>
                <w:b/>
                <w:bCs/>
                <w:color w:val="000000" w:themeColor="text1"/>
                <w:sz w:val="24"/>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14:textFill>
                  <w14:solidFill>
                    <w14:schemeClr w14:val="tx1"/>
                  </w14:solidFill>
                </w14:textFill>
              </w:rPr>
              <w:t>）基坑排水</w:t>
            </w:r>
          </w:p>
          <w:p w14:paraId="099C3FFF">
            <w:pPr>
              <w:spacing w:line="360" w:lineRule="auto"/>
              <w:ind w:firstLine="482"/>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工程主要在</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五里沟</w:t>
            </w:r>
            <w:r>
              <w:rPr>
                <w:rFonts w:hint="default" w:ascii="Times New Roman" w:hAnsi="Times New Roman" w:eastAsia="宋体" w:cs="Times New Roman"/>
                <w:b w:val="0"/>
                <w:bCs w:val="0"/>
                <w:color w:val="000000" w:themeColor="text1"/>
                <w:sz w:val="24"/>
                <w14:textFill>
                  <w14:solidFill>
                    <w14:schemeClr w14:val="tx1"/>
                  </w14:solidFill>
                </w14:textFill>
              </w:rPr>
              <w:t>新建</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底格拦栅坝</w:t>
            </w:r>
            <w:r>
              <w:rPr>
                <w:rFonts w:hint="default" w:ascii="Times New Roman" w:hAnsi="Times New Roman" w:eastAsia="宋体" w:cs="Times New Roman"/>
                <w:b w:val="0"/>
                <w:bCs w:val="0"/>
                <w:color w:val="000000" w:themeColor="text1"/>
                <w:sz w:val="24"/>
                <w14:textFill>
                  <w14:solidFill>
                    <w14:schemeClr w14:val="tx1"/>
                  </w14:solidFill>
                </w14:textFill>
              </w:rPr>
              <w:t>取水口</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设施，需要</w:t>
            </w:r>
            <w:r>
              <w:rPr>
                <w:rFonts w:hint="default" w:ascii="Times New Roman" w:hAnsi="Times New Roman" w:eastAsia="宋体" w:cs="Times New Roman"/>
                <w:b w:val="0"/>
                <w:bCs w:val="0"/>
                <w:color w:val="000000" w:themeColor="text1"/>
                <w:sz w:val="24"/>
                <w14:textFill>
                  <w14:solidFill>
                    <w14:schemeClr w14:val="tx1"/>
                  </w14:solidFill>
                </w14:textFill>
              </w:rPr>
              <w:t>进行施工导流，以创造干地施工条件。结合施工进度安排，尽量利用每年枯水季导流。</w:t>
            </w:r>
          </w:p>
          <w:p w14:paraId="37FC84B1">
            <w:pPr>
              <w:spacing w:line="360" w:lineRule="auto"/>
              <w:ind w:firstLine="482"/>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基坑排水包括初期排水和经常性排水。初期排水包括围堰闭气后基础及围堰渗水、基坑积水等，水质与河流水质基本相似，可直接排放，对河流水质影响很小。</w:t>
            </w:r>
          </w:p>
          <w:p w14:paraId="52838128">
            <w:pPr>
              <w:spacing w:line="360" w:lineRule="auto"/>
              <w:ind w:firstLine="482"/>
              <w:rPr>
                <w:rFonts w:hint="default" w:ascii="Times New Roman" w:hAnsi="Times New Roman" w:eastAsia="宋体" w:cs="Times New Roman"/>
                <w:b w:val="0"/>
                <w:bCs w:val="0"/>
                <w:color w:val="000000" w:themeColor="text1"/>
                <w:sz w:val="24"/>
                <w14:textFill>
                  <w14:solidFill>
                    <w14:schemeClr w14:val="tx1"/>
                  </w14:solidFill>
                </w14:textFill>
              </w:rPr>
            </w:pPr>
            <w:r>
              <w:rPr>
                <w:rFonts w:hint="default" w:ascii="Times New Roman" w:hAnsi="Times New Roman" w:eastAsia="宋体" w:cs="Times New Roman"/>
                <w:b w:val="0"/>
                <w:bCs w:val="0"/>
                <w:color w:val="000000" w:themeColor="text1"/>
                <w:sz w:val="24"/>
                <w14:textFill>
                  <w14:solidFill>
                    <w14:schemeClr w14:val="tx1"/>
                  </w14:solidFill>
                </w14:textFill>
              </w:rPr>
              <w:t>经常性排水包含了大量的渗水及降水，对比同类项目，基坑排水所含杂质较为单一，主要为SS，浓度在500~3000mg/L。基坑排水经沉淀处理达到《城市污水再生利用城市杂用水水质》（GB/T18920-2020）标准后回用于施工道路及场地洒水抑尘。</w:t>
            </w:r>
          </w:p>
          <w:p w14:paraId="5DF0BC90">
            <w:pPr>
              <w:spacing w:line="360" w:lineRule="auto"/>
              <w:ind w:firstLine="482"/>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w:t>
            </w:r>
            <w:r>
              <w:rPr>
                <w:rFonts w:hint="default" w:ascii="Times New Roman" w:hAnsi="Times New Roman" w:eastAsia="宋体" w:cs="Times New Roman"/>
                <w:b/>
                <w:bCs/>
                <w:color w:val="000000" w:themeColor="text1"/>
                <w:sz w:val="24"/>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14:textFill>
                  <w14:solidFill>
                    <w14:schemeClr w14:val="tx1"/>
                  </w14:solidFill>
                </w14:textFill>
              </w:rPr>
              <w:t>）生活污水</w:t>
            </w:r>
          </w:p>
          <w:p w14:paraId="777EC324">
            <w:pPr>
              <w:spacing w:line="360" w:lineRule="auto"/>
              <w:ind w:firstLine="482"/>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产生情况：</w:t>
            </w:r>
            <w:r>
              <w:rPr>
                <w:rFonts w:hint="default" w:ascii="Times New Roman" w:hAnsi="Times New Roman" w:eastAsia="宋体" w:cs="Times New Roman"/>
                <w:color w:val="000000" w:themeColor="text1"/>
                <w:sz w:val="24"/>
                <w14:textFill>
                  <w14:solidFill>
                    <w14:schemeClr w14:val="tx1"/>
                  </w14:solidFill>
                </w14:textFill>
              </w:rPr>
              <w:t>根据施工组织设计，本工程施工</w:t>
            </w:r>
            <w:r>
              <w:rPr>
                <w:rFonts w:hint="default" w:ascii="Times New Roman" w:hAnsi="Times New Roman" w:eastAsia="宋体" w:cs="Times New Roman"/>
                <w:color w:val="000000" w:themeColor="text1"/>
                <w:sz w:val="24"/>
                <w:lang w:val="en-US" w:eastAsia="zh-CN"/>
                <w14:textFill>
                  <w14:solidFill>
                    <w14:schemeClr w14:val="tx1"/>
                  </w14:solidFill>
                </w14:textFill>
              </w:rPr>
              <w:t>高峰期间</w:t>
            </w:r>
            <w:r>
              <w:rPr>
                <w:rFonts w:hint="default" w:ascii="Times New Roman" w:hAnsi="Times New Roman" w:eastAsia="宋体" w:cs="Times New Roman"/>
                <w:color w:val="000000" w:themeColor="text1"/>
                <w:sz w:val="24"/>
                <w14:textFill>
                  <w14:solidFill>
                    <w14:schemeClr w14:val="tx1"/>
                  </w14:solidFill>
                </w14:textFill>
              </w:rPr>
              <w:t>施工人数共</w:t>
            </w:r>
            <w:r>
              <w:rPr>
                <w:rFonts w:hint="default" w:ascii="Times New Roman" w:hAnsi="Times New Roman" w:eastAsia="宋体" w:cs="Times New Roman"/>
                <w:color w:val="000000" w:themeColor="text1"/>
                <w:sz w:val="24"/>
                <w:lang w:val="en-US" w:eastAsia="zh-CN"/>
                <w14:textFill>
                  <w14:solidFill>
                    <w14:schemeClr w14:val="tx1"/>
                  </w14:solidFill>
                </w14:textFill>
              </w:rPr>
              <w:t>4</w:t>
            </w:r>
            <w:r>
              <w:rPr>
                <w:rFonts w:hint="default" w:ascii="Times New Roman" w:hAnsi="Times New Roman" w:eastAsia="宋体" w:cs="Times New Roman"/>
                <w:color w:val="000000" w:themeColor="text1"/>
                <w:sz w:val="24"/>
                <w14:textFill>
                  <w14:solidFill>
                    <w14:schemeClr w14:val="tx1"/>
                  </w14:solidFill>
                </w14:textFill>
              </w:rPr>
              <w:t>0人，生活污水排放按0.05</w:t>
            </w:r>
            <w:r>
              <w:rPr>
                <w:rFonts w:hint="eastAsia" w:ascii="Times New Roman" w:hAnsi="Times New Roman" w:cs="Times New Roman"/>
                <w:color w:val="000000" w:themeColor="text1"/>
                <w:sz w:val="24"/>
                <w:lang w:eastAsia="zh-CN"/>
                <w14:textFill>
                  <w14:solidFill>
                    <w14:schemeClr w14:val="tx1"/>
                  </w14:solidFill>
                </w14:textFill>
              </w:rPr>
              <w:t>m</w:t>
            </w:r>
            <w:r>
              <w:rPr>
                <w:rFonts w:hint="eastAsia" w:ascii="Times New Roman" w:hAnsi="Times New Roman" w:cs="Times New Roman"/>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/人d计算，则日用水量为</w:t>
            </w:r>
            <w:r>
              <w:rPr>
                <w:rFonts w:hint="default" w:ascii="Times New Roman" w:hAnsi="Times New Roman" w:eastAsia="宋体" w:cs="Times New Roman"/>
                <w:color w:val="000000" w:themeColor="text1"/>
                <w:sz w:val="24"/>
                <w:lang w:val="en-US" w:eastAsia="zh-CN"/>
                <w14:textFill>
                  <w14:solidFill>
                    <w14:schemeClr w14:val="tx1"/>
                  </w14:solidFill>
                </w14:textFill>
              </w:rPr>
              <w:t>2.0</w:t>
            </w:r>
            <w:r>
              <w:rPr>
                <w:rFonts w:hint="eastAsia" w:ascii="Times New Roman" w:hAnsi="Times New Roman" w:cs="Times New Roman"/>
                <w:color w:val="000000" w:themeColor="text1"/>
                <w:sz w:val="24"/>
                <w:lang w:eastAsia="zh-CN"/>
                <w14:textFill>
                  <w14:solidFill>
                    <w14:schemeClr w14:val="tx1"/>
                  </w14:solidFill>
                </w14:textFill>
              </w:rPr>
              <w:t>m</w:t>
            </w:r>
            <w:r>
              <w:rPr>
                <w:rFonts w:hint="eastAsia" w:ascii="Times New Roman" w:hAnsi="Times New Roman" w:cs="Times New Roman"/>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/d，产污系数按0.8计，则生活污水产生量为</w:t>
            </w:r>
            <w:r>
              <w:rPr>
                <w:rFonts w:hint="default" w:ascii="Times New Roman" w:hAnsi="Times New Roman" w:eastAsia="宋体" w:cs="Times New Roman"/>
                <w:color w:val="000000" w:themeColor="text1"/>
                <w:sz w:val="24"/>
                <w:lang w:val="en-US" w:eastAsia="zh-CN"/>
                <w14:textFill>
                  <w14:solidFill>
                    <w14:schemeClr w14:val="tx1"/>
                  </w14:solidFill>
                </w14:textFill>
              </w:rPr>
              <w:t>1.6</w:t>
            </w:r>
            <w:r>
              <w:rPr>
                <w:rFonts w:hint="eastAsia" w:ascii="Times New Roman" w:hAnsi="Times New Roman" w:cs="Times New Roman"/>
                <w:color w:val="000000" w:themeColor="text1"/>
                <w:sz w:val="24"/>
                <w:lang w:eastAsia="zh-CN"/>
                <w14:textFill>
                  <w14:solidFill>
                    <w14:schemeClr w14:val="tx1"/>
                  </w14:solidFill>
                </w14:textFill>
              </w:rPr>
              <w:t>m</w:t>
            </w:r>
            <w:r>
              <w:rPr>
                <w:rFonts w:hint="eastAsia" w:ascii="Times New Roman" w:hAnsi="Times New Roman" w:cs="Times New Roman"/>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/d，根据同类工程调查，施工生活污水主要污染物的产生浓度为：COD：350mg/L、BOD</w:t>
            </w:r>
            <w:r>
              <w:rPr>
                <w:rFonts w:hint="default" w:ascii="Times New Roman" w:hAnsi="Times New Roman" w:eastAsia="宋体" w:cs="Times New Roman"/>
                <w:color w:val="000000" w:themeColor="text1"/>
                <w:sz w:val="24"/>
                <w:vertAlign w:val="subscript"/>
                <w14:textFill>
                  <w14:solidFill>
                    <w14:schemeClr w14:val="tx1"/>
                  </w14:solidFill>
                </w14:textFill>
              </w:rPr>
              <w:t>5</w:t>
            </w:r>
            <w:r>
              <w:rPr>
                <w:rFonts w:hint="default" w:ascii="Times New Roman" w:hAnsi="Times New Roman" w:eastAsia="宋体" w:cs="Times New Roman"/>
                <w:color w:val="000000" w:themeColor="text1"/>
                <w:sz w:val="24"/>
                <w14:textFill>
                  <w14:solidFill>
                    <w14:schemeClr w14:val="tx1"/>
                  </w14:solidFill>
                </w14:textFill>
              </w:rPr>
              <w:t>：200mg/L、SS：200mg/L、NH</w:t>
            </w:r>
            <w:r>
              <w:rPr>
                <w:rFonts w:hint="default" w:ascii="Times New Roman" w:hAnsi="Times New Roman" w:eastAsia="宋体" w:cs="Times New Roman"/>
                <w:color w:val="000000" w:themeColor="text1"/>
                <w:sz w:val="24"/>
                <w:vertAlign w:val="subscript"/>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-N：35mg/L</w:t>
            </w:r>
            <w:r>
              <w:rPr>
                <w:rFonts w:hint="default" w:ascii="Times New Roman" w:hAnsi="Times New Roman" w:eastAsia="宋体" w:cs="Times New Roman"/>
                <w:color w:val="000000" w:themeColor="text1"/>
                <w:sz w:val="24"/>
                <w:lang w:eastAsia="zh-CN"/>
                <w14:textFill>
                  <w14:solidFill>
                    <w14:schemeClr w14:val="tx1"/>
                  </w14:solidFill>
                </w14:textFill>
              </w:rPr>
              <w:t>。</w:t>
            </w:r>
          </w:p>
          <w:p w14:paraId="55112C52">
            <w:pPr>
              <w:spacing w:line="360" w:lineRule="auto"/>
              <w:ind w:firstLine="48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治理措施</w:t>
            </w:r>
            <w:r>
              <w:rPr>
                <w:rFonts w:hint="default" w:ascii="Times New Roman" w:hAnsi="Times New Roman" w:eastAsia="宋体" w:cs="Times New Roman"/>
                <w:bCs/>
                <w:color w:val="000000" w:themeColor="text1"/>
                <w:sz w:val="24"/>
                <w:szCs w:val="32"/>
                <w14:textFill>
                  <w14:solidFill>
                    <w14:schemeClr w14:val="tx1"/>
                  </w14:solidFill>
                </w14:textFill>
              </w:rPr>
              <w:t>：</w:t>
            </w:r>
            <w:r>
              <w:rPr>
                <w:rFonts w:hint="default" w:ascii="Times New Roman" w:hAnsi="Times New Roman" w:eastAsia="宋体" w:cs="Times New Roman"/>
                <w:color w:val="000000" w:themeColor="text1"/>
                <w:sz w:val="24"/>
                <w:szCs w:val="22"/>
                <w14:textFill>
                  <w14:solidFill>
                    <w14:schemeClr w14:val="tx1"/>
                  </w14:solidFill>
                </w14:textFill>
              </w:rPr>
              <w:t>项目施工人员租用工程区周边民房，施工人员产生的生活污水依托租用周边民房现有污水处理设施（化粪池）收集处理后用作农肥，不外排。</w:t>
            </w:r>
          </w:p>
          <w:p w14:paraId="724D3E23">
            <w:pPr>
              <w:spacing w:line="360" w:lineRule="auto"/>
              <w:ind w:firstLine="482"/>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4）管道试压废水</w:t>
            </w:r>
          </w:p>
          <w:p w14:paraId="515FCF0B">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水压试验的介质是清水，管道充满水后，用试压泵加压。强度试验压力为1.5倍工作压力（最低不小于0.2MPa），试压时间保证5min稳定不变。严密性试验压力为工作压力（最低不小于0.2MPa），检查时间不小于1h；在规定时间内，压力降不大于严密性试验压力的5%，各管道不渗漏为合格。</w:t>
            </w:r>
          </w:p>
          <w:p w14:paraId="4A9006EF">
            <w:pPr>
              <w:spacing w:line="360" w:lineRule="auto"/>
              <w:ind w:firstLine="482"/>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试压用水为清水，不允许具有腐蚀性，不含无机或有机物</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本项目清水管线自水源</w:t>
            </w:r>
            <w:r>
              <w:rPr>
                <w:rFonts w:hint="default" w:ascii="Times New Roman" w:hAnsi="Times New Roman" w:eastAsia="宋体" w:cs="Times New Roman"/>
                <w:color w:val="000000" w:themeColor="text1"/>
                <w:sz w:val="24"/>
                <w:lang w:val="en-US" w:eastAsia="zh-CN"/>
                <w14:textFill>
                  <w14:solidFill>
                    <w14:schemeClr w14:val="tx1"/>
                  </w14:solidFill>
                </w14:textFill>
              </w:rPr>
              <w:t>由</w:t>
            </w:r>
            <w:r>
              <w:rPr>
                <w:rFonts w:hint="eastAsia" w:ascii="Times New Roman" w:hAnsi="Times New Roman" w:cs="Times New Roman"/>
                <w:color w:val="000000" w:themeColor="text1"/>
                <w:sz w:val="24"/>
                <w:lang w:val="en-US" w:eastAsia="zh-CN"/>
                <w14:textFill>
                  <w14:solidFill>
                    <w14:schemeClr w14:val="tx1"/>
                  </w14:solidFill>
                </w14:textFill>
              </w:rPr>
              <w:t>北向南</w:t>
            </w:r>
            <w:r>
              <w:rPr>
                <w:rFonts w:hint="default" w:ascii="Times New Roman" w:hAnsi="Times New Roman" w:eastAsia="宋体" w:cs="Times New Roman"/>
                <w:color w:val="000000" w:themeColor="text1"/>
                <w:sz w:val="24"/>
                <w14:textFill>
                  <w14:solidFill>
                    <w14:schemeClr w14:val="tx1"/>
                  </w14:solidFill>
                </w14:textFill>
              </w:rPr>
              <w:t>敷设，管道长</w:t>
            </w:r>
            <w:r>
              <w:rPr>
                <w:rFonts w:hint="eastAsia" w:ascii="Times New Roman" w:hAnsi="Times New Roman" w:cs="Times New Roman"/>
                <w:color w:val="000000" w:themeColor="text1"/>
                <w:sz w:val="24"/>
                <w:lang w:val="en-US" w:eastAsia="zh-CN"/>
                <w14:textFill>
                  <w14:solidFill>
                    <w14:schemeClr w14:val="tx1"/>
                  </w14:solidFill>
                </w14:textFill>
              </w:rPr>
              <w:t>10.588</w:t>
            </w:r>
            <w:r>
              <w:rPr>
                <w:rFonts w:hint="default" w:ascii="Times New Roman" w:hAnsi="Times New Roman" w:eastAsia="宋体" w:cs="Times New Roman"/>
                <w:color w:val="000000" w:themeColor="text1"/>
                <w:sz w:val="24"/>
                <w:lang w:val="en-US" w:eastAsia="zh-CN"/>
                <w14:textFill>
                  <w14:solidFill>
                    <w14:schemeClr w14:val="tx1"/>
                  </w14:solidFill>
                </w14:textFill>
              </w:rPr>
              <w:t>km</w:t>
            </w:r>
            <w:r>
              <w:rPr>
                <w:rFonts w:hint="default" w:ascii="Times New Roman" w:hAnsi="Times New Roman" w:eastAsia="宋体" w:cs="Times New Roman"/>
                <w:color w:val="000000" w:themeColor="text1"/>
                <w:sz w:val="24"/>
                <w14:textFill>
                  <w14:solidFill>
                    <w14:schemeClr w14:val="tx1"/>
                  </w14:solidFill>
                </w14:textFill>
              </w:rPr>
              <w:t>，管材为钢管。本项目管道试压分段进行，根据管道设计</w:t>
            </w:r>
            <w:r>
              <w:rPr>
                <w:rFonts w:hint="default" w:ascii="Times New Roman" w:hAnsi="Times New Roman" w:eastAsia="宋体" w:cs="Times New Roman"/>
                <w:color w:val="000000" w:themeColor="text1"/>
                <w:sz w:val="24"/>
                <w:lang w:val="en-US" w:eastAsia="zh-CN"/>
                <w14:textFill>
                  <w14:solidFill>
                    <w14:schemeClr w14:val="tx1"/>
                  </w14:solidFill>
                </w14:textFill>
              </w:rPr>
              <w:t>管径，估算</w:t>
            </w:r>
            <w:r>
              <w:rPr>
                <w:rFonts w:hint="default" w:ascii="Times New Roman" w:hAnsi="Times New Roman" w:eastAsia="宋体" w:cs="Times New Roman"/>
                <w:color w:val="000000" w:themeColor="text1"/>
                <w:sz w:val="24"/>
                <w14:textFill>
                  <w14:solidFill>
                    <w14:schemeClr w14:val="tx1"/>
                  </w14:solidFill>
                </w14:textFill>
              </w:rPr>
              <w:t>试压用水量</w:t>
            </w:r>
            <w:r>
              <w:rPr>
                <w:rFonts w:hint="default" w:ascii="Times New Roman" w:hAnsi="Times New Roman" w:eastAsia="宋体" w:cs="Times New Roman"/>
                <w:color w:val="000000" w:themeColor="text1"/>
                <w:sz w:val="24"/>
                <w:lang w:val="en-US" w:eastAsia="zh-CN"/>
                <w14:textFill>
                  <w14:solidFill>
                    <w14:schemeClr w14:val="tx1"/>
                  </w14:solidFill>
                </w14:textFill>
              </w:rPr>
              <w:t>约</w:t>
            </w:r>
            <w:r>
              <w:rPr>
                <w:rFonts w:hint="default" w:ascii="Times New Roman" w:hAnsi="Times New Roman" w:eastAsia="宋体" w:cs="Times New Roman"/>
                <w:color w:val="000000" w:themeColor="text1"/>
                <w:sz w:val="24"/>
                <w14:textFill>
                  <w14:solidFill>
                    <w14:schemeClr w14:val="tx1"/>
                  </w14:solidFill>
                </w14:textFill>
              </w:rPr>
              <w:t>为</w:t>
            </w:r>
            <w:r>
              <w:rPr>
                <w:rFonts w:hint="default" w:ascii="Times New Roman" w:hAnsi="Times New Roman" w:eastAsia="宋体" w:cs="Times New Roman"/>
                <w:color w:val="000000" w:themeColor="text1"/>
                <w:sz w:val="24"/>
                <w:lang w:val="en-US" w:eastAsia="zh-CN"/>
                <w14:textFill>
                  <w14:solidFill>
                    <w14:schemeClr w14:val="tx1"/>
                  </w14:solidFill>
                </w14:textFill>
              </w:rPr>
              <w:t>1</w:t>
            </w:r>
            <w:r>
              <w:rPr>
                <w:rFonts w:hint="eastAsia" w:ascii="Times New Roman" w:hAnsi="Times New Roman" w:cs="Times New Roman"/>
                <w:color w:val="000000" w:themeColor="text1"/>
                <w:sz w:val="24"/>
                <w:lang w:val="en-US" w:eastAsia="zh-CN"/>
                <w14:textFill>
                  <w14:solidFill>
                    <w14:schemeClr w14:val="tx1"/>
                  </w14:solidFill>
                </w14:textFill>
              </w:rPr>
              <w:t>0</w:t>
            </w:r>
            <w:r>
              <w:rPr>
                <w:rFonts w:hint="eastAsia" w:ascii="Times New Roman" w:hAnsi="Times New Roman" w:cs="Times New Roman"/>
                <w:color w:val="000000" w:themeColor="text1"/>
                <w:sz w:val="24"/>
                <w:lang w:eastAsia="zh-CN"/>
                <w14:textFill>
                  <w14:solidFill>
                    <w14:schemeClr w14:val="tx1"/>
                  </w14:solidFill>
                </w14:textFill>
              </w:rPr>
              <w:t>m</w:t>
            </w:r>
            <w:r>
              <w:rPr>
                <w:rFonts w:hint="eastAsia" w:ascii="Times New Roman" w:hAnsi="Times New Roman" w:cs="Times New Roman"/>
                <w:color w:val="000000" w:themeColor="text1"/>
                <w:sz w:val="24"/>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/km，则总的试压水约</w:t>
            </w:r>
            <w:r>
              <w:rPr>
                <w:rFonts w:hint="eastAsia" w:ascii="Times New Roman" w:hAnsi="Times New Roman" w:cs="Times New Roman"/>
                <w:color w:val="000000" w:themeColor="text1"/>
                <w:sz w:val="24"/>
                <w:lang w:val="en-US" w:eastAsia="zh-CN"/>
                <w14:textFill>
                  <w14:solidFill>
                    <w14:schemeClr w14:val="tx1"/>
                  </w14:solidFill>
                </w14:textFill>
              </w:rPr>
              <w:t>106</w:t>
            </w:r>
            <w:r>
              <w:rPr>
                <w:rFonts w:hint="default" w:ascii="Times New Roman" w:hAnsi="Times New Roman" w:eastAsia="宋体" w:cs="Times New Roman"/>
                <w:color w:val="000000" w:themeColor="text1"/>
                <w:sz w:val="24"/>
                <w14:textFill>
                  <w14:solidFill>
                    <w14:schemeClr w14:val="tx1"/>
                  </w14:solidFill>
                </w14:textFill>
              </w:rPr>
              <w:t>t，</w:t>
            </w:r>
            <w:r>
              <w:rPr>
                <w:rFonts w:hint="default" w:ascii="Times New Roman" w:hAnsi="Times New Roman" w:eastAsia="宋体" w:cs="Times New Roman"/>
                <w:color w:val="000000" w:themeColor="text1"/>
                <w:sz w:val="24"/>
                <w:lang w:val="en-US" w:eastAsia="zh-CN"/>
                <w14:textFill>
                  <w14:solidFill>
                    <w14:schemeClr w14:val="tx1"/>
                  </w14:solidFill>
                </w14:textFill>
              </w:rPr>
              <w:t>废水产生系数按0.9，则试压废水产生量为9</w:t>
            </w:r>
            <w:r>
              <w:rPr>
                <w:rFonts w:hint="eastAsia" w:ascii="Times New Roman" w:hAnsi="Times New Roman" w:cs="Times New Roman"/>
                <w:color w:val="000000" w:themeColor="text1"/>
                <w:sz w:val="24"/>
                <w:lang w:val="en-US" w:eastAsia="zh-CN"/>
                <w14:textFill>
                  <w14:solidFill>
                    <w14:schemeClr w14:val="tx1"/>
                  </w14:solidFill>
                </w14:textFill>
              </w:rPr>
              <w:t>m</w:t>
            </w:r>
            <w:r>
              <w:rPr>
                <w:rFonts w:hint="eastAsia" w:ascii="Times New Roman" w:hAnsi="Times New Roman" w:cs="Times New Roman"/>
                <w:color w:val="000000" w:themeColor="text1"/>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lang w:val="en-US" w:eastAsia="zh-CN"/>
                <w14:textFill>
                  <w14:solidFill>
                    <w14:schemeClr w14:val="tx1"/>
                  </w14:solidFill>
                </w14:textFill>
              </w:rPr>
              <w:t>/km，共</w:t>
            </w:r>
            <w:r>
              <w:rPr>
                <w:rFonts w:hint="eastAsia" w:ascii="Times New Roman" w:hAnsi="Times New Roman" w:cs="Times New Roman"/>
                <w:color w:val="000000" w:themeColor="text1"/>
                <w:sz w:val="24"/>
                <w:lang w:val="en-US" w:eastAsia="zh-CN"/>
                <w14:textFill>
                  <w14:solidFill>
                    <w14:schemeClr w14:val="tx1"/>
                  </w14:solidFill>
                </w14:textFill>
              </w:rPr>
              <w:t>95.4</w:t>
            </w:r>
            <w:r>
              <w:rPr>
                <w:rFonts w:hint="default" w:ascii="Times New Roman" w:hAnsi="Times New Roman" w:eastAsia="宋体" w:cs="Times New Roman"/>
                <w:color w:val="000000" w:themeColor="text1"/>
                <w:sz w:val="24"/>
                <w:lang w:val="en-US" w:eastAsia="zh-CN"/>
                <w14:textFill>
                  <w14:solidFill>
                    <w14:schemeClr w14:val="tx1"/>
                  </w14:solidFill>
                </w14:textFill>
              </w:rPr>
              <w:t>t。</w:t>
            </w:r>
          </w:p>
          <w:p w14:paraId="5A3CE45F">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试压水采用清洁水，水质满足III类水质标准，经试压后，污染物比原水会有增加，主要污染物为COD和SS。试压废</w:t>
            </w:r>
            <w:r>
              <w:rPr>
                <w:rFonts w:hint="default" w:ascii="Times New Roman" w:hAnsi="Times New Roman" w:eastAsia="宋体" w:cs="Times New Roman"/>
                <w:color w:val="000000" w:themeColor="text1"/>
                <w:sz w:val="24"/>
                <w14:textFill>
                  <w14:solidFill>
                    <w14:schemeClr w14:val="tx1"/>
                  </w14:solidFill>
                </w14:textFill>
              </w:rPr>
              <w:t>水的pH值为6~8，主要污染物浓度为COD</w:t>
            </w:r>
            <w:r>
              <w:rPr>
                <w:rFonts w:hint="default" w:ascii="Times New Roman" w:hAnsi="Times New Roman" w:eastAsia="宋体" w:cs="Times New Roman"/>
                <w:color w:val="000000" w:themeColor="text1"/>
                <w:sz w:val="24"/>
                <w:lang w:val="en-US" w:eastAsia="zh-CN"/>
                <w14:textFill>
                  <w14:solidFill>
                    <w14:schemeClr w14:val="tx1"/>
                  </w14:solidFill>
                </w14:textFill>
              </w:rPr>
              <w:t>4</w:t>
            </w:r>
            <w:r>
              <w:rPr>
                <w:rFonts w:hint="default" w:ascii="Times New Roman" w:hAnsi="Times New Roman" w:eastAsia="宋体" w:cs="Times New Roman"/>
                <w:color w:val="000000" w:themeColor="text1"/>
                <w:sz w:val="24"/>
                <w14:textFill>
                  <w14:solidFill>
                    <w14:schemeClr w14:val="tx1"/>
                  </w14:solidFill>
                </w14:textFill>
              </w:rPr>
              <w:t>0mg/L、SS</w:t>
            </w:r>
            <w:r>
              <w:rPr>
                <w:rFonts w:hint="default" w:ascii="Times New Roman" w:hAnsi="Times New Roman" w:eastAsia="宋体" w:cs="Times New Roman"/>
                <w:color w:val="000000" w:themeColor="text1"/>
                <w:sz w:val="24"/>
                <w:lang w:val="en-US" w:eastAsia="zh-CN"/>
                <w14:textFill>
                  <w14:solidFill>
                    <w14:schemeClr w14:val="tx1"/>
                  </w14:solidFill>
                </w14:textFill>
              </w:rPr>
              <w:t>8</w:t>
            </w:r>
            <w:r>
              <w:rPr>
                <w:rFonts w:hint="default" w:ascii="Times New Roman" w:hAnsi="Times New Roman" w:eastAsia="宋体" w:cs="Times New Roman"/>
                <w:color w:val="000000" w:themeColor="text1"/>
                <w:sz w:val="24"/>
                <w14:textFill>
                  <w14:solidFill>
                    <w14:schemeClr w14:val="tx1"/>
                  </w14:solidFill>
                </w14:textFill>
              </w:rPr>
              <w:t>0mg/L。由于管道清管和试压是分段进行的，局部排放量相对较少，根据国内其它管线建设经验，经沉淀处理后回用于施工区域的</w:t>
            </w:r>
            <w:r>
              <w:rPr>
                <w:rFonts w:hint="default" w:ascii="Times New Roman" w:hAnsi="Times New Roman" w:eastAsia="宋体" w:cs="Times New Roman"/>
                <w:color w:val="000000" w:themeColor="text1"/>
                <w:sz w:val="24"/>
                <w:lang w:val="en-US" w:eastAsia="zh-CN"/>
                <w14:textFill>
                  <w14:solidFill>
                    <w14:schemeClr w14:val="tx1"/>
                  </w14:solidFill>
                </w14:textFill>
              </w:rPr>
              <w:t>洒</w:t>
            </w:r>
            <w:r>
              <w:rPr>
                <w:rFonts w:hint="default" w:ascii="Times New Roman" w:hAnsi="Times New Roman" w:eastAsia="宋体" w:cs="Times New Roman"/>
                <w:color w:val="000000" w:themeColor="text1"/>
                <w:sz w:val="24"/>
                <w14:textFill>
                  <w14:solidFill>
                    <w14:schemeClr w14:val="tx1"/>
                  </w14:solidFill>
                </w14:textFill>
              </w:rPr>
              <w:t>水抑尘</w:t>
            </w:r>
            <w:r>
              <w:rPr>
                <w:rFonts w:hint="default" w:ascii="Times New Roman" w:hAnsi="Times New Roman" w:eastAsia="宋体" w:cs="Times New Roman"/>
                <w:color w:val="000000" w:themeColor="text1"/>
                <w:sz w:val="24"/>
                <w:lang w:val="en-US" w:eastAsia="zh-CN"/>
                <w14:textFill>
                  <w14:solidFill>
                    <w14:schemeClr w14:val="tx1"/>
                  </w14:solidFill>
                </w14:textFill>
              </w:rPr>
              <w:t>或者林地灌溉</w:t>
            </w:r>
            <w:r>
              <w:rPr>
                <w:rFonts w:hint="default" w:ascii="Times New Roman" w:hAnsi="Times New Roman" w:eastAsia="宋体"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经沉淀处理后，</w:t>
            </w:r>
            <w:r>
              <w:rPr>
                <w:rFonts w:hint="default" w:ascii="Times New Roman" w:hAnsi="Times New Roman" w:eastAsia="宋体" w:cs="Times New Roman"/>
                <w:color w:val="000000" w:themeColor="text1"/>
                <w:sz w:val="24"/>
                <w14:textFill>
                  <w14:solidFill>
                    <w14:schemeClr w14:val="tx1"/>
                  </w14:solidFill>
                </w14:textFill>
              </w:rPr>
              <w:t>主要污染物浓度为COD</w:t>
            </w:r>
            <w:r>
              <w:rPr>
                <w:rFonts w:hint="default" w:ascii="Times New Roman" w:hAnsi="Times New Roman" w:eastAsia="宋体" w:cs="Times New Roman"/>
                <w:color w:val="000000" w:themeColor="text1"/>
                <w:sz w:val="24"/>
                <w:lang w:val="en-US" w:eastAsia="zh-CN"/>
                <w14:textFill>
                  <w14:solidFill>
                    <w14:schemeClr w14:val="tx1"/>
                  </w14:solidFill>
                </w14:textFill>
              </w:rPr>
              <w:t>4</w:t>
            </w:r>
            <w:r>
              <w:rPr>
                <w:rFonts w:hint="default" w:ascii="Times New Roman" w:hAnsi="Times New Roman" w:eastAsia="宋体" w:cs="Times New Roman"/>
                <w:color w:val="000000" w:themeColor="text1"/>
                <w:sz w:val="24"/>
                <w14:textFill>
                  <w14:solidFill>
                    <w14:schemeClr w14:val="tx1"/>
                  </w14:solidFill>
                </w14:textFill>
              </w:rPr>
              <w:t>0mg/L、SS</w:t>
            </w:r>
            <w:r>
              <w:rPr>
                <w:rFonts w:hint="default" w:ascii="Times New Roman" w:hAnsi="Times New Roman" w:eastAsia="宋体" w:cs="Times New Roman"/>
                <w:color w:val="000000" w:themeColor="text1"/>
                <w:sz w:val="24"/>
                <w:lang w:val="en-US" w:eastAsia="zh-CN"/>
                <w14:textFill>
                  <w14:solidFill>
                    <w14:schemeClr w14:val="tx1"/>
                  </w14:solidFill>
                </w14:textFill>
              </w:rPr>
              <w:t>4</w:t>
            </w:r>
            <w:r>
              <w:rPr>
                <w:rFonts w:hint="default" w:ascii="Times New Roman" w:hAnsi="Times New Roman" w:eastAsia="宋体" w:cs="Times New Roman"/>
                <w:color w:val="000000" w:themeColor="text1"/>
                <w:sz w:val="24"/>
                <w14:textFill>
                  <w14:solidFill>
                    <w14:schemeClr w14:val="tx1"/>
                  </w14:solidFill>
                </w14:textFill>
              </w:rPr>
              <w:t>0mg/L</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满足洒</w:t>
            </w:r>
            <w:r>
              <w:rPr>
                <w:rFonts w:hint="default" w:ascii="Times New Roman" w:hAnsi="Times New Roman" w:eastAsia="宋体" w:cs="Times New Roman"/>
                <w:color w:val="000000" w:themeColor="text1"/>
                <w:sz w:val="24"/>
                <w14:textFill>
                  <w14:solidFill>
                    <w14:schemeClr w14:val="tx1"/>
                  </w14:solidFill>
                </w14:textFill>
              </w:rPr>
              <w:t>水抑尘</w:t>
            </w:r>
            <w:r>
              <w:rPr>
                <w:rFonts w:hint="default" w:ascii="Times New Roman" w:hAnsi="Times New Roman" w:eastAsia="宋体" w:cs="Times New Roman"/>
                <w:color w:val="000000" w:themeColor="text1"/>
                <w:sz w:val="24"/>
                <w:lang w:val="en-US" w:eastAsia="zh-CN"/>
                <w14:textFill>
                  <w14:solidFill>
                    <w14:schemeClr w14:val="tx1"/>
                  </w14:solidFill>
                </w14:textFill>
              </w:rPr>
              <w:t>或者林地灌溉水质要求，因此措施可行</w:t>
            </w:r>
            <w:r>
              <w:rPr>
                <w:rFonts w:hint="default" w:ascii="Times New Roman" w:hAnsi="Times New Roman" w:eastAsia="宋体" w:cs="Times New Roman"/>
                <w:color w:val="000000" w:themeColor="text1"/>
                <w:sz w:val="24"/>
                <w14:textFill>
                  <w14:solidFill>
                    <w14:schemeClr w14:val="tx1"/>
                  </w14:solidFill>
                </w14:textFill>
              </w:rPr>
              <w:t>。</w:t>
            </w:r>
          </w:p>
          <w:p w14:paraId="1A9A6BA8">
            <w:pPr>
              <w:spacing w:line="360" w:lineRule="auto"/>
              <w:ind w:firstLine="482"/>
              <w:rPr>
                <w:rFonts w:hint="default" w:ascii="Times New Roman" w:hAnsi="Times New Roman" w:eastAsia="宋体" w:cs="Times New Roman"/>
                <w:b/>
                <w:color w:val="000000" w:themeColor="text1"/>
                <w:sz w:val="24"/>
                <w:szCs w:val="32"/>
                <w:lang w:val="en-US" w:eastAsia="zh-CN"/>
                <w14:textFill>
                  <w14:solidFill>
                    <w14:schemeClr w14:val="tx1"/>
                  </w14:solidFill>
                </w14:textFill>
              </w:rPr>
            </w:pP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5）</w:t>
            </w:r>
            <w:r>
              <w:rPr>
                <w:rFonts w:hint="default" w:ascii="Times New Roman" w:hAnsi="Times New Roman" w:eastAsia="宋体" w:cs="Times New Roman"/>
                <w:b/>
                <w:color w:val="000000" w:themeColor="text1"/>
                <w:sz w:val="24"/>
                <w:szCs w:val="32"/>
                <w:lang w:val="en-US" w:eastAsia="zh-CN"/>
                <w14:textFill>
                  <w14:solidFill>
                    <w14:schemeClr w14:val="tx1"/>
                  </w14:solidFill>
                </w14:textFill>
              </w:rPr>
              <w:t>围堰施工及拆除</w:t>
            </w:r>
          </w:p>
          <w:p w14:paraId="242E9A41">
            <w:pPr>
              <w:spacing w:line="360" w:lineRule="auto"/>
              <w:ind w:firstLine="482"/>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施工扰动引起的水体悬浮物浓度在施工点位置最高，并随水流扩散，在河道水体稀释、扩散作用下，随着距离的增加，施工及拆除处附近水体中SS浓度下降较迅速的特点。</w:t>
            </w:r>
          </w:p>
          <w:p w14:paraId="6EEA3DF4">
            <w:pPr>
              <w:spacing w:line="360" w:lineRule="auto"/>
              <w:ind w:firstLine="482"/>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但随着与施工及拆除处之间距离的增大，SS浓度下降趋势变缓、断面之间SS浓度差值渐小。类比同类项目施工经验，至下游1000m处断面SS浓度增量可降至3mg/L以下。河道SS浓度的提高主要环境影响包括景观和水生生物的影响。水生浮游植物（藻类）和浮游动物会因水体SS含量的增加而缺氧或光合作用受阻而死亡。</w:t>
            </w:r>
          </w:p>
          <w:p w14:paraId="385B8828">
            <w:pPr>
              <w:spacing w:line="360" w:lineRule="auto"/>
              <w:ind w:firstLine="482"/>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由于本项目施工为短期行为，SS浓度恢复速度较快。因此，施工及拆除产</w:t>
            </w:r>
          </w:p>
          <w:p w14:paraId="1FAA3EC2">
            <w:pPr>
              <w:spacing w:line="360" w:lineRule="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生的废水经过沉淀后排放对水体悬浮物浓度对环境影响较小，不会对河道水生生态造成不可恢复的严重影响。</w:t>
            </w:r>
          </w:p>
          <w:p w14:paraId="0EDE2387">
            <w:pPr>
              <w:spacing w:line="360" w:lineRule="auto"/>
              <w:ind w:firstLine="482"/>
              <w:rPr>
                <w:rFonts w:hint="default" w:ascii="Times New Roman" w:hAnsi="Times New Roman" w:eastAsia="宋体" w:cs="Times New Roman"/>
                <w:b/>
                <w:color w:val="000000" w:themeColor="text1"/>
                <w:sz w:val="24"/>
                <w:szCs w:val="32"/>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综上所述，在采取上述处理措施后，项目产生的生活污水达标排放，不会对周围地表水环境产生影响。</w:t>
            </w:r>
          </w:p>
          <w:p w14:paraId="7B05AE6F">
            <w:pPr>
              <w:spacing w:line="360" w:lineRule="auto"/>
              <w:ind w:firstLine="482"/>
              <w:rPr>
                <w:rFonts w:hint="default" w:ascii="Times New Roman" w:hAnsi="Times New Roman" w:eastAsia="宋体" w:cs="Times New Roman"/>
                <w:b/>
                <w:color w:val="000000" w:themeColor="text1"/>
                <w:sz w:val="24"/>
                <w:szCs w:val="32"/>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3、噪声</w:t>
            </w:r>
          </w:p>
          <w:p w14:paraId="2401C19A">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产生情况</w:t>
            </w:r>
            <w:r>
              <w:rPr>
                <w:rFonts w:hint="default" w:ascii="Times New Roman" w:hAnsi="Times New Roman" w:eastAsia="宋体" w:cs="Times New Roman"/>
                <w:bCs/>
                <w:color w:val="000000" w:themeColor="text1"/>
                <w:sz w:val="24"/>
                <w:szCs w:val="32"/>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施工期主要分为机械噪声、施工作业噪声和施工车辆噪声。本项目机械噪声主要由施工机械所造成，且多为点声源；施工作业噪声主要是一些零星敲打声、装卸车辆的撞击声等；施工车辆噪声属于交通噪声。</w:t>
            </w:r>
          </w:p>
          <w:p w14:paraId="726CEC5C">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在上述施工噪声中，对环境影响最大的是施工机械噪声。不同的施工阶段和施工机械产生的噪声源强是不同的，并且会有大量的设备交互作业，具有突发性和间歇性，因此在施工阶段噪声将会对项目内外环境造成一定的影响，但本项目各工程相对独立，距离较远，单个施工区噪声源影响相对较小。</w:t>
            </w:r>
          </w:p>
          <w:p w14:paraId="57B48732">
            <w:pPr>
              <w:spacing w:line="360" w:lineRule="auto"/>
              <w:ind w:firstLine="482"/>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交通噪声源强与运输车辆载重类型，汽车流量和行驶速度密切相关。工程主要采用重型运输车辆，其噪声高达</w:t>
            </w:r>
            <w:r>
              <w:rPr>
                <w:rFonts w:hint="eastAsia" w:ascii="Times New Roman" w:hAnsi="Times New Roman" w:cs="Times New Roman"/>
                <w:color w:val="000000" w:themeColor="text1"/>
                <w:sz w:val="24"/>
                <w:lang w:val="en-US" w:eastAsia="zh-CN"/>
                <w14:textFill>
                  <w14:solidFill>
                    <w14:schemeClr w14:val="tx1"/>
                  </w14:solidFill>
                </w14:textFill>
              </w:rPr>
              <w:t>95</w:t>
            </w:r>
            <w:r>
              <w:rPr>
                <w:rFonts w:hint="default" w:ascii="Times New Roman" w:hAnsi="Times New Roman" w:eastAsia="宋体" w:cs="Times New Roman"/>
                <w:color w:val="000000" w:themeColor="text1"/>
                <w:sz w:val="24"/>
                <w14:textFill>
                  <w14:solidFill>
                    <w14:schemeClr w14:val="tx1"/>
                  </w14:solidFill>
                </w14:textFill>
              </w:rPr>
              <w:t>dB(A)，声源呈线性分布。交通噪声源强与运输车辆载重类型、汽车流量和行驶速度密切相关。</w:t>
            </w:r>
          </w:p>
          <w:p w14:paraId="43B37A15">
            <w:pPr>
              <w:spacing w:line="360" w:lineRule="auto"/>
              <w:ind w:firstLine="482"/>
              <w:rPr>
                <w:rFonts w:hint="default" w:ascii="Times New Roman" w:hAnsi="Times New Roman" w:eastAsia="宋体" w:cs="Times New Roman"/>
                <w:bCs/>
                <w:color w:val="000000" w:themeColor="text1"/>
                <w:sz w:val="24"/>
                <w:szCs w:val="32"/>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本项目工程施工时间较短，施工是沿管线进行，呈现不连续波动性，施工一般在白天进行，夜间不进行，根据《环境噪声与振动控制工程技术导则》（HJ2034-2013）选取主要且常用的施工机械</w:t>
            </w:r>
            <w:r>
              <w:rPr>
                <w:rFonts w:hint="default" w:ascii="Times New Roman" w:hAnsi="Times New Roman" w:eastAsia="宋体" w:cs="Times New Roman"/>
                <w:bCs/>
                <w:color w:val="000000" w:themeColor="text1"/>
                <w:sz w:val="24"/>
                <w14:textFill>
                  <w14:solidFill>
                    <w14:schemeClr w14:val="tx1"/>
                  </w14:solidFill>
                </w14:textFill>
              </w:rPr>
              <w:t>。</w:t>
            </w:r>
          </w:p>
          <w:p w14:paraId="575F4734">
            <w:pPr>
              <w:pStyle w:val="165"/>
              <w:numPr>
                <w:ilvl w:val="0"/>
                <w:numId w:val="21"/>
              </w:numPr>
              <w:ind w:left="0" w:firstLine="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施工期主要噪声源及其声级值</w:t>
            </w:r>
          </w:p>
          <w:tbl>
            <w:tblPr>
              <w:tblStyle w:val="5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4"/>
              <w:gridCol w:w="1817"/>
              <w:gridCol w:w="1622"/>
              <w:gridCol w:w="1500"/>
              <w:gridCol w:w="1334"/>
            </w:tblGrid>
            <w:tr w14:paraId="29D7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64" w:type="pct"/>
                  <w:vAlign w:val="center"/>
                </w:tcPr>
                <w:p w14:paraId="7D3B6BFB">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施工机械</w:t>
                  </w:r>
                </w:p>
              </w:tc>
              <w:tc>
                <w:tcPr>
                  <w:tcW w:w="1111" w:type="pct"/>
                  <w:vAlign w:val="center"/>
                </w:tcPr>
                <w:p w14:paraId="6BAA7112">
                  <w:pPr>
                    <w:pStyle w:val="127"/>
                    <w:autoSpaceDE/>
                    <w:autoSpaceDN/>
                    <w:spacing w:before="0" w:after="0" w:line="276" w:lineRule="auto"/>
                    <w:rPr>
                      <w:rFonts w:hint="default" w:ascii="Times New Roman" w:hAnsi="Times New Roman" w:eastAsia="宋体" w:cs="Times New Roman"/>
                      <w:color w:val="000000" w:themeColor="text1"/>
                      <w:kern w:val="2"/>
                      <w:szCs w:val="21"/>
                      <w14:textFill>
                        <w14:solidFill>
                          <w14:schemeClr w14:val="tx1"/>
                        </w14:solidFill>
                      </w14:textFill>
                    </w:rPr>
                  </w:pPr>
                  <w:r>
                    <w:rPr>
                      <w:rFonts w:hint="default" w:ascii="Times New Roman" w:hAnsi="Times New Roman" w:eastAsia="宋体" w:cs="Times New Roman"/>
                      <w:color w:val="000000" w:themeColor="text1"/>
                      <w:kern w:val="2"/>
                      <w:szCs w:val="21"/>
                      <w14:textFill>
                        <w14:solidFill>
                          <w14:schemeClr w14:val="tx1"/>
                        </w14:solidFill>
                      </w14:textFill>
                    </w:rPr>
                    <w:t>挖掘机</w:t>
                  </w:r>
                </w:p>
              </w:tc>
              <w:tc>
                <w:tcPr>
                  <w:tcW w:w="992" w:type="pct"/>
                  <w:vAlign w:val="center"/>
                </w:tcPr>
                <w:p w14:paraId="04C0A72B">
                  <w:pPr>
                    <w:adjustRightInd w:val="0"/>
                    <w:spacing w:line="276" w:lineRule="auto"/>
                    <w:ind w:left="-105" w:leftChars="-50" w:right="-105" w:rightChars="-50"/>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推土机</w:t>
                  </w:r>
                </w:p>
              </w:tc>
              <w:tc>
                <w:tcPr>
                  <w:tcW w:w="917" w:type="pct"/>
                  <w:vAlign w:val="center"/>
                </w:tcPr>
                <w:p w14:paraId="6DD9D830">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装载机</w:t>
                  </w:r>
                </w:p>
              </w:tc>
              <w:tc>
                <w:tcPr>
                  <w:tcW w:w="816" w:type="pct"/>
                  <w:vAlign w:val="center"/>
                </w:tcPr>
                <w:p w14:paraId="594792C9">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蛙式夯实机</w:t>
                  </w:r>
                </w:p>
              </w:tc>
            </w:tr>
            <w:tr w14:paraId="6C19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64" w:type="pct"/>
                  <w:vAlign w:val="center"/>
                </w:tcPr>
                <w:p w14:paraId="3AD469BB">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1m处声级</w:t>
                  </w:r>
                </w:p>
              </w:tc>
              <w:tc>
                <w:tcPr>
                  <w:tcW w:w="1111" w:type="pct"/>
                  <w:vAlign w:val="center"/>
                </w:tcPr>
                <w:p w14:paraId="01E8F1BF">
                  <w:pPr>
                    <w:adjustRightInd w:val="0"/>
                    <w:spacing w:line="276"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90</w:t>
                  </w:r>
                  <w:r>
                    <w:rPr>
                      <w:rFonts w:hint="default"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lang w:val="en-US" w:eastAsia="zh-CN"/>
                      <w14:textFill>
                        <w14:solidFill>
                          <w14:schemeClr w14:val="tx1"/>
                        </w14:solidFill>
                      </w14:textFill>
                    </w:rPr>
                    <w:t>95</w:t>
                  </w:r>
                </w:p>
              </w:tc>
              <w:tc>
                <w:tcPr>
                  <w:tcW w:w="992" w:type="pct"/>
                  <w:vAlign w:val="center"/>
                </w:tcPr>
                <w:p w14:paraId="608ED273">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85~95</w:t>
                  </w:r>
                </w:p>
              </w:tc>
              <w:tc>
                <w:tcPr>
                  <w:tcW w:w="917" w:type="pct"/>
                  <w:vAlign w:val="center"/>
                </w:tcPr>
                <w:p w14:paraId="622C6A1B">
                  <w:pPr>
                    <w:adjustRightInd w:val="0"/>
                    <w:spacing w:line="276" w:lineRule="auto"/>
                    <w:jc w:val="center"/>
                    <w:rPr>
                      <w:rFonts w:hint="eastAsia" w:ascii="Times New Roman" w:hAnsi="Times New Roman" w:eastAsia="宋体" w:cs="Times New Roman"/>
                      <w:color w:val="000000" w:themeColor="text1"/>
                      <w:szCs w:val="21"/>
                      <w:lang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8</w:t>
                  </w:r>
                  <w:r>
                    <w:rPr>
                      <w:rFonts w:hint="eastAsia" w:ascii="Times New Roman" w:hAnsi="Times New Roman" w:cs="Times New Roman"/>
                      <w:color w:val="000000" w:themeColor="text1"/>
                      <w:szCs w:val="21"/>
                      <w:lang w:val="en-US" w:eastAsia="zh-CN"/>
                      <w14:textFill>
                        <w14:solidFill>
                          <w14:schemeClr w14:val="tx1"/>
                        </w14:solidFill>
                      </w14:textFill>
                    </w:rPr>
                    <w:t>0</w:t>
                  </w:r>
                  <w:r>
                    <w:rPr>
                      <w:rFonts w:hint="default" w:ascii="Times New Roman" w:hAnsi="Times New Roman" w:eastAsia="宋体" w:cs="Times New Roman"/>
                      <w:color w:val="000000" w:themeColor="text1"/>
                      <w:szCs w:val="21"/>
                      <w14:textFill>
                        <w14:solidFill>
                          <w14:schemeClr w14:val="tx1"/>
                        </w14:solidFill>
                      </w14:textFill>
                    </w:rPr>
                    <w:t>~9</w:t>
                  </w:r>
                  <w:r>
                    <w:rPr>
                      <w:rFonts w:hint="eastAsia" w:ascii="Times New Roman" w:hAnsi="Times New Roman" w:cs="Times New Roman"/>
                      <w:color w:val="000000" w:themeColor="text1"/>
                      <w:szCs w:val="21"/>
                      <w:lang w:val="en-US" w:eastAsia="zh-CN"/>
                      <w14:textFill>
                        <w14:solidFill>
                          <w14:schemeClr w14:val="tx1"/>
                        </w14:solidFill>
                      </w14:textFill>
                    </w:rPr>
                    <w:t>0</w:t>
                  </w:r>
                </w:p>
              </w:tc>
              <w:tc>
                <w:tcPr>
                  <w:tcW w:w="816" w:type="pct"/>
                  <w:vAlign w:val="center"/>
                </w:tcPr>
                <w:p w14:paraId="5CEF86F7">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85~95</w:t>
                  </w:r>
                </w:p>
              </w:tc>
            </w:tr>
            <w:tr w14:paraId="59CBF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64" w:type="pct"/>
                  <w:vAlign w:val="center"/>
                </w:tcPr>
                <w:p w14:paraId="2F256282">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施工机械</w:t>
                  </w:r>
                </w:p>
              </w:tc>
              <w:tc>
                <w:tcPr>
                  <w:tcW w:w="1850" w:type="dxa"/>
                  <w:vAlign w:val="center"/>
                </w:tcPr>
                <w:p w14:paraId="4840E6AC">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自卸汽车</w:t>
                  </w:r>
                </w:p>
              </w:tc>
              <w:tc>
                <w:tcPr>
                  <w:tcW w:w="1652" w:type="dxa"/>
                  <w:vAlign w:val="center"/>
                </w:tcPr>
                <w:p w14:paraId="7CDE3F54">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载重汽车</w:t>
                  </w:r>
                </w:p>
              </w:tc>
              <w:tc>
                <w:tcPr>
                  <w:tcW w:w="917" w:type="pct"/>
                  <w:vAlign w:val="center"/>
                </w:tcPr>
                <w:p w14:paraId="75307A77">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p>
              </w:tc>
              <w:tc>
                <w:tcPr>
                  <w:tcW w:w="816" w:type="pct"/>
                  <w:vAlign w:val="center"/>
                </w:tcPr>
                <w:p w14:paraId="5FD7184C">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p>
              </w:tc>
            </w:tr>
            <w:tr w14:paraId="430D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64" w:type="pct"/>
                  <w:vAlign w:val="center"/>
                </w:tcPr>
                <w:p w14:paraId="0123C7FD">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1m处声级</w:t>
                  </w:r>
                </w:p>
              </w:tc>
              <w:tc>
                <w:tcPr>
                  <w:tcW w:w="1850" w:type="dxa"/>
                  <w:vAlign w:val="center"/>
                </w:tcPr>
                <w:p w14:paraId="54BBD9B3">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8</w:t>
                  </w:r>
                  <w:r>
                    <w:rPr>
                      <w:rFonts w:hint="default" w:ascii="Times New Roman" w:hAnsi="Times New Roman" w:eastAsia="宋体" w:cs="Times New Roman"/>
                      <w:color w:val="000000" w:themeColor="text1"/>
                      <w:szCs w:val="21"/>
                      <w14:textFill>
                        <w14:solidFill>
                          <w14:schemeClr w14:val="tx1"/>
                        </w14:solidFill>
                      </w14:textFill>
                    </w:rPr>
                    <w:t>0~</w:t>
                  </w:r>
                  <w:r>
                    <w:rPr>
                      <w:rFonts w:hint="eastAsia" w:ascii="Times New Roman" w:hAnsi="Times New Roman" w:cs="Times New Roman"/>
                      <w:color w:val="000000" w:themeColor="text1"/>
                      <w:szCs w:val="21"/>
                      <w:lang w:val="en-US" w:eastAsia="zh-CN"/>
                      <w14:textFill>
                        <w14:solidFill>
                          <w14:schemeClr w14:val="tx1"/>
                        </w14:solidFill>
                      </w14:textFill>
                    </w:rPr>
                    <w:t>9</w:t>
                  </w:r>
                  <w:r>
                    <w:rPr>
                      <w:rFonts w:hint="default" w:ascii="Times New Roman" w:hAnsi="Times New Roman" w:eastAsia="宋体" w:cs="Times New Roman"/>
                      <w:color w:val="000000" w:themeColor="text1"/>
                      <w:szCs w:val="21"/>
                      <w14:textFill>
                        <w14:solidFill>
                          <w14:schemeClr w14:val="tx1"/>
                        </w14:solidFill>
                      </w14:textFill>
                    </w:rPr>
                    <w:t>0</w:t>
                  </w:r>
                </w:p>
              </w:tc>
              <w:tc>
                <w:tcPr>
                  <w:tcW w:w="1652" w:type="dxa"/>
                  <w:vAlign w:val="center"/>
                </w:tcPr>
                <w:p w14:paraId="459B88FC">
                  <w:pPr>
                    <w:adjustRightInd w:val="0"/>
                    <w:spacing w:line="276" w:lineRule="auto"/>
                    <w:jc w:val="center"/>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90~</w:t>
                  </w:r>
                  <w:r>
                    <w:rPr>
                      <w:rFonts w:hint="eastAsia" w:ascii="Times New Roman" w:hAnsi="Times New Roman" w:cs="Times New Roman"/>
                      <w:color w:val="000000" w:themeColor="text1"/>
                      <w:szCs w:val="21"/>
                      <w:lang w:val="en-US" w:eastAsia="zh-CN"/>
                      <w14:textFill>
                        <w14:solidFill>
                          <w14:schemeClr w14:val="tx1"/>
                        </w14:solidFill>
                      </w14:textFill>
                    </w:rPr>
                    <w:t>95</w:t>
                  </w:r>
                </w:p>
              </w:tc>
              <w:tc>
                <w:tcPr>
                  <w:tcW w:w="917" w:type="pct"/>
                  <w:vAlign w:val="center"/>
                </w:tcPr>
                <w:p w14:paraId="7AE3127F">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p>
              </w:tc>
              <w:tc>
                <w:tcPr>
                  <w:tcW w:w="816" w:type="pct"/>
                  <w:vAlign w:val="center"/>
                </w:tcPr>
                <w:p w14:paraId="74498200">
                  <w:pPr>
                    <w:adjustRightInd w:val="0"/>
                    <w:spacing w:line="276" w:lineRule="auto"/>
                    <w:jc w:val="center"/>
                    <w:rPr>
                      <w:rFonts w:hint="default" w:ascii="Times New Roman" w:hAnsi="Times New Roman" w:eastAsia="宋体" w:cs="Times New Roman"/>
                      <w:color w:val="000000" w:themeColor="text1"/>
                      <w:szCs w:val="21"/>
                      <w14:textFill>
                        <w14:solidFill>
                          <w14:schemeClr w14:val="tx1"/>
                        </w14:solidFill>
                      </w14:textFill>
                    </w:rPr>
                  </w:pPr>
                </w:p>
              </w:tc>
            </w:tr>
          </w:tbl>
          <w:p w14:paraId="6E9861F6">
            <w:pPr>
              <w:spacing w:line="360" w:lineRule="auto"/>
              <w:ind w:firstLine="482"/>
              <w:rPr>
                <w:rFonts w:hint="default" w:ascii="Times New Roman" w:hAnsi="Times New Roman" w:eastAsia="宋体" w:cs="Times New Roman"/>
                <w:b/>
                <w:bCs/>
                <w:color w:val="000000" w:themeColor="text1"/>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治理措施</w:t>
            </w:r>
            <w:r>
              <w:rPr>
                <w:rFonts w:hint="default" w:ascii="Times New Roman" w:hAnsi="Times New Roman" w:eastAsia="宋体" w:cs="Times New Roman"/>
                <w:bCs/>
                <w:color w:val="000000" w:themeColor="text1"/>
                <w:sz w:val="24"/>
                <w:szCs w:val="32"/>
                <w14:textFill>
                  <w14:solidFill>
                    <w14:schemeClr w14:val="tx1"/>
                  </w14:solidFill>
                </w14:textFill>
              </w:rPr>
              <w:t>：项目噪声影响情况分析如下。</w:t>
            </w:r>
          </w:p>
          <w:p w14:paraId="66F30CDB">
            <w:pPr>
              <w:spacing w:line="360" w:lineRule="auto"/>
              <w:ind w:firstLine="48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①预测模式</w:t>
            </w:r>
          </w:p>
          <w:p w14:paraId="15411C61">
            <w:pPr>
              <w:spacing w:line="360" w:lineRule="auto"/>
              <w:ind w:firstLine="48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多</w:t>
            </w:r>
            <w:r>
              <w:rPr>
                <w:rFonts w:hint="default" w:ascii="Times New Roman" w:hAnsi="Times New Roman" w:eastAsia="宋体" w:cs="Times New Roman"/>
                <w:bCs/>
                <w:color w:val="000000" w:themeColor="text1"/>
                <w:kern w:val="0"/>
                <w:sz w:val="24"/>
                <w14:textFill>
                  <w14:solidFill>
                    <w14:schemeClr w14:val="tx1"/>
                  </w14:solidFill>
                </w14:textFill>
              </w:rPr>
              <w:t>个噪声源对评价点噪声的贡献值。具体计算模式如下：</w:t>
            </w:r>
          </w:p>
          <w:p w14:paraId="7DEA8183">
            <w:pPr>
              <w:tabs>
                <w:tab w:val="left" w:pos="1980"/>
              </w:tabs>
              <w:adjustRightInd w:val="0"/>
              <w:spacing w:line="360" w:lineRule="auto"/>
              <w:ind w:firstLine="560"/>
              <w:jc w:val="center"/>
              <w:textAlignment w:val="baseline"/>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drawing>
                <wp:anchor distT="0" distB="0" distL="114300" distR="114300" simplePos="0" relativeHeight="251659264" behindDoc="0" locked="0" layoutInCell="1" allowOverlap="1">
                  <wp:simplePos x="0" y="0"/>
                  <wp:positionH relativeFrom="column">
                    <wp:posOffset>1763395</wp:posOffset>
                  </wp:positionH>
                  <wp:positionV relativeFrom="paragraph">
                    <wp:posOffset>-4445</wp:posOffset>
                  </wp:positionV>
                  <wp:extent cx="1422400" cy="431800"/>
                  <wp:effectExtent l="0" t="0" r="6350" b="6350"/>
                  <wp:wrapNone/>
                  <wp:docPr id="1171225477" name="图片 3"/>
                  <wp:cNvGraphicFramePr/>
                  <a:graphic xmlns:a="http://schemas.openxmlformats.org/drawingml/2006/main">
                    <a:graphicData uri="http://schemas.openxmlformats.org/drawingml/2006/picture">
                      <pic:pic xmlns:pic="http://schemas.openxmlformats.org/drawingml/2006/picture">
                        <pic:nvPicPr>
                          <pic:cNvPr id="1171225477" name="图片 3"/>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422400" cy="431800"/>
                          </a:xfrm>
                          <a:prstGeom prst="rect">
                            <a:avLst/>
                          </a:prstGeom>
                          <a:noFill/>
                        </pic:spPr>
                      </pic:pic>
                    </a:graphicData>
                  </a:graphic>
                </wp:anchor>
              </w:drawing>
            </w:r>
          </w:p>
          <w:p w14:paraId="28777B59">
            <w:pPr>
              <w:adjustRightInd w:val="0"/>
              <w:spacing w:line="360" w:lineRule="auto"/>
              <w:ind w:firstLine="480"/>
              <w:jc w:val="center"/>
              <w:textAlignment w:val="baseline"/>
              <w:rPr>
                <w:rFonts w:hint="default" w:ascii="Times New Roman" w:hAnsi="Times New Roman" w:eastAsia="宋体" w:cs="Times New Roman"/>
                <w:bCs/>
                <w:color w:val="000000" w:themeColor="text1"/>
                <w:kern w:val="0"/>
                <w:sz w:val="24"/>
                <w14:textFill>
                  <w14:solidFill>
                    <w14:schemeClr w14:val="tx1"/>
                  </w14:solidFill>
                </w14:textFill>
              </w:rPr>
            </w:pPr>
          </w:p>
          <w:p w14:paraId="0AC3C972">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式中：</w:t>
            </w:r>
          </w:p>
          <w:p w14:paraId="1413D22A">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L──i评价点噪声预测值，dB（A）；</w:t>
            </w:r>
          </w:p>
          <w:p w14:paraId="57724E21">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Lp──第i个声源在评价点产生的噪声贡献值，dB（A）；</w:t>
            </w:r>
          </w:p>
          <w:p w14:paraId="572C1CA8">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n──点声源总数。</w:t>
            </w:r>
          </w:p>
          <w:p w14:paraId="52543C9C">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将施工机械噪声源视为点声源，根据声源噪声衰减的计算公式如下：</w:t>
            </w:r>
          </w:p>
          <w:p w14:paraId="04A615E0">
            <w:pPr>
              <w:spacing w:line="360" w:lineRule="auto"/>
              <w:jc w:val="center"/>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L</w:t>
            </w:r>
            <w:r>
              <w:rPr>
                <w:rFonts w:hint="default" w:ascii="Times New Roman" w:hAnsi="Times New Roman" w:eastAsia="宋体" w:cs="Times New Roman"/>
                <w:color w:val="000000" w:themeColor="text1"/>
                <w:sz w:val="24"/>
                <w:vertAlign w:val="subscript"/>
                <w14:textFill>
                  <w14:solidFill>
                    <w14:schemeClr w14:val="tx1"/>
                  </w14:solidFill>
                </w14:textFill>
              </w:rPr>
              <w:t>2</w:t>
            </w:r>
            <w:r>
              <w:rPr>
                <w:rFonts w:hint="default" w:ascii="Times New Roman" w:hAnsi="Times New Roman" w:eastAsia="宋体" w:cs="Times New Roman"/>
                <w:color w:val="000000" w:themeColor="text1"/>
                <w:sz w:val="24"/>
                <w14:textFill>
                  <w14:solidFill>
                    <w14:schemeClr w14:val="tx1"/>
                  </w14:solidFill>
                </w14:textFill>
              </w:rPr>
              <w:t>＝L</w:t>
            </w:r>
            <w:r>
              <w:rPr>
                <w:rFonts w:hint="default" w:ascii="Times New Roman" w:hAnsi="Times New Roman" w:eastAsia="宋体" w:cs="Times New Roman"/>
                <w:color w:val="000000" w:themeColor="text1"/>
                <w:sz w:val="24"/>
                <w:vertAlign w:val="subscript"/>
                <w14:textFill>
                  <w14:solidFill>
                    <w14:schemeClr w14:val="tx1"/>
                  </w14:solidFill>
                </w14:textFill>
              </w:rPr>
              <w:t>1</w:t>
            </w:r>
            <w:r>
              <w:rPr>
                <w:rFonts w:hint="default" w:ascii="Times New Roman" w:hAnsi="Times New Roman" w:eastAsia="宋体" w:cs="Times New Roman"/>
                <w:color w:val="000000" w:themeColor="text1"/>
                <w:sz w:val="24"/>
                <w14:textFill>
                  <w14:solidFill>
                    <w14:schemeClr w14:val="tx1"/>
                  </w14:solidFill>
                </w14:textFill>
              </w:rPr>
              <w:t>－20lg（r</w:t>
            </w:r>
            <w:r>
              <w:rPr>
                <w:rFonts w:hint="default" w:ascii="Times New Roman" w:hAnsi="Times New Roman" w:eastAsia="宋体" w:cs="Times New Roman"/>
                <w:color w:val="000000" w:themeColor="text1"/>
                <w:sz w:val="24"/>
                <w:vertAlign w:val="subscript"/>
                <w14:textFill>
                  <w14:solidFill>
                    <w14:schemeClr w14:val="tx1"/>
                  </w14:solidFill>
                </w14:textFill>
              </w:rPr>
              <w:t>2</w:t>
            </w:r>
            <w:r>
              <w:rPr>
                <w:rFonts w:hint="default" w:ascii="Times New Roman" w:hAnsi="Times New Roman" w:eastAsia="宋体" w:cs="Times New Roman"/>
                <w:color w:val="000000" w:themeColor="text1"/>
                <w:sz w:val="24"/>
                <w14:textFill>
                  <w14:solidFill>
                    <w14:schemeClr w14:val="tx1"/>
                  </w14:solidFill>
                </w14:textFill>
              </w:rPr>
              <w:t>/r</w:t>
            </w:r>
            <w:r>
              <w:rPr>
                <w:rFonts w:hint="default" w:ascii="Times New Roman" w:hAnsi="Times New Roman" w:eastAsia="宋体" w:cs="Times New Roman"/>
                <w:color w:val="000000" w:themeColor="text1"/>
                <w:sz w:val="24"/>
                <w:vertAlign w:val="subscript"/>
                <w14:textFill>
                  <w14:solidFill>
                    <w14:schemeClr w14:val="tx1"/>
                  </w14:solidFill>
                </w14:textFill>
              </w:rPr>
              <w:t>1</w:t>
            </w:r>
            <w:r>
              <w:rPr>
                <w:rFonts w:hint="default" w:ascii="Times New Roman" w:hAnsi="Times New Roman" w:eastAsia="宋体" w:cs="Times New Roman"/>
                <w:color w:val="000000" w:themeColor="text1"/>
                <w:sz w:val="24"/>
                <w14:textFill>
                  <w14:solidFill>
                    <w14:schemeClr w14:val="tx1"/>
                  </w14:solidFill>
                </w14:textFill>
              </w:rPr>
              <w:t>）（r</w:t>
            </w:r>
            <w:r>
              <w:rPr>
                <w:rFonts w:hint="default" w:ascii="Times New Roman" w:hAnsi="Times New Roman" w:eastAsia="宋体" w:cs="Times New Roman"/>
                <w:color w:val="000000" w:themeColor="text1"/>
                <w:sz w:val="24"/>
                <w:vertAlign w:val="subscript"/>
                <w14:textFill>
                  <w14:solidFill>
                    <w14:schemeClr w14:val="tx1"/>
                  </w14:solidFill>
                </w14:textFill>
              </w:rPr>
              <w:t>2</w:t>
            </w:r>
            <w:r>
              <w:rPr>
                <w:rFonts w:hint="default" w:ascii="Times New Roman" w:hAnsi="Times New Roman" w:eastAsia="宋体" w:cs="Times New Roman"/>
                <w:color w:val="000000" w:themeColor="text1"/>
                <w:sz w:val="24"/>
                <w14:textFill>
                  <w14:solidFill>
                    <w14:schemeClr w14:val="tx1"/>
                  </w14:solidFill>
                </w14:textFill>
              </w:rPr>
              <w:t>&gt;r</w:t>
            </w:r>
            <w:r>
              <w:rPr>
                <w:rFonts w:hint="default" w:ascii="Times New Roman" w:hAnsi="Times New Roman" w:eastAsia="宋体" w:cs="Times New Roman"/>
                <w:color w:val="000000" w:themeColor="text1"/>
                <w:sz w:val="24"/>
                <w:vertAlign w:val="subscript"/>
                <w14:textFill>
                  <w14:solidFill>
                    <w14:schemeClr w14:val="tx1"/>
                  </w14:solidFill>
                </w14:textFill>
              </w:rPr>
              <w:t>1</w:t>
            </w:r>
            <w:r>
              <w:rPr>
                <w:rFonts w:hint="default" w:ascii="Times New Roman" w:hAnsi="Times New Roman" w:eastAsia="宋体" w:cs="Times New Roman"/>
                <w:color w:val="000000" w:themeColor="text1"/>
                <w:sz w:val="24"/>
                <w14:textFill>
                  <w14:solidFill>
                    <w14:schemeClr w14:val="tx1"/>
                  </w14:solidFill>
                </w14:textFill>
              </w:rPr>
              <w:t>）</w:t>
            </w:r>
          </w:p>
          <w:p w14:paraId="72A1E6BF">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式中：</w:t>
            </w:r>
          </w:p>
          <w:p w14:paraId="481E2C51">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r2、r1：距离声源的距离（m）。</w:t>
            </w:r>
          </w:p>
          <w:p w14:paraId="4896EDE0">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L2、L1：r2、r1距离处的噪声值dB(A)。</w:t>
            </w:r>
          </w:p>
          <w:p w14:paraId="61308B08">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fldChar w:fldCharType="begin"/>
            </w:r>
            <w:r>
              <w:rPr>
                <w:rFonts w:hint="default" w:ascii="Times New Roman" w:hAnsi="Times New Roman" w:eastAsia="宋体" w:cs="Times New Roman"/>
                <w:color w:val="000000" w:themeColor="text1"/>
                <w:kern w:val="0"/>
                <w:sz w:val="24"/>
                <w14:textFill>
                  <w14:solidFill>
                    <w14:schemeClr w14:val="tx1"/>
                  </w14:solidFill>
                </w14:textFill>
              </w:rPr>
              <w:instrText xml:space="preserve"> = 2 \* GB3 </w:instrText>
            </w:r>
            <w:r>
              <w:rPr>
                <w:rFonts w:hint="default" w:ascii="Times New Roman" w:hAnsi="Times New Roman" w:eastAsia="宋体" w:cs="Times New Roman"/>
                <w:color w:val="000000" w:themeColor="text1"/>
                <w:kern w:val="0"/>
                <w:sz w:val="24"/>
                <w14:textFill>
                  <w14:solidFill>
                    <w14:schemeClr w14:val="tx1"/>
                  </w14:solidFill>
                </w14:textFill>
              </w:rPr>
              <w:fldChar w:fldCharType="separate"/>
            </w:r>
            <w:r>
              <w:rPr>
                <w:rFonts w:hint="default" w:ascii="Times New Roman" w:hAnsi="Times New Roman" w:eastAsia="宋体" w:cs="Times New Roman"/>
                <w:color w:val="000000" w:themeColor="text1"/>
                <w:kern w:val="0"/>
                <w:sz w:val="24"/>
                <w14:textFill>
                  <w14:solidFill>
                    <w14:schemeClr w14:val="tx1"/>
                  </w14:solidFill>
                </w14:textFill>
              </w:rPr>
              <w:t>②</w:t>
            </w:r>
            <w:r>
              <w:rPr>
                <w:rFonts w:hint="default" w:ascii="Times New Roman" w:hAnsi="Times New Roman" w:eastAsia="宋体" w:cs="Times New Roman"/>
                <w:color w:val="000000" w:themeColor="text1"/>
                <w:kern w:val="0"/>
                <w:sz w:val="24"/>
                <w14:textFill>
                  <w14:solidFill>
                    <w14:schemeClr w14:val="tx1"/>
                  </w14:solidFill>
                </w14:textFill>
              </w:rPr>
              <w:fldChar w:fldCharType="end"/>
            </w:r>
            <w:r>
              <w:rPr>
                <w:rFonts w:hint="default" w:ascii="Times New Roman" w:hAnsi="Times New Roman" w:eastAsia="宋体" w:cs="Times New Roman"/>
                <w:color w:val="000000" w:themeColor="text1"/>
                <w:kern w:val="0"/>
                <w:sz w:val="24"/>
                <w14:textFill>
                  <w14:solidFill>
                    <w14:schemeClr w14:val="tx1"/>
                  </w14:solidFill>
                </w14:textFill>
              </w:rPr>
              <w:t>影响预测结果</w:t>
            </w:r>
          </w:p>
          <w:p w14:paraId="1E5297E3">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根据前述模式，对各设备声源在不同距离的噪声值计算结果见下表。</w:t>
            </w:r>
          </w:p>
          <w:p w14:paraId="61999B1B">
            <w:pPr>
              <w:pStyle w:val="165"/>
              <w:numPr>
                <w:ilvl w:val="0"/>
                <w:numId w:val="21"/>
              </w:numPr>
              <w:ind w:left="0" w:firstLine="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施工期噪声随距离的衰减关系表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409"/>
              <w:gridCol w:w="744"/>
              <w:gridCol w:w="777"/>
              <w:gridCol w:w="792"/>
              <w:gridCol w:w="759"/>
              <w:gridCol w:w="777"/>
              <w:gridCol w:w="741"/>
              <w:gridCol w:w="723"/>
              <w:gridCol w:w="707"/>
              <w:gridCol w:w="748"/>
            </w:tblGrid>
            <w:tr w14:paraId="59EF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61" w:type="pct"/>
                  <w:vMerge w:val="restart"/>
                  <w:vAlign w:val="center"/>
                </w:tcPr>
                <w:p w14:paraId="5CE04B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机械设备</w:t>
                  </w:r>
                </w:p>
              </w:tc>
              <w:tc>
                <w:tcPr>
                  <w:tcW w:w="3248" w:type="pct"/>
                  <w:gridSpan w:val="7"/>
                </w:tcPr>
                <w:p w14:paraId="23AEEF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离声源不同距离的噪声预测值dB（A）</w:t>
                  </w:r>
                </w:p>
              </w:tc>
              <w:tc>
                <w:tcPr>
                  <w:tcW w:w="889" w:type="pct"/>
                  <w:gridSpan w:val="2"/>
                </w:tcPr>
                <w:p w14:paraId="091A88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达标距离</w:t>
                  </w:r>
                </w:p>
              </w:tc>
            </w:tr>
            <w:tr w14:paraId="144E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61" w:type="pct"/>
                  <w:vMerge w:val="continue"/>
                </w:tcPr>
                <w:p w14:paraId="64CA76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p>
              </w:tc>
              <w:tc>
                <w:tcPr>
                  <w:tcW w:w="455" w:type="pct"/>
                  <w:vAlign w:val="center"/>
                </w:tcPr>
                <w:p w14:paraId="464102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1m</w:t>
                  </w:r>
                </w:p>
              </w:tc>
              <w:tc>
                <w:tcPr>
                  <w:tcW w:w="475" w:type="pct"/>
                  <w:vAlign w:val="center"/>
                </w:tcPr>
                <w:p w14:paraId="470E3A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10m</w:t>
                  </w:r>
                </w:p>
              </w:tc>
              <w:tc>
                <w:tcPr>
                  <w:tcW w:w="484" w:type="pct"/>
                  <w:vAlign w:val="center"/>
                </w:tcPr>
                <w:p w14:paraId="07F25D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20m</w:t>
                  </w:r>
                </w:p>
              </w:tc>
              <w:tc>
                <w:tcPr>
                  <w:tcW w:w="464" w:type="pct"/>
                  <w:vAlign w:val="center"/>
                </w:tcPr>
                <w:p w14:paraId="780B3C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50m</w:t>
                  </w:r>
                </w:p>
              </w:tc>
              <w:tc>
                <w:tcPr>
                  <w:tcW w:w="475" w:type="pct"/>
                  <w:vAlign w:val="center"/>
                </w:tcPr>
                <w:p w14:paraId="621038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100m</w:t>
                  </w:r>
                </w:p>
              </w:tc>
              <w:tc>
                <w:tcPr>
                  <w:tcW w:w="453" w:type="pct"/>
                  <w:vAlign w:val="center"/>
                </w:tcPr>
                <w:p w14:paraId="234EC2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150m</w:t>
                  </w:r>
                </w:p>
              </w:tc>
              <w:tc>
                <w:tcPr>
                  <w:tcW w:w="440" w:type="pct"/>
                  <w:vAlign w:val="center"/>
                </w:tcPr>
                <w:p w14:paraId="1F986C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200m</w:t>
                  </w:r>
                </w:p>
              </w:tc>
              <w:tc>
                <w:tcPr>
                  <w:tcW w:w="432" w:type="pct"/>
                  <w:vAlign w:val="center"/>
                </w:tcPr>
                <w:p w14:paraId="357E3D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昼间</w:t>
                  </w:r>
                </w:p>
              </w:tc>
              <w:tc>
                <w:tcPr>
                  <w:tcW w:w="457" w:type="pct"/>
                  <w:vAlign w:val="center"/>
                </w:tcPr>
                <w:p w14:paraId="4711E3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夜间</w:t>
                  </w:r>
                </w:p>
              </w:tc>
            </w:tr>
            <w:tr w14:paraId="0605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61" w:type="pct"/>
                  <w:vAlign w:val="center"/>
                </w:tcPr>
                <w:p w14:paraId="2C253C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挖掘机</w:t>
                  </w:r>
                </w:p>
              </w:tc>
              <w:tc>
                <w:tcPr>
                  <w:tcW w:w="455" w:type="pct"/>
                  <w:vAlign w:val="center"/>
                </w:tcPr>
                <w:p w14:paraId="2B8A8D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90.0</w:t>
                  </w:r>
                </w:p>
              </w:tc>
              <w:tc>
                <w:tcPr>
                  <w:tcW w:w="475" w:type="pct"/>
                </w:tcPr>
                <w:p w14:paraId="7D6880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70.0</w:t>
                  </w:r>
                </w:p>
              </w:tc>
              <w:tc>
                <w:tcPr>
                  <w:tcW w:w="484" w:type="pct"/>
                </w:tcPr>
                <w:p w14:paraId="2D1F49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64.0</w:t>
                  </w:r>
                </w:p>
              </w:tc>
              <w:tc>
                <w:tcPr>
                  <w:tcW w:w="464" w:type="pct"/>
                </w:tcPr>
                <w:p w14:paraId="245726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56.0</w:t>
                  </w:r>
                </w:p>
              </w:tc>
              <w:tc>
                <w:tcPr>
                  <w:tcW w:w="475" w:type="pct"/>
                </w:tcPr>
                <w:p w14:paraId="3E7E5D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453" w:type="pct"/>
                </w:tcPr>
                <w:p w14:paraId="10D878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46.5</w:t>
                  </w:r>
                </w:p>
              </w:tc>
              <w:tc>
                <w:tcPr>
                  <w:tcW w:w="440" w:type="pct"/>
                </w:tcPr>
                <w:p w14:paraId="5B8D74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44.0</w:t>
                  </w:r>
                </w:p>
              </w:tc>
              <w:tc>
                <w:tcPr>
                  <w:tcW w:w="432" w:type="pct"/>
                </w:tcPr>
                <w:p w14:paraId="5CB482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35</w:t>
                  </w:r>
                </w:p>
              </w:tc>
              <w:tc>
                <w:tcPr>
                  <w:tcW w:w="457" w:type="pct"/>
                </w:tcPr>
                <w:p w14:paraId="13FA57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w:t>
                  </w:r>
                </w:p>
              </w:tc>
            </w:tr>
            <w:tr w14:paraId="3DDD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61" w:type="pct"/>
                  <w:vAlign w:val="center"/>
                </w:tcPr>
                <w:p w14:paraId="2D1108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推土机</w:t>
                  </w:r>
                </w:p>
              </w:tc>
              <w:tc>
                <w:tcPr>
                  <w:tcW w:w="455" w:type="pct"/>
                  <w:vAlign w:val="center"/>
                </w:tcPr>
                <w:p w14:paraId="018821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85.0</w:t>
                  </w:r>
                </w:p>
              </w:tc>
              <w:tc>
                <w:tcPr>
                  <w:tcW w:w="475" w:type="pct"/>
                </w:tcPr>
                <w:p w14:paraId="5E7767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65.0</w:t>
                  </w:r>
                </w:p>
              </w:tc>
              <w:tc>
                <w:tcPr>
                  <w:tcW w:w="484" w:type="pct"/>
                </w:tcPr>
                <w:p w14:paraId="25D250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59.0</w:t>
                  </w:r>
                </w:p>
              </w:tc>
              <w:tc>
                <w:tcPr>
                  <w:tcW w:w="464" w:type="pct"/>
                </w:tcPr>
                <w:p w14:paraId="10565B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51.0</w:t>
                  </w:r>
                </w:p>
              </w:tc>
              <w:tc>
                <w:tcPr>
                  <w:tcW w:w="475" w:type="pct"/>
                </w:tcPr>
                <w:p w14:paraId="5C0C36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45.0</w:t>
                  </w:r>
                </w:p>
              </w:tc>
              <w:tc>
                <w:tcPr>
                  <w:tcW w:w="453" w:type="pct"/>
                </w:tcPr>
                <w:p w14:paraId="5B8F64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41.5</w:t>
                  </w:r>
                </w:p>
              </w:tc>
              <w:tc>
                <w:tcPr>
                  <w:tcW w:w="440" w:type="pct"/>
                </w:tcPr>
                <w:p w14:paraId="270702B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39.0</w:t>
                  </w:r>
                </w:p>
              </w:tc>
              <w:tc>
                <w:tcPr>
                  <w:tcW w:w="432" w:type="pct"/>
                </w:tcPr>
                <w:p w14:paraId="52FFD0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w:t>
                  </w:r>
                </w:p>
              </w:tc>
              <w:tc>
                <w:tcPr>
                  <w:tcW w:w="457" w:type="pct"/>
                </w:tcPr>
                <w:p w14:paraId="3AFAAD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57</w:t>
                  </w:r>
                </w:p>
              </w:tc>
            </w:tr>
            <w:tr w14:paraId="4D3A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61" w:type="pct"/>
                  <w:vAlign w:val="center"/>
                </w:tcPr>
                <w:p w14:paraId="6604AC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装载机</w:t>
                  </w:r>
                </w:p>
              </w:tc>
              <w:tc>
                <w:tcPr>
                  <w:tcW w:w="455" w:type="pct"/>
                  <w:vAlign w:val="center"/>
                </w:tcPr>
                <w:p w14:paraId="5C602F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80.0</w:t>
                  </w:r>
                </w:p>
              </w:tc>
              <w:tc>
                <w:tcPr>
                  <w:tcW w:w="475" w:type="pct"/>
                </w:tcPr>
                <w:p w14:paraId="7112C6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60.0</w:t>
                  </w:r>
                </w:p>
              </w:tc>
              <w:tc>
                <w:tcPr>
                  <w:tcW w:w="484" w:type="pct"/>
                </w:tcPr>
                <w:p w14:paraId="784BCE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54.0</w:t>
                  </w:r>
                </w:p>
              </w:tc>
              <w:tc>
                <w:tcPr>
                  <w:tcW w:w="464" w:type="pct"/>
                </w:tcPr>
                <w:p w14:paraId="0F3740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46.0</w:t>
                  </w:r>
                </w:p>
              </w:tc>
              <w:tc>
                <w:tcPr>
                  <w:tcW w:w="475" w:type="pct"/>
                </w:tcPr>
                <w:p w14:paraId="55C3EC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40.0</w:t>
                  </w:r>
                </w:p>
              </w:tc>
              <w:tc>
                <w:tcPr>
                  <w:tcW w:w="453" w:type="pct"/>
                </w:tcPr>
                <w:p w14:paraId="584611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36.5</w:t>
                  </w:r>
                </w:p>
              </w:tc>
              <w:tc>
                <w:tcPr>
                  <w:tcW w:w="440" w:type="pct"/>
                </w:tcPr>
                <w:p w14:paraId="13098E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34.0</w:t>
                  </w:r>
                </w:p>
              </w:tc>
              <w:tc>
                <w:tcPr>
                  <w:tcW w:w="432" w:type="pct"/>
                </w:tcPr>
                <w:p w14:paraId="70B319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w:t>
                  </w:r>
                </w:p>
              </w:tc>
              <w:tc>
                <w:tcPr>
                  <w:tcW w:w="457" w:type="pct"/>
                </w:tcPr>
                <w:p w14:paraId="21EAF1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33</w:t>
                  </w:r>
                </w:p>
              </w:tc>
            </w:tr>
            <w:tr w14:paraId="7464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61" w:type="pct"/>
                  <w:vAlign w:val="center"/>
                </w:tcPr>
                <w:p w14:paraId="475E05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蛙式夯实机</w:t>
                  </w:r>
                </w:p>
              </w:tc>
              <w:tc>
                <w:tcPr>
                  <w:tcW w:w="455" w:type="pct"/>
                  <w:vAlign w:val="center"/>
                </w:tcPr>
                <w:p w14:paraId="7D0341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90.0</w:t>
                  </w:r>
                </w:p>
              </w:tc>
              <w:tc>
                <w:tcPr>
                  <w:tcW w:w="475" w:type="pct"/>
                </w:tcPr>
                <w:p w14:paraId="00E26A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70.0</w:t>
                  </w:r>
                </w:p>
              </w:tc>
              <w:tc>
                <w:tcPr>
                  <w:tcW w:w="484" w:type="pct"/>
                </w:tcPr>
                <w:p w14:paraId="092B22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64.0</w:t>
                  </w:r>
                </w:p>
              </w:tc>
              <w:tc>
                <w:tcPr>
                  <w:tcW w:w="464" w:type="pct"/>
                </w:tcPr>
                <w:p w14:paraId="56D9CC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56.0</w:t>
                  </w:r>
                </w:p>
              </w:tc>
              <w:tc>
                <w:tcPr>
                  <w:tcW w:w="475" w:type="pct"/>
                </w:tcPr>
                <w:p w14:paraId="7C89F5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453" w:type="pct"/>
                </w:tcPr>
                <w:p w14:paraId="53A422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46.5</w:t>
                  </w:r>
                </w:p>
              </w:tc>
              <w:tc>
                <w:tcPr>
                  <w:tcW w:w="440" w:type="pct"/>
                </w:tcPr>
                <w:p w14:paraId="5AC206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44.0</w:t>
                  </w:r>
                </w:p>
              </w:tc>
              <w:tc>
                <w:tcPr>
                  <w:tcW w:w="432" w:type="pct"/>
                </w:tcPr>
                <w:p w14:paraId="607F56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35</w:t>
                  </w:r>
                </w:p>
              </w:tc>
              <w:tc>
                <w:tcPr>
                  <w:tcW w:w="457" w:type="pct"/>
                </w:tcPr>
                <w:p w14:paraId="10219B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w:t>
                  </w:r>
                </w:p>
              </w:tc>
            </w:tr>
            <w:tr w14:paraId="1E56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61" w:type="pct"/>
                  <w:vAlign w:val="center"/>
                </w:tcPr>
                <w:p w14:paraId="3F3D53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自卸汽车</w:t>
                  </w:r>
                </w:p>
              </w:tc>
              <w:tc>
                <w:tcPr>
                  <w:tcW w:w="455" w:type="pct"/>
                  <w:vAlign w:val="center"/>
                </w:tcPr>
                <w:p w14:paraId="2EC4AB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80.0</w:t>
                  </w:r>
                </w:p>
              </w:tc>
              <w:tc>
                <w:tcPr>
                  <w:tcW w:w="475" w:type="pct"/>
                </w:tcPr>
                <w:p w14:paraId="49EF5B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60.0</w:t>
                  </w:r>
                </w:p>
              </w:tc>
              <w:tc>
                <w:tcPr>
                  <w:tcW w:w="484" w:type="pct"/>
                </w:tcPr>
                <w:p w14:paraId="7EA12D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54.0</w:t>
                  </w:r>
                </w:p>
              </w:tc>
              <w:tc>
                <w:tcPr>
                  <w:tcW w:w="464" w:type="pct"/>
                </w:tcPr>
                <w:p w14:paraId="084914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46.0</w:t>
                  </w:r>
                </w:p>
              </w:tc>
              <w:tc>
                <w:tcPr>
                  <w:tcW w:w="475" w:type="pct"/>
                </w:tcPr>
                <w:p w14:paraId="76A24E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40.0</w:t>
                  </w:r>
                </w:p>
              </w:tc>
              <w:tc>
                <w:tcPr>
                  <w:tcW w:w="453" w:type="pct"/>
                </w:tcPr>
                <w:p w14:paraId="4BAB67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36.5</w:t>
                  </w:r>
                </w:p>
              </w:tc>
              <w:tc>
                <w:tcPr>
                  <w:tcW w:w="440" w:type="pct"/>
                </w:tcPr>
                <w:p w14:paraId="09A358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34.0</w:t>
                  </w:r>
                </w:p>
              </w:tc>
              <w:tc>
                <w:tcPr>
                  <w:tcW w:w="432" w:type="pct"/>
                </w:tcPr>
                <w:p w14:paraId="5A7DCD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w:t>
                  </w:r>
                </w:p>
              </w:tc>
              <w:tc>
                <w:tcPr>
                  <w:tcW w:w="457" w:type="pct"/>
                </w:tcPr>
                <w:p w14:paraId="273E5B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33</w:t>
                  </w:r>
                </w:p>
              </w:tc>
            </w:tr>
            <w:tr w14:paraId="19F5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61" w:type="pct"/>
                  <w:vAlign w:val="center"/>
                </w:tcPr>
                <w:p w14:paraId="06D6C0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载重汽车</w:t>
                  </w:r>
                </w:p>
              </w:tc>
              <w:tc>
                <w:tcPr>
                  <w:tcW w:w="455" w:type="pct"/>
                  <w:vAlign w:val="center"/>
                </w:tcPr>
                <w:p w14:paraId="77A5D6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90.0</w:t>
                  </w:r>
                </w:p>
              </w:tc>
              <w:tc>
                <w:tcPr>
                  <w:tcW w:w="475" w:type="pct"/>
                </w:tcPr>
                <w:p w14:paraId="3025170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70.0</w:t>
                  </w:r>
                </w:p>
              </w:tc>
              <w:tc>
                <w:tcPr>
                  <w:tcW w:w="484" w:type="pct"/>
                </w:tcPr>
                <w:p w14:paraId="19F10A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64.0</w:t>
                  </w:r>
                </w:p>
              </w:tc>
              <w:tc>
                <w:tcPr>
                  <w:tcW w:w="464" w:type="pct"/>
                </w:tcPr>
                <w:p w14:paraId="4F283D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56.0</w:t>
                  </w:r>
                </w:p>
              </w:tc>
              <w:tc>
                <w:tcPr>
                  <w:tcW w:w="475" w:type="pct"/>
                </w:tcPr>
                <w:p w14:paraId="55C0A1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453" w:type="pct"/>
                </w:tcPr>
                <w:p w14:paraId="59F01D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46.5</w:t>
                  </w:r>
                </w:p>
              </w:tc>
              <w:tc>
                <w:tcPr>
                  <w:tcW w:w="440" w:type="pct"/>
                </w:tcPr>
                <w:p w14:paraId="6BAF9C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44.0</w:t>
                  </w:r>
                </w:p>
              </w:tc>
              <w:tc>
                <w:tcPr>
                  <w:tcW w:w="432" w:type="pct"/>
                </w:tcPr>
                <w:p w14:paraId="4B219F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35</w:t>
                  </w:r>
                </w:p>
              </w:tc>
              <w:tc>
                <w:tcPr>
                  <w:tcW w:w="457" w:type="pct"/>
                </w:tcPr>
                <w:p w14:paraId="63ED19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w:t>
                  </w:r>
                </w:p>
              </w:tc>
            </w:tr>
          </w:tbl>
          <w:p w14:paraId="0CA6B374">
            <w:pPr>
              <w:spacing w:line="360" w:lineRule="auto"/>
              <w:ind w:firstLine="480"/>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施工活动中通常是多台施工机械同时作业，一般情况下同一施工点上可能同时使用影响较大的高噪机械设备，主要是挖掘机、推土机、装载机、蛙式夯实机</w:t>
            </w:r>
            <w:r>
              <w:rPr>
                <w:rFonts w:hint="default" w:ascii="Times New Roman" w:hAnsi="Times New Roman" w:eastAsia="宋体" w:cs="Times New Roman"/>
                <w:color w:val="000000" w:themeColor="text1"/>
                <w:kern w:val="0"/>
                <w:sz w:val="24"/>
                <w:lang w:eastAsia="zh-CN"/>
                <w14:textFill>
                  <w14:solidFill>
                    <w14:schemeClr w14:val="tx1"/>
                  </w14:solidFill>
                </w14:textFill>
              </w:rPr>
              <w:t>、</w:t>
            </w:r>
            <w:r>
              <w:rPr>
                <w:rFonts w:hint="default" w:ascii="Times New Roman" w:hAnsi="Times New Roman" w:eastAsia="宋体" w:cs="Times New Roman"/>
                <w:color w:val="000000" w:themeColor="text1"/>
                <w:kern w:val="0"/>
                <w:sz w:val="24"/>
                <w14:textFill>
                  <w14:solidFill>
                    <w14:schemeClr w14:val="tx1"/>
                  </w14:solidFill>
                </w14:textFill>
              </w:rPr>
              <w:t>自卸汽车、载重汽车等，本环评将对上述高噪机械设备产生的噪声采用声级叠加模式进行预测，考虑一处施工点不同时使用多台同种设备，单处施工点噪声叠加计算结果见下表，声源随距离衰减结果见下表。</w:t>
            </w:r>
          </w:p>
          <w:p w14:paraId="723F2C93">
            <w:pPr>
              <w:pStyle w:val="165"/>
              <w:numPr>
                <w:ilvl w:val="0"/>
                <w:numId w:val="21"/>
              </w:numPr>
              <w:ind w:left="0" w:firstLine="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本项目施工设备噪声叠加结果</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1134"/>
              <w:gridCol w:w="972"/>
              <w:gridCol w:w="1117"/>
              <w:gridCol w:w="1068"/>
              <w:gridCol w:w="1101"/>
              <w:gridCol w:w="1539"/>
            </w:tblGrid>
            <w:tr w14:paraId="1C7F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pct"/>
                  <w:vMerge w:val="restart"/>
                  <w:tcBorders>
                    <w:tl2br w:val="nil"/>
                    <w:tr2bl w:val="nil"/>
                  </w:tcBorders>
                  <w:vAlign w:val="center"/>
                </w:tcPr>
                <w:p w14:paraId="7C9DEF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距离</w:t>
                  </w:r>
                </w:p>
              </w:tc>
              <w:tc>
                <w:tcPr>
                  <w:tcW w:w="4237" w:type="pct"/>
                  <w:gridSpan w:val="6"/>
                  <w:tcBorders>
                    <w:tl2br w:val="nil"/>
                    <w:tr2bl w:val="nil"/>
                  </w:tcBorders>
                  <w:vAlign w:val="center"/>
                </w:tcPr>
                <w:p w14:paraId="51FAC5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噪声预测值dB（A）</w:t>
                  </w:r>
                </w:p>
              </w:tc>
            </w:tr>
            <w:tr w14:paraId="62C4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pct"/>
                  <w:vMerge w:val="continue"/>
                  <w:tcBorders>
                    <w:tl2br w:val="nil"/>
                    <w:tr2bl w:val="nil"/>
                  </w:tcBorders>
                  <w:vAlign w:val="center"/>
                </w:tcPr>
                <w:p w14:paraId="6F3AB9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p>
              </w:tc>
              <w:tc>
                <w:tcPr>
                  <w:tcW w:w="693" w:type="pct"/>
                  <w:tcBorders>
                    <w:tl2br w:val="nil"/>
                    <w:tr2bl w:val="nil"/>
                  </w:tcBorders>
                  <w:vAlign w:val="center"/>
                </w:tcPr>
                <w:p w14:paraId="3AD9E0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1m</w:t>
                  </w:r>
                </w:p>
              </w:tc>
              <w:tc>
                <w:tcPr>
                  <w:tcW w:w="594" w:type="pct"/>
                  <w:tcBorders>
                    <w:tl2br w:val="nil"/>
                    <w:tr2bl w:val="nil"/>
                  </w:tcBorders>
                  <w:vAlign w:val="center"/>
                </w:tcPr>
                <w:p w14:paraId="53843C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10m</w:t>
                  </w:r>
                </w:p>
              </w:tc>
              <w:tc>
                <w:tcPr>
                  <w:tcW w:w="683" w:type="pct"/>
                  <w:tcBorders>
                    <w:tl2br w:val="nil"/>
                    <w:tr2bl w:val="nil"/>
                  </w:tcBorders>
                  <w:vAlign w:val="center"/>
                </w:tcPr>
                <w:p w14:paraId="130723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20m</w:t>
                  </w:r>
                </w:p>
              </w:tc>
              <w:tc>
                <w:tcPr>
                  <w:tcW w:w="653" w:type="pct"/>
                  <w:tcBorders>
                    <w:tl2br w:val="nil"/>
                    <w:tr2bl w:val="nil"/>
                  </w:tcBorders>
                  <w:vAlign w:val="center"/>
                </w:tcPr>
                <w:p w14:paraId="13DBB3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100m</w:t>
                  </w:r>
                </w:p>
              </w:tc>
              <w:tc>
                <w:tcPr>
                  <w:tcW w:w="673" w:type="pct"/>
                  <w:tcBorders>
                    <w:tl2br w:val="nil"/>
                    <w:tr2bl w:val="nil"/>
                  </w:tcBorders>
                  <w:vAlign w:val="center"/>
                </w:tcPr>
                <w:p w14:paraId="6E88FC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150m</w:t>
                  </w:r>
                </w:p>
              </w:tc>
              <w:tc>
                <w:tcPr>
                  <w:tcW w:w="940" w:type="pct"/>
                  <w:tcBorders>
                    <w:tl2br w:val="nil"/>
                    <w:tr2bl w:val="nil"/>
                  </w:tcBorders>
                  <w:vAlign w:val="center"/>
                </w:tcPr>
                <w:p w14:paraId="18467A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200m</w:t>
                  </w:r>
                </w:p>
              </w:tc>
            </w:tr>
            <w:tr w14:paraId="7CD0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pct"/>
                  <w:tcBorders>
                    <w:tl2br w:val="nil"/>
                    <w:tr2bl w:val="nil"/>
                  </w:tcBorders>
                  <w:vAlign w:val="center"/>
                </w:tcPr>
                <w:p w14:paraId="2E54CE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预测值</w:t>
                  </w:r>
                </w:p>
              </w:tc>
              <w:tc>
                <w:tcPr>
                  <w:tcW w:w="693" w:type="pct"/>
                  <w:tcBorders>
                    <w:tl2br w:val="nil"/>
                    <w:tr2bl w:val="nil"/>
                  </w:tcBorders>
                  <w:vAlign w:val="center"/>
                </w:tcPr>
                <w:p w14:paraId="067894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96.06</w:t>
                  </w:r>
                </w:p>
              </w:tc>
              <w:tc>
                <w:tcPr>
                  <w:tcW w:w="594" w:type="pct"/>
                  <w:tcBorders>
                    <w:tl2br w:val="nil"/>
                    <w:tr2bl w:val="nil"/>
                  </w:tcBorders>
                  <w:vAlign w:val="center"/>
                </w:tcPr>
                <w:p w14:paraId="5AD8C3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75.58</w:t>
                  </w:r>
                </w:p>
              </w:tc>
              <w:tc>
                <w:tcPr>
                  <w:tcW w:w="683" w:type="pct"/>
                  <w:tcBorders>
                    <w:tl2br w:val="nil"/>
                    <w:tr2bl w:val="nil"/>
                  </w:tcBorders>
                  <w:vAlign w:val="center"/>
                </w:tcPr>
                <w:p w14:paraId="48DE96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69.58</w:t>
                  </w:r>
                </w:p>
              </w:tc>
              <w:tc>
                <w:tcPr>
                  <w:tcW w:w="653" w:type="pct"/>
                  <w:tcBorders>
                    <w:tl2br w:val="nil"/>
                    <w:tr2bl w:val="nil"/>
                  </w:tcBorders>
                  <w:vAlign w:val="center"/>
                </w:tcPr>
                <w:p w14:paraId="1E2E72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55.58</w:t>
                  </w:r>
                </w:p>
              </w:tc>
              <w:tc>
                <w:tcPr>
                  <w:tcW w:w="673" w:type="pct"/>
                  <w:tcBorders>
                    <w:tl2br w:val="nil"/>
                    <w:tr2bl w:val="nil"/>
                  </w:tcBorders>
                  <w:vAlign w:val="center"/>
                </w:tcPr>
                <w:p w14:paraId="76F89C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52.08</w:t>
                  </w:r>
                </w:p>
              </w:tc>
              <w:tc>
                <w:tcPr>
                  <w:tcW w:w="940" w:type="pct"/>
                  <w:tcBorders>
                    <w:tl2br w:val="nil"/>
                    <w:tr2bl w:val="nil"/>
                  </w:tcBorders>
                  <w:vAlign w:val="center"/>
                </w:tcPr>
                <w:p w14:paraId="3A918C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Cs w:val="21"/>
                      <w14:textFill>
                        <w14:solidFill>
                          <w14:schemeClr w14:val="tx1"/>
                        </w14:solidFill>
                      </w14:textFill>
                    </w:rPr>
                  </w:pPr>
                  <w:r>
                    <w:rPr>
                      <w:rFonts w:hint="default" w:ascii="Times New Roman" w:hAnsi="Times New Roman" w:eastAsia="宋体" w:cs="Times New Roman"/>
                      <w:color w:val="000000" w:themeColor="text1"/>
                      <w:szCs w:val="21"/>
                      <w14:textFill>
                        <w14:solidFill>
                          <w14:schemeClr w14:val="tx1"/>
                        </w14:solidFill>
                      </w14:textFill>
                    </w:rPr>
                    <w:t>49.58</w:t>
                  </w:r>
                </w:p>
              </w:tc>
            </w:tr>
          </w:tbl>
          <w:p w14:paraId="722B7A9E">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000000" w:themeColor="text1"/>
                <w:kern w:val="0"/>
                <w:sz w:val="24"/>
                <w:lang w:eastAsia="zh-CN"/>
                <w14:textFill>
                  <w14:solidFill>
                    <w14:schemeClr w14:val="tx1"/>
                  </w14:solidFill>
                </w14:textFill>
              </w:rPr>
            </w:pPr>
            <w:bookmarkStart w:id="102" w:name="_Hlk109138614"/>
            <w:r>
              <w:rPr>
                <w:rFonts w:hint="default" w:ascii="Times New Roman" w:hAnsi="Times New Roman" w:eastAsia="宋体" w:cs="Times New Roman"/>
                <w:color w:val="000000" w:themeColor="text1"/>
                <w:kern w:val="0"/>
                <w:sz w:val="24"/>
                <w14:textFill>
                  <w14:solidFill>
                    <w14:schemeClr w14:val="tx1"/>
                  </w14:solidFill>
                </w14:textFill>
              </w:rPr>
              <w:t>由上述分析可知，若将施工机械看作点声源，单施工机械噪声昼间在距声源20m以外均可达到《建筑施工厂界环境噪声排放标准》（</w:t>
            </w:r>
            <w:r>
              <w:rPr>
                <w:rFonts w:hint="default" w:ascii="Times New Roman" w:hAnsi="Times New Roman" w:eastAsia="宋体" w:cs="Times New Roman"/>
                <w:color w:val="000000" w:themeColor="text1"/>
                <w:kern w:val="0"/>
                <w:sz w:val="24"/>
                <w:lang w:eastAsia="zh-CN"/>
                <w14:textFill>
                  <w14:solidFill>
                    <w14:schemeClr w14:val="tx1"/>
                  </w14:solidFill>
                </w14:textFill>
              </w:rPr>
              <w:t>GB12523-2025</w:t>
            </w:r>
            <w:r>
              <w:rPr>
                <w:rFonts w:hint="default" w:ascii="Times New Roman" w:hAnsi="Times New Roman" w:eastAsia="宋体" w:cs="Times New Roman"/>
                <w:color w:val="000000" w:themeColor="text1"/>
                <w:kern w:val="0"/>
                <w:sz w:val="24"/>
                <w14:textFill>
                  <w14:solidFill>
                    <w14:schemeClr w14:val="tx1"/>
                  </w14:solidFill>
                </w14:textFill>
              </w:rPr>
              <w:t>）中标准限值（昼间≤70dB（A））要求；本项目</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在城区段施工时，</w:t>
            </w:r>
            <w:r>
              <w:rPr>
                <w:rFonts w:hint="default" w:ascii="Times New Roman" w:hAnsi="Times New Roman" w:eastAsia="宋体" w:cs="Times New Roman"/>
                <w:color w:val="000000" w:themeColor="text1"/>
                <w:kern w:val="0"/>
                <w:sz w:val="24"/>
                <w14:textFill>
                  <w14:solidFill>
                    <w14:schemeClr w14:val="tx1"/>
                  </w14:solidFill>
                </w14:textFill>
              </w:rPr>
              <w:t>施工作业区沿线20m范围内存在居民敏感点</w:t>
            </w:r>
            <w:r>
              <w:rPr>
                <w:rFonts w:hint="default" w:ascii="Times New Roman" w:hAnsi="Times New Roman" w:eastAsia="宋体" w:cs="Times New Roman"/>
                <w:color w:val="000000" w:themeColor="text1"/>
                <w:kern w:val="0"/>
                <w:sz w:val="24"/>
                <w:lang w:eastAsia="zh-CN"/>
                <w14:textFill>
                  <w14:solidFill>
                    <w14:schemeClr w14:val="tx1"/>
                  </w14:solidFill>
                </w14:textFill>
              </w:rPr>
              <w:t>。</w:t>
            </w:r>
          </w:p>
          <w:p w14:paraId="5B1FCEA9">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14:textFill>
                  <w14:solidFill>
                    <w14:schemeClr w14:val="tx1"/>
                  </w14:solidFill>
                </w14:textFill>
              </w:rPr>
              <w:t>为减小施工噪声对周边敏感点的影响，将噪声影响降至最低，环评要求采取以下噪声防治措施：</w:t>
            </w:r>
          </w:p>
          <w:p w14:paraId="6E48209A">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0"/>
                <w:sz w:val="24"/>
                <w14:textFill>
                  <w14:solidFill>
                    <w14:schemeClr w14:val="tx1"/>
                  </w14:solidFill>
                </w14:textFill>
              </w:rPr>
              <w:t>①合理布局施工场地，施工场地四周设置</w:t>
            </w:r>
            <w:r>
              <w:rPr>
                <w:rFonts w:hint="default" w:ascii="Times New Roman" w:hAnsi="Times New Roman" w:eastAsia="宋体" w:cs="Times New Roman"/>
                <w:snapToGrid w:val="0"/>
                <w:color w:val="000000" w:themeColor="text1"/>
                <w:kern w:val="0"/>
                <w:sz w:val="24"/>
                <w:lang w:val="en-US" w:eastAsia="zh-CN"/>
                <w14:textFill>
                  <w14:solidFill>
                    <w14:schemeClr w14:val="tx1"/>
                  </w14:solidFill>
                </w14:textFill>
              </w:rPr>
              <w:t>施工</w:t>
            </w:r>
            <w:r>
              <w:rPr>
                <w:rFonts w:hint="default" w:ascii="Times New Roman" w:hAnsi="Times New Roman" w:eastAsia="宋体" w:cs="Times New Roman"/>
                <w:snapToGrid w:val="0"/>
                <w:color w:val="000000" w:themeColor="text1"/>
                <w:kern w:val="0"/>
                <w:sz w:val="24"/>
                <w14:textFill>
                  <w14:solidFill>
                    <w14:schemeClr w14:val="tx1"/>
                  </w14:solidFill>
                </w14:textFill>
              </w:rPr>
              <w:t>围挡</w:t>
            </w:r>
            <w:r>
              <w:rPr>
                <w:rFonts w:hint="default" w:ascii="Times New Roman" w:hAnsi="Times New Roman" w:eastAsia="宋体" w:cs="Times New Roman"/>
                <w:snapToGrid w:val="0"/>
                <w:color w:val="000000" w:themeColor="text1"/>
                <w:kern w:val="0"/>
                <w:sz w:val="24"/>
                <w:lang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4"/>
                <w:lang w:val="en-US" w:eastAsia="zh-CN"/>
                <w14:textFill>
                  <w14:solidFill>
                    <w14:schemeClr w14:val="tx1"/>
                  </w14:solidFill>
                </w14:textFill>
              </w:rPr>
              <w:t>高度不低于2.5m</w:t>
            </w:r>
            <w:r>
              <w:rPr>
                <w:rFonts w:hint="default" w:ascii="Times New Roman" w:hAnsi="Times New Roman" w:eastAsia="宋体" w:cs="Times New Roman"/>
                <w:snapToGrid w:val="0"/>
                <w:color w:val="000000" w:themeColor="text1"/>
                <w:kern w:val="0"/>
                <w:sz w:val="24"/>
                <w14:textFill>
                  <w14:solidFill>
                    <w14:schemeClr w14:val="tx1"/>
                  </w14:solidFill>
                </w14:textFill>
              </w:rPr>
              <w:t>，增大噪声设备到项目周围敏感点的距离，以有效利用施工场地的距离衰减降低对项目声环境敏感目标的影响；</w:t>
            </w:r>
          </w:p>
          <w:p w14:paraId="6017B3C5">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0"/>
                <w:sz w:val="24"/>
                <w14:textFill>
                  <w14:solidFill>
                    <w14:schemeClr w14:val="tx1"/>
                  </w14:solidFill>
                </w14:textFill>
              </w:rPr>
              <w:t>②</w:t>
            </w:r>
            <w:r>
              <w:rPr>
                <w:rFonts w:hint="default" w:ascii="Times New Roman" w:hAnsi="Times New Roman" w:eastAsia="宋体" w:cs="Times New Roman"/>
                <w:color w:val="000000" w:themeColor="text1"/>
                <w:sz w:val="24"/>
                <w14:textFill>
                  <w14:solidFill>
                    <w14:schemeClr w14:val="tx1"/>
                  </w14:solidFill>
                </w14:textFill>
              </w:rPr>
              <w:t>严格</w:t>
            </w:r>
            <w:r>
              <w:rPr>
                <w:rFonts w:hint="default" w:ascii="Times New Roman" w:hAnsi="Times New Roman" w:eastAsia="宋体" w:cs="Times New Roman"/>
                <w:snapToGrid w:val="0"/>
                <w:color w:val="000000" w:themeColor="text1"/>
                <w:kern w:val="0"/>
                <w:sz w:val="24"/>
                <w14:textFill>
                  <w14:solidFill>
                    <w14:schemeClr w14:val="tx1"/>
                  </w14:solidFill>
                </w14:textFill>
              </w:rPr>
              <w:t>加强施工管理，合理安排作业时间，</w:t>
            </w:r>
            <w:r>
              <w:rPr>
                <w:rFonts w:hint="default" w:ascii="Times New Roman" w:hAnsi="Times New Roman" w:eastAsia="宋体" w:cs="Times New Roman"/>
                <w:snapToGrid w:val="0"/>
                <w:color w:val="000000" w:themeColor="text1"/>
                <w:kern w:val="0"/>
                <w:sz w:val="24"/>
                <w:lang w:val="en-US" w:eastAsia="zh-CN"/>
                <w14:textFill>
                  <w14:solidFill>
                    <w14:schemeClr w14:val="tx1"/>
                  </w14:solidFill>
                </w14:textFill>
              </w:rPr>
              <w:t>在敏感点附近应禁止</w:t>
            </w:r>
            <w:r>
              <w:rPr>
                <w:rFonts w:hint="default" w:ascii="Times New Roman" w:hAnsi="Times New Roman" w:eastAsia="宋体" w:cs="Times New Roman"/>
                <w:snapToGrid w:val="0"/>
                <w:color w:val="000000" w:themeColor="text1"/>
                <w:kern w:val="0"/>
                <w:sz w:val="24"/>
                <w14:textFill>
                  <w14:solidFill>
                    <w14:schemeClr w14:val="tx1"/>
                  </w14:solidFill>
                </w14:textFill>
              </w:rPr>
              <w:t>夜间施工，高噪声设备错峰作业，避免同时作业。</w:t>
            </w:r>
          </w:p>
          <w:p w14:paraId="08588847">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0"/>
                <w:sz w:val="24"/>
                <w14:textFill>
                  <w14:solidFill>
                    <w14:schemeClr w14:val="tx1"/>
                  </w14:solidFill>
                </w14:textFill>
              </w:rPr>
              <w:t>③施工现场提倡文明施工，建立健全控制人为噪声的管理制度，尽量减少人为的大声喧哗，增强全体施工人员的防噪声扰民的意识；</w:t>
            </w:r>
          </w:p>
          <w:p w14:paraId="4770BAFF">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0"/>
                <w:sz w:val="24"/>
                <w14:textFill>
                  <w14:solidFill>
                    <w14:schemeClr w14:val="tx1"/>
                  </w14:solidFill>
                </w14:textFill>
              </w:rPr>
              <w:t>④</w:t>
            </w:r>
            <w:r>
              <w:rPr>
                <w:rFonts w:hint="default" w:ascii="Times New Roman" w:hAnsi="Times New Roman" w:eastAsia="宋体" w:cs="Times New Roman"/>
                <w:snapToGrid w:val="0"/>
                <w:color w:val="000000" w:themeColor="text1"/>
                <w:kern w:val="0"/>
                <w:sz w:val="24"/>
                <w:lang w:val="en-US" w:eastAsia="zh-CN"/>
                <w14:textFill>
                  <w14:solidFill>
                    <w14:schemeClr w14:val="tx1"/>
                  </w14:solidFill>
                </w14:textFill>
              </w:rPr>
              <w:t>在保护目标附近（20m范围）施工时，设置临时声屏障</w:t>
            </w:r>
            <w:r>
              <w:rPr>
                <w:rFonts w:hint="default" w:ascii="Times New Roman" w:hAnsi="Times New Roman" w:eastAsia="宋体" w:cs="Times New Roman"/>
                <w:snapToGrid w:val="0"/>
                <w:color w:val="000000" w:themeColor="text1"/>
                <w:kern w:val="0"/>
                <w:sz w:val="24"/>
                <w14:textFill>
                  <w14:solidFill>
                    <w14:schemeClr w14:val="tx1"/>
                  </w14:solidFill>
                </w14:textFill>
              </w:rPr>
              <w:t>；</w:t>
            </w:r>
          </w:p>
          <w:p w14:paraId="4AC2B31C">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0"/>
                <w:sz w:val="24"/>
                <w14:textFill>
                  <w14:solidFill>
                    <w14:schemeClr w14:val="tx1"/>
                  </w14:solidFill>
                </w14:textFill>
              </w:rPr>
              <w:t>⑤材料运输等汽车进场安排专人指挥，场内禁止运输车辆鸣笛；</w:t>
            </w:r>
          </w:p>
          <w:p w14:paraId="2A5E1749">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0"/>
                <w:sz w:val="24"/>
                <w14:textFill>
                  <w14:solidFill>
                    <w14:schemeClr w14:val="tx1"/>
                  </w14:solidFill>
                </w14:textFill>
              </w:rPr>
              <w:t>⑥及时关闭不用的设备，将可在固定地点施工的设备设置在临时施工棚内作业，同时定期维护保养设备，使其处于良好的运行状态；</w:t>
            </w:r>
          </w:p>
          <w:p w14:paraId="76B00463">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0"/>
                <w:sz w:val="24"/>
                <w14:textFill>
                  <w14:solidFill>
                    <w14:schemeClr w14:val="tx1"/>
                  </w14:solidFill>
                </w14:textFill>
              </w:rPr>
              <w:t>⑦预制构件、钢筋的成品，不进行现场加工；</w:t>
            </w:r>
          </w:p>
          <w:p w14:paraId="59A544FF">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0"/>
                <w:sz w:val="24"/>
                <w14:textFill>
                  <w14:solidFill>
                    <w14:schemeClr w14:val="tx1"/>
                  </w14:solidFill>
                </w14:textFill>
              </w:rPr>
              <w:t>⑧优先选用低噪声的施工设备，对动力机械设备和运输车辆进行定期的维修和养护</w:t>
            </w:r>
            <w:r>
              <w:rPr>
                <w:rFonts w:hint="default" w:ascii="Times New Roman" w:hAnsi="Times New Roman" w:eastAsia="宋体" w:cs="Times New Roman"/>
                <w:snapToGrid w:val="0"/>
                <w:color w:val="000000" w:themeColor="text1"/>
                <w:kern w:val="0"/>
                <w:sz w:val="24"/>
                <w:lang w:eastAsia="zh-CN"/>
                <w14:textFill>
                  <w14:solidFill>
                    <w14:schemeClr w14:val="tx1"/>
                  </w14:solidFill>
                </w14:textFill>
              </w:rPr>
              <w:t>，</w:t>
            </w:r>
            <w:r>
              <w:rPr>
                <w:rFonts w:hint="default" w:ascii="Times New Roman" w:hAnsi="Times New Roman" w:eastAsia="宋体" w:cs="Times New Roman"/>
                <w:snapToGrid w:val="0"/>
                <w:color w:val="000000" w:themeColor="text1"/>
                <w:kern w:val="0"/>
                <w:sz w:val="24"/>
                <w14:textFill>
                  <w14:solidFill>
                    <w14:schemeClr w14:val="tx1"/>
                  </w14:solidFill>
                </w14:textFill>
              </w:rPr>
              <w:t>机械设备和运输车辆在进场前应完成大修及保养，以降低机械和车辆的非正常噪声。</w:t>
            </w:r>
          </w:p>
          <w:p w14:paraId="3454CE5E">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0"/>
                <w:sz w:val="24"/>
                <w14:textFill>
                  <w14:solidFill>
                    <w14:schemeClr w14:val="tx1"/>
                  </w14:solidFill>
                </w14:textFill>
              </w:rPr>
              <w:t>⑨优化施工车辆运行路线，尽量避开人群集聚区域；对于无法避开的人口聚集区域，则要求运输时间点避开出行高峰期，途经路段附近有城镇居民点路段，应减速慢行、禁止鸣笛，避免因施工物流运输对周边城镇的环境带来影响。</w:t>
            </w:r>
          </w:p>
          <w:p w14:paraId="33FD5B61">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snapToGrid w:val="0"/>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lang w:val="en-US" w:eastAsia="zh-CN"/>
                <w14:textFill>
                  <w14:solidFill>
                    <w14:schemeClr w14:val="tx1"/>
                  </w14:solidFill>
                </w14:textFill>
              </w:rPr>
              <w:t>在城区段采取施工围挡及临时声屏障措施后，降噪效果约30</w:t>
            </w:r>
            <w:r>
              <w:rPr>
                <w:rFonts w:hint="default" w:ascii="Times New Roman" w:hAnsi="Times New Roman" w:eastAsia="宋体" w:cs="Times New Roman"/>
                <w:color w:val="000000" w:themeColor="text1"/>
                <w:szCs w:val="21"/>
                <w14:textFill>
                  <w14:solidFill>
                    <w14:schemeClr w14:val="tx1"/>
                  </w14:solidFill>
                </w14:textFill>
              </w:rPr>
              <w:t>dB（A）</w:t>
            </w:r>
            <w:r>
              <w:rPr>
                <w:rFonts w:hint="default" w:ascii="Times New Roman" w:hAnsi="Times New Roman" w:eastAsia="宋体" w:cs="Times New Roman"/>
                <w:snapToGrid w:val="0"/>
                <w:color w:val="000000" w:themeColor="text1"/>
                <w:kern w:val="0"/>
                <w:sz w:val="24"/>
                <w:lang w:val="en-US" w:eastAsia="zh-CN"/>
                <w14:textFill>
                  <w14:solidFill>
                    <w14:schemeClr w14:val="tx1"/>
                  </w14:solidFill>
                </w14:textFill>
              </w:rPr>
              <w:t>。</w:t>
            </w:r>
          </w:p>
          <w:bookmarkEnd w:id="102"/>
          <w:p w14:paraId="1D82412B">
            <w:pPr>
              <w:pStyle w:val="165"/>
              <w:numPr>
                <w:ilvl w:val="0"/>
                <w:numId w:val="21"/>
              </w:numPr>
              <w:spacing w:line="240" w:lineRule="auto"/>
              <w:ind w:left="0" w:firstLine="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采取措施后</w:t>
            </w:r>
            <w:r>
              <w:rPr>
                <w:rFonts w:hint="default" w:ascii="Times New Roman" w:hAnsi="Times New Roman" w:eastAsia="宋体" w:cs="Times New Roman"/>
                <w:b/>
                <w:bCs/>
                <w:color w:val="000000" w:themeColor="text1"/>
                <w:sz w:val="21"/>
                <w:szCs w:val="21"/>
                <w14:textFill>
                  <w14:solidFill>
                    <w14:schemeClr w14:val="tx1"/>
                  </w14:solidFill>
                </w14:textFill>
              </w:rPr>
              <w:t>施工设备噪声叠加结果</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1134"/>
              <w:gridCol w:w="972"/>
              <w:gridCol w:w="1117"/>
              <w:gridCol w:w="1068"/>
              <w:gridCol w:w="1101"/>
              <w:gridCol w:w="1539"/>
            </w:tblGrid>
            <w:tr w14:paraId="5069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pct"/>
                  <w:vMerge w:val="restart"/>
                  <w:tcBorders>
                    <w:tl2br w:val="nil"/>
                    <w:tr2bl w:val="nil"/>
                  </w:tcBorders>
                  <w:vAlign w:val="center"/>
                </w:tcPr>
                <w:p w14:paraId="52C790E5">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距离</w:t>
                  </w:r>
                </w:p>
              </w:tc>
              <w:tc>
                <w:tcPr>
                  <w:tcW w:w="4237" w:type="pct"/>
                  <w:gridSpan w:val="6"/>
                  <w:tcBorders>
                    <w:tl2br w:val="nil"/>
                    <w:tr2bl w:val="nil"/>
                  </w:tcBorders>
                  <w:vAlign w:val="center"/>
                </w:tcPr>
                <w:p w14:paraId="3843C260">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噪声预测值dB（A）</w:t>
                  </w:r>
                </w:p>
              </w:tc>
            </w:tr>
            <w:tr w14:paraId="3B871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pct"/>
                  <w:vMerge w:val="continue"/>
                  <w:tcBorders>
                    <w:tl2br w:val="nil"/>
                    <w:tr2bl w:val="nil"/>
                  </w:tcBorders>
                  <w:vAlign w:val="center"/>
                </w:tcPr>
                <w:p w14:paraId="7A1A320E">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693" w:type="pct"/>
                  <w:tcBorders>
                    <w:tl2br w:val="nil"/>
                    <w:tr2bl w:val="nil"/>
                  </w:tcBorders>
                  <w:vAlign w:val="center"/>
                </w:tcPr>
                <w:p w14:paraId="7CCEE56D">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1m</w:t>
                  </w:r>
                </w:p>
              </w:tc>
              <w:tc>
                <w:tcPr>
                  <w:tcW w:w="594" w:type="pct"/>
                  <w:tcBorders>
                    <w:tl2br w:val="nil"/>
                    <w:tr2bl w:val="nil"/>
                  </w:tcBorders>
                  <w:vAlign w:val="center"/>
                </w:tcPr>
                <w:p w14:paraId="4164A47E">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10m</w:t>
                  </w:r>
                </w:p>
              </w:tc>
              <w:tc>
                <w:tcPr>
                  <w:tcW w:w="683" w:type="pct"/>
                  <w:tcBorders>
                    <w:tl2br w:val="nil"/>
                    <w:tr2bl w:val="nil"/>
                  </w:tcBorders>
                  <w:vAlign w:val="center"/>
                </w:tcPr>
                <w:p w14:paraId="121A5CBE">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20m</w:t>
                  </w:r>
                </w:p>
              </w:tc>
              <w:tc>
                <w:tcPr>
                  <w:tcW w:w="653" w:type="pct"/>
                  <w:tcBorders>
                    <w:tl2br w:val="nil"/>
                    <w:tr2bl w:val="nil"/>
                  </w:tcBorders>
                  <w:vAlign w:val="center"/>
                </w:tcPr>
                <w:p w14:paraId="6CCD3F70">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100m</w:t>
                  </w:r>
                </w:p>
              </w:tc>
              <w:tc>
                <w:tcPr>
                  <w:tcW w:w="673" w:type="pct"/>
                  <w:tcBorders>
                    <w:tl2br w:val="nil"/>
                    <w:tr2bl w:val="nil"/>
                  </w:tcBorders>
                  <w:vAlign w:val="center"/>
                </w:tcPr>
                <w:p w14:paraId="29AEF883">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150m</w:t>
                  </w:r>
                </w:p>
              </w:tc>
              <w:tc>
                <w:tcPr>
                  <w:tcW w:w="940" w:type="pct"/>
                  <w:tcBorders>
                    <w:tl2br w:val="nil"/>
                    <w:tr2bl w:val="nil"/>
                  </w:tcBorders>
                  <w:vAlign w:val="center"/>
                </w:tcPr>
                <w:p w14:paraId="2918E94A">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200m</w:t>
                  </w:r>
                </w:p>
              </w:tc>
            </w:tr>
            <w:tr w14:paraId="53A1C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2" w:type="pct"/>
                  <w:tcBorders>
                    <w:tl2br w:val="nil"/>
                    <w:tr2bl w:val="nil"/>
                  </w:tcBorders>
                  <w:vAlign w:val="center"/>
                </w:tcPr>
                <w:p w14:paraId="5A87DDCB">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预测值</w:t>
                  </w:r>
                </w:p>
              </w:tc>
              <w:tc>
                <w:tcPr>
                  <w:tcW w:w="693" w:type="pct"/>
                  <w:tcBorders>
                    <w:tl2br w:val="nil"/>
                    <w:tr2bl w:val="nil"/>
                  </w:tcBorders>
                  <w:vAlign w:val="center"/>
                </w:tcPr>
                <w:p w14:paraId="366BEA06">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14:textFill>
                        <w14:solidFill>
                          <w14:schemeClr w14:val="tx1"/>
                        </w14:solidFill>
                      </w14:textFill>
                    </w:rPr>
                    <w:t>6.06</w:t>
                  </w:r>
                </w:p>
              </w:tc>
              <w:tc>
                <w:tcPr>
                  <w:tcW w:w="594" w:type="pct"/>
                  <w:tcBorders>
                    <w:tl2br w:val="nil"/>
                    <w:tr2bl w:val="nil"/>
                  </w:tcBorders>
                  <w:vAlign w:val="center"/>
                </w:tcPr>
                <w:p w14:paraId="46D6F599">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14:textFill>
                        <w14:solidFill>
                          <w14:schemeClr w14:val="tx1"/>
                        </w14:solidFill>
                      </w14:textFill>
                    </w:rPr>
                    <w:t>5.58</w:t>
                  </w:r>
                </w:p>
              </w:tc>
              <w:tc>
                <w:tcPr>
                  <w:tcW w:w="683" w:type="pct"/>
                  <w:tcBorders>
                    <w:tl2br w:val="nil"/>
                    <w:tr2bl w:val="nil"/>
                  </w:tcBorders>
                  <w:vAlign w:val="center"/>
                </w:tcPr>
                <w:p w14:paraId="7872A07E">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14:textFill>
                        <w14:solidFill>
                          <w14:schemeClr w14:val="tx1"/>
                        </w14:solidFill>
                      </w14:textFill>
                    </w:rPr>
                    <w:t>9.58</w:t>
                  </w:r>
                </w:p>
              </w:tc>
              <w:tc>
                <w:tcPr>
                  <w:tcW w:w="653" w:type="pct"/>
                  <w:tcBorders>
                    <w:tl2br w:val="nil"/>
                    <w:tr2bl w:val="nil"/>
                  </w:tcBorders>
                  <w:vAlign w:val="center"/>
                </w:tcPr>
                <w:p w14:paraId="32D4930E">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5.58</w:t>
                  </w:r>
                </w:p>
              </w:tc>
              <w:tc>
                <w:tcPr>
                  <w:tcW w:w="673" w:type="pct"/>
                  <w:tcBorders>
                    <w:tl2br w:val="nil"/>
                    <w:tr2bl w:val="nil"/>
                  </w:tcBorders>
                  <w:vAlign w:val="center"/>
                </w:tcPr>
                <w:p w14:paraId="00521214">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2.08</w:t>
                  </w:r>
                </w:p>
              </w:tc>
              <w:tc>
                <w:tcPr>
                  <w:tcW w:w="940" w:type="pct"/>
                  <w:tcBorders>
                    <w:tl2br w:val="nil"/>
                    <w:tr2bl w:val="nil"/>
                  </w:tcBorders>
                  <w:vAlign w:val="center"/>
                </w:tcPr>
                <w:p w14:paraId="5B13DCB6">
                  <w:pPr>
                    <w:adjustRightInd w:val="0"/>
                    <w:spacing w:line="240" w:lineRule="auto"/>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9.58</w:t>
                  </w:r>
                </w:p>
              </w:tc>
            </w:tr>
          </w:tbl>
          <w:p w14:paraId="31F45957">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采取措施后，施工场界噪声</w:t>
            </w:r>
            <w:r>
              <w:rPr>
                <w:rFonts w:hint="default" w:ascii="Times New Roman" w:hAnsi="Times New Roman" w:eastAsia="宋体" w:cs="Times New Roman"/>
                <w:color w:val="000000" w:themeColor="text1"/>
                <w:kern w:val="0"/>
                <w:sz w:val="24"/>
                <w14:textFill>
                  <w14:solidFill>
                    <w14:schemeClr w14:val="tx1"/>
                  </w14:solidFill>
                </w14:textFill>
              </w:rPr>
              <w:t>可达到《建筑施工厂界环境噪声排放标准》（</w:t>
            </w:r>
            <w:r>
              <w:rPr>
                <w:rFonts w:hint="default" w:ascii="Times New Roman" w:hAnsi="Times New Roman" w:eastAsia="宋体" w:cs="Times New Roman"/>
                <w:color w:val="000000" w:themeColor="text1"/>
                <w:kern w:val="0"/>
                <w:sz w:val="24"/>
                <w:lang w:eastAsia="zh-CN"/>
                <w14:textFill>
                  <w14:solidFill>
                    <w14:schemeClr w14:val="tx1"/>
                  </w14:solidFill>
                </w14:textFill>
              </w:rPr>
              <w:t>GB12523-2025</w:t>
            </w:r>
            <w:r>
              <w:rPr>
                <w:rFonts w:hint="default" w:ascii="Times New Roman" w:hAnsi="Times New Roman" w:eastAsia="宋体" w:cs="Times New Roman"/>
                <w:color w:val="000000" w:themeColor="text1"/>
                <w:kern w:val="0"/>
                <w:sz w:val="24"/>
                <w14:textFill>
                  <w14:solidFill>
                    <w14:schemeClr w14:val="tx1"/>
                  </w14:solidFill>
                </w14:textFill>
              </w:rPr>
              <w:t>）中标准限值（昼间≤70dB（A））要求</w:t>
            </w:r>
            <w:r>
              <w:rPr>
                <w:rFonts w:hint="default" w:ascii="Times New Roman" w:hAnsi="Times New Roman" w:eastAsia="宋体" w:cs="Times New Roman"/>
                <w:color w:val="000000" w:themeColor="text1"/>
                <w:kern w:val="0"/>
                <w:sz w:val="24"/>
                <w:lang w:eastAsia="zh-CN"/>
                <w14:textFill>
                  <w14:solidFill>
                    <w14:schemeClr w14:val="tx1"/>
                  </w14:solidFill>
                </w14:textFill>
              </w:rPr>
              <w:t>，</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对周边敏感点的影响较小。</w:t>
            </w:r>
          </w:p>
          <w:p w14:paraId="713BBCBF">
            <w:pPr>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采取上述噪声防治措施后，能最大限度减小建设施工噪声对区域环境和周围敏感目标的影响。</w:t>
            </w:r>
          </w:p>
          <w:p w14:paraId="1BC4D902">
            <w:pPr>
              <w:spacing w:line="360" w:lineRule="auto"/>
              <w:ind w:firstLine="482"/>
              <w:rPr>
                <w:rFonts w:hint="default" w:ascii="Times New Roman" w:hAnsi="Times New Roman" w:eastAsia="宋体" w:cs="Times New Roman"/>
                <w:b/>
                <w:color w:val="000000" w:themeColor="text1"/>
                <w:sz w:val="24"/>
                <w:szCs w:val="32"/>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4、固废</w:t>
            </w:r>
          </w:p>
          <w:p w14:paraId="69C5F1AC">
            <w:pPr>
              <w:spacing w:line="360" w:lineRule="auto"/>
              <w:ind w:firstLine="480"/>
              <w:rPr>
                <w:rFonts w:hint="default" w:ascii="Times New Roman" w:hAnsi="Times New Roman" w:eastAsia="宋体" w:cs="Times New Roman"/>
                <w:bCs/>
                <w:color w:val="000000" w:themeColor="text1"/>
                <w:sz w:val="24"/>
                <w:szCs w:val="32"/>
                <w14:textFill>
                  <w14:solidFill>
                    <w14:schemeClr w14:val="tx1"/>
                  </w14:solidFill>
                </w14:textFill>
              </w:rPr>
            </w:pPr>
            <w:r>
              <w:rPr>
                <w:rFonts w:hint="default" w:ascii="Times New Roman" w:hAnsi="Times New Roman" w:eastAsia="宋体" w:cs="Times New Roman"/>
                <w:bCs/>
                <w:color w:val="000000" w:themeColor="text1"/>
                <w:sz w:val="24"/>
                <w:szCs w:val="32"/>
                <w14:textFill>
                  <w14:solidFill>
                    <w14:schemeClr w14:val="tx1"/>
                  </w14:solidFill>
                </w14:textFill>
              </w:rPr>
              <w:t>施工期固体废物包括土石方、建筑垃圾和施工人员生活垃圾。</w:t>
            </w:r>
          </w:p>
          <w:p w14:paraId="69D54C6B">
            <w:pPr>
              <w:spacing w:line="360" w:lineRule="auto"/>
              <w:ind w:firstLine="482"/>
              <w:rPr>
                <w:rFonts w:hint="default" w:ascii="Times New Roman" w:hAnsi="Times New Roman" w:eastAsia="宋体" w:cs="Times New Roman"/>
                <w:b/>
                <w:bCs/>
                <w:snapToGrid w:val="0"/>
                <w:color w:val="000000" w:themeColor="text1"/>
                <w:kern w:val="0"/>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（1）土石方</w:t>
            </w:r>
          </w:p>
          <w:p w14:paraId="369539A4">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根据主体资料</w:t>
            </w:r>
            <w:r>
              <w:rPr>
                <w:rFonts w:hint="eastAsia" w:ascii="Times New Roman" w:hAnsi="Times New Roman" w:cs="Times New Roman"/>
                <w:color w:val="000000" w:themeColor="text1"/>
                <w:sz w:val="24"/>
                <w:szCs w:val="24"/>
                <w:lang w:val="en-US" w:eastAsia="zh-CN"/>
                <w14:textFill>
                  <w14:solidFill>
                    <w14:schemeClr w14:val="tx1"/>
                  </w14:solidFill>
                </w14:textFill>
              </w:rPr>
              <w:t>和水土保持方案</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，沿线土方主要为管线沟槽开挖土方及附属建筑物地基开挖土方，本项目开挖一般土石方量为</w:t>
            </w:r>
            <w:r>
              <w:rPr>
                <w:rFonts w:hint="eastAsia" w:ascii="Times New Roman" w:hAnsi="Times New Roman" w:cs="Times New Roman"/>
                <w:color w:val="000000" w:themeColor="text1"/>
                <w:sz w:val="24"/>
                <w:szCs w:val="24"/>
                <w:lang w:val="en-US" w:eastAsia="zh-CN"/>
                <w14:textFill>
                  <w14:solidFill>
                    <w14:schemeClr w14:val="tx1"/>
                  </w14:solidFill>
                </w14:textFill>
              </w:rPr>
              <w:t>1.41万m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。本项目管线工程涉及中砂回填情况，本项目中砂均在合法场地购买，回填</w:t>
            </w:r>
            <w:r>
              <w:rPr>
                <w:rFonts w:hint="eastAsia" w:ascii="Times New Roman" w:hAnsi="Times New Roman" w:cs="Times New Roman"/>
                <w:color w:val="000000" w:themeColor="text1"/>
                <w:sz w:val="24"/>
                <w:szCs w:val="24"/>
                <w:lang w:val="en-US" w:eastAsia="zh-CN"/>
                <w14:textFill>
                  <w14:solidFill>
                    <w14:schemeClr w14:val="tx1"/>
                  </w14:solidFill>
                </w14:textFill>
              </w:rPr>
              <w:t>中砂量</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w:t>
            </w:r>
            <w:r>
              <w:rPr>
                <w:rFonts w:hint="eastAsia"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，一般土石方回填量为0.</w:t>
            </w:r>
            <w:r>
              <w:rPr>
                <w:rFonts w:hint="eastAsia" w:ascii="Times New Roman" w:hAnsi="Times New Roman" w:cs="Times New Roman"/>
                <w:color w:val="000000" w:themeColor="text1"/>
                <w:sz w:val="24"/>
                <w:szCs w:val="24"/>
                <w:lang w:val="en-US" w:eastAsia="zh-CN"/>
                <w14:textFill>
                  <w14:solidFill>
                    <w14:schemeClr w14:val="tx1"/>
                  </w14:solidFill>
                </w14:textFill>
              </w:rPr>
              <w:t>20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。因项目管道敷设经过泸定县城区且城区内管道采用混凝土包管埋地方式所以挖填方不平衡，本项目有1.17万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的弃方，弃方用于泸定县</w:t>
            </w:r>
            <w:r>
              <w:rPr>
                <w:rFonts w:hint="eastAsia" w:ascii="Times New Roman" w:hAnsi="Times New Roman" w:cs="Times New Roman"/>
                <w:color w:val="000000" w:themeColor="text1"/>
                <w:sz w:val="24"/>
                <w:szCs w:val="24"/>
                <w:lang w:val="en-US" w:eastAsia="zh-CN"/>
                <w14:textFill>
                  <w14:solidFill>
                    <w14:schemeClr w14:val="tx1"/>
                  </w14:solidFill>
                </w14:textFill>
              </w:rPr>
              <w:t>其他道路</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工程回填利用，该1.17万</w:t>
            </w:r>
            <w:r>
              <w:rPr>
                <w:rFonts w:hint="eastAsia" w:ascii="Times New Roman" w:hAnsi="Times New Roman" w:cs="Times New Roman"/>
                <w:color w:val="000000" w:themeColor="text1"/>
                <w:sz w:val="24"/>
                <w:szCs w:val="24"/>
                <w:lang w:val="en-US" w:eastAsia="zh-CN"/>
                <w14:textFill>
                  <w14:solidFill>
                    <w14:schemeClr w14:val="tx1"/>
                  </w14:solidFill>
                </w14:textFill>
              </w:rPr>
              <w:t>m</w:t>
            </w:r>
            <w:r>
              <w:rPr>
                <w:rFonts w:hint="eastAsia" w:ascii="Times New Roman" w:hAnsi="Times New Roman" w:cs="Times New Roman"/>
                <w:color w:val="000000" w:themeColor="text1"/>
                <w:sz w:val="24"/>
                <w:szCs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的弃方为泸定县住房和城乡建设局内所建项目的调运利用，开挖及运输过程中水土流失责任由泸定县住房和城乡建设局负责。</w:t>
            </w:r>
          </w:p>
          <w:p w14:paraId="75BFCC3D">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主体考虑沿线土方集中堆置将导致土方二次倒运，增加水土流失以及工程投资，故管线开挖产生的土方沿线堆放至管道作业带一侧，附属建筑物基础开挖土方均临时堆置在开挖基础周边，不新增占地，方便后期回填利用，项目余方由泸定县</w:t>
            </w:r>
            <w:r>
              <w:rPr>
                <w:rFonts w:hint="eastAsia" w:ascii="Times New Roman" w:hAnsi="Times New Roman" w:cs="Times New Roman"/>
                <w:color w:val="000000" w:themeColor="text1"/>
                <w:sz w:val="24"/>
                <w:szCs w:val="24"/>
                <w:lang w:val="en-US" w:eastAsia="zh-CN"/>
                <w14:textFill>
                  <w14:solidFill>
                    <w14:schemeClr w14:val="tx1"/>
                  </w14:solidFill>
                </w14:textFill>
              </w:rPr>
              <w:t>其他道路工程</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回填利用。</w:t>
            </w:r>
          </w:p>
          <w:p w14:paraId="0ADEFA5F">
            <w:pPr>
              <w:spacing w:line="360" w:lineRule="auto"/>
              <w:ind w:firstLine="482"/>
              <w:rPr>
                <w:rFonts w:hint="default" w:ascii="Times New Roman" w:hAnsi="Times New Roman" w:eastAsia="宋体" w:cs="Times New Roman"/>
                <w:b/>
                <w:bCs/>
                <w:snapToGrid w:val="0"/>
                <w:color w:val="000000" w:themeColor="text1"/>
                <w:kern w:val="0"/>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（2）建筑垃圾</w:t>
            </w:r>
          </w:p>
          <w:p w14:paraId="2737D698">
            <w:pPr>
              <w:spacing w:line="360" w:lineRule="auto"/>
              <w:ind w:firstLine="480"/>
              <w:rPr>
                <w:rFonts w:hint="default" w:ascii="Times New Roman" w:hAnsi="Times New Roman" w:eastAsia="宋体" w:cs="Times New Roman"/>
                <w:b/>
                <w:bCs/>
                <w:snapToGrid w:val="0"/>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kern w:val="0"/>
                <w:sz w:val="24"/>
                <w:lang w:bidi="ar"/>
                <w14:textFill>
                  <w14:solidFill>
                    <w14:schemeClr w14:val="tx1"/>
                  </w14:solidFill>
                </w14:textFill>
              </w:rPr>
              <w:t>建筑垃圾主要为施工过程中产生的混凝土块、砂浆、砖石材料等建筑垃圾。本评价要求对能够回收利用的建筑垃圾进行分类回收利用，不能回收利用的由建筑垃圾转运至政府指定的建筑垃圾堆放场。</w:t>
            </w:r>
          </w:p>
          <w:p w14:paraId="24305505">
            <w:pPr>
              <w:spacing w:line="360" w:lineRule="auto"/>
              <w:ind w:firstLine="482"/>
              <w:rPr>
                <w:rFonts w:hint="default" w:ascii="Times New Roman" w:hAnsi="Times New Roman" w:eastAsia="宋体" w:cs="Times New Roman"/>
                <w:b/>
                <w:bCs/>
                <w:snapToGrid w:val="0"/>
                <w:color w:val="000000" w:themeColor="text1"/>
                <w:kern w:val="0"/>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w:t>
            </w:r>
            <w:r>
              <w:rPr>
                <w:rFonts w:hint="default" w:ascii="Times New Roman" w:hAnsi="Times New Roman" w:eastAsia="宋体" w:cs="Times New Roman"/>
                <w:b/>
                <w:bCs/>
                <w:color w:val="000000" w:themeColor="text1"/>
                <w:sz w:val="24"/>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14:textFill>
                  <w14:solidFill>
                    <w14:schemeClr w14:val="tx1"/>
                  </w14:solidFill>
                </w14:textFill>
              </w:rPr>
              <w:t>）生活垃圾</w:t>
            </w:r>
          </w:p>
          <w:p w14:paraId="6D3A6573">
            <w:pPr>
              <w:spacing w:line="360" w:lineRule="auto"/>
              <w:ind w:firstLine="480"/>
              <w:rPr>
                <w:rFonts w:hint="default" w:ascii="Times New Roman" w:hAnsi="Times New Roman" w:eastAsia="宋体" w:cs="Times New Roman"/>
                <w:b/>
                <w:bCs/>
                <w:snapToGrid w:val="0"/>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本工程施工</w:t>
            </w:r>
            <w:r>
              <w:rPr>
                <w:rFonts w:hint="default" w:ascii="Times New Roman" w:hAnsi="Times New Roman" w:eastAsia="宋体" w:cs="Times New Roman"/>
                <w:color w:val="000000" w:themeColor="text1"/>
                <w:sz w:val="24"/>
                <w:lang w:val="en-US" w:eastAsia="zh-CN"/>
                <w14:textFill>
                  <w14:solidFill>
                    <w14:schemeClr w14:val="tx1"/>
                  </w14:solidFill>
                </w14:textFill>
              </w:rPr>
              <w:t>高峰期间</w:t>
            </w:r>
            <w:r>
              <w:rPr>
                <w:rFonts w:hint="default" w:ascii="Times New Roman" w:hAnsi="Times New Roman" w:eastAsia="宋体" w:cs="Times New Roman"/>
                <w:color w:val="000000" w:themeColor="text1"/>
                <w:sz w:val="24"/>
                <w14:textFill>
                  <w14:solidFill>
                    <w14:schemeClr w14:val="tx1"/>
                  </w14:solidFill>
                </w14:textFill>
              </w:rPr>
              <w:t>施工人数预计</w:t>
            </w:r>
            <w:r>
              <w:rPr>
                <w:rFonts w:hint="default" w:ascii="Times New Roman" w:hAnsi="Times New Roman" w:eastAsia="宋体" w:cs="Times New Roman"/>
                <w:color w:val="000000" w:themeColor="text1"/>
                <w:sz w:val="24"/>
                <w:lang w:val="en-US" w:eastAsia="zh-CN"/>
                <w14:textFill>
                  <w14:solidFill>
                    <w14:schemeClr w14:val="tx1"/>
                  </w14:solidFill>
                </w14:textFill>
              </w:rPr>
              <w:t>4</w:t>
            </w:r>
            <w:r>
              <w:rPr>
                <w:rFonts w:hint="default" w:ascii="Times New Roman" w:hAnsi="Times New Roman" w:eastAsia="宋体" w:cs="Times New Roman"/>
                <w:color w:val="000000" w:themeColor="text1"/>
                <w:sz w:val="24"/>
                <w14:textFill>
                  <w14:solidFill>
                    <w14:schemeClr w14:val="tx1"/>
                  </w14:solidFill>
                </w14:textFill>
              </w:rPr>
              <w:t>0人，生活垃圾产生量按0.5kg/（人·d）计，则施工期生活垃圾产生量约为0.</w:t>
            </w:r>
            <w:r>
              <w:rPr>
                <w:rFonts w:hint="default" w:ascii="Times New Roman" w:hAnsi="Times New Roman" w:eastAsia="宋体" w:cs="Times New Roman"/>
                <w:color w:val="000000" w:themeColor="text1"/>
                <w:sz w:val="24"/>
                <w:lang w:val="en-US" w:eastAsia="zh-CN"/>
                <w14:textFill>
                  <w14:solidFill>
                    <w14:schemeClr w14:val="tx1"/>
                  </w14:solidFill>
                </w14:textFill>
              </w:rPr>
              <w:t>02</w:t>
            </w:r>
            <w:r>
              <w:rPr>
                <w:rFonts w:hint="default" w:ascii="Times New Roman" w:hAnsi="Times New Roman" w:eastAsia="宋体" w:cs="Times New Roman"/>
                <w:color w:val="000000" w:themeColor="text1"/>
                <w:sz w:val="24"/>
                <w14:textFill>
                  <w14:solidFill>
                    <w14:schemeClr w14:val="tx1"/>
                  </w14:solidFill>
                </w14:textFill>
              </w:rPr>
              <w:t>t/d。项目在各施工工区设置可移动式带盖生活垃圾收集桶，收集施工现场的生活垃圾，生活垃圾日产日清，收集后交由环卫部门统一清运。</w:t>
            </w:r>
          </w:p>
          <w:p w14:paraId="7452D54D">
            <w:pPr>
              <w:spacing w:line="360" w:lineRule="auto"/>
              <w:ind w:firstLine="482"/>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项目施工期固废能够得到妥善处理，不会对环境造成二次污染，因此对环境影响较小</w:t>
            </w:r>
            <w:r>
              <w:rPr>
                <w:rFonts w:hint="default" w:ascii="Times New Roman" w:hAnsi="Times New Roman" w:eastAsia="宋体" w:cs="Times New Roman"/>
                <w:bCs/>
                <w:color w:val="000000" w:themeColor="text1"/>
                <w:sz w:val="24"/>
                <w14:textFill>
                  <w14:solidFill>
                    <w14:schemeClr w14:val="tx1"/>
                  </w14:solidFill>
                </w14:textFill>
              </w:rPr>
              <w:t>。</w:t>
            </w:r>
          </w:p>
          <w:p w14:paraId="28CDD3CD">
            <w:pPr>
              <w:spacing w:line="360" w:lineRule="auto"/>
              <w:ind w:firstLine="482"/>
              <w:rPr>
                <w:rFonts w:hint="default" w:ascii="Times New Roman" w:hAnsi="Times New Roman" w:eastAsia="宋体" w:cs="Times New Roman"/>
                <w:b/>
                <w:color w:val="000000" w:themeColor="text1"/>
                <w:sz w:val="24"/>
                <w:szCs w:val="32"/>
                <w14:textFill>
                  <w14:solidFill>
                    <w14:schemeClr w14:val="tx1"/>
                  </w14:solidFill>
                </w14:textFill>
              </w:rPr>
            </w:pPr>
            <w:r>
              <w:rPr>
                <w:rFonts w:hint="default" w:ascii="Times New Roman" w:hAnsi="Times New Roman" w:eastAsia="宋体" w:cs="Times New Roman"/>
                <w:b/>
                <w:color w:val="000000" w:themeColor="text1"/>
                <w:sz w:val="24"/>
                <w:szCs w:val="32"/>
                <w14:textFill>
                  <w14:solidFill>
                    <w14:schemeClr w14:val="tx1"/>
                  </w14:solidFill>
                </w14:textFill>
              </w:rPr>
              <w:t>综上所述，项目施工期在严格落实本次评价提出的上述措施后，其施工期的固体废物可实现资源化利用和妥善处置，不致造成二次污染。</w:t>
            </w:r>
          </w:p>
          <w:p w14:paraId="7B431771">
            <w:pPr>
              <w:autoSpaceDE w:val="0"/>
              <w:autoSpaceDN w:val="0"/>
              <w:adjustRightInd w:val="0"/>
              <w:spacing w:line="360" w:lineRule="auto"/>
              <w:outlineLvl w:val="1"/>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4.1施工期环境影响分析</w:t>
            </w:r>
          </w:p>
          <w:p w14:paraId="57E73E30">
            <w:pPr>
              <w:adjustRightInd w:val="0"/>
              <w:spacing w:line="360" w:lineRule="auto"/>
              <w:outlineLvl w:val="2"/>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4.1.1施工期生态环境影响分析</w:t>
            </w:r>
          </w:p>
          <w:p w14:paraId="1FB37DC9">
            <w:pPr>
              <w:pStyle w:val="16"/>
              <w:pageBreakBefore w:val="0"/>
              <w:wordWrap/>
              <w:bidi w:val="0"/>
              <w:adjustRightInd w:val="0"/>
              <w:snapToGrid w:val="0"/>
              <w:spacing w:line="360" w:lineRule="auto"/>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本工程具有线长、点多、点位分散、施工强度小和工期长的特点，施工期环境影响主要表现为开挖破坏、回填等水土流失，工程建设对水、气、声局部环境影响相对较小。</w:t>
            </w:r>
          </w:p>
          <w:p w14:paraId="6FBBAC33">
            <w:pPr>
              <w:pageBreakBefore w:val="0"/>
              <w:wordWrap/>
              <w:bidi w:val="0"/>
              <w:adjustRightInd w:val="0"/>
              <w:snapToGrid w:val="0"/>
              <w:spacing w:line="360" w:lineRule="auto"/>
              <w:ind w:firstLine="482" w:firstLineChars="200"/>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1、</w:t>
            </w:r>
            <w:r>
              <w:rPr>
                <w:rFonts w:hint="eastAsia" w:ascii="Times New Roman" w:hAnsi="Times New Roman"/>
                <w:b/>
                <w:bCs/>
                <w:color w:val="000000" w:themeColor="text1"/>
                <w:sz w:val="24"/>
                <w14:textFill>
                  <w14:solidFill>
                    <w14:schemeClr w14:val="tx1"/>
                  </w14:solidFill>
                </w14:textFill>
              </w:rPr>
              <w:t>对土地利用的影响及相应措施</w:t>
            </w:r>
          </w:p>
          <w:p w14:paraId="16FA1AAB">
            <w:pPr>
              <w:pageBreakBefore w:val="0"/>
              <w:wordWrap/>
              <w:bidi w:val="0"/>
              <w:adjustRightInd w:val="0"/>
              <w:snapToGrid w:val="0"/>
              <w:spacing w:line="360" w:lineRule="auto"/>
              <w:ind w:firstLine="482" w:firstLineChars="200"/>
              <w:rPr>
                <w:rFonts w:ascii="Times New Roman" w:hAnsi="Times New Roman"/>
                <w:b/>
                <w:bCs/>
                <w:color w:val="000000" w:themeColor="text1"/>
                <w:sz w:val="24"/>
                <w14:textFill>
                  <w14:solidFill>
                    <w14:schemeClr w14:val="tx1"/>
                  </w14:solidFill>
                </w14:textFill>
              </w:rPr>
            </w:pPr>
            <w:r>
              <w:rPr>
                <w:rFonts w:hint="eastAsia" w:ascii="Times New Roman" w:hAnsi="Times New Roman"/>
                <w:b/>
                <w:bCs/>
                <w:color w:val="000000" w:themeColor="text1"/>
                <w:sz w:val="24"/>
                <w14:textFill>
                  <w14:solidFill>
                    <w14:schemeClr w14:val="tx1"/>
                  </w14:solidFill>
                </w14:textFill>
              </w:rPr>
              <w:t>（1）对土地利用的影响分析</w:t>
            </w:r>
          </w:p>
          <w:p w14:paraId="241556C8">
            <w:pPr>
              <w:pageBreakBefore w:val="0"/>
              <w:wordWrap/>
              <w:bidi w:val="0"/>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工程建设对区域土地资源的影响主要集中在</w:t>
            </w:r>
            <w:r>
              <w:rPr>
                <w:rFonts w:hint="eastAsia" w:ascii="Times New Roman" w:hAnsi="Times New Roman"/>
                <w:color w:val="000000" w:themeColor="text1"/>
                <w:sz w:val="24"/>
                <w:lang w:val="en-US" w:eastAsia="zh-CN"/>
                <w14:textFill>
                  <w14:solidFill>
                    <w14:schemeClr w14:val="tx1"/>
                  </w14:solidFill>
                </w14:textFill>
              </w:rPr>
              <w:t>取水头部（</w:t>
            </w:r>
            <w:r>
              <w:rPr>
                <w:rFonts w:hint="eastAsia"/>
                <w:color w:val="000000" w:themeColor="text1"/>
                <w:sz w:val="24"/>
                <w:szCs w:val="24"/>
                <w14:textFill>
                  <w14:solidFill>
                    <w14:schemeClr w14:val="tx1"/>
                  </w14:solidFill>
                </w14:textFill>
              </w:rPr>
              <w:t>包含1处取水口，1座沉砂池</w:t>
            </w:r>
            <w:r>
              <w:rPr>
                <w:rFonts w:hint="eastAsia" w:ascii="Times New Roman" w:hAnsi="Times New Roman"/>
                <w:color w:val="000000" w:themeColor="text1"/>
                <w:sz w:val="24"/>
                <w:lang w:val="en-US" w:eastAsia="zh-CN"/>
                <w14:textFill>
                  <w14:solidFill>
                    <w14:schemeClr w14:val="tx1"/>
                  </w14:solidFill>
                </w14:textFill>
              </w:rPr>
              <w:t>）、2处消能井的永久占地以及</w:t>
            </w:r>
            <w:r>
              <w:rPr>
                <w:rFonts w:hint="eastAsia" w:ascii="Times New Roman" w:hAnsi="Times New Roman"/>
                <w:color w:val="000000" w:themeColor="text1"/>
                <w:sz w:val="24"/>
                <w14:textFill>
                  <w14:solidFill>
                    <w14:schemeClr w14:val="tx1"/>
                  </w14:solidFill>
                </w14:textFill>
              </w:rPr>
              <w:t>输水管网</w:t>
            </w:r>
            <w:r>
              <w:rPr>
                <w:rFonts w:ascii="Times New Roman" w:hAnsi="Times New Roman"/>
                <w:color w:val="000000" w:themeColor="text1"/>
                <w:sz w:val="24"/>
                <w14:textFill>
                  <w14:solidFill>
                    <w14:schemeClr w14:val="tx1"/>
                  </w14:solidFill>
                </w14:textFill>
              </w:rPr>
              <w:t>施工中的</w:t>
            </w:r>
            <w:r>
              <w:rPr>
                <w:rFonts w:hint="eastAsia" w:ascii="Times New Roman" w:hAnsi="Times New Roman"/>
                <w:color w:val="000000" w:themeColor="text1"/>
                <w:sz w:val="24"/>
                <w14:textFill>
                  <w14:solidFill>
                    <w14:schemeClr w14:val="tx1"/>
                  </w14:solidFill>
                </w14:textFill>
              </w:rPr>
              <w:t>临时</w:t>
            </w:r>
            <w:r>
              <w:rPr>
                <w:rFonts w:ascii="Times New Roman" w:hAnsi="Times New Roman"/>
                <w:color w:val="000000" w:themeColor="text1"/>
                <w:sz w:val="24"/>
                <w14:textFill>
                  <w14:solidFill>
                    <w14:schemeClr w14:val="tx1"/>
                  </w14:solidFill>
                </w14:textFill>
              </w:rPr>
              <w:t>占地工程。</w:t>
            </w:r>
          </w:p>
          <w:p w14:paraId="2A794503">
            <w:pPr>
              <w:pageBreakBefore w:val="0"/>
              <w:wordWrap/>
              <w:bidi w:val="0"/>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本工程永久占地、临时占地两部分共计</w:t>
            </w:r>
            <w:r>
              <w:rPr>
                <w:rFonts w:hint="eastAsia" w:ascii="Times New Roman" w:hAnsi="Times New Roman"/>
                <w:color w:val="000000" w:themeColor="text1"/>
                <w:sz w:val="24"/>
                <w:lang w:val="en-US" w:eastAsia="zh-CN"/>
                <w14:textFill>
                  <w14:solidFill>
                    <w14:schemeClr w14:val="tx1"/>
                  </w14:solidFill>
                </w14:textFill>
              </w:rPr>
              <w:t>0.8809</w:t>
            </w:r>
            <w:r>
              <w:rPr>
                <w:rFonts w:hint="eastAsia" w:ascii="Times New Roman" w:hAnsi="Times New Roman"/>
                <w:color w:val="000000" w:themeColor="text1"/>
                <w:sz w:val="24"/>
                <w14:textFill>
                  <w14:solidFill>
                    <w14:schemeClr w14:val="tx1"/>
                  </w14:solidFill>
                </w14:textFill>
              </w:rPr>
              <w:t>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，其中</w:t>
            </w:r>
            <w:r>
              <w:rPr>
                <w:rFonts w:hint="eastAsia" w:ascii="Times New Roman" w:hAnsi="Times New Roman"/>
                <w:color w:val="000000" w:themeColor="text1"/>
                <w:sz w:val="24"/>
                <w:lang w:val="en-US" w:eastAsia="zh-CN"/>
                <w14:textFill>
                  <w14:solidFill>
                    <w14:schemeClr w14:val="tx1"/>
                  </w14:solidFill>
                </w14:textFill>
              </w:rPr>
              <w:t>取水头部和消能池</w:t>
            </w:r>
            <w:r>
              <w:rPr>
                <w:rFonts w:hint="eastAsia" w:ascii="Times New Roman" w:hAnsi="Times New Roman"/>
                <w:color w:val="000000" w:themeColor="text1"/>
                <w:sz w:val="24"/>
                <w14:textFill>
                  <w14:solidFill>
                    <w14:schemeClr w14:val="tx1"/>
                  </w14:solidFill>
                </w14:textFill>
              </w:rPr>
              <w:t>永久占地</w:t>
            </w:r>
            <w:r>
              <w:rPr>
                <w:rFonts w:hint="eastAsia" w:ascii="Times New Roman" w:hAnsi="Times New Roman"/>
                <w:color w:val="000000" w:themeColor="text1"/>
                <w:sz w:val="24"/>
                <w:lang w:val="en-US" w:eastAsia="zh-CN"/>
                <w14:textFill>
                  <w14:solidFill>
                    <w14:schemeClr w14:val="tx1"/>
                  </w14:solidFill>
                </w14:textFill>
              </w:rPr>
              <w:t>0.0263</w:t>
            </w:r>
            <w:r>
              <w:rPr>
                <w:rFonts w:hint="eastAsia" w:ascii="Times New Roman" w:hAnsi="Times New Roman"/>
                <w:color w:val="000000" w:themeColor="text1"/>
                <w:sz w:val="24"/>
                <w14:textFill>
                  <w14:solidFill>
                    <w14:schemeClr w14:val="tx1"/>
                  </w14:solidFill>
                </w14:textFill>
              </w:rPr>
              <w:t>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w:t>
            </w:r>
            <w:r>
              <w:rPr>
                <w:rFonts w:hint="eastAsia"/>
                <w:color w:val="000000" w:themeColor="text1"/>
                <w:sz w:val="24"/>
                <w:szCs w:val="24"/>
                <w14:textFill>
                  <w14:solidFill>
                    <w14:schemeClr w14:val="tx1"/>
                  </w14:solidFill>
                </w14:textFill>
              </w:rPr>
              <w:t>占地类型为灌木林地和设施农用地</w:t>
            </w:r>
            <w:r>
              <w:rPr>
                <w:rFonts w:hint="eastAsia" w:ascii="Times New Roman" w:hAnsi="Times New Roman"/>
                <w:color w:val="000000" w:themeColor="text1"/>
                <w:sz w:val="24"/>
                <w14:textFill>
                  <w14:solidFill>
                    <w14:schemeClr w14:val="tx1"/>
                  </w14:solidFill>
                </w14:textFill>
              </w:rPr>
              <w:t>；施工临时占地</w:t>
            </w:r>
            <w:r>
              <w:rPr>
                <w:rFonts w:hint="eastAsia" w:ascii="Times New Roman" w:hAnsi="Times New Roman"/>
                <w:color w:val="000000" w:themeColor="text1"/>
                <w:sz w:val="24"/>
                <w:lang w:val="en-US" w:eastAsia="zh-CN"/>
                <w14:textFill>
                  <w14:solidFill>
                    <w14:schemeClr w14:val="tx1"/>
                  </w14:solidFill>
                </w14:textFill>
              </w:rPr>
              <w:t>0.8546</w:t>
            </w:r>
            <w:r>
              <w:rPr>
                <w:rFonts w:hint="eastAsia" w:ascii="Times New Roman" w:hAnsi="Times New Roman"/>
                <w:color w:val="000000" w:themeColor="text1"/>
                <w:sz w:val="24"/>
                <w14:textFill>
                  <w14:solidFill>
                    <w14:schemeClr w14:val="tx1"/>
                  </w14:solidFill>
                </w14:textFill>
              </w:rPr>
              <w:t>hm</w:t>
            </w:r>
            <w:r>
              <w:rPr>
                <w:rFonts w:hint="eastAsia" w:ascii="Times New Roman" w:hAnsi="Times New Roman"/>
                <w:color w:val="000000" w:themeColor="text1"/>
                <w:sz w:val="24"/>
                <w:vertAlign w:val="superscript"/>
                <w14:textFill>
                  <w14:solidFill>
                    <w14:schemeClr w14:val="tx1"/>
                  </w14:solidFill>
                </w14:textFill>
              </w:rPr>
              <w:t>2</w:t>
            </w:r>
            <w:r>
              <w:rPr>
                <w:rFonts w:hint="eastAsia" w:ascii="Times New Roman" w:hAnsi="Times New Roman"/>
                <w:color w:val="000000" w:themeColor="text1"/>
                <w:sz w:val="24"/>
                <w14:textFill>
                  <w14:solidFill>
                    <w14:schemeClr w14:val="tx1"/>
                  </w14:solidFill>
                </w14:textFill>
              </w:rPr>
              <w:t>，</w:t>
            </w:r>
            <w:r>
              <w:rPr>
                <w:rFonts w:hint="eastAsia" w:ascii="Times New Roman" w:hAnsi="Times New Roman"/>
                <w:color w:val="000000" w:themeColor="text1"/>
                <w:sz w:val="24"/>
                <w:lang w:val="en-US" w:eastAsia="zh-CN"/>
                <w14:textFill>
                  <w14:solidFill>
                    <w14:schemeClr w14:val="tx1"/>
                  </w14:solidFill>
                </w14:textFill>
              </w:rPr>
              <w:t>主要为</w:t>
            </w:r>
            <w:r>
              <w:rPr>
                <w:rFonts w:hint="eastAsia" w:ascii="Times New Roman" w:hAnsi="Times New Roman"/>
                <w:color w:val="000000" w:themeColor="text1"/>
                <w:sz w:val="24"/>
                <w14:textFill>
                  <w14:solidFill>
                    <w14:schemeClr w14:val="tx1"/>
                  </w14:solidFill>
                </w14:textFill>
              </w:rPr>
              <w:t>管道</w:t>
            </w:r>
            <w:r>
              <w:rPr>
                <w:rFonts w:hint="eastAsia" w:ascii="Times New Roman" w:hAnsi="Times New Roman"/>
                <w:color w:val="000000" w:themeColor="text1"/>
                <w:sz w:val="24"/>
                <w:lang w:val="en-US" w:eastAsia="zh-CN"/>
                <w14:textFill>
                  <w14:solidFill>
                    <w14:schemeClr w14:val="tx1"/>
                  </w14:solidFill>
                </w14:textFill>
              </w:rPr>
              <w:t>施工作业带</w:t>
            </w:r>
            <w:r>
              <w:rPr>
                <w:rFonts w:hint="eastAsia" w:ascii="Times New Roman" w:hAnsi="Times New Roman"/>
                <w:color w:val="000000" w:themeColor="text1"/>
                <w:sz w:val="24"/>
                <w14:textFill>
                  <w14:solidFill>
                    <w14:schemeClr w14:val="tx1"/>
                  </w14:solidFill>
                </w14:textFill>
              </w:rPr>
              <w:t>占地</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占地类型包括耕地、</w:t>
            </w:r>
            <w:r>
              <w:rPr>
                <w:rFonts w:hint="eastAsia" w:ascii="Times New Roman" w:hAnsi="Times New Roman"/>
                <w:color w:val="000000" w:themeColor="text1"/>
                <w:sz w:val="24"/>
                <w:lang w:val="en-US" w:eastAsia="zh-CN"/>
                <w14:textFill>
                  <w14:solidFill>
                    <w14:schemeClr w14:val="tx1"/>
                  </w14:solidFill>
                </w14:textFill>
              </w:rPr>
              <w:t>园地、林地、草地、</w:t>
            </w:r>
            <w:r>
              <w:rPr>
                <w:rFonts w:hint="eastAsia" w:ascii="Times New Roman" w:hAnsi="Times New Roman"/>
                <w:color w:val="000000" w:themeColor="text1"/>
                <w:sz w:val="24"/>
                <w14:textFill>
                  <w14:solidFill>
                    <w14:schemeClr w14:val="tx1"/>
                  </w14:solidFill>
                </w14:textFill>
              </w:rPr>
              <w:t>交通运输用地等。利用ArcGIS制作工程评价区土地利用分类图叠加工程布置图，计算项目占地占用评价区土地利用类型。根据叠图分析，占用土地利用类型见下表。</w:t>
            </w:r>
          </w:p>
          <w:p w14:paraId="1CD1E3C9">
            <w:pPr>
              <w:pStyle w:val="165"/>
              <w:numPr>
                <w:ilvl w:val="0"/>
                <w:numId w:val="21"/>
              </w:numPr>
              <w:spacing w:line="240" w:lineRule="auto"/>
              <w:ind w:left="0" w:firstLine="0"/>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本工程占用土地利用类型情况表   hm2</w:t>
            </w:r>
          </w:p>
          <w:tbl>
            <w:tblPr>
              <w:tblStyle w:val="5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2"/>
              <w:gridCol w:w="3180"/>
              <w:gridCol w:w="1896"/>
              <w:gridCol w:w="1896"/>
            </w:tblGrid>
            <w:tr w14:paraId="6F80C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B9BB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序号</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60FD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GB/T21010-2017</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用地类型</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6C8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themeColor="text1"/>
                      <w:sz w:val="21"/>
                      <w:szCs w:val="21"/>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临时占地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DD60">
                  <w:pPr>
                    <w:keepNext w:val="0"/>
                    <w:keepLines w:val="0"/>
                    <w:pageBreakBefore w:val="0"/>
                    <w:kinsoku/>
                    <w:wordWrap/>
                    <w:overflowPunct/>
                    <w:topLinePunct w:val="0"/>
                    <w:autoSpaceDE/>
                    <w:autoSpaceDN/>
                    <w:bidi w:val="0"/>
                    <w:adjustRightInd w:val="0"/>
                    <w:snapToGrid w:val="0"/>
                    <w:jc w:val="center"/>
                    <w:rPr>
                      <w:rFonts w:hint="default" w:ascii="宋体" w:hAnsi="宋体" w:eastAsia="宋体" w:cs="宋体"/>
                      <w:i w:val="0"/>
                      <w:iCs w:val="0"/>
                      <w:color w:val="000000" w:themeColor="text1"/>
                      <w:sz w:val="21"/>
                      <w:szCs w:val="21"/>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u w:val="none"/>
                      <w:lang w:val="en-US" w:eastAsia="zh-CN"/>
                      <w14:textFill>
                        <w14:solidFill>
                          <w14:schemeClr w14:val="tx1"/>
                        </w14:solidFill>
                      </w14:textFill>
                    </w:rPr>
                    <w:t>永久占地</w:t>
                  </w:r>
                </w:p>
              </w:tc>
            </w:tr>
            <w:tr w14:paraId="15D73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EB9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7FBC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耕地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CDE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0.0102</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272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364D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0FD9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A964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园地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75A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0.0115</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168D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7D7C1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47A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4A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林地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15E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0.3136</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F5E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0.0244</w:t>
                  </w:r>
                </w:p>
              </w:tc>
            </w:tr>
            <w:tr w14:paraId="1E1EF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3F6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19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8EFF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草地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FCF5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0.0445</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F151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027B9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3C60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B41F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商服用地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913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0.0011</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D25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7F3BE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7F46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DC29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住宅用地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9E41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0.0112</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4F49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2E29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90D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217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公共管理与公共服务用地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DB64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0.0023</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4E2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7D521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114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AA1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交通运输用地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300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0.448</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A65E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5438E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B077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68B6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水域及水利设施用地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9AD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0.0122</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10A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405F3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B870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9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ACB8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其他土地（包括设施农用地）</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3B2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25C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0.0019</w:t>
                  </w:r>
                </w:p>
              </w:tc>
            </w:tr>
            <w:tr w14:paraId="01A98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6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BC72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合计</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902CC51">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0.8546</w:t>
                  </w:r>
                </w:p>
              </w:tc>
              <w:tc>
                <w:tcPr>
                  <w:tcW w:w="1158"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B43D54">
                  <w:pPr>
                    <w:keepNext w:val="0"/>
                    <w:keepLines w:val="0"/>
                    <w:pageBreakBefore w:val="0"/>
                    <w:widowControl/>
                    <w:suppressLineNumbers w:val="0"/>
                    <w:kinsoku/>
                    <w:wordWrap/>
                    <w:overflowPunct/>
                    <w:topLinePunct w:val="0"/>
                    <w:autoSpaceDE/>
                    <w:autoSpaceDN/>
                    <w:bidi w:val="0"/>
                    <w:adjustRightInd w:val="0"/>
                    <w:snapToGrid w:val="0"/>
                    <w:jc w:val="center"/>
                    <w:textAlignment w:val="bottom"/>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0.0263</w:t>
                  </w:r>
                </w:p>
              </w:tc>
            </w:tr>
          </w:tbl>
          <w:p w14:paraId="20B3ACF0">
            <w:pPr>
              <w:pStyle w:val="16"/>
              <w:pageBreakBefore w:val="0"/>
              <w:wordWrap/>
              <w:bidi w:val="0"/>
              <w:adjustRightInd w:val="0"/>
              <w:snapToGrid w:val="0"/>
              <w:spacing w:line="360" w:lineRule="auto"/>
              <w:ind w:firstLine="482"/>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①永久占地影响分析</w:t>
            </w:r>
          </w:p>
          <w:p w14:paraId="41AC31E2">
            <w:pPr>
              <w:pStyle w:val="16"/>
              <w:pageBreakBefore w:val="0"/>
              <w:wordWrap/>
              <w:bidi w:val="0"/>
              <w:adjustRightInd w:val="0"/>
              <w:snapToGrid w:val="0"/>
              <w:spacing w:line="360" w:lineRule="auto"/>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永久占地将使被占地范围内的土壤理化性质发生改变，破坏原来土壤结构及肥力，导致该范围内的土壤不能或不宜种植。本工程永久占地为</w:t>
            </w:r>
            <w:r>
              <w:rPr>
                <w:rFonts w:hint="eastAsia" w:ascii="Times New Roman" w:hAnsi="Times New Roman"/>
                <w:color w:val="000000" w:themeColor="text1"/>
                <w:sz w:val="24"/>
                <w:szCs w:val="24"/>
                <w:lang w:val="en-US" w:eastAsia="zh-CN"/>
                <w14:textFill>
                  <w14:solidFill>
                    <w14:schemeClr w14:val="tx1"/>
                  </w14:solidFill>
                </w14:textFill>
              </w:rPr>
              <w:t>取水头部和消能池</w:t>
            </w:r>
            <w:r>
              <w:rPr>
                <w:rFonts w:hint="eastAsia"/>
                <w:color w:val="000000" w:themeColor="text1"/>
                <w:sz w:val="24"/>
                <w:szCs w:val="24"/>
                <w14:textFill>
                  <w14:solidFill>
                    <w14:schemeClr w14:val="tx1"/>
                  </w14:solidFill>
                </w14:textFill>
              </w:rPr>
              <w:t>，面积为</w:t>
            </w:r>
            <w:r>
              <w:rPr>
                <w:rFonts w:hint="eastAsia"/>
                <w:color w:val="000000" w:themeColor="text1"/>
                <w:sz w:val="24"/>
                <w:szCs w:val="24"/>
                <w:lang w:val="en-US" w:eastAsia="zh-CN"/>
                <w14:textFill>
                  <w14:solidFill>
                    <w14:schemeClr w14:val="tx1"/>
                  </w14:solidFill>
                </w14:textFill>
              </w:rPr>
              <w:t>0.0263</w:t>
            </w:r>
            <w:r>
              <w:rPr>
                <w:rFonts w:hint="eastAsia"/>
                <w:color w:val="000000" w:themeColor="text1"/>
                <w:sz w:val="24"/>
                <w:szCs w:val="24"/>
                <w14:textFill>
                  <w14:solidFill>
                    <w14:schemeClr w14:val="tx1"/>
                  </w14:solidFill>
                </w14:textFill>
              </w:rPr>
              <w:t>hm</w:t>
            </w:r>
            <w:r>
              <w:rPr>
                <w:rFonts w:hint="eastAsia"/>
                <w:color w:val="000000" w:themeColor="text1"/>
                <w:sz w:val="24"/>
                <w:szCs w:val="24"/>
                <w:vertAlign w:val="superscript"/>
                <w14:textFill>
                  <w14:solidFill>
                    <w14:schemeClr w14:val="tx1"/>
                  </w14:solidFill>
                </w14:textFill>
              </w:rPr>
              <w:t>2</w:t>
            </w:r>
            <w:r>
              <w:rPr>
                <w:rFonts w:hint="eastAsia"/>
                <w:color w:val="000000" w:themeColor="text1"/>
                <w:sz w:val="24"/>
                <w:szCs w:val="24"/>
                <w14:textFill>
                  <w14:solidFill>
                    <w14:schemeClr w14:val="tx1"/>
                  </w14:solidFill>
                </w14:textFill>
              </w:rPr>
              <w:t>，占地类型为</w:t>
            </w:r>
            <w:r>
              <w:rPr>
                <w:rFonts w:hint="eastAsia"/>
                <w:color w:val="000000" w:themeColor="text1"/>
                <w:sz w:val="24"/>
                <w:szCs w:val="24"/>
                <w:lang w:val="en-US" w:eastAsia="zh-CN"/>
                <w14:textFill>
                  <w14:solidFill>
                    <w14:schemeClr w14:val="tx1"/>
                  </w14:solidFill>
                </w14:textFill>
              </w:rPr>
              <w:t>林地和设施农用地</w:t>
            </w:r>
            <w:r>
              <w:rPr>
                <w:rFonts w:hint="eastAsia"/>
                <w:color w:val="000000" w:themeColor="text1"/>
                <w:sz w:val="24"/>
                <w:szCs w:val="24"/>
                <w14:textFill>
                  <w14:solidFill>
                    <w14:schemeClr w14:val="tx1"/>
                  </w14:solidFill>
                </w14:textFill>
              </w:rPr>
              <w:t>。本工程永久占地仅占评价范围面积的0.0</w:t>
            </w:r>
            <w:r>
              <w:rPr>
                <w:rFonts w:hint="eastAsia"/>
                <w:color w:val="000000" w:themeColor="text1"/>
                <w:sz w:val="24"/>
                <w:szCs w:val="24"/>
                <w:lang w:val="en-US" w:eastAsia="zh-CN"/>
                <w14:textFill>
                  <w14:solidFill>
                    <w14:schemeClr w14:val="tx1"/>
                  </w14:solidFill>
                </w14:textFill>
              </w:rPr>
              <w:t>023</w:t>
            </w:r>
            <w:r>
              <w:rPr>
                <w:rFonts w:hint="eastAsia"/>
                <w:color w:val="000000" w:themeColor="text1"/>
                <w:sz w:val="24"/>
                <w:szCs w:val="24"/>
                <w14:textFill>
                  <w14:solidFill>
                    <w14:schemeClr w14:val="tx1"/>
                  </w14:solidFill>
                </w14:textFill>
              </w:rPr>
              <w:t>%，占地比例很小，</w:t>
            </w:r>
            <w:r>
              <w:rPr>
                <w:rFonts w:hint="eastAsia"/>
                <w:color w:val="000000" w:themeColor="text1"/>
                <w:sz w:val="24"/>
                <w:szCs w:val="24"/>
                <w:lang w:val="en-US" w:eastAsia="zh-CN"/>
                <w14:textFill>
                  <w14:solidFill>
                    <w14:schemeClr w14:val="tx1"/>
                  </w14:solidFill>
                </w14:textFill>
              </w:rPr>
              <w:t>且目前永久占用的林地（约0.0244</w:t>
            </w:r>
            <w:r>
              <w:rPr>
                <w:rFonts w:hint="eastAsia"/>
                <w:color w:val="000000" w:themeColor="text1"/>
                <w:sz w:val="24"/>
                <w:szCs w:val="24"/>
                <w14:textFill>
                  <w14:solidFill>
                    <w14:schemeClr w14:val="tx1"/>
                  </w14:solidFill>
                </w14:textFill>
              </w:rPr>
              <w:t>hm</w:t>
            </w:r>
            <w:r>
              <w:rPr>
                <w:rFonts w:hint="eastAsia"/>
                <w:color w:val="000000" w:themeColor="text1"/>
                <w:sz w:val="24"/>
                <w:szCs w:val="24"/>
                <w:vertAlign w:val="superscript"/>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）已取得了《四川省林业和草原局关于准予泸定县城区自来水厂备用水源取水工程新建项目占用林地的行政许可决定》（川林资许准（甘）</w:t>
            </w:r>
            <w:r>
              <w:rPr>
                <w:rFonts w:cs="Times New Roman"/>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2026</w:t>
            </w:r>
            <w:r>
              <w:rPr>
                <w:rFonts w:cs="Times New Roman"/>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24号），后续及时按照该批复的要求办理建设用地手续</w:t>
            </w:r>
            <w:r>
              <w:rPr>
                <w:rFonts w:hint="eastAsia"/>
                <w:color w:val="000000" w:themeColor="text1"/>
                <w:sz w:val="24"/>
                <w:szCs w:val="24"/>
                <w14:textFill>
                  <w14:solidFill>
                    <w14:schemeClr w14:val="tx1"/>
                  </w14:solidFill>
                </w14:textFill>
              </w:rPr>
              <w:t>后，永久占地影响将降到最低。因此，本工程永久占地对区域土地利用格局影响较小。</w:t>
            </w:r>
          </w:p>
          <w:p w14:paraId="5F2A7F11">
            <w:pPr>
              <w:pStyle w:val="16"/>
              <w:pageBreakBefore w:val="0"/>
              <w:wordWrap/>
              <w:bidi w:val="0"/>
              <w:adjustRightInd w:val="0"/>
              <w:snapToGrid w:val="0"/>
              <w:spacing w:line="360" w:lineRule="auto"/>
              <w:ind w:firstLine="482"/>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②临时占地影响分析</w:t>
            </w:r>
          </w:p>
          <w:p w14:paraId="3F4DB062">
            <w:pPr>
              <w:pageBreakBefore w:val="0"/>
              <w:wordWrap/>
              <w:bidi w:val="0"/>
              <w:adjustRightInd w:val="0"/>
              <w:snapToGrid w:val="0"/>
              <w:spacing w:line="360" w:lineRule="auto"/>
              <w:ind w:firstLine="480" w:firstLineChars="200"/>
              <w:rPr>
                <w:rFonts w:hint="eastAsia"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本项目临时占地主要为</w:t>
            </w:r>
            <w:r>
              <w:rPr>
                <w:rFonts w:hint="eastAsia" w:ascii="Times New Roman" w:hAnsi="Times New Roman"/>
                <w:color w:val="000000" w:themeColor="text1"/>
                <w:sz w:val="24"/>
                <w:szCs w:val="24"/>
                <w14:textFill>
                  <w14:solidFill>
                    <w14:schemeClr w14:val="tx1"/>
                  </w14:solidFill>
                </w14:textFill>
              </w:rPr>
              <w:t>管道</w:t>
            </w:r>
            <w:r>
              <w:rPr>
                <w:rFonts w:hint="eastAsia" w:ascii="Times New Roman" w:hAnsi="Times New Roman"/>
                <w:color w:val="000000" w:themeColor="text1"/>
                <w:sz w:val="24"/>
                <w:szCs w:val="24"/>
                <w:lang w:val="en-US" w:eastAsia="zh-CN"/>
                <w14:textFill>
                  <w14:solidFill>
                    <w14:schemeClr w14:val="tx1"/>
                  </w14:solidFill>
                </w14:textFill>
              </w:rPr>
              <w:t>施工作业带占地，施工作业带内主要进行管道开挖以及两侧临时堆土和材料堆放，由于线路沿着已建道路、已开挖施工隧道敷设，因此沿线不设置施工便道。沿线临时占地</w:t>
            </w:r>
            <w:r>
              <w:rPr>
                <w:rFonts w:hint="eastAsia" w:ascii="Times New Roman" w:hAnsi="Times New Roman"/>
                <w:color w:val="000000" w:themeColor="text1"/>
                <w:sz w:val="24"/>
                <w:szCs w:val="24"/>
                <w14:textFill>
                  <w14:solidFill>
                    <w14:schemeClr w14:val="tx1"/>
                  </w14:solidFill>
                </w14:textFill>
              </w:rPr>
              <w:t>面积</w:t>
            </w:r>
            <w:r>
              <w:rPr>
                <w:rFonts w:hint="eastAsia" w:ascii="Times New Roman" w:hAnsi="Times New Roman"/>
                <w:color w:val="000000" w:themeColor="text1"/>
                <w:sz w:val="24"/>
                <w:szCs w:val="24"/>
                <w:lang w:val="en-US" w:eastAsia="zh-CN"/>
                <w14:textFill>
                  <w14:solidFill>
                    <w14:schemeClr w14:val="tx1"/>
                  </w14:solidFill>
                </w14:textFill>
              </w:rPr>
              <w:t>0.8546</w:t>
            </w:r>
            <w:r>
              <w:rPr>
                <w:rFonts w:hint="eastAsia" w:ascii="Times New Roman" w:hAnsi="Times New Roman"/>
                <w:color w:val="000000" w:themeColor="text1"/>
                <w:sz w:val="24"/>
                <w:szCs w:val="24"/>
                <w14:textFill>
                  <w14:solidFill>
                    <w14:schemeClr w14:val="tx1"/>
                  </w14:solidFill>
                </w14:textFill>
              </w:rPr>
              <w:t>hm</w:t>
            </w:r>
            <w:r>
              <w:rPr>
                <w:rFonts w:hint="eastAsia" w:ascii="Times New Roman" w:hAnsi="Times New Roman"/>
                <w:color w:val="000000" w:themeColor="text1"/>
                <w:sz w:val="24"/>
                <w:szCs w:val="24"/>
                <w:vertAlign w:val="superscript"/>
                <w14:textFill>
                  <w14:solidFill>
                    <w14:schemeClr w14:val="tx1"/>
                  </w14:solidFill>
                </w14:textFill>
              </w:rPr>
              <w:t>2</w:t>
            </w:r>
            <w:r>
              <w:rPr>
                <w:rFonts w:hint="eastAsia" w:ascii="Times New Roman" w:hAnsi="Times New Roman"/>
                <w:color w:val="000000" w:themeColor="text1"/>
                <w:sz w:val="24"/>
                <w:szCs w:val="24"/>
                <w14:textFill>
                  <w14:solidFill>
                    <w14:schemeClr w14:val="tx1"/>
                  </w14:solidFill>
                </w14:textFill>
              </w:rPr>
              <w:t>，其中涉及占用</w:t>
            </w:r>
            <w:r>
              <w:rPr>
                <w:rFonts w:hint="eastAsia" w:ascii="Times New Roman" w:hAnsi="Times New Roman"/>
                <w:color w:val="000000" w:themeColor="text1"/>
                <w:sz w:val="24"/>
                <w:szCs w:val="24"/>
                <w:lang w:val="en-US" w:eastAsia="zh-CN"/>
                <w14:textFill>
                  <w14:solidFill>
                    <w14:schemeClr w14:val="tx1"/>
                  </w14:solidFill>
                </w14:textFill>
              </w:rPr>
              <w:t>天然林0.22</w:t>
            </w:r>
            <w:r>
              <w:rPr>
                <w:rFonts w:hint="eastAsia" w:ascii="Times New Roman" w:hAnsi="Times New Roman"/>
                <w:color w:val="000000" w:themeColor="text1"/>
                <w:sz w:val="24"/>
                <w:szCs w:val="24"/>
                <w14:textFill>
                  <w14:solidFill>
                    <w14:schemeClr w14:val="tx1"/>
                  </w14:solidFill>
                </w14:textFill>
              </w:rPr>
              <w:t>hm</w:t>
            </w:r>
            <w:r>
              <w:rPr>
                <w:rFonts w:hint="eastAsia" w:ascii="Times New Roman" w:hAnsi="Times New Roman"/>
                <w:color w:val="000000" w:themeColor="text1"/>
                <w:sz w:val="24"/>
                <w:szCs w:val="24"/>
                <w:vertAlign w:val="superscript"/>
                <w14:textFill>
                  <w14:solidFill>
                    <w14:schemeClr w14:val="tx1"/>
                  </w14:solidFill>
                </w14:textFill>
              </w:rPr>
              <w:t>2</w:t>
            </w:r>
            <w:r>
              <w:rPr>
                <w:rFonts w:hint="eastAsia" w:ascii="Times New Roman" w:hAnsi="Times New Roman"/>
                <w:color w:val="000000" w:themeColor="text1"/>
                <w:sz w:val="24"/>
                <w:szCs w:val="24"/>
                <w14:textFill>
                  <w14:solidFill>
                    <w14:schemeClr w14:val="tx1"/>
                  </w14:solidFill>
                </w14:textFill>
              </w:rPr>
              <w:t>，</w:t>
            </w:r>
            <w:r>
              <w:rPr>
                <w:rFonts w:hint="eastAsia" w:ascii="Times New Roman" w:hAnsi="Times New Roman"/>
                <w:color w:val="000000" w:themeColor="text1"/>
                <w:sz w:val="24"/>
                <w:szCs w:val="24"/>
                <w:lang w:val="en-US" w:eastAsia="zh-CN"/>
                <w14:textFill>
                  <w14:solidFill>
                    <w14:schemeClr w14:val="tx1"/>
                  </w14:solidFill>
                </w14:textFill>
              </w:rPr>
              <w:t>公益林0.36</w:t>
            </w:r>
            <w:r>
              <w:rPr>
                <w:rFonts w:hint="eastAsia" w:ascii="Times New Roman" w:hAnsi="Times New Roman"/>
                <w:color w:val="000000" w:themeColor="text1"/>
                <w:sz w:val="24"/>
                <w:szCs w:val="24"/>
                <w14:textFill>
                  <w14:solidFill>
                    <w14:schemeClr w14:val="tx1"/>
                  </w14:solidFill>
                </w14:textFill>
              </w:rPr>
              <w:t>hm</w:t>
            </w:r>
            <w:r>
              <w:rPr>
                <w:rFonts w:hint="eastAsia" w:ascii="Times New Roman" w:hAnsi="Times New Roman"/>
                <w:color w:val="000000" w:themeColor="text1"/>
                <w:sz w:val="24"/>
                <w:szCs w:val="24"/>
                <w:vertAlign w:val="superscript"/>
                <w14:textFill>
                  <w14:solidFill>
                    <w14:schemeClr w14:val="tx1"/>
                  </w14:solidFill>
                </w14:textFill>
              </w:rPr>
              <w:t>2</w:t>
            </w:r>
            <w:r>
              <w:rPr>
                <w:rFonts w:hint="eastAsia" w:ascii="Times New Roman" w:hAnsi="Times New Roman"/>
                <w:color w:val="000000" w:themeColor="text1"/>
                <w:sz w:val="24"/>
                <w:szCs w:val="24"/>
                <w14:textFill>
                  <w14:solidFill>
                    <w14:schemeClr w14:val="tx1"/>
                  </w14:solidFill>
                </w14:textFill>
              </w:rPr>
              <w:t>，</w:t>
            </w:r>
            <w:r>
              <w:rPr>
                <w:rFonts w:hint="eastAsia" w:ascii="Times New Roman" w:hAnsi="Times New Roman"/>
                <w:color w:val="000000" w:themeColor="text1"/>
                <w:sz w:val="24"/>
                <w:szCs w:val="24"/>
                <w:lang w:val="en-US" w:eastAsia="zh-CN"/>
                <w14:textFill>
                  <w14:solidFill>
                    <w14:schemeClr w14:val="tx1"/>
                  </w14:solidFill>
                </w14:textFill>
              </w:rPr>
              <w:t>沿线不涉及占用基本农田</w:t>
            </w:r>
            <w:r>
              <w:rPr>
                <w:rFonts w:hint="eastAsia" w:ascii="Times New Roman" w:hAnsi="Times New Roman"/>
                <w:color w:val="000000" w:themeColor="text1"/>
                <w:sz w:val="24"/>
                <w:szCs w:val="24"/>
                <w:lang w:eastAsia="zh-CN"/>
                <w14:textFill>
                  <w14:solidFill>
                    <w14:schemeClr w14:val="tx1"/>
                  </w14:solidFill>
                </w14:textFill>
              </w:rPr>
              <w:t>。</w:t>
            </w:r>
          </w:p>
          <w:p w14:paraId="55404902">
            <w:pPr>
              <w:pageBreakBefore w:val="0"/>
              <w:widowControl/>
              <w:wordWrap/>
              <w:bidi w:val="0"/>
              <w:adjustRightInd w:val="0"/>
              <w:snapToGrid w:val="0"/>
              <w:spacing w:line="360" w:lineRule="auto"/>
              <w:ind w:firstLine="480" w:firstLineChars="200"/>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本项目采用分段推进式施工，根据工程施工安排，每个工段施工结束后则进行施工作业面的迹地恢复。</w:t>
            </w:r>
          </w:p>
          <w:p w14:paraId="37282B29">
            <w:pPr>
              <w:pageBreakBefore w:val="0"/>
              <w:widowControl/>
              <w:wordWrap/>
              <w:bidi w:val="0"/>
              <w:adjustRightInd w:val="0"/>
              <w:snapToGrid w:val="0"/>
              <w:spacing w:line="360" w:lineRule="auto"/>
              <w:ind w:firstLine="480" w:firstLineChars="200"/>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本项目施工机械的碾压、施工人员踩踏和材料场的堆放等将使临时占地范围内植被遭到破坏，临时占地需把原来的地表覆盖物等全部清除，对占地范围内的植被和土地资源利用产生影响，可通过采取</w:t>
            </w:r>
            <w:r>
              <w:rPr>
                <w:color w:val="000000" w:themeColor="text1"/>
                <w:sz w:val="24"/>
                <w:szCs w:val="24"/>
                <w14:textFill>
                  <w14:solidFill>
                    <w14:schemeClr w14:val="tx1"/>
                  </w14:solidFill>
                </w14:textFill>
              </w:rPr>
              <w:t>表土</w:t>
            </w:r>
            <w:r>
              <w:rPr>
                <w:rFonts w:hint="eastAsia"/>
                <w:color w:val="000000" w:themeColor="text1"/>
                <w:sz w:val="24"/>
                <w:szCs w:val="24"/>
                <w:lang w:val="en-US" w:eastAsia="zh-CN"/>
                <w14:textFill>
                  <w14:solidFill>
                    <w14:schemeClr w14:val="tx1"/>
                  </w14:solidFill>
                </w14:textFill>
              </w:rPr>
              <w:t>单独</w:t>
            </w:r>
            <w:r>
              <w:rPr>
                <w:color w:val="000000" w:themeColor="text1"/>
                <w:sz w:val="24"/>
                <w:szCs w:val="24"/>
                <w14:textFill>
                  <w14:solidFill>
                    <w14:schemeClr w14:val="tx1"/>
                  </w14:solidFill>
                </w14:textFill>
              </w:rPr>
              <w:t>剥离，</w:t>
            </w:r>
            <w:r>
              <w:rPr>
                <w:rFonts w:hint="eastAsia"/>
                <w:color w:val="000000" w:themeColor="text1"/>
                <w:sz w:val="24"/>
                <w:szCs w:val="24"/>
                <w:lang w:val="en-US" w:eastAsia="zh-CN"/>
                <w14:textFill>
                  <w14:solidFill>
                    <w14:schemeClr w14:val="tx1"/>
                  </w14:solidFill>
                </w14:textFill>
              </w:rPr>
              <w:t>妥善</w:t>
            </w:r>
            <w:r>
              <w:rPr>
                <w:color w:val="000000" w:themeColor="text1"/>
                <w:sz w:val="24"/>
                <w:szCs w:val="24"/>
                <w14:textFill>
                  <w14:solidFill>
                    <w14:schemeClr w14:val="tx1"/>
                  </w14:solidFill>
                </w14:textFill>
              </w:rPr>
              <w:t>存放，分层开挖、分别堆放、分别回填</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做到“三分一回填”，</w:t>
            </w:r>
            <w:r>
              <w:rPr>
                <w:rFonts w:hint="eastAsia"/>
                <w:color w:val="000000" w:themeColor="text1"/>
                <w:sz w:val="24"/>
                <w:szCs w:val="24"/>
                <w:lang w:val="en-US" w:eastAsia="zh-CN"/>
                <w14:textFill>
                  <w14:solidFill>
                    <w14:schemeClr w14:val="tx1"/>
                  </w14:solidFill>
                </w14:textFill>
              </w:rPr>
              <w:t>及时</w:t>
            </w:r>
            <w:r>
              <w:rPr>
                <w:rFonts w:ascii="Times New Roman" w:hAnsi="Times New Roman"/>
                <w:color w:val="000000" w:themeColor="text1"/>
                <w:sz w:val="24"/>
                <w:szCs w:val="24"/>
                <w14:textFill>
                  <w14:solidFill>
                    <w14:schemeClr w14:val="tx1"/>
                  </w14:solidFill>
                </w14:textFill>
              </w:rPr>
              <w:t>在各工段施工结束后将表土</w:t>
            </w:r>
            <w:r>
              <w:rPr>
                <w:rFonts w:hint="eastAsia" w:ascii="Times New Roman" w:hAnsi="Times New Roman"/>
                <w:color w:val="000000" w:themeColor="text1"/>
                <w:sz w:val="24"/>
                <w:szCs w:val="24"/>
                <w14:textFill>
                  <w14:solidFill>
                    <w14:schemeClr w14:val="tx1"/>
                  </w14:solidFill>
                </w14:textFill>
              </w:rPr>
              <w:t>用作</w:t>
            </w:r>
            <w:r>
              <w:rPr>
                <w:rFonts w:ascii="Times New Roman" w:hAnsi="Times New Roman"/>
                <w:color w:val="000000" w:themeColor="text1"/>
                <w:sz w:val="24"/>
                <w:szCs w:val="24"/>
                <w14:textFill>
                  <w14:solidFill>
                    <w14:schemeClr w14:val="tx1"/>
                  </w14:solidFill>
                </w14:textFill>
              </w:rPr>
              <w:t>绿化、复垦</w:t>
            </w:r>
            <w:r>
              <w:rPr>
                <w:rFonts w:hint="eastAsia" w:ascii="Times New Roman" w:hAnsi="Times New Roman"/>
                <w:color w:val="000000" w:themeColor="text1"/>
                <w:sz w:val="24"/>
                <w:szCs w:val="24"/>
                <w14:textFill>
                  <w14:solidFill>
                    <w14:schemeClr w14:val="tx1"/>
                  </w14:solidFill>
                </w14:textFill>
              </w:rPr>
              <w:t>覆土</w:t>
            </w:r>
            <w:r>
              <w:rPr>
                <w:rFonts w:ascii="Times New Roman" w:hAnsi="Times New Roman"/>
                <w:color w:val="000000" w:themeColor="text1"/>
                <w:sz w:val="24"/>
                <w:szCs w:val="24"/>
                <w14:textFill>
                  <w14:solidFill>
                    <w14:schemeClr w14:val="tx1"/>
                  </w14:solidFill>
                </w14:textFill>
              </w:rPr>
              <w:t>进行迹地恢复，恢复原有用地性质，对区域土地资源影响不大。</w:t>
            </w:r>
          </w:p>
          <w:p w14:paraId="6D611B31">
            <w:pPr>
              <w:pageBreakBefore w:val="0"/>
              <w:widowControl/>
              <w:wordWrap/>
              <w:bidi w:val="0"/>
              <w:adjustRightInd w:val="0"/>
              <w:snapToGrid w:val="0"/>
              <w:spacing w:line="360" w:lineRule="auto"/>
              <w:ind w:firstLine="482" w:firstLineChars="200"/>
              <w:rPr>
                <w:rFonts w:hint="eastAsia" w:ascii="Times New Roman" w:hAnsi="Times New Roman"/>
                <w:b/>
                <w:bCs/>
                <w:color w:val="000000" w:themeColor="text1"/>
                <w:sz w:val="24"/>
                <w:szCs w:val="24"/>
                <w:lang w:val="en-US" w:eastAsia="zh-CN"/>
                <w14:textFill>
                  <w14:solidFill>
                    <w14:schemeClr w14:val="tx1"/>
                  </w14:solidFill>
                </w14:textFill>
              </w:rPr>
            </w:pPr>
            <w:r>
              <w:rPr>
                <w:rFonts w:hint="eastAsia" w:ascii="Times New Roman" w:hAnsi="Times New Roman"/>
                <w:b/>
                <w:bCs/>
                <w:color w:val="000000" w:themeColor="text1"/>
                <w:sz w:val="24"/>
                <w:szCs w:val="24"/>
                <w:lang w:val="en-US" w:eastAsia="zh-CN"/>
                <w14:textFill>
                  <w14:solidFill>
                    <w14:schemeClr w14:val="tx1"/>
                  </w14:solidFill>
                </w14:textFill>
              </w:rPr>
              <w:t>③对邻近基本农田影响</w:t>
            </w:r>
            <w:r>
              <w:rPr>
                <w:color w:val="000000" w:themeColor="text1"/>
                <w:sz w:val="24"/>
                <w:szCs w:val="24"/>
                <w14:textFill>
                  <w14:solidFill>
                    <w14:schemeClr w14:val="tx1"/>
                  </w14:solidFill>
                </w14:textFill>
              </w:rPr>
              <w:commentReference w:id="1"/>
            </w:r>
            <w:r>
              <w:rPr>
                <w:rFonts w:hint="eastAsia" w:ascii="Times New Roman" w:hAnsi="Times New Roman"/>
                <w:b/>
                <w:bCs/>
                <w:color w:val="000000" w:themeColor="text1"/>
                <w:sz w:val="24"/>
                <w:szCs w:val="24"/>
                <w:lang w:val="en-US" w:eastAsia="zh-CN"/>
                <w14:textFill>
                  <w14:solidFill>
                    <w14:schemeClr w14:val="tx1"/>
                  </w14:solidFill>
                </w14:textFill>
              </w:rPr>
              <w:t>分析</w:t>
            </w:r>
          </w:p>
          <w:p w14:paraId="45A470C4">
            <w:pPr>
              <w:pageBreakBefore w:val="0"/>
              <w:widowControl/>
              <w:wordWrap/>
              <w:bidi w:val="0"/>
              <w:adjustRightInd w:val="0"/>
              <w:snapToGrid w:val="0"/>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项目与永久基本农田最近距离约2m</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本次施工作业带1m，项目施工不占用基本农田，严格控制施工红线，不会对基本农田耕作层造成影响。但是由于项目距离基本农田较近，因此项目施工产生的扰动仍然会对基本农田造成一定的影响。</w:t>
            </w:r>
          </w:p>
          <w:p w14:paraId="6E80F4D6">
            <w:pPr>
              <w:pageBreakBefore w:val="0"/>
              <w:widowControl/>
              <w:wordWrap/>
              <w:bidi w:val="0"/>
              <w:adjustRightInd w:val="0"/>
              <w:snapToGrid w:val="0"/>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在</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管道工程</w:t>
            </w:r>
            <w:r>
              <w:rPr>
                <w:rFonts w:hint="eastAsia" w:ascii="Times New Roman" w:hAnsi="Times New Roman" w:eastAsia="宋体" w:cs="Times New Roman"/>
                <w:color w:val="000000" w:themeColor="text1"/>
                <w:sz w:val="24"/>
                <w:szCs w:val="24"/>
                <w14:textFill>
                  <w14:solidFill>
                    <w14:schemeClr w14:val="tx1"/>
                  </w14:solidFill>
                </w14:textFill>
              </w:rPr>
              <w:t>施工期间，产生的废气、扬尘、废水、固废等污染物可能会对周边农田造成一定影响，主要影响</w:t>
            </w:r>
            <w:r>
              <w:rPr>
                <w:rFonts w:hint="eastAsia" w:ascii="Times New Roman" w:hAnsi="Times New Roman" w:eastAsia="宋体" w:cs="Times New Roman"/>
                <w:color w:val="000000" w:themeColor="text1"/>
                <w:sz w:val="24"/>
                <w:szCs w:val="24"/>
                <w:lang w:eastAsia="zh-CN"/>
                <w14:textFill>
                  <w14:solidFill>
                    <w14:schemeClr w14:val="tx1"/>
                  </w14:solidFill>
                </w14:textFill>
              </w:rPr>
              <w:t>永久基本农田</w:t>
            </w:r>
            <w:r>
              <w:rPr>
                <w:rFonts w:hint="eastAsia" w:ascii="Times New Roman" w:hAnsi="Times New Roman" w:eastAsia="宋体" w:cs="Times New Roman"/>
                <w:color w:val="000000" w:themeColor="text1"/>
                <w:sz w:val="24"/>
                <w:szCs w:val="24"/>
                <w14:textFill>
                  <w14:solidFill>
                    <w14:schemeClr w14:val="tx1"/>
                  </w14:solidFill>
                </w14:textFill>
              </w:rPr>
              <w:t>上所种植农作物、土壤环境等，可能会对</w:t>
            </w:r>
            <w:r>
              <w:rPr>
                <w:rFonts w:hint="eastAsia" w:ascii="Times New Roman" w:hAnsi="Times New Roman" w:eastAsia="宋体" w:cs="Times New Roman"/>
                <w:color w:val="000000" w:themeColor="text1"/>
                <w:sz w:val="24"/>
                <w:szCs w:val="24"/>
                <w:lang w:eastAsia="zh-CN"/>
                <w14:textFill>
                  <w14:solidFill>
                    <w14:schemeClr w14:val="tx1"/>
                  </w14:solidFill>
                </w14:textFill>
              </w:rPr>
              <w:t>永久基本农田</w:t>
            </w:r>
            <w:r>
              <w:rPr>
                <w:rFonts w:hint="eastAsia" w:ascii="Times New Roman" w:hAnsi="Times New Roman" w:eastAsia="宋体" w:cs="Times New Roman"/>
                <w:color w:val="000000" w:themeColor="text1"/>
                <w:sz w:val="24"/>
                <w:szCs w:val="24"/>
                <w14:textFill>
                  <w14:solidFill>
                    <w14:schemeClr w14:val="tx1"/>
                  </w14:solidFill>
                </w14:textFill>
              </w:rPr>
              <w:t>的种植条件及当季作物产生一定负面影响。但只要施工期</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严格控制施工范围，合理安排施工时序，合理处置施工废水，施工完毕后及时进行迹地恢复，</w:t>
            </w:r>
            <w:r>
              <w:rPr>
                <w:rFonts w:hint="eastAsia" w:ascii="Times New Roman" w:hAnsi="Times New Roman" w:eastAsia="宋体" w:cs="Times New Roman"/>
                <w:color w:val="000000" w:themeColor="text1"/>
                <w:sz w:val="24"/>
                <w:szCs w:val="24"/>
                <w14:textFill>
                  <w14:solidFill>
                    <w14:schemeClr w14:val="tx1"/>
                  </w14:solidFill>
                </w14:textFill>
              </w:rPr>
              <w:t>项目建设完成后，工程对</w:t>
            </w:r>
            <w:r>
              <w:rPr>
                <w:rFonts w:hint="eastAsia" w:ascii="Times New Roman" w:hAnsi="Times New Roman" w:eastAsia="宋体" w:cs="Times New Roman"/>
                <w:color w:val="000000" w:themeColor="text1"/>
                <w:sz w:val="24"/>
                <w:szCs w:val="24"/>
                <w:lang w:eastAsia="zh-CN"/>
                <w14:textFill>
                  <w14:solidFill>
                    <w14:schemeClr w14:val="tx1"/>
                  </w14:solidFill>
                </w14:textFill>
              </w:rPr>
              <w:t>永久基本农田</w:t>
            </w:r>
            <w:r>
              <w:rPr>
                <w:rFonts w:hint="eastAsia" w:ascii="Times New Roman" w:hAnsi="Times New Roman" w:eastAsia="宋体" w:cs="Times New Roman"/>
                <w:color w:val="000000" w:themeColor="text1"/>
                <w:sz w:val="24"/>
                <w:szCs w:val="24"/>
                <w14:textFill>
                  <w14:solidFill>
                    <w14:schemeClr w14:val="tx1"/>
                  </w14:solidFill>
                </w14:textFill>
              </w:rPr>
              <w:t>的影响随着施工期结束消失。</w:t>
            </w:r>
          </w:p>
          <w:p w14:paraId="0C23FC76">
            <w:pPr>
              <w:pageBreakBefore w:val="0"/>
              <w:wordWrap/>
              <w:bidi w:val="0"/>
              <w:adjustRightInd w:val="0"/>
              <w:snapToGrid w:val="0"/>
              <w:spacing w:line="360" w:lineRule="auto"/>
              <w:ind w:firstLine="482" w:firstLineChars="200"/>
              <w:rPr>
                <w:rFonts w:hint="default" w:ascii="Times New Roman" w:hAnsi="Times New Roman" w:eastAsia="宋体"/>
                <w:b/>
                <w:bCs/>
                <w:color w:val="000000" w:themeColor="text1"/>
                <w:sz w:val="24"/>
                <w:szCs w:val="24"/>
                <w:lang w:val="en-US" w:eastAsia="zh-CN"/>
                <w14:textFill>
                  <w14:solidFill>
                    <w14:schemeClr w14:val="tx1"/>
                  </w14:solidFill>
                </w14:textFill>
              </w:rPr>
            </w:pPr>
            <w:r>
              <w:rPr>
                <w:rFonts w:hint="eastAsia" w:ascii="Times New Roman" w:hAnsi="Times New Roman"/>
                <w:b/>
                <w:bCs/>
                <w:color w:val="000000" w:themeColor="text1"/>
                <w:sz w:val="24"/>
                <w:szCs w:val="24"/>
                <w14:textFill>
                  <w14:solidFill>
                    <w14:schemeClr w14:val="tx1"/>
                  </w14:solidFill>
                </w14:textFill>
              </w:rPr>
              <w:t>（2）主要治理措施</w:t>
            </w:r>
            <w:r>
              <w:rPr>
                <w:rFonts w:hint="eastAsia" w:ascii="Times New Roman" w:hAnsi="Times New Roman"/>
                <w:b/>
                <w:bCs/>
                <w:color w:val="000000" w:themeColor="text1"/>
                <w:sz w:val="24"/>
                <w:szCs w:val="24"/>
                <w:lang w:val="en-US" w:eastAsia="zh-CN"/>
                <w14:textFill>
                  <w14:solidFill>
                    <w14:schemeClr w14:val="tx1"/>
                  </w14:solidFill>
                </w14:textFill>
              </w:rPr>
              <w:t>及基本农田保护措施</w:t>
            </w:r>
          </w:p>
          <w:p w14:paraId="5B98FE00">
            <w:pPr>
              <w:pageBreakBefore w:val="0"/>
              <w:wordWrap/>
              <w:bidi w:val="0"/>
              <w:adjustRightInd w:val="0"/>
              <w:snapToGrid w:val="0"/>
              <w:spacing w:line="360" w:lineRule="auto"/>
              <w:ind w:firstLine="480" w:firstLineChars="200"/>
              <w:rPr>
                <w:rFonts w:hint="eastAsia" w:ascii="Times New Roman" w:hAnsi="Times New Roman"/>
                <w:color w:val="000000" w:themeColor="text1"/>
                <w:sz w:val="24"/>
                <w:szCs w:val="24"/>
                <w:lang w:val="en-US"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①</w:t>
            </w:r>
            <w:r>
              <w:rPr>
                <w:rFonts w:ascii="Times New Roman" w:hAnsi="Times New Roman"/>
                <w:color w:val="000000" w:themeColor="text1"/>
                <w:sz w:val="24"/>
                <w:szCs w:val="24"/>
                <w14:textFill>
                  <w14:solidFill>
                    <w14:schemeClr w14:val="tx1"/>
                  </w14:solidFill>
                </w14:textFill>
              </w:rPr>
              <w:t>建设单位承诺在施工前办理相应的</w:t>
            </w:r>
            <w:r>
              <w:rPr>
                <w:rFonts w:hint="eastAsia" w:ascii="Times New Roman" w:hAnsi="Times New Roman"/>
                <w:color w:val="000000" w:themeColor="text1"/>
                <w:sz w:val="24"/>
                <w:szCs w:val="24"/>
                <w:lang w:val="en-US" w:eastAsia="zh-CN"/>
                <w14:textFill>
                  <w14:solidFill>
                    <w14:schemeClr w14:val="tx1"/>
                  </w14:solidFill>
                </w14:textFill>
              </w:rPr>
              <w:t>永久、临时</w:t>
            </w:r>
            <w:r>
              <w:rPr>
                <w:rFonts w:ascii="Times New Roman" w:hAnsi="Times New Roman"/>
                <w:color w:val="000000" w:themeColor="text1"/>
                <w:sz w:val="24"/>
                <w:szCs w:val="24"/>
                <w14:textFill>
                  <w14:solidFill>
                    <w14:schemeClr w14:val="tx1"/>
                  </w14:solidFill>
                </w14:textFill>
              </w:rPr>
              <w:t>用地手续，项目永久占地涉及占用林地</w:t>
            </w:r>
            <w:r>
              <w:rPr>
                <w:rFonts w:hint="eastAsia" w:ascii="Times New Roman" w:hAnsi="Times New Roman"/>
                <w:color w:val="000000" w:themeColor="text1"/>
                <w:sz w:val="24"/>
                <w:szCs w:val="24"/>
                <w:lang w:val="en-US" w:eastAsia="zh-CN"/>
                <w14:textFill>
                  <w14:solidFill>
                    <w14:schemeClr w14:val="tx1"/>
                  </w14:solidFill>
                </w14:textFill>
              </w:rPr>
              <w:t>和设施农用地后续需取得建设用地手续，</w:t>
            </w:r>
            <w:r>
              <w:rPr>
                <w:rFonts w:ascii="Times New Roman" w:hAnsi="Times New Roman"/>
                <w:color w:val="000000" w:themeColor="text1"/>
                <w:sz w:val="24"/>
                <w:szCs w:val="24"/>
                <w14:textFill>
                  <w14:solidFill>
                    <w14:schemeClr w14:val="tx1"/>
                  </w14:solidFill>
                </w14:textFill>
              </w:rPr>
              <w:t>临时用地</w:t>
            </w:r>
            <w:r>
              <w:rPr>
                <w:rFonts w:hint="eastAsia" w:ascii="Times New Roman" w:hAnsi="Times New Roman"/>
                <w:color w:val="000000" w:themeColor="text1"/>
                <w:sz w:val="24"/>
                <w:szCs w:val="24"/>
                <w14:textFill>
                  <w14:solidFill>
                    <w14:schemeClr w14:val="tx1"/>
                  </w14:solidFill>
                </w14:textFill>
              </w:rPr>
              <w:t>占用耕地部分按照当地自然资源局的要求取得相应手续后方可占用</w:t>
            </w:r>
            <w:r>
              <w:rPr>
                <w:rFonts w:hint="eastAsia" w:ascii="Times New Roman" w:hAnsi="Times New Roman"/>
                <w:color w:val="000000" w:themeColor="text1"/>
                <w:sz w:val="24"/>
                <w:szCs w:val="24"/>
                <w:lang w:eastAsia="zh-CN"/>
                <w14:textFill>
                  <w14:solidFill>
                    <w14:schemeClr w14:val="tx1"/>
                  </w14:solidFill>
                </w14:textFill>
              </w:rPr>
              <w:t>，</w:t>
            </w:r>
            <w:r>
              <w:rPr>
                <w:rFonts w:hint="eastAsia" w:ascii="Times New Roman" w:hAnsi="Times New Roman"/>
                <w:color w:val="000000" w:themeColor="text1"/>
                <w:sz w:val="24"/>
                <w:szCs w:val="24"/>
                <w:lang w:val="en-US" w:eastAsia="zh-CN"/>
                <w14:textFill>
                  <w14:solidFill>
                    <w14:schemeClr w14:val="tx1"/>
                  </w14:solidFill>
                </w14:textFill>
              </w:rPr>
              <w:t>占用林地部分需在建设之前取得用林许可，施工完毕后及时采取措施恢复原有用地性质。</w:t>
            </w:r>
          </w:p>
          <w:p w14:paraId="1D05F01D">
            <w:pPr>
              <w:pageBreakBefore w:val="0"/>
              <w:wordWrap/>
              <w:bidi w:val="0"/>
              <w:adjustRightInd w:val="0"/>
              <w:snapToGrid w:val="0"/>
              <w:spacing w:line="360" w:lineRule="auto"/>
              <w:ind w:firstLine="480" w:firstLineChars="200"/>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②</w:t>
            </w:r>
            <w:r>
              <w:rPr>
                <w:rFonts w:hint="eastAsia" w:ascii="Times New Roman" w:hAnsi="Times New Roman" w:eastAsia="宋体" w:cs="Times New Roman"/>
                <w:color w:val="000000" w:themeColor="text1"/>
                <w:sz w:val="24"/>
                <w:szCs w:val="24"/>
                <w14:textFill>
                  <w14:solidFill>
                    <w14:schemeClr w14:val="tx1"/>
                  </w14:solidFill>
                </w14:textFill>
              </w:rPr>
              <w:t>施工时序安排，应选择在农作物收割后进行施工，避开农作物播种、生长季</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370745E3">
            <w:pPr>
              <w:pageBreakBefore w:val="0"/>
              <w:wordWrap/>
              <w:bidi w:val="0"/>
              <w:adjustRightInd w:val="0"/>
              <w:snapToGrid w:val="0"/>
              <w:spacing w:line="360" w:lineRule="auto"/>
              <w:ind w:firstLine="480" w:firstLineChars="200"/>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③</w:t>
            </w:r>
            <w:r>
              <w:rPr>
                <w:rFonts w:hint="eastAsia" w:ascii="Times New Roman" w:hAnsi="Times New Roman" w:eastAsia="宋体" w:cs="Times New Roman"/>
                <w:color w:val="000000" w:themeColor="text1"/>
                <w:sz w:val="24"/>
                <w:szCs w:val="24"/>
                <w14:textFill>
                  <w14:solidFill>
                    <w14:schemeClr w14:val="tx1"/>
                  </w14:solidFill>
                </w14:textFill>
              </w:rPr>
              <w:t>在施工场地边界设置围挡，同时在围挡上设置洒水降尘装置</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223FB77B">
            <w:pPr>
              <w:pageBreakBefore w:val="0"/>
              <w:wordWrap/>
              <w:bidi w:val="0"/>
              <w:adjustRightInd w:val="0"/>
              <w:snapToGrid w:val="0"/>
              <w:spacing w:line="360" w:lineRule="auto"/>
              <w:ind w:firstLine="480" w:firstLineChars="200"/>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④施工废水主要包括车辆冲洗水、管道试压废水、基坑排水，其中车辆冲洗水通过隔油沉淀池沉淀后回用，不外排，管道试压废水通过收集沉淀后回用于除尘过程；基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commentReference w:id="2"/>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坑排水通过设置沉淀池沉淀后部分回用，其余作为清净下水排入施工段下游，上述废水合理处置后均不会排入周边土壤环境，不会对周边基本农田造成影响。</w:t>
            </w:r>
          </w:p>
          <w:p w14:paraId="3FC03E8F">
            <w:pPr>
              <w:pageBreakBefore w:val="0"/>
              <w:wordWrap/>
              <w:bidi w:val="0"/>
              <w:adjustRightInd w:val="0"/>
              <w:snapToGrid w:val="0"/>
              <w:spacing w:line="360" w:lineRule="auto"/>
              <w:ind w:firstLine="480" w:firstLineChars="200"/>
              <w:rPr>
                <w:rFonts w:hint="default" w:ascii="Times New Roman" w:hAnsi="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⑤</w:t>
            </w:r>
            <w:r>
              <w:rPr>
                <w:rFonts w:hint="eastAsia" w:ascii="Times New Roman" w:hAnsi="Times New Roman" w:eastAsia="宋体" w:cs="Times New Roman"/>
                <w:color w:val="000000" w:themeColor="text1"/>
                <w:sz w:val="24"/>
                <w:szCs w:val="24"/>
                <w14:textFill>
                  <w14:solidFill>
                    <w14:schemeClr w14:val="tx1"/>
                  </w14:solidFill>
                </w14:textFill>
              </w:rPr>
              <w:t>严格控制施工范围，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沿着用地红线设置围挡，将临时材料堆场、土石方、施工作业区等均设置在施工作业带内，</w:t>
            </w:r>
            <w:r>
              <w:rPr>
                <w:rFonts w:hint="eastAsia" w:ascii="Times New Roman" w:hAnsi="Times New Roman" w:eastAsia="宋体" w:cs="Times New Roman"/>
                <w:color w:val="000000" w:themeColor="text1"/>
                <w:sz w:val="24"/>
                <w:szCs w:val="24"/>
                <w14:textFill>
                  <w14:solidFill>
                    <w14:schemeClr w14:val="tx1"/>
                  </w14:solidFill>
                </w14:textFill>
              </w:rPr>
              <w:t>不占用</w:t>
            </w:r>
            <w:r>
              <w:rPr>
                <w:rFonts w:hint="eastAsia" w:ascii="Times New Roman" w:hAnsi="Times New Roman" w:eastAsia="宋体" w:cs="Times New Roman"/>
                <w:color w:val="000000" w:themeColor="text1"/>
                <w:sz w:val="24"/>
                <w:szCs w:val="24"/>
                <w:lang w:eastAsia="zh-CN"/>
                <w14:textFill>
                  <w14:solidFill>
                    <w14:schemeClr w14:val="tx1"/>
                  </w14:solidFill>
                </w14:textFill>
              </w:rPr>
              <w:t>永久基本农田</w:t>
            </w:r>
            <w:r>
              <w:rPr>
                <w:rFonts w:hint="eastAsia" w:ascii="Times New Roman" w:hAnsi="Times New Roman" w:eastAsia="宋体" w:cs="Times New Roman"/>
                <w:color w:val="000000" w:themeColor="text1"/>
                <w:sz w:val="24"/>
                <w:szCs w:val="24"/>
                <w14:textFill>
                  <w14:solidFill>
                    <w14:schemeClr w14:val="tx1"/>
                  </w14:solidFill>
                </w14:textFill>
              </w:rPr>
              <w:t>，同时施工结束后对施工迹地进行清理和植被恢复。</w:t>
            </w:r>
          </w:p>
          <w:p w14:paraId="14520053">
            <w:pPr>
              <w:pageBreakBefore w:val="0"/>
              <w:wordWrap/>
              <w:bidi w:val="0"/>
              <w:adjustRightInd w:val="0"/>
              <w:snapToGrid w:val="0"/>
              <w:spacing w:line="360" w:lineRule="auto"/>
              <w:ind w:firstLine="482" w:firstLineChars="200"/>
              <w:rPr>
                <w:rFonts w:ascii="Times New Roman" w:hAnsi="Times New Roman"/>
                <w:b/>
                <w:bCs/>
                <w:color w:val="000000" w:themeColor="text1"/>
                <w:sz w:val="24"/>
                <w:szCs w:val="24"/>
                <w14:textFill>
                  <w14:solidFill>
                    <w14:schemeClr w14:val="tx1"/>
                  </w14:solidFill>
                </w14:textFill>
              </w:rPr>
            </w:pPr>
            <w:r>
              <w:rPr>
                <w:rFonts w:hint="eastAsia" w:ascii="Times New Roman" w:hAnsi="Times New Roman"/>
                <w:b/>
                <w:bCs/>
                <w:color w:val="000000" w:themeColor="text1"/>
                <w:sz w:val="24"/>
                <w:szCs w:val="24"/>
                <w:lang w:val="en-US" w:eastAsia="zh-CN"/>
                <w14:textFill>
                  <w14:solidFill>
                    <w14:schemeClr w14:val="tx1"/>
                  </w14:solidFill>
                </w14:textFill>
              </w:rPr>
              <w:t>2</w:t>
            </w:r>
            <w:r>
              <w:rPr>
                <w:rFonts w:ascii="Times New Roman" w:hAnsi="Times New Roman"/>
                <w:b/>
                <w:bCs/>
                <w:color w:val="000000" w:themeColor="text1"/>
                <w:sz w:val="24"/>
                <w:szCs w:val="24"/>
                <w14:textFill>
                  <w14:solidFill>
                    <w14:schemeClr w14:val="tx1"/>
                  </w14:solidFill>
                </w14:textFill>
              </w:rPr>
              <w:t>、对植物的影响分析</w:t>
            </w:r>
            <w:r>
              <w:rPr>
                <w:rFonts w:hint="eastAsia" w:ascii="Times New Roman" w:hAnsi="Times New Roman"/>
                <w:b/>
                <w:bCs/>
                <w:color w:val="000000" w:themeColor="text1"/>
                <w:sz w:val="24"/>
                <w:szCs w:val="24"/>
                <w14:textFill>
                  <w14:solidFill>
                    <w14:schemeClr w14:val="tx1"/>
                  </w14:solidFill>
                </w14:textFill>
              </w:rPr>
              <w:t>及相应的治理措施</w:t>
            </w:r>
          </w:p>
          <w:p w14:paraId="1403A892">
            <w:pPr>
              <w:pStyle w:val="16"/>
              <w:pageBreakBefore w:val="0"/>
              <w:wordWrap/>
              <w:bidi w:val="0"/>
              <w:adjustRightInd w:val="0"/>
              <w:snapToGrid w:val="0"/>
              <w:spacing w:line="360" w:lineRule="auto"/>
              <w:ind w:firstLine="482"/>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（1）直接影响</w:t>
            </w:r>
          </w:p>
          <w:p w14:paraId="4A5B6101">
            <w:pPr>
              <w:pStyle w:val="16"/>
              <w:pageBreakBefore w:val="0"/>
              <w:wordWrap/>
              <w:bidi w:val="0"/>
              <w:adjustRightInd w:val="0"/>
              <w:snapToGrid w:val="0"/>
              <w:spacing w:line="360" w:lineRule="auto"/>
              <w:ind w:firstLine="4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在施工期间，工程占地范围内的植物物种和植被将受到直接影响，原有植被被清除，使所在区域植被面积减少并增加破碎化程度；占地区域的植被将因材料、器械等的运输以及施工活动、人员践踏等而受影响，部分物种死亡或生长不好，植被盖度可能会降低。同时，施工也会产生扬尘，扬尘大量累积植物叶面，影响植物长势。</w:t>
            </w:r>
          </w:p>
          <w:p w14:paraId="59D3FE64">
            <w:pPr>
              <w:pStyle w:val="16"/>
              <w:pageBreakBefore w:val="0"/>
              <w:wordWrap/>
              <w:bidi w:val="0"/>
              <w:adjustRightInd w:val="0"/>
              <w:snapToGrid w:val="0"/>
              <w:spacing w:line="360" w:lineRule="auto"/>
              <w:ind w:firstLine="482"/>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①生物量的损失</w:t>
            </w:r>
          </w:p>
          <w:p w14:paraId="751FA4CC">
            <w:pPr>
              <w:pStyle w:val="16"/>
              <w:pageBreakBefore w:val="0"/>
              <w:wordWrap/>
              <w:bidi w:val="0"/>
              <w:adjustRightInd w:val="0"/>
              <w:snapToGrid w:val="0"/>
              <w:spacing w:line="360" w:lineRule="auto"/>
              <w:ind w:firstLine="480"/>
              <w:rPr>
                <w:bCs/>
                <w:color w:val="000000" w:themeColor="text1"/>
                <w:kern w:val="0"/>
                <w:sz w:val="24"/>
                <w:szCs w:val="24"/>
                <w14:textFill>
                  <w14:solidFill>
                    <w14:schemeClr w14:val="tx1"/>
                  </w14:solidFill>
                </w14:textFill>
              </w:rPr>
            </w:pPr>
            <w:r>
              <w:rPr>
                <w:color w:val="000000" w:themeColor="text1"/>
                <w:sz w:val="24"/>
                <w:szCs w:val="24"/>
                <w14:textFill>
                  <w14:solidFill>
                    <w14:schemeClr w14:val="tx1"/>
                  </w14:solidFill>
                </w14:textFill>
              </w:rPr>
              <w:t>利用ArcGIS软件并结合现场勘查，提取出施工期用地将占地面积</w:t>
            </w:r>
            <w:r>
              <w:rPr>
                <w:rFonts w:hint="eastAsia"/>
                <w:color w:val="000000" w:themeColor="text1"/>
                <w:sz w:val="24"/>
                <w:szCs w:val="24"/>
                <w:lang w:val="en-US" w:eastAsia="zh-CN"/>
                <w14:textFill>
                  <w14:solidFill>
                    <w14:schemeClr w14:val="tx1"/>
                  </w14:solidFill>
                </w14:textFill>
              </w:rPr>
              <w:t>0.8809</w:t>
            </w:r>
            <w:r>
              <w:rPr>
                <w:rFonts w:hint="eastAsia"/>
                <w:color w:val="000000" w:themeColor="text1"/>
                <w:sz w:val="24"/>
                <w:szCs w:val="24"/>
                <w14:textFill>
                  <w14:solidFill>
                    <w14:schemeClr w14:val="tx1"/>
                  </w14:solidFill>
                </w14:textFill>
              </w:rPr>
              <w:t>h</w:t>
            </w:r>
            <w:r>
              <w:rPr>
                <w:color w:val="000000" w:themeColor="text1"/>
                <w:sz w:val="24"/>
                <w:szCs w:val="24"/>
                <w14:textFill>
                  <w14:solidFill>
                    <w14:schemeClr w14:val="tx1"/>
                  </w14:solidFill>
                </w14:textFill>
              </w:rPr>
              <w:t>m</w:t>
            </w:r>
            <w:r>
              <w:rPr>
                <w:color w:val="000000" w:themeColor="text1"/>
                <w:sz w:val="24"/>
                <w:szCs w:val="24"/>
                <w:vertAlign w:val="superscript"/>
                <w14:textFill>
                  <w14:solidFill>
                    <w14:schemeClr w14:val="tx1"/>
                  </w14:solidFill>
                </w14:textFill>
              </w:rPr>
              <w:t>2</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根据现状调查，</w:t>
            </w:r>
            <w:r>
              <w:rPr>
                <w:color w:val="000000" w:themeColor="text1"/>
                <w:sz w:val="24"/>
                <w:szCs w:val="24"/>
                <w14:textFill>
                  <w14:solidFill>
                    <w14:schemeClr w14:val="tx1"/>
                  </w14:solidFill>
                </w14:textFill>
              </w:rPr>
              <w:t>工程占地区主要涉及</w:t>
            </w:r>
            <w:r>
              <w:rPr>
                <w:rFonts w:hint="eastAsia"/>
                <w:color w:val="000000" w:themeColor="text1"/>
                <w:sz w:val="24"/>
                <w:szCs w:val="24"/>
                <w:lang w:val="en-US" w:eastAsia="zh-CN"/>
                <w14:textFill>
                  <w14:solidFill>
                    <w14:schemeClr w14:val="tx1"/>
                  </w14:solidFill>
                </w14:textFill>
              </w:rPr>
              <w:t>自然植被主要为</w:t>
            </w:r>
            <w:r>
              <w:rPr>
                <w:color w:val="000000" w:themeColor="text1"/>
                <w:sz w:val="24"/>
                <w:szCs w:val="24"/>
                <w14:textFill>
                  <w14:solidFill>
                    <w14:schemeClr w14:val="tx1"/>
                  </w14:solidFill>
                </w14:textFill>
              </w:rPr>
              <w:t>林地</w:t>
            </w:r>
            <w:r>
              <w:rPr>
                <w:rFonts w:hint="eastAsia"/>
                <w:color w:val="000000" w:themeColor="text1"/>
                <w:sz w:val="24"/>
                <w:szCs w:val="24"/>
                <w:lang w:val="en-US" w:eastAsia="zh-CN"/>
                <w14:textFill>
                  <w14:solidFill>
                    <w14:schemeClr w14:val="tx1"/>
                  </w14:solidFill>
                </w14:textFill>
              </w:rPr>
              <w:t>、草地以及少量耕地、园地</w:t>
            </w:r>
            <w:r>
              <w:rPr>
                <w:color w:val="000000" w:themeColor="text1"/>
                <w:sz w:val="24"/>
                <w:szCs w:val="24"/>
                <w14:textFill>
                  <w14:solidFill>
                    <w14:schemeClr w14:val="tx1"/>
                  </w14:solidFill>
                </w14:textFill>
              </w:rPr>
              <w:t>，受影响的植被主要是</w:t>
            </w:r>
            <w:r>
              <w:rPr>
                <w:rFonts w:hint="eastAsia"/>
                <w:color w:val="000000" w:themeColor="text1"/>
                <w:sz w:val="24"/>
                <w:szCs w:val="24"/>
                <w14:textFill>
                  <w14:solidFill>
                    <w14:schemeClr w14:val="tx1"/>
                  </w14:solidFill>
                </w14:textFill>
              </w:rPr>
              <w:t>森林</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灌丛</w:t>
            </w:r>
            <w:r>
              <w:rPr>
                <w:rFonts w:hint="eastAsia"/>
                <w:color w:val="000000" w:themeColor="text1"/>
                <w:sz w:val="24"/>
                <w:szCs w:val="24"/>
                <w14:textFill>
                  <w14:solidFill>
                    <w14:schemeClr w14:val="tx1"/>
                  </w14:solidFill>
                </w14:textFill>
              </w:rPr>
              <w:t>植被</w:t>
            </w:r>
            <w:r>
              <w:rPr>
                <w:color w:val="000000" w:themeColor="text1"/>
                <w:sz w:val="24"/>
                <w:szCs w:val="24"/>
                <w14:textFill>
                  <w14:solidFill>
                    <w14:schemeClr w14:val="tx1"/>
                  </w14:solidFill>
                </w14:textFill>
              </w:rPr>
              <w:t>以及栽培植被，如</w:t>
            </w:r>
            <w:r>
              <w:rPr>
                <w:rFonts w:hint="eastAsia"/>
                <w:color w:val="000000" w:themeColor="text1"/>
                <w:sz w:val="24"/>
                <w:szCs w:val="24"/>
                <w:lang w:val="en-US" w:eastAsia="zh-CN"/>
                <w14:textFill>
                  <w14:solidFill>
                    <w14:schemeClr w14:val="tx1"/>
                  </w14:solidFill>
                </w14:textFill>
              </w:rPr>
              <w:t>多</w:t>
            </w:r>
            <w:r>
              <w:rPr>
                <w:rFonts w:hint="eastAsia"/>
                <w:color w:val="000000" w:themeColor="text1"/>
                <w:sz w:val="24"/>
                <w:szCs w:val="24"/>
                <w14:textFill>
                  <w14:solidFill>
                    <w14:schemeClr w14:val="tx1"/>
                  </w14:solidFill>
                </w14:textFill>
              </w:rPr>
              <w:t>花胡枝子、</w:t>
            </w:r>
            <w:r>
              <w:rPr>
                <w:rFonts w:hint="eastAsia"/>
                <w:color w:val="000000" w:themeColor="text1"/>
                <w:sz w:val="24"/>
                <w:szCs w:val="24"/>
                <w:lang w:val="en-US" w:eastAsia="zh-CN"/>
                <w14:textFill>
                  <w14:solidFill>
                    <w14:schemeClr w14:val="tx1"/>
                  </w14:solidFill>
                </w14:textFill>
              </w:rPr>
              <w:t>滇</w:t>
            </w:r>
            <w:r>
              <w:rPr>
                <w:rFonts w:hint="eastAsia"/>
                <w:color w:val="000000" w:themeColor="text1"/>
                <w:sz w:val="24"/>
                <w:szCs w:val="24"/>
                <w14:textFill>
                  <w14:solidFill>
                    <w14:schemeClr w14:val="tx1"/>
                  </w14:solidFill>
                </w14:textFill>
              </w:rPr>
              <w:t>青冈</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灌柳、马桑、木蓝、水麻、</w:t>
            </w:r>
            <w:r>
              <w:rPr>
                <w:rFonts w:hint="eastAsia"/>
                <w:color w:val="000000" w:themeColor="text1"/>
                <w:sz w:val="24"/>
                <w:szCs w:val="24"/>
                <w14:textFill>
                  <w14:solidFill>
                    <w14:schemeClr w14:val="tx1"/>
                  </w14:solidFill>
                </w14:textFill>
              </w:rPr>
              <w:t>悬钩子</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青冈、狗尾草、白草、</w:t>
            </w:r>
            <w:r>
              <w:rPr>
                <w:rFonts w:hint="eastAsia"/>
                <w:color w:val="000000" w:themeColor="text1"/>
                <w:sz w:val="24"/>
                <w:szCs w:val="24"/>
                <w14:textFill>
                  <w14:solidFill>
                    <w14:schemeClr w14:val="tx1"/>
                  </w14:solidFill>
                </w14:textFill>
              </w:rPr>
              <w:t>玉米、红薯</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核桃</w:t>
            </w:r>
            <w:r>
              <w:rPr>
                <w:color w:val="000000" w:themeColor="text1"/>
                <w:sz w:val="24"/>
                <w:szCs w:val="24"/>
                <w14:textFill>
                  <w14:solidFill>
                    <w14:schemeClr w14:val="tx1"/>
                  </w14:solidFill>
                </w14:textFill>
              </w:rPr>
              <w:t>等。这些植物群落类型在评价区域广泛分布，群落中受影响的优势物种也是评价区域的常见种，本项目建设不会导致评价区域的植被类型和植物物种消失。</w:t>
            </w:r>
          </w:p>
          <w:p w14:paraId="067B3A18">
            <w:pPr>
              <w:pageBreakBefore w:val="0"/>
              <w:widowControl/>
              <w:wordWrap/>
              <w:bidi w:val="0"/>
              <w:adjustRightInd w:val="0"/>
              <w:snapToGrid w:val="0"/>
              <w:spacing w:line="360" w:lineRule="auto"/>
              <w:ind w:firstLine="480" w:firstLineChars="200"/>
              <w:rPr>
                <w:rFonts w:ascii="Times New Roman" w:hAnsi="Times New Roman"/>
                <w:bCs/>
                <w:color w:val="000000" w:themeColor="text1"/>
                <w:kern w:val="0"/>
                <w:sz w:val="24"/>
                <w:szCs w:val="24"/>
                <w14:textFill>
                  <w14:solidFill>
                    <w14:schemeClr w14:val="tx1"/>
                  </w14:solidFill>
                </w14:textFill>
              </w:rPr>
            </w:pPr>
            <w:r>
              <w:rPr>
                <w:rFonts w:ascii="Times New Roman" w:hAnsi="Times New Roman"/>
                <w:bCs/>
                <w:color w:val="000000" w:themeColor="text1"/>
                <w:kern w:val="0"/>
                <w:sz w:val="24"/>
                <w:szCs w:val="24"/>
                <w14:textFill>
                  <w14:solidFill>
                    <w14:schemeClr w14:val="tx1"/>
                  </w14:solidFill>
                </w14:textFill>
              </w:rPr>
              <w:t>施工占地造成生物量损失如下表所示：</w:t>
            </w:r>
          </w:p>
          <w:p w14:paraId="56781679">
            <w:pPr>
              <w:pStyle w:val="165"/>
              <w:numPr>
                <w:ilvl w:val="0"/>
                <w:numId w:val="21"/>
              </w:numPr>
              <w:spacing w:line="240" w:lineRule="auto"/>
              <w:ind w:left="0" w:firstLine="0"/>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施工期占地植被破坏导致的生物量损失估算表</w:t>
            </w:r>
          </w:p>
          <w:tbl>
            <w:tblPr>
              <w:tblStyle w:val="5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17"/>
              <w:gridCol w:w="2361"/>
              <w:gridCol w:w="716"/>
              <w:gridCol w:w="983"/>
              <w:gridCol w:w="836"/>
              <w:gridCol w:w="836"/>
              <w:gridCol w:w="836"/>
              <w:gridCol w:w="985"/>
            </w:tblGrid>
            <w:tr w14:paraId="531DF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7" w:type="dxa"/>
                  <w:vAlign w:val="center"/>
                </w:tcPr>
                <w:p w14:paraId="5AE6A723">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序号</w:t>
                  </w:r>
                </w:p>
              </w:tc>
              <w:tc>
                <w:tcPr>
                  <w:tcW w:w="2361" w:type="dxa"/>
                  <w:vAlign w:val="center"/>
                </w:tcPr>
                <w:p w14:paraId="76804095">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项目</w:t>
                  </w:r>
                </w:p>
              </w:tc>
              <w:tc>
                <w:tcPr>
                  <w:tcW w:w="716" w:type="dxa"/>
                  <w:vAlign w:val="center"/>
                </w:tcPr>
                <w:p w14:paraId="1E574DC7">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单位</w:t>
                  </w:r>
                </w:p>
              </w:tc>
              <w:tc>
                <w:tcPr>
                  <w:tcW w:w="983" w:type="dxa"/>
                  <w:vAlign w:val="center"/>
                </w:tcPr>
                <w:p w14:paraId="36A82B3B">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林地</w:t>
                  </w:r>
                </w:p>
              </w:tc>
              <w:tc>
                <w:tcPr>
                  <w:tcW w:w="836" w:type="dxa"/>
                  <w:vAlign w:val="center"/>
                </w:tcPr>
                <w:p w14:paraId="58E1E409">
                  <w:pPr>
                    <w:pageBreakBefore w:val="0"/>
                    <w:wordWrap/>
                    <w:bidi w:val="0"/>
                    <w:adjustRightInd w:val="0"/>
                    <w:snapToGrid w:val="0"/>
                    <w:spacing w:line="276" w:lineRule="auto"/>
                    <w:jc w:val="center"/>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草地</w:t>
                  </w:r>
                </w:p>
              </w:tc>
              <w:tc>
                <w:tcPr>
                  <w:tcW w:w="836" w:type="dxa"/>
                  <w:vAlign w:val="center"/>
                </w:tcPr>
                <w:p w14:paraId="30B4CFD4">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耕地</w:t>
                  </w:r>
                </w:p>
              </w:tc>
              <w:tc>
                <w:tcPr>
                  <w:tcW w:w="836" w:type="dxa"/>
                  <w:vAlign w:val="center"/>
                </w:tcPr>
                <w:p w14:paraId="31864B08">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园地</w:t>
                  </w:r>
                </w:p>
              </w:tc>
              <w:tc>
                <w:tcPr>
                  <w:tcW w:w="985" w:type="dxa"/>
                  <w:vAlign w:val="center"/>
                </w:tcPr>
                <w:p w14:paraId="72FB2A23">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合计</w:t>
                  </w:r>
                </w:p>
              </w:tc>
            </w:tr>
            <w:tr w14:paraId="25FD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7" w:type="dxa"/>
                  <w:vAlign w:val="center"/>
                </w:tcPr>
                <w:p w14:paraId="6250EB42">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p>
              </w:tc>
              <w:tc>
                <w:tcPr>
                  <w:tcW w:w="2361" w:type="dxa"/>
                  <w:vAlign w:val="center"/>
                </w:tcPr>
                <w:p w14:paraId="02883249">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平均生物量</w:t>
                  </w:r>
                </w:p>
              </w:tc>
              <w:tc>
                <w:tcPr>
                  <w:tcW w:w="716" w:type="dxa"/>
                  <w:vAlign w:val="center"/>
                </w:tcPr>
                <w:p w14:paraId="209EE062">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t/hm</w:t>
                  </w:r>
                  <w:r>
                    <w:rPr>
                      <w:rFonts w:ascii="Times New Roman" w:hAnsi="Times New Roman"/>
                      <w:color w:val="000000" w:themeColor="text1"/>
                      <w:sz w:val="21"/>
                      <w:szCs w:val="21"/>
                      <w:vertAlign w:val="superscript"/>
                      <w14:textFill>
                        <w14:solidFill>
                          <w14:schemeClr w14:val="tx1"/>
                        </w14:solidFill>
                      </w14:textFill>
                    </w:rPr>
                    <w:t>2</w:t>
                  </w:r>
                </w:p>
              </w:tc>
              <w:tc>
                <w:tcPr>
                  <w:tcW w:w="983" w:type="dxa"/>
                  <w:vAlign w:val="bottom"/>
                </w:tcPr>
                <w:p w14:paraId="2E40A2D2">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48</w:t>
                  </w:r>
                </w:p>
              </w:tc>
              <w:tc>
                <w:tcPr>
                  <w:tcW w:w="836" w:type="dxa"/>
                  <w:vAlign w:val="bottom"/>
                </w:tcPr>
                <w:p w14:paraId="38C2A8CD">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3.229</w:t>
                  </w:r>
                </w:p>
              </w:tc>
              <w:tc>
                <w:tcPr>
                  <w:tcW w:w="836" w:type="dxa"/>
                  <w:vAlign w:val="bottom"/>
                </w:tcPr>
                <w:p w14:paraId="54CB7295">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w:t>
                  </w:r>
                </w:p>
              </w:tc>
              <w:tc>
                <w:tcPr>
                  <w:tcW w:w="836" w:type="dxa"/>
                  <w:vAlign w:val="bottom"/>
                </w:tcPr>
                <w:p w14:paraId="3DE4E0B3">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54.62</w:t>
                  </w:r>
                </w:p>
              </w:tc>
              <w:tc>
                <w:tcPr>
                  <w:tcW w:w="985" w:type="dxa"/>
                  <w:vAlign w:val="bottom"/>
                </w:tcPr>
                <w:p w14:paraId="7F471B58">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63F9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7" w:type="dxa"/>
                  <w:vAlign w:val="center"/>
                </w:tcPr>
                <w:p w14:paraId="7CA135F8">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w:t>
                  </w:r>
                </w:p>
              </w:tc>
              <w:tc>
                <w:tcPr>
                  <w:tcW w:w="2361" w:type="dxa"/>
                  <w:vAlign w:val="center"/>
                </w:tcPr>
                <w:p w14:paraId="6CCE9261">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面积</w:t>
                  </w:r>
                </w:p>
              </w:tc>
              <w:tc>
                <w:tcPr>
                  <w:tcW w:w="716" w:type="dxa"/>
                  <w:vAlign w:val="center"/>
                </w:tcPr>
                <w:p w14:paraId="15FFFDE6">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hm</w:t>
                  </w:r>
                  <w:r>
                    <w:rPr>
                      <w:rFonts w:ascii="Times New Roman" w:hAnsi="Times New Roman"/>
                      <w:color w:val="000000" w:themeColor="text1"/>
                      <w:sz w:val="21"/>
                      <w:szCs w:val="21"/>
                      <w:vertAlign w:val="superscript"/>
                      <w14:textFill>
                        <w14:solidFill>
                          <w14:schemeClr w14:val="tx1"/>
                        </w14:solidFill>
                      </w14:textFill>
                    </w:rPr>
                    <w:t>2</w:t>
                  </w:r>
                </w:p>
              </w:tc>
              <w:tc>
                <w:tcPr>
                  <w:tcW w:w="983" w:type="dxa"/>
                  <w:vAlign w:val="bottom"/>
                </w:tcPr>
                <w:p w14:paraId="6024B586">
                  <w:pPr>
                    <w:keepNext w:val="0"/>
                    <w:keepLines w:val="0"/>
                    <w:widowControl/>
                    <w:suppressLineNumbers w:val="0"/>
                    <w:jc w:val="center"/>
                    <w:textAlignment w:val="bottom"/>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0.338</w:t>
                  </w:r>
                  <w:r>
                    <w:rPr>
                      <w:color w:val="000000" w:themeColor="text1"/>
                      <w:sz w:val="21"/>
                      <w:szCs w:val="21"/>
                      <w14:textFill>
                        <w14:solidFill>
                          <w14:schemeClr w14:val="tx1"/>
                        </w14:solidFill>
                      </w14:textFill>
                    </w:rPr>
                    <w:commentReference w:id="3"/>
                  </w:r>
                </w:p>
              </w:tc>
              <w:tc>
                <w:tcPr>
                  <w:tcW w:w="836" w:type="dxa"/>
                  <w:vAlign w:val="bottom"/>
                </w:tcPr>
                <w:p w14:paraId="781989D9">
                  <w:pPr>
                    <w:keepNext w:val="0"/>
                    <w:keepLines w:val="0"/>
                    <w:widowControl/>
                    <w:suppressLineNumbers w:val="0"/>
                    <w:jc w:val="center"/>
                    <w:textAlignment w:val="bottom"/>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0.0445</w:t>
                  </w:r>
                </w:p>
              </w:tc>
              <w:tc>
                <w:tcPr>
                  <w:tcW w:w="836" w:type="dxa"/>
                  <w:vAlign w:val="bottom"/>
                </w:tcPr>
                <w:p w14:paraId="30D50F8D">
                  <w:pPr>
                    <w:keepNext w:val="0"/>
                    <w:keepLines w:val="0"/>
                    <w:widowControl/>
                    <w:suppressLineNumbers w:val="0"/>
                    <w:jc w:val="center"/>
                    <w:textAlignment w:val="bottom"/>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0.0102</w:t>
                  </w:r>
                </w:p>
              </w:tc>
              <w:tc>
                <w:tcPr>
                  <w:tcW w:w="836" w:type="dxa"/>
                  <w:vAlign w:val="bottom"/>
                </w:tcPr>
                <w:p w14:paraId="17A73B86">
                  <w:pPr>
                    <w:keepNext w:val="0"/>
                    <w:keepLines w:val="0"/>
                    <w:widowControl/>
                    <w:suppressLineNumbers w:val="0"/>
                    <w:jc w:val="center"/>
                    <w:textAlignment w:val="bottom"/>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0.0115</w:t>
                  </w:r>
                </w:p>
              </w:tc>
              <w:tc>
                <w:tcPr>
                  <w:tcW w:w="985" w:type="dxa"/>
                  <w:vAlign w:val="bottom"/>
                </w:tcPr>
                <w:p w14:paraId="3F815A1F">
                  <w:pPr>
                    <w:keepNext w:val="0"/>
                    <w:keepLines w:val="0"/>
                    <w:widowControl/>
                    <w:suppressLineNumbers w:val="0"/>
                    <w:jc w:val="center"/>
                    <w:textAlignment w:val="bottom"/>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0.4042</w:t>
                  </w:r>
                </w:p>
              </w:tc>
            </w:tr>
            <w:tr w14:paraId="1A87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7" w:type="dxa"/>
                  <w:vAlign w:val="center"/>
                </w:tcPr>
                <w:p w14:paraId="4827E201">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w:t>
                  </w:r>
                </w:p>
              </w:tc>
              <w:tc>
                <w:tcPr>
                  <w:tcW w:w="2361" w:type="dxa"/>
                  <w:vAlign w:val="center"/>
                </w:tcPr>
                <w:p w14:paraId="3463969C">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生物量损失</w:t>
                  </w:r>
                </w:p>
              </w:tc>
              <w:tc>
                <w:tcPr>
                  <w:tcW w:w="716" w:type="dxa"/>
                  <w:vAlign w:val="center"/>
                </w:tcPr>
                <w:p w14:paraId="3003C2B3">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w:t>
                  </w:r>
                </w:p>
              </w:tc>
              <w:tc>
                <w:tcPr>
                  <w:tcW w:w="983" w:type="dxa"/>
                  <w:vAlign w:val="bottom"/>
                </w:tcPr>
                <w:p w14:paraId="71C093B8">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29</w:t>
                  </w:r>
                </w:p>
              </w:tc>
              <w:tc>
                <w:tcPr>
                  <w:tcW w:w="836" w:type="dxa"/>
                  <w:vAlign w:val="bottom"/>
                </w:tcPr>
                <w:p w14:paraId="561A8F57">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0.14 </w:t>
                  </w:r>
                </w:p>
              </w:tc>
              <w:tc>
                <w:tcPr>
                  <w:tcW w:w="836" w:type="dxa"/>
                  <w:vAlign w:val="bottom"/>
                </w:tcPr>
                <w:p w14:paraId="37832E55">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0.31 </w:t>
                  </w:r>
                </w:p>
              </w:tc>
              <w:tc>
                <w:tcPr>
                  <w:tcW w:w="836" w:type="dxa"/>
                  <w:vAlign w:val="bottom"/>
                </w:tcPr>
                <w:p w14:paraId="17F89F00">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0.63 </w:t>
                  </w:r>
                </w:p>
              </w:tc>
              <w:tc>
                <w:tcPr>
                  <w:tcW w:w="985" w:type="dxa"/>
                  <w:vAlign w:val="bottom"/>
                </w:tcPr>
                <w:p w14:paraId="2309B43A">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37</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6B28F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617" w:type="dxa"/>
                  <w:vAlign w:val="center"/>
                </w:tcPr>
                <w:p w14:paraId="1D24DC62">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4</w:t>
                  </w:r>
                </w:p>
              </w:tc>
              <w:tc>
                <w:tcPr>
                  <w:tcW w:w="2361" w:type="dxa"/>
                  <w:vAlign w:val="center"/>
                </w:tcPr>
                <w:p w14:paraId="6C023045">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占评价区总生物量</w:t>
                  </w:r>
                </w:p>
              </w:tc>
              <w:tc>
                <w:tcPr>
                  <w:tcW w:w="716" w:type="dxa"/>
                  <w:vAlign w:val="center"/>
                </w:tcPr>
                <w:p w14:paraId="103E7BE7">
                  <w:pPr>
                    <w:pageBreakBefore w:val="0"/>
                    <w:wordWrap/>
                    <w:bidi w:val="0"/>
                    <w:adjustRightInd w:val="0"/>
                    <w:snapToGrid w:val="0"/>
                    <w:spacing w:line="276" w:lineRule="auto"/>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w:t>
                  </w:r>
                </w:p>
              </w:tc>
              <w:tc>
                <w:tcPr>
                  <w:tcW w:w="983" w:type="dxa"/>
                  <w:vAlign w:val="bottom"/>
                </w:tcPr>
                <w:p w14:paraId="42CFBFDC">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836" w:type="dxa"/>
                  <w:vAlign w:val="bottom"/>
                </w:tcPr>
                <w:p w14:paraId="7089DBBB">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0.0003 </w:t>
                  </w:r>
                </w:p>
              </w:tc>
              <w:tc>
                <w:tcPr>
                  <w:tcW w:w="836" w:type="dxa"/>
                  <w:vAlign w:val="bottom"/>
                </w:tcPr>
                <w:p w14:paraId="0DDCD5D2">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0.0007 </w:t>
                  </w:r>
                </w:p>
              </w:tc>
              <w:tc>
                <w:tcPr>
                  <w:tcW w:w="836" w:type="dxa"/>
                  <w:vAlign w:val="bottom"/>
                </w:tcPr>
                <w:p w14:paraId="4AE38F58">
                  <w:pPr>
                    <w:keepNext w:val="0"/>
                    <w:keepLines w:val="0"/>
                    <w:widowControl/>
                    <w:suppressLineNumbers w:val="0"/>
                    <w:jc w:val="center"/>
                    <w:textAlignment w:val="bottom"/>
                    <w:rPr>
                      <w:rFonts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0.0014 </w:t>
                  </w:r>
                </w:p>
              </w:tc>
              <w:tc>
                <w:tcPr>
                  <w:tcW w:w="985" w:type="dxa"/>
                  <w:vAlign w:val="bottom"/>
                </w:tcPr>
                <w:p w14:paraId="3183E525">
                  <w:pPr>
                    <w:keepNext w:val="0"/>
                    <w:keepLines w:val="0"/>
                    <w:widowControl/>
                    <w:suppressLineNumbers w:val="0"/>
                    <w:jc w:val="center"/>
                    <w:textAlignment w:val="bottom"/>
                    <w:rPr>
                      <w:rFonts w:hint="default" w:ascii="Times New Roman" w:hAnsi="Times New Roman" w:cs="Times New Roman"/>
                      <w:color w:val="000000" w:themeColor="text1"/>
                      <w:sz w:val="21"/>
                      <w:szCs w:val="21"/>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0755</w:t>
                  </w:r>
                </w:p>
              </w:tc>
            </w:tr>
          </w:tbl>
          <w:p w14:paraId="1A9E182C">
            <w:pPr>
              <w:pageBreakBefore w:val="0"/>
              <w:wordWrap/>
              <w:bidi w:val="0"/>
              <w:adjustRightInd w:val="0"/>
              <w:snapToGrid w:val="0"/>
              <w:spacing w:before="156" w:beforeLines="50"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由上表可知，施工占地区将使工程占地区的植物全部消失。施工期造成生物损失量为</w:t>
            </w:r>
            <w:r>
              <w:rPr>
                <w:rFonts w:hint="eastAsia" w:ascii="Times New Roman" w:hAnsi="Times New Roman"/>
                <w:color w:val="000000" w:themeColor="text1"/>
                <w:sz w:val="24"/>
                <w:lang w:val="en-US" w:eastAsia="zh-CN"/>
                <w14:textFill>
                  <w14:solidFill>
                    <w14:schemeClr w14:val="tx1"/>
                  </w14:solidFill>
                </w14:textFill>
              </w:rPr>
              <w:t>34.37</w:t>
            </w:r>
            <w:r>
              <w:rPr>
                <w:rFonts w:ascii="Times New Roman" w:hAnsi="Times New Roman"/>
                <w:color w:val="000000" w:themeColor="text1"/>
                <w:sz w:val="24"/>
                <w14:textFill>
                  <w14:solidFill>
                    <w14:schemeClr w14:val="tx1"/>
                  </w14:solidFill>
                </w14:textFill>
              </w:rPr>
              <w:t>t，占评价区生物量总数（</w:t>
            </w:r>
            <w:r>
              <w:rPr>
                <w:rFonts w:hint="eastAsia" w:ascii="Times New Roman" w:hAnsi="Times New Roman"/>
                <w:color w:val="000000" w:themeColor="text1"/>
                <w:sz w:val="24"/>
                <w14:textFill>
                  <w14:solidFill>
                    <w14:schemeClr w14:val="tx1"/>
                  </w14:solidFill>
                </w14:textFill>
              </w:rPr>
              <w:t>45518.45</w:t>
            </w:r>
            <w:r>
              <w:rPr>
                <w:rFonts w:ascii="Times New Roman" w:hAnsi="Times New Roman"/>
                <w:color w:val="000000" w:themeColor="text1"/>
                <w:sz w:val="24"/>
                <w14:textFill>
                  <w14:solidFill>
                    <w14:schemeClr w14:val="tx1"/>
                  </w14:solidFill>
                </w14:textFill>
              </w:rPr>
              <w:t>t）的0.</w:t>
            </w:r>
            <w:r>
              <w:rPr>
                <w:rFonts w:hint="eastAsia" w:ascii="Times New Roman" w:hAnsi="Times New Roman"/>
                <w:color w:val="000000" w:themeColor="text1"/>
                <w:sz w:val="24"/>
                <w:lang w:val="en-US" w:eastAsia="zh-CN"/>
                <w14:textFill>
                  <w14:solidFill>
                    <w14:schemeClr w14:val="tx1"/>
                  </w14:solidFill>
                </w14:textFill>
              </w:rPr>
              <w:t>0755</w:t>
            </w:r>
            <w:r>
              <w:rPr>
                <w:rFonts w:ascii="Times New Roman" w:hAnsi="Times New Roman"/>
                <w:color w:val="000000" w:themeColor="text1"/>
                <w:sz w:val="24"/>
                <w14:textFill>
                  <w14:solidFill>
                    <w14:schemeClr w14:val="tx1"/>
                  </w14:solidFill>
                </w14:textFill>
              </w:rPr>
              <w:t>%，生物量损失不显著。</w:t>
            </w:r>
          </w:p>
          <w:p w14:paraId="2FDEFE26">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由此可见，本项目施工期新增占地仅仅导致占地区植物数量的减少，对整个评价区植物的影响局限在小面积的植物数量减少（生物量损失），不会导致区域植物数量的大面积消失。同时，新增占地区植物为区域植被主要为</w:t>
            </w:r>
            <w:r>
              <w:rPr>
                <w:rFonts w:hint="eastAsia" w:ascii="Times New Roman" w:hAnsi="Times New Roman"/>
                <w:color w:val="000000" w:themeColor="text1"/>
                <w:sz w:val="24"/>
                <w:szCs w:val="24"/>
                <w14:textFill>
                  <w14:solidFill>
                    <w14:schemeClr w14:val="tx1"/>
                  </w14:solidFill>
                </w14:textFill>
              </w:rPr>
              <w:t>多花胡枝子、滇青冈、灌柳、马桑、木蓝、水麻、悬钩子、青冈、狗尾草、白草、玉米、红薯、核桃</w:t>
            </w:r>
            <w:r>
              <w:rPr>
                <w:rFonts w:ascii="Times New Roman" w:hAnsi="Times New Roman"/>
                <w:color w:val="000000" w:themeColor="text1"/>
                <w:sz w:val="24"/>
                <w:szCs w:val="24"/>
                <w14:textFill>
                  <w14:solidFill>
                    <w14:schemeClr w14:val="tx1"/>
                  </w14:solidFill>
                </w14:textFill>
              </w:rPr>
              <w:t>，均属于区域常见植被，项目建设不会导致区域植物多样性的降低。</w:t>
            </w:r>
          </w:p>
          <w:p w14:paraId="37990C6C">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综上所述，本项目施工期新建设施占地导致的植物生物量的损失在区域现有生态环境基础上并不显著，影响较小。</w:t>
            </w:r>
          </w:p>
          <w:p w14:paraId="2FA770F6">
            <w:pPr>
              <w:pStyle w:val="16"/>
              <w:keepNext w:val="0"/>
              <w:keepLines w:val="0"/>
              <w:pageBreakBefore w:val="0"/>
              <w:kinsoku/>
              <w:wordWrap/>
              <w:overflowPunct/>
              <w:topLinePunct w:val="0"/>
              <w:bidi w:val="0"/>
              <w:adjustRightInd w:val="0"/>
              <w:snapToGrid w:val="0"/>
              <w:spacing w:line="360" w:lineRule="auto"/>
              <w:ind w:left="0" w:leftChars="0" w:firstLine="482"/>
              <w:textAlignment w:val="auto"/>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②植物多样性影响分析</w:t>
            </w:r>
          </w:p>
          <w:p w14:paraId="4258336F">
            <w:pPr>
              <w:keepNext w:val="0"/>
              <w:keepLines w:val="0"/>
              <w:pageBreakBefore w:val="0"/>
              <w:widowControl/>
              <w:kinsoku/>
              <w:wordWrap/>
              <w:overflowPunct/>
              <w:topLinePunct w:val="0"/>
              <w:bidi w:val="0"/>
              <w:adjustRightInd w:val="0"/>
              <w:snapToGrid w:val="0"/>
              <w:spacing w:line="360" w:lineRule="auto"/>
              <w:ind w:left="0" w:leftChars="0" w:firstLine="480" w:firstLineChars="200"/>
              <w:textAlignment w:val="auto"/>
              <w:rPr>
                <w:rFonts w:ascii="Times New Roman" w:hAnsi="Times New Roman"/>
                <w:bCs/>
                <w:color w:val="000000" w:themeColor="text1"/>
                <w:kern w:val="0"/>
                <w:sz w:val="24"/>
                <w:szCs w:val="24"/>
                <w14:textFill>
                  <w14:solidFill>
                    <w14:schemeClr w14:val="tx1"/>
                  </w14:solidFill>
                </w14:textFill>
              </w:rPr>
            </w:pPr>
            <w:r>
              <w:rPr>
                <w:rFonts w:ascii="Times New Roman" w:hAnsi="Times New Roman"/>
                <w:bCs/>
                <w:color w:val="000000" w:themeColor="text1"/>
                <w:kern w:val="0"/>
                <w:sz w:val="24"/>
                <w:szCs w:val="24"/>
                <w14:textFill>
                  <w14:solidFill>
                    <w14:schemeClr w14:val="tx1"/>
                  </w14:solidFill>
                </w14:textFill>
              </w:rPr>
              <w:t>根据野外调查，结合该区域历史调查资料，</w:t>
            </w:r>
            <w:r>
              <w:rPr>
                <w:rFonts w:hint="eastAsia" w:ascii="Times New Roman" w:hAnsi="Times New Roman"/>
                <w:color w:val="000000" w:themeColor="text1"/>
                <w:sz w:val="24"/>
                <w:szCs w:val="24"/>
                <w14:textFill>
                  <w14:solidFill>
                    <w14:schemeClr w14:val="tx1"/>
                  </w14:solidFill>
                </w14:textFill>
              </w:rPr>
              <w:t>评价区共有维管束植物</w:t>
            </w:r>
            <w:r>
              <w:rPr>
                <w:rFonts w:hint="eastAsia" w:ascii="Times New Roman" w:hAnsi="Times New Roman"/>
                <w:color w:val="000000" w:themeColor="text1"/>
                <w:sz w:val="24"/>
                <w:szCs w:val="24"/>
                <w:lang w:val="en-US" w:eastAsia="zh-CN"/>
                <w14:textFill>
                  <w14:solidFill>
                    <w14:schemeClr w14:val="tx1"/>
                  </w14:solidFill>
                </w14:textFill>
              </w:rPr>
              <w:t>73</w:t>
            </w:r>
            <w:r>
              <w:rPr>
                <w:rFonts w:hint="eastAsia" w:ascii="Times New Roman" w:hAnsi="Times New Roman"/>
                <w:color w:val="000000" w:themeColor="text1"/>
                <w:sz w:val="24"/>
                <w:szCs w:val="24"/>
                <w14:textFill>
                  <w14:solidFill>
                    <w14:schemeClr w14:val="tx1"/>
                  </w14:solidFill>
                </w14:textFill>
              </w:rPr>
              <w:t>科</w:t>
            </w:r>
            <w:r>
              <w:rPr>
                <w:rFonts w:hint="eastAsia" w:ascii="Times New Roman" w:hAnsi="Times New Roman"/>
                <w:color w:val="000000" w:themeColor="text1"/>
                <w:sz w:val="24"/>
                <w:szCs w:val="24"/>
                <w:lang w:val="en-US" w:eastAsia="zh-CN"/>
                <w14:textFill>
                  <w14:solidFill>
                    <w14:schemeClr w14:val="tx1"/>
                  </w14:solidFill>
                </w14:textFill>
              </w:rPr>
              <w:t>255</w:t>
            </w:r>
            <w:r>
              <w:rPr>
                <w:rFonts w:hint="eastAsia" w:ascii="Times New Roman" w:hAnsi="Times New Roman"/>
                <w:color w:val="000000" w:themeColor="text1"/>
                <w:sz w:val="24"/>
                <w:szCs w:val="24"/>
                <w:lang w:eastAsia="zh-CN"/>
                <w14:textFill>
                  <w14:solidFill>
                    <w14:schemeClr w14:val="tx1"/>
                  </w14:solidFill>
                </w14:textFill>
              </w:rPr>
              <w:t>属</w:t>
            </w:r>
            <w:r>
              <w:rPr>
                <w:rFonts w:hint="eastAsia" w:ascii="Times New Roman" w:hAnsi="Times New Roman"/>
                <w:color w:val="000000" w:themeColor="text1"/>
                <w:sz w:val="24"/>
                <w:szCs w:val="24"/>
                <w:lang w:val="en-US" w:eastAsia="zh-CN"/>
                <w14:textFill>
                  <w14:solidFill>
                    <w14:schemeClr w14:val="tx1"/>
                  </w14:solidFill>
                </w14:textFill>
              </w:rPr>
              <w:t>436</w:t>
            </w:r>
            <w:r>
              <w:rPr>
                <w:rFonts w:hint="eastAsia" w:ascii="Times New Roman" w:hAnsi="Times New Roman"/>
                <w:color w:val="000000" w:themeColor="text1"/>
                <w:sz w:val="24"/>
                <w:szCs w:val="24"/>
                <w14:textFill>
                  <w14:solidFill>
                    <w14:schemeClr w14:val="tx1"/>
                  </w14:solidFill>
                </w14:textFill>
              </w:rPr>
              <w:t>种，其中蕨类植物有1</w:t>
            </w:r>
            <w:r>
              <w:rPr>
                <w:rFonts w:hint="eastAsia" w:ascii="Times New Roman" w:hAnsi="Times New Roman"/>
                <w:color w:val="000000" w:themeColor="text1"/>
                <w:sz w:val="24"/>
                <w:szCs w:val="24"/>
                <w:lang w:val="en-US" w:eastAsia="zh-CN"/>
                <w14:textFill>
                  <w14:solidFill>
                    <w14:schemeClr w14:val="tx1"/>
                  </w14:solidFill>
                </w14:textFill>
              </w:rPr>
              <w:t>1</w:t>
            </w:r>
            <w:r>
              <w:rPr>
                <w:rFonts w:hint="eastAsia" w:ascii="Times New Roman" w:hAnsi="Times New Roman"/>
                <w:color w:val="000000" w:themeColor="text1"/>
                <w:sz w:val="24"/>
                <w:szCs w:val="24"/>
                <w14:textFill>
                  <w14:solidFill>
                    <w14:schemeClr w14:val="tx1"/>
                  </w14:solidFill>
                </w14:textFill>
              </w:rPr>
              <w:t>科</w:t>
            </w:r>
            <w:r>
              <w:rPr>
                <w:rFonts w:hint="eastAsia" w:ascii="Times New Roman" w:hAnsi="Times New Roman"/>
                <w:color w:val="000000" w:themeColor="text1"/>
                <w:sz w:val="24"/>
                <w:szCs w:val="24"/>
                <w:lang w:val="en-US" w:eastAsia="zh-CN"/>
                <w14:textFill>
                  <w14:solidFill>
                    <w14:schemeClr w14:val="tx1"/>
                  </w14:solidFill>
                </w14:textFill>
              </w:rPr>
              <w:t>15</w:t>
            </w:r>
            <w:r>
              <w:rPr>
                <w:rFonts w:hint="eastAsia" w:ascii="Times New Roman" w:hAnsi="Times New Roman"/>
                <w:color w:val="000000" w:themeColor="text1"/>
                <w:sz w:val="24"/>
                <w:szCs w:val="24"/>
                <w14:textFill>
                  <w14:solidFill>
                    <w14:schemeClr w14:val="tx1"/>
                  </w14:solidFill>
                </w14:textFill>
              </w:rPr>
              <w:t>属</w:t>
            </w:r>
            <w:r>
              <w:rPr>
                <w:rFonts w:hint="eastAsia" w:ascii="Times New Roman" w:hAnsi="Times New Roman"/>
                <w:color w:val="000000" w:themeColor="text1"/>
                <w:sz w:val="24"/>
                <w:szCs w:val="24"/>
                <w:lang w:val="en-US" w:eastAsia="zh-CN"/>
                <w14:textFill>
                  <w14:solidFill>
                    <w14:schemeClr w14:val="tx1"/>
                  </w14:solidFill>
                </w14:textFill>
              </w:rPr>
              <w:t>29</w:t>
            </w:r>
            <w:r>
              <w:rPr>
                <w:rFonts w:hint="eastAsia" w:ascii="Times New Roman" w:hAnsi="Times New Roman"/>
                <w:color w:val="000000" w:themeColor="text1"/>
                <w:sz w:val="24"/>
                <w:szCs w:val="24"/>
                <w14:textFill>
                  <w14:solidFill>
                    <w14:schemeClr w14:val="tx1"/>
                  </w14:solidFill>
                </w14:textFill>
              </w:rPr>
              <w:t>种，</w:t>
            </w:r>
            <w:r>
              <w:rPr>
                <w:rFonts w:hint="eastAsia" w:ascii="Times New Roman" w:hAnsi="Times New Roman"/>
                <w:color w:val="000000" w:themeColor="text1"/>
                <w:sz w:val="24"/>
                <w:szCs w:val="24"/>
                <w:lang w:val="en-US" w:eastAsia="zh-CN"/>
                <w14:textFill>
                  <w14:solidFill>
                    <w14:schemeClr w14:val="tx1"/>
                  </w14:solidFill>
                </w14:textFill>
              </w:rPr>
              <w:t>裸子植物1</w:t>
            </w:r>
            <w:r>
              <w:rPr>
                <w:rFonts w:hint="eastAsia" w:ascii="Times New Roman" w:hAnsi="Times New Roman"/>
                <w:color w:val="000000" w:themeColor="text1"/>
                <w:sz w:val="24"/>
                <w:szCs w:val="24"/>
                <w14:textFill>
                  <w14:solidFill>
                    <w14:schemeClr w14:val="tx1"/>
                  </w14:solidFill>
                </w14:textFill>
              </w:rPr>
              <w:t>科</w:t>
            </w:r>
            <w:r>
              <w:rPr>
                <w:rFonts w:hint="eastAsia" w:ascii="Times New Roman" w:hAnsi="Times New Roman"/>
                <w:color w:val="000000" w:themeColor="text1"/>
                <w:sz w:val="24"/>
                <w:szCs w:val="24"/>
                <w:lang w:val="en-US" w:eastAsia="zh-CN"/>
                <w14:textFill>
                  <w14:solidFill>
                    <w14:schemeClr w14:val="tx1"/>
                  </w14:solidFill>
                </w14:textFill>
              </w:rPr>
              <w:t>2</w:t>
            </w:r>
            <w:r>
              <w:rPr>
                <w:rFonts w:hint="eastAsia" w:ascii="Times New Roman" w:hAnsi="Times New Roman"/>
                <w:color w:val="000000" w:themeColor="text1"/>
                <w:sz w:val="24"/>
                <w:szCs w:val="24"/>
                <w14:textFill>
                  <w14:solidFill>
                    <w14:schemeClr w14:val="tx1"/>
                  </w14:solidFill>
                </w14:textFill>
              </w:rPr>
              <w:t>属</w:t>
            </w:r>
            <w:r>
              <w:rPr>
                <w:rFonts w:hint="eastAsia" w:ascii="Times New Roman" w:hAnsi="Times New Roman"/>
                <w:color w:val="000000" w:themeColor="text1"/>
                <w:sz w:val="24"/>
                <w:szCs w:val="24"/>
                <w:lang w:val="en-US" w:eastAsia="zh-CN"/>
                <w14:textFill>
                  <w14:solidFill>
                    <w14:schemeClr w14:val="tx1"/>
                  </w14:solidFill>
                </w14:textFill>
              </w:rPr>
              <w:t>2</w:t>
            </w:r>
            <w:r>
              <w:rPr>
                <w:rFonts w:hint="eastAsia" w:ascii="Times New Roman" w:hAnsi="Times New Roman"/>
                <w:color w:val="000000" w:themeColor="text1"/>
                <w:sz w:val="24"/>
                <w:szCs w:val="24"/>
                <w14:textFill>
                  <w14:solidFill>
                    <w14:schemeClr w14:val="tx1"/>
                  </w14:solidFill>
                </w14:textFill>
              </w:rPr>
              <w:t>种，被子植物有</w:t>
            </w:r>
            <w:r>
              <w:rPr>
                <w:rFonts w:hint="eastAsia" w:ascii="Times New Roman" w:hAnsi="Times New Roman"/>
                <w:color w:val="000000" w:themeColor="text1"/>
                <w:sz w:val="24"/>
                <w:szCs w:val="24"/>
                <w:lang w:val="en-US" w:eastAsia="zh-CN"/>
                <w14:textFill>
                  <w14:solidFill>
                    <w14:schemeClr w14:val="tx1"/>
                  </w14:solidFill>
                </w14:textFill>
              </w:rPr>
              <w:t>60</w:t>
            </w:r>
            <w:r>
              <w:rPr>
                <w:rFonts w:hint="eastAsia" w:ascii="Times New Roman" w:hAnsi="Times New Roman"/>
                <w:color w:val="000000" w:themeColor="text1"/>
                <w:sz w:val="24"/>
                <w:szCs w:val="24"/>
                <w14:textFill>
                  <w14:solidFill>
                    <w14:schemeClr w14:val="tx1"/>
                  </w14:solidFill>
                </w14:textFill>
              </w:rPr>
              <w:t>科</w:t>
            </w:r>
            <w:r>
              <w:rPr>
                <w:rFonts w:hint="eastAsia" w:ascii="Times New Roman" w:hAnsi="Times New Roman"/>
                <w:color w:val="000000" w:themeColor="text1"/>
                <w:sz w:val="24"/>
                <w:szCs w:val="24"/>
                <w:lang w:val="en-US" w:eastAsia="zh-CN"/>
                <w14:textFill>
                  <w14:solidFill>
                    <w14:schemeClr w14:val="tx1"/>
                  </w14:solidFill>
                </w14:textFill>
              </w:rPr>
              <w:t>241</w:t>
            </w:r>
            <w:r>
              <w:rPr>
                <w:rFonts w:hint="eastAsia" w:ascii="Times New Roman" w:hAnsi="Times New Roman"/>
                <w:color w:val="000000" w:themeColor="text1"/>
                <w:sz w:val="24"/>
                <w:szCs w:val="24"/>
                <w14:textFill>
                  <w14:solidFill>
                    <w14:schemeClr w14:val="tx1"/>
                  </w14:solidFill>
                </w14:textFill>
              </w:rPr>
              <w:t>属</w:t>
            </w:r>
            <w:r>
              <w:rPr>
                <w:rFonts w:hint="eastAsia" w:ascii="Times New Roman" w:hAnsi="Times New Roman"/>
                <w:color w:val="000000" w:themeColor="text1"/>
                <w:sz w:val="24"/>
                <w:szCs w:val="24"/>
                <w:lang w:val="en-US" w:eastAsia="zh-CN"/>
                <w14:textFill>
                  <w14:solidFill>
                    <w14:schemeClr w14:val="tx1"/>
                  </w14:solidFill>
                </w14:textFill>
              </w:rPr>
              <w:t>405</w:t>
            </w:r>
            <w:r>
              <w:rPr>
                <w:rFonts w:hint="eastAsia" w:ascii="Times New Roman" w:hAnsi="Times New Roman"/>
                <w:color w:val="000000" w:themeColor="text1"/>
                <w:sz w:val="24"/>
                <w:szCs w:val="24"/>
                <w14:textFill>
                  <w14:solidFill>
                    <w14:schemeClr w14:val="tx1"/>
                  </w14:solidFill>
                </w14:textFill>
              </w:rPr>
              <w:t>种。</w:t>
            </w:r>
            <w:r>
              <w:rPr>
                <w:rFonts w:ascii="Times New Roman" w:hAnsi="Times New Roman"/>
                <w:bCs/>
                <w:color w:val="000000" w:themeColor="text1"/>
                <w:kern w:val="0"/>
                <w:sz w:val="24"/>
                <w:szCs w:val="24"/>
                <w14:textFill>
                  <w14:solidFill>
                    <w14:schemeClr w14:val="tx1"/>
                  </w14:solidFill>
                </w14:textFill>
              </w:rPr>
              <w:t>直接受工程占地影响的自然植物种类主要为</w:t>
            </w:r>
            <w:r>
              <w:rPr>
                <w:rFonts w:hint="eastAsia" w:ascii="Times New Roman" w:hAnsi="Times New Roman"/>
                <w:color w:val="000000" w:themeColor="text1"/>
                <w:sz w:val="24"/>
                <w:szCs w:val="24"/>
                <w14:textFill>
                  <w14:solidFill>
                    <w14:schemeClr w14:val="tx1"/>
                  </w14:solidFill>
                </w14:textFill>
              </w:rPr>
              <w:t>多花胡枝子、滇青冈、灌柳、马桑、木蓝、水麻、悬钩子、青冈、狗尾草、白草等</w:t>
            </w:r>
            <w:r>
              <w:rPr>
                <w:rFonts w:ascii="Times New Roman" w:hAnsi="Times New Roman"/>
                <w:bCs/>
                <w:color w:val="000000" w:themeColor="text1"/>
                <w:kern w:val="0"/>
                <w:sz w:val="24"/>
                <w:szCs w:val="24"/>
                <w14:textFill>
                  <w14:solidFill>
                    <w14:schemeClr w14:val="tx1"/>
                  </w14:solidFill>
                </w14:textFill>
              </w:rPr>
              <w:t>。</w:t>
            </w:r>
          </w:p>
          <w:p w14:paraId="1B4FD426">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bCs/>
                <w:color w:val="000000" w:themeColor="text1"/>
                <w:kern w:val="0"/>
                <w:sz w:val="24"/>
                <w:szCs w:val="24"/>
                <w14:textFill>
                  <w14:solidFill>
                    <w14:schemeClr w14:val="tx1"/>
                  </w14:solidFill>
                </w14:textFill>
              </w:rPr>
            </w:pPr>
            <w:r>
              <w:rPr>
                <w:rFonts w:ascii="Times New Roman" w:hAnsi="Times New Roman"/>
                <w:bCs/>
                <w:color w:val="000000" w:themeColor="text1"/>
                <w:kern w:val="0"/>
                <w:sz w:val="24"/>
                <w:szCs w:val="24"/>
                <w14:textFill>
                  <w14:solidFill>
                    <w14:schemeClr w14:val="tx1"/>
                  </w14:solidFill>
                </w14:textFill>
              </w:rPr>
              <w:t>项目施工期间，占地范围内的植物物种和植被将受到直接影响，原有植被被清除，群落中的乔木、灌木、草本物种植株死亡，使所在区域植被面积减少并增加破碎化程度。在施工建设过程中会使破土区域植物物种被破坏，部分物种植株数量减少；施工区周边植被受到干扰或破坏。土方开挖、弃土堆积会造成部分植物植株因填埋而死亡，造成部分植物数量减少。</w:t>
            </w:r>
          </w:p>
          <w:p w14:paraId="44492FAB">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项目施工占地导致植被的破坏，破坏的植被类型主要是林地中的</w:t>
            </w:r>
            <w:r>
              <w:rPr>
                <w:rFonts w:hint="eastAsia" w:ascii="Times New Roman" w:hAnsi="Times New Roman"/>
                <w:color w:val="000000" w:themeColor="text1"/>
                <w:sz w:val="24"/>
                <w:szCs w:val="24"/>
                <w:lang w:val="en-US" w:eastAsia="zh-CN"/>
                <w14:textFill>
                  <w14:solidFill>
                    <w14:schemeClr w14:val="tx1"/>
                  </w14:solidFill>
                </w14:textFill>
              </w:rPr>
              <w:t>青冈林、胡枝子灌丛、柳灌丛、木蓝、马桑-水麻灌丛</w:t>
            </w:r>
            <w:r>
              <w:rPr>
                <w:rFonts w:ascii="Times New Roman" w:hAnsi="Times New Roman"/>
                <w:color w:val="000000" w:themeColor="text1"/>
                <w:sz w:val="24"/>
                <w:szCs w:val="24"/>
                <w14:textFill>
                  <w14:solidFill>
                    <w14:schemeClr w14:val="tx1"/>
                  </w14:solidFill>
                </w14:textFill>
              </w:rPr>
              <w:t>，面积小（</w:t>
            </w:r>
            <w:r>
              <w:rPr>
                <w:rFonts w:hint="eastAsia" w:ascii="Times New Roman" w:hAnsi="Times New Roman"/>
                <w:color w:val="000000" w:themeColor="text1"/>
                <w:sz w:val="24"/>
                <w:szCs w:val="24"/>
                <w:lang w:val="en-US" w:eastAsia="zh-CN"/>
                <w14:textFill>
                  <w14:solidFill>
                    <w14:schemeClr w14:val="tx1"/>
                  </w14:solidFill>
                </w14:textFill>
              </w:rPr>
              <w:t>0.338</w:t>
            </w:r>
            <w:r>
              <w:rPr>
                <w:rFonts w:ascii="Times New Roman" w:hAnsi="Times New Roman"/>
                <w:color w:val="000000" w:themeColor="text1"/>
                <w:sz w:val="24"/>
                <w:szCs w:val="24"/>
                <w14:textFill>
                  <w14:solidFill>
                    <w14:schemeClr w14:val="tx1"/>
                  </w14:solidFill>
                </w14:textFill>
              </w:rPr>
              <w:t>hm</w:t>
            </w:r>
            <w:r>
              <w:rPr>
                <w:rFonts w:ascii="Times New Roman" w:hAnsi="Times New Roman"/>
                <w:color w:val="000000" w:themeColor="text1"/>
                <w:sz w:val="24"/>
                <w:szCs w:val="24"/>
                <w:vertAlign w:val="superscript"/>
                <w14:textFill>
                  <w14:solidFill>
                    <w14:schemeClr w14:val="tx1"/>
                  </w14:solidFill>
                </w14:textFill>
              </w:rPr>
              <w:t>2</w:t>
            </w:r>
            <w:r>
              <w:rPr>
                <w:rFonts w:ascii="Times New Roman" w:hAnsi="Times New Roman"/>
                <w:color w:val="000000" w:themeColor="text1"/>
                <w:sz w:val="24"/>
                <w:szCs w:val="24"/>
                <w14:textFill>
                  <w14:solidFill>
                    <w14:schemeClr w14:val="tx1"/>
                  </w14:solidFill>
                </w14:textFill>
              </w:rPr>
              <w:t>），占评价区的林地（</w:t>
            </w:r>
            <w:r>
              <w:rPr>
                <w:rFonts w:hint="eastAsia" w:ascii="Times New Roman" w:hAnsi="Times New Roman"/>
                <w:color w:val="000000" w:themeColor="text1"/>
                <w:sz w:val="24"/>
                <w:szCs w:val="24"/>
                <w:lang w:val="en-US" w:eastAsia="zh-CN"/>
                <w14:textFill>
                  <w14:solidFill>
                    <w14:schemeClr w14:val="tx1"/>
                  </w14:solidFill>
                </w14:textFill>
              </w:rPr>
              <w:t>753.96</w:t>
            </w:r>
            <w:r>
              <w:rPr>
                <w:rFonts w:ascii="Times New Roman" w:hAnsi="Times New Roman"/>
                <w:color w:val="000000" w:themeColor="text1"/>
                <w:sz w:val="24"/>
                <w:szCs w:val="24"/>
                <w14:textFill>
                  <w14:solidFill>
                    <w14:schemeClr w14:val="tx1"/>
                  </w14:solidFill>
                </w14:textFill>
              </w:rPr>
              <w:t>hm</w:t>
            </w:r>
            <w:r>
              <w:rPr>
                <w:rFonts w:ascii="Times New Roman" w:hAnsi="Times New Roman"/>
                <w:color w:val="000000" w:themeColor="text1"/>
                <w:sz w:val="24"/>
                <w:szCs w:val="24"/>
                <w:vertAlign w:val="superscript"/>
                <w14:textFill>
                  <w14:solidFill>
                    <w14:schemeClr w14:val="tx1"/>
                  </w14:solidFill>
                </w14:textFill>
              </w:rPr>
              <w:t>2</w:t>
            </w:r>
            <w:r>
              <w:rPr>
                <w:rFonts w:ascii="Times New Roman" w:hAnsi="Times New Roman"/>
                <w:color w:val="000000" w:themeColor="text1"/>
                <w:sz w:val="24"/>
                <w:szCs w:val="24"/>
                <w14:textFill>
                  <w14:solidFill>
                    <w14:schemeClr w14:val="tx1"/>
                  </w14:solidFill>
                </w14:textFill>
              </w:rPr>
              <w:t>）的0.</w:t>
            </w:r>
            <w:r>
              <w:rPr>
                <w:rFonts w:hint="eastAsia" w:ascii="Times New Roman" w:hAnsi="Times New Roman"/>
                <w:color w:val="000000" w:themeColor="text1"/>
                <w:sz w:val="24"/>
                <w:szCs w:val="24"/>
                <w:lang w:val="en-US" w:eastAsia="zh-CN"/>
                <w14:textFill>
                  <w14:solidFill>
                    <w14:schemeClr w14:val="tx1"/>
                  </w14:solidFill>
                </w14:textFill>
              </w:rPr>
              <w:t>045</w:t>
            </w:r>
            <w:r>
              <w:rPr>
                <w:rFonts w:ascii="Times New Roman" w:hAnsi="Times New Roman"/>
                <w:color w:val="000000" w:themeColor="text1"/>
                <w:sz w:val="24"/>
                <w:szCs w:val="24"/>
                <w14:textFill>
                  <w14:solidFill>
                    <w14:schemeClr w14:val="tx1"/>
                  </w14:solidFill>
                </w14:textFill>
              </w:rPr>
              <w:t>%，</w:t>
            </w:r>
            <w:r>
              <w:rPr>
                <w:rFonts w:hint="eastAsia" w:ascii="Times New Roman" w:hAnsi="Times New Roman"/>
                <w:color w:val="000000" w:themeColor="text1"/>
                <w:sz w:val="24"/>
                <w:szCs w:val="24"/>
                <w14:textFill>
                  <w14:solidFill>
                    <w14:schemeClr w14:val="tx1"/>
                  </w14:solidFill>
                </w14:textFill>
              </w:rPr>
              <w:t>且项目采取分段施工，分段回填，分别进行迹地恢复和</w:t>
            </w:r>
            <w:r>
              <w:rPr>
                <w:rFonts w:ascii="Times New Roman" w:hAnsi="Times New Roman"/>
                <w:color w:val="000000" w:themeColor="text1"/>
                <w:sz w:val="24"/>
                <w:szCs w:val="24"/>
                <w14:textFill>
                  <w14:solidFill>
                    <w14:schemeClr w14:val="tx1"/>
                  </w14:solidFill>
                </w14:textFill>
              </w:rPr>
              <w:t>绿化，可</w:t>
            </w:r>
            <w:r>
              <w:rPr>
                <w:rFonts w:hint="eastAsia" w:ascii="Times New Roman" w:hAnsi="Times New Roman"/>
                <w:color w:val="000000" w:themeColor="text1"/>
                <w:sz w:val="24"/>
                <w:szCs w:val="24"/>
                <w14:textFill>
                  <w14:solidFill>
                    <w14:schemeClr w14:val="tx1"/>
                  </w14:solidFill>
                </w14:textFill>
              </w:rPr>
              <w:t>进一步减少对植被的扰动时间，</w:t>
            </w:r>
            <w:r>
              <w:rPr>
                <w:rFonts w:ascii="Times New Roman" w:hAnsi="Times New Roman"/>
                <w:color w:val="000000" w:themeColor="text1"/>
                <w:sz w:val="24"/>
                <w:szCs w:val="24"/>
                <w14:textFill>
                  <w14:solidFill>
                    <w14:schemeClr w14:val="tx1"/>
                  </w14:solidFill>
                </w14:textFill>
              </w:rPr>
              <w:t>增加区域植被面积。根据区域水热条件，在工程措施的辅助下，对占地区进一步种植</w:t>
            </w:r>
            <w:r>
              <w:rPr>
                <w:rFonts w:hint="eastAsia" w:ascii="Times New Roman" w:hAnsi="Times New Roman"/>
                <w:color w:val="000000" w:themeColor="text1"/>
                <w:sz w:val="24"/>
                <w:szCs w:val="24"/>
                <w:lang w:val="en-US" w:eastAsia="zh-CN"/>
                <w14:textFill>
                  <w14:solidFill>
                    <w14:schemeClr w14:val="tx1"/>
                  </w14:solidFill>
                </w14:textFill>
              </w:rPr>
              <w:t>刺槐</w:t>
            </w:r>
            <w:r>
              <w:rPr>
                <w:rFonts w:ascii="Times New Roman" w:hAnsi="Times New Roman"/>
                <w:color w:val="000000" w:themeColor="text1"/>
                <w:sz w:val="24"/>
                <w:szCs w:val="24"/>
                <w14:textFill>
                  <w14:solidFill>
                    <w14:schemeClr w14:val="tx1"/>
                  </w14:solidFill>
                </w14:textFill>
              </w:rPr>
              <w:t>等直接恢复绿化，同时辅助相应的灌木、草本，2～3年即可恢复较高的植被覆盖率，使植被影响得到一定的缓解。</w:t>
            </w:r>
          </w:p>
          <w:p w14:paraId="074D5958">
            <w:pPr>
              <w:keepNext w:val="0"/>
              <w:keepLines w:val="0"/>
              <w:pageBreakBefore w:val="0"/>
              <w:widowControl/>
              <w:kinsoku/>
              <w:wordWrap/>
              <w:overflowPunct/>
              <w:topLinePunct w:val="0"/>
              <w:bidi w:val="0"/>
              <w:adjustRightInd w:val="0"/>
              <w:snapToGrid w:val="0"/>
              <w:spacing w:line="360" w:lineRule="auto"/>
              <w:ind w:left="0" w:leftChars="0" w:firstLine="480" w:firstLineChars="200"/>
              <w:textAlignment w:val="auto"/>
              <w:rPr>
                <w:rFonts w:ascii="Times New Roman" w:hAnsi="Times New Roman"/>
                <w:bCs/>
                <w:color w:val="000000" w:themeColor="text1"/>
                <w:kern w:val="0"/>
                <w:sz w:val="24"/>
                <w:szCs w:val="24"/>
                <w14:textFill>
                  <w14:solidFill>
                    <w14:schemeClr w14:val="tx1"/>
                  </w14:solidFill>
                </w14:textFill>
              </w:rPr>
            </w:pPr>
            <w:r>
              <w:rPr>
                <w:rFonts w:ascii="Times New Roman" w:hAnsi="Times New Roman"/>
                <w:bCs/>
                <w:color w:val="000000" w:themeColor="text1"/>
                <w:kern w:val="0"/>
                <w:sz w:val="24"/>
                <w:szCs w:val="24"/>
                <w14:textFill>
                  <w14:solidFill>
                    <w14:schemeClr w14:val="tx1"/>
                  </w14:solidFill>
                </w14:textFill>
              </w:rPr>
              <w:t>根据野外调查，在评价区内的直接影响区及间接影响区均无国家重点保护野生植物，占地区的植被均为项目评价区内的常见种，不是列为濒危等级的野生植物，也不是国家或四川省的保护野生植物，占地区占用的</w:t>
            </w:r>
            <w:r>
              <w:rPr>
                <w:rFonts w:hint="eastAsia" w:ascii="Times New Roman" w:hAnsi="Times New Roman"/>
                <w:bCs/>
                <w:color w:val="000000" w:themeColor="text1"/>
                <w:kern w:val="0"/>
                <w:sz w:val="24"/>
                <w:szCs w:val="24"/>
                <w14:textFill>
                  <w14:solidFill>
                    <w14:schemeClr w14:val="tx1"/>
                  </w14:solidFill>
                </w14:textFill>
              </w:rPr>
              <w:t>多花胡枝子、滇青冈、灌柳</w:t>
            </w:r>
            <w:r>
              <w:rPr>
                <w:rFonts w:ascii="Times New Roman" w:hAnsi="Times New Roman"/>
                <w:bCs/>
                <w:color w:val="000000" w:themeColor="text1"/>
                <w:kern w:val="0"/>
                <w:sz w:val="24"/>
                <w:szCs w:val="24"/>
                <w14:textFill>
                  <w14:solidFill>
                    <w14:schemeClr w14:val="tx1"/>
                  </w14:solidFill>
                </w14:textFill>
              </w:rPr>
              <w:t>为中国特有植物，但在评价区分布广泛，施工占地不会造成某种植物消失，因此项目施工对植物多样性的影响可控。</w:t>
            </w:r>
          </w:p>
          <w:p w14:paraId="3AAA146B">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b/>
                <w:bCs/>
                <w:color w:val="000000" w:themeColor="text1"/>
                <w:sz w:val="24"/>
                <w:szCs w:val="24"/>
                <w14:textFill>
                  <w14:solidFill>
                    <w14:schemeClr w14:val="tx1"/>
                  </w14:solidFill>
                </w14:textFill>
              </w:rPr>
            </w:pPr>
            <w:r>
              <w:rPr>
                <w:rFonts w:hint="eastAsia" w:ascii="Times New Roman" w:hAnsi="Times New Roman"/>
                <w:b/>
                <w:bCs/>
                <w:color w:val="000000" w:themeColor="text1"/>
                <w:sz w:val="24"/>
                <w:szCs w:val="24"/>
                <w14:textFill>
                  <w14:solidFill>
                    <w14:schemeClr w14:val="tx1"/>
                  </w14:solidFill>
                </w14:textFill>
              </w:rPr>
              <w:t>（2）间接影响</w:t>
            </w:r>
          </w:p>
          <w:p w14:paraId="6F749BA2">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施工期间，施工人员产生的生活垃圾，施工车辆和机械等产生的废气、废水、粉尘和废渣等，可能对所在区域及周边植物和植被产生一些间接影响：①粉尘和废气会改变工程周边的生境条件，使空气湿度降低，环境变得干燥，迫使偏湿性草本植物分布区退缩，改变周围植被的草本层结构；②废水排放会污染土壤和水源，从而改变污染区的植物组成和分布密度。</w:t>
            </w:r>
          </w:p>
          <w:p w14:paraId="4ABC6548">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但本项目工程量小，土石开挖量也相对较小，</w:t>
            </w:r>
            <w:r>
              <w:rPr>
                <w:rFonts w:hint="eastAsia" w:ascii="Times New Roman" w:hAnsi="Times New Roman"/>
                <w:color w:val="000000" w:themeColor="text1"/>
                <w:sz w:val="24"/>
                <w:szCs w:val="24"/>
                <w14:textFill>
                  <w14:solidFill>
                    <w14:schemeClr w14:val="tx1"/>
                  </w14:solidFill>
                </w14:textFill>
              </w:rPr>
              <w:t>线路较长，单个地方开挖时间较短，</w:t>
            </w:r>
            <w:r>
              <w:rPr>
                <w:rFonts w:ascii="Times New Roman" w:hAnsi="Times New Roman"/>
                <w:color w:val="000000" w:themeColor="text1"/>
                <w:sz w:val="24"/>
                <w:szCs w:val="24"/>
                <w14:textFill>
                  <w14:solidFill>
                    <w14:schemeClr w14:val="tx1"/>
                  </w14:solidFill>
                </w14:textFill>
              </w:rPr>
              <w:t>施工期间产生的粉尘和废气排放量少，加之会在施工期间采取相应的环保措施，如洒水降尘等，加之工程区在水域旁，不会使其空气湿度降低，粉尘和废气能很快沉降，因此粉尘和废气对周边植物的影响较小。</w:t>
            </w:r>
          </w:p>
          <w:p w14:paraId="2889B741">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b/>
                <w:bCs/>
                <w:color w:val="000000" w:themeColor="text1"/>
                <w:sz w:val="24"/>
                <w:szCs w:val="24"/>
                <w14:textFill>
                  <w14:solidFill>
                    <w14:schemeClr w14:val="tx1"/>
                  </w14:solidFill>
                </w14:textFill>
              </w:rPr>
            </w:pPr>
            <w:r>
              <w:rPr>
                <w:rFonts w:hint="eastAsia" w:ascii="Times New Roman" w:hAnsi="Times New Roman"/>
                <w:b/>
                <w:bCs/>
                <w:color w:val="000000" w:themeColor="text1"/>
                <w:sz w:val="24"/>
                <w:szCs w:val="24"/>
                <w14:textFill>
                  <w14:solidFill>
                    <w14:schemeClr w14:val="tx1"/>
                  </w14:solidFill>
                </w14:textFill>
              </w:rPr>
              <w:t>（3）施工过程对重要野生植物影响分析</w:t>
            </w:r>
          </w:p>
          <w:p w14:paraId="32139AE3">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①对重点保护野生动植物、古树名木的影响</w:t>
            </w:r>
          </w:p>
          <w:p w14:paraId="0764DC92">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根据野外调查和历史文献资料查证，</w:t>
            </w:r>
            <w:r>
              <w:rPr>
                <w:rFonts w:ascii="宋体" w:hAnsi="宋体"/>
                <w:bCs/>
                <w:color w:val="000000" w:themeColor="text1"/>
                <w:sz w:val="24"/>
                <w:szCs w:val="24"/>
                <w14:textFill>
                  <w14:solidFill>
                    <w14:schemeClr w14:val="tx1"/>
                  </w14:solidFill>
                </w14:textFill>
              </w:rPr>
              <w:t>评价区</w:t>
            </w:r>
            <w:r>
              <w:rPr>
                <w:rFonts w:ascii="宋体" w:hAnsi="宋体"/>
                <w:color w:val="000000" w:themeColor="text1"/>
                <w:sz w:val="24"/>
                <w:szCs w:val="24"/>
                <w14:textFill>
                  <w14:solidFill>
                    <w14:schemeClr w14:val="tx1"/>
                  </w14:solidFill>
                </w14:textFill>
              </w:rPr>
              <w:t>未发现有国家以及四川省重点保护野生植物和其他珍稀植物。</w:t>
            </w:r>
          </w:p>
          <w:p w14:paraId="6B7D5148">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根据《全国古树名木普查建档技术规定》，通过查询当地林业志、访问线路沿线居民并收集</w:t>
            </w:r>
            <w:r>
              <w:rPr>
                <w:rFonts w:hint="eastAsia" w:ascii="宋体" w:hAnsi="宋体"/>
                <w:color w:val="000000" w:themeColor="text1"/>
                <w:sz w:val="24"/>
                <w:szCs w:val="24"/>
                <w:lang w:eastAsia="zh-CN"/>
                <w14:textFill>
                  <w14:solidFill>
                    <w14:schemeClr w14:val="tx1"/>
                  </w14:solidFill>
                </w14:textFill>
              </w:rPr>
              <w:t>泸定县</w:t>
            </w:r>
            <w:r>
              <w:rPr>
                <w:rFonts w:ascii="宋体" w:hAnsi="宋体"/>
                <w:color w:val="000000" w:themeColor="text1"/>
                <w:sz w:val="24"/>
                <w:szCs w:val="24"/>
                <w14:textFill>
                  <w14:solidFill>
                    <w14:schemeClr w14:val="tx1"/>
                  </w14:solidFill>
                </w14:textFill>
              </w:rPr>
              <w:t>最新的古树名木调查资料，确认评价区范围内无地方主管部门挂牌保护的古树名木。</w:t>
            </w:r>
          </w:p>
          <w:p w14:paraId="3A3D2E68">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因此，本项目不会对重点</w:t>
            </w:r>
            <w:r>
              <w:rPr>
                <w:rFonts w:ascii="宋体" w:hAnsi="宋体"/>
                <w:bCs/>
                <w:color w:val="000000" w:themeColor="text1"/>
                <w:sz w:val="24"/>
                <w:szCs w:val="24"/>
                <w14:textFill>
                  <w14:solidFill>
                    <w14:schemeClr w14:val="tx1"/>
                  </w14:solidFill>
                </w14:textFill>
              </w:rPr>
              <w:t>保护野生动植物、古树名木造成影响。</w:t>
            </w:r>
          </w:p>
          <w:p w14:paraId="67F61D98">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②对红色名录极危、濒危和易危野生植物影响</w:t>
            </w:r>
          </w:p>
          <w:p w14:paraId="305D240A">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根据现状调查，评价区</w:t>
            </w:r>
            <w:r>
              <w:rPr>
                <w:rFonts w:hint="eastAsia" w:ascii="Times New Roman" w:hAnsi="Times New Roman"/>
                <w:color w:val="000000" w:themeColor="text1"/>
                <w:sz w:val="24"/>
                <w:szCs w:val="24"/>
                <w:lang w:val="en-US" w:eastAsia="zh-CN"/>
                <w14:textFill>
                  <w14:solidFill>
                    <w14:schemeClr w14:val="tx1"/>
                  </w14:solidFill>
                </w14:textFill>
              </w:rPr>
              <w:t>未</w:t>
            </w:r>
            <w:r>
              <w:rPr>
                <w:rFonts w:ascii="Times New Roman" w:hAnsi="Times New Roman"/>
                <w:color w:val="000000" w:themeColor="text1"/>
                <w:sz w:val="24"/>
                <w:szCs w:val="24"/>
                <w14:textFill>
                  <w14:solidFill>
                    <w14:schemeClr w14:val="tx1"/>
                  </w14:solidFill>
                </w14:textFill>
              </w:rPr>
              <w:t>分布有易危</w:t>
            </w:r>
            <w:r>
              <w:rPr>
                <w:rFonts w:hint="eastAsia" w:ascii="Times New Roman" w:hAnsi="Times New Roman"/>
                <w:color w:val="000000" w:themeColor="text1"/>
                <w:sz w:val="24"/>
                <w:szCs w:val="24"/>
                <w:lang w:eastAsia="zh-CN"/>
                <w14:textFill>
                  <w14:solidFill>
                    <w14:schemeClr w14:val="tx1"/>
                  </w14:solidFill>
                </w14:textFill>
              </w:rPr>
              <w:t>、</w:t>
            </w:r>
            <w:r>
              <w:rPr>
                <w:rFonts w:hint="eastAsia" w:ascii="Times New Roman" w:hAnsi="Times New Roman"/>
                <w:color w:val="000000" w:themeColor="text1"/>
                <w:sz w:val="24"/>
                <w:szCs w:val="24"/>
                <w:lang w:val="en-US" w:eastAsia="zh-CN"/>
                <w14:textFill>
                  <w14:solidFill>
                    <w14:schemeClr w14:val="tx1"/>
                  </w14:solidFill>
                </w14:textFill>
              </w:rPr>
              <w:t>濒危和极危植物</w:t>
            </w:r>
            <w:r>
              <w:rPr>
                <w:rFonts w:ascii="Times New Roman" w:hAnsi="Times New Roman"/>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因此，本项目不会对</w:t>
            </w:r>
            <w:r>
              <w:rPr>
                <w:rFonts w:hint="eastAsia" w:ascii="Times New Roman" w:hAnsi="Times New Roman"/>
                <w:color w:val="000000" w:themeColor="text1"/>
                <w:sz w:val="24"/>
                <w:szCs w:val="24"/>
                <w14:textFill>
                  <w14:solidFill>
                    <w14:schemeClr w14:val="tx1"/>
                  </w14:solidFill>
                </w14:textFill>
              </w:rPr>
              <w:t>红色名录极危、濒危和易危野生植物</w:t>
            </w:r>
            <w:r>
              <w:rPr>
                <w:rFonts w:ascii="宋体" w:hAnsi="宋体"/>
                <w:bCs/>
                <w:color w:val="000000" w:themeColor="text1"/>
                <w:sz w:val="24"/>
                <w:szCs w:val="24"/>
                <w14:textFill>
                  <w14:solidFill>
                    <w14:schemeClr w14:val="tx1"/>
                  </w14:solidFill>
                </w14:textFill>
              </w:rPr>
              <w:t>造成影响。</w:t>
            </w:r>
          </w:p>
          <w:p w14:paraId="7997D64D">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③对中国特有种影响分析</w:t>
            </w:r>
          </w:p>
          <w:p w14:paraId="0B28EC28">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工程施工</w:t>
            </w:r>
            <w:r>
              <w:rPr>
                <w:rFonts w:hint="eastAsia" w:ascii="宋体" w:hAnsi="宋体"/>
                <w:color w:val="000000" w:themeColor="text1"/>
                <w:sz w:val="24"/>
                <w:szCs w:val="24"/>
                <w:lang w:eastAsia="zh-CN"/>
                <w14:textFill>
                  <w14:solidFill>
                    <w14:schemeClr w14:val="tx1"/>
                  </w14:solidFill>
                </w14:textFill>
              </w:rPr>
              <w:t>期间</w:t>
            </w:r>
            <w:r>
              <w:rPr>
                <w:rFonts w:hint="eastAsia" w:ascii="宋体" w:hAnsi="宋体"/>
                <w:color w:val="000000" w:themeColor="text1"/>
                <w:sz w:val="24"/>
                <w:szCs w:val="24"/>
                <w14:textFill>
                  <w14:solidFill>
                    <w14:schemeClr w14:val="tx1"/>
                  </w14:solidFill>
                </w14:textFill>
              </w:rPr>
              <w:t>施工作业带对</w:t>
            </w:r>
            <w:r>
              <w:rPr>
                <w:rFonts w:ascii="宋体" w:hAnsi="宋体"/>
                <w:color w:val="000000" w:themeColor="text1"/>
                <w:sz w:val="24"/>
                <w:szCs w:val="24"/>
                <w14:textFill>
                  <w14:solidFill>
                    <w14:schemeClr w14:val="tx1"/>
                  </w14:solidFill>
                </w14:textFill>
              </w:rPr>
              <w:t>占地区的植株被清除，减少了植株的数量。根据</w:t>
            </w:r>
            <w:r>
              <w:rPr>
                <w:rFonts w:hint="eastAsia" w:ascii="宋体" w:hAnsi="宋体"/>
                <w:color w:val="000000" w:themeColor="text1"/>
                <w:sz w:val="24"/>
                <w:szCs w:val="24"/>
                <w14:textFill>
                  <w14:solidFill>
                    <w14:schemeClr w14:val="tx1"/>
                  </w14:solidFill>
                </w14:textFill>
              </w:rPr>
              <w:t>现场勘察</w:t>
            </w:r>
            <w:r>
              <w:rPr>
                <w:rFonts w:ascii="宋体" w:hAnsi="宋体"/>
                <w:color w:val="000000" w:themeColor="text1"/>
                <w:sz w:val="24"/>
                <w:szCs w:val="24"/>
                <w14:textFill>
                  <w14:solidFill>
                    <w14:schemeClr w14:val="tx1"/>
                  </w14:solidFill>
                </w14:textFill>
              </w:rPr>
              <w:t>记录，施工期</w:t>
            </w:r>
            <w:r>
              <w:rPr>
                <w:rFonts w:hint="eastAsia" w:ascii="宋体" w:hAnsi="宋体"/>
                <w:color w:val="000000" w:themeColor="text1"/>
                <w:sz w:val="24"/>
                <w:szCs w:val="24"/>
                <w:lang w:val="en-US" w:eastAsia="zh-CN"/>
                <w14:textFill>
                  <w14:solidFill>
                    <w14:schemeClr w14:val="tx1"/>
                  </w14:solidFill>
                </w14:textFill>
              </w:rPr>
              <w:t>新增</w:t>
            </w:r>
            <w:r>
              <w:rPr>
                <w:rFonts w:ascii="宋体" w:hAnsi="宋体"/>
                <w:color w:val="000000" w:themeColor="text1"/>
                <w:sz w:val="24"/>
                <w:szCs w:val="24"/>
                <w14:textFill>
                  <w14:solidFill>
                    <w14:schemeClr w14:val="tx1"/>
                  </w14:solidFill>
                </w14:textFill>
              </w:rPr>
              <w:t>占地区主要植被为</w:t>
            </w:r>
            <w:r>
              <w:rPr>
                <w:rFonts w:hint="eastAsia" w:ascii="宋体" w:hAnsi="宋体"/>
                <w:color w:val="000000" w:themeColor="text1"/>
                <w:sz w:val="24"/>
                <w:szCs w:val="24"/>
                <w14:textFill>
                  <w14:solidFill>
                    <w14:schemeClr w14:val="tx1"/>
                  </w14:solidFill>
                </w14:textFill>
              </w:rPr>
              <w:t>多花胡枝子、滇青冈、灌柳</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马桑、木蓝、水麻、悬钩子、青冈、狗尾草、白草等</w:t>
            </w:r>
            <w:r>
              <w:rPr>
                <w:rFonts w:ascii="宋体" w:hAnsi="宋体"/>
                <w:color w:val="000000" w:themeColor="text1"/>
                <w:sz w:val="24"/>
                <w:szCs w:val="24"/>
                <w14:textFill>
                  <w14:solidFill>
                    <w14:schemeClr w14:val="tx1"/>
                  </w14:solidFill>
                </w14:textFill>
              </w:rPr>
              <w:t>。这些植物均不是列为濒危</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lang w:val="en-US" w:eastAsia="zh-CN"/>
                <w14:textFill>
                  <w14:solidFill>
                    <w14:schemeClr w14:val="tx1"/>
                  </w14:solidFill>
                </w14:textFill>
              </w:rPr>
              <w:t>极危、易危</w:t>
            </w:r>
            <w:r>
              <w:rPr>
                <w:rFonts w:ascii="宋体" w:hAnsi="宋体"/>
                <w:color w:val="000000" w:themeColor="text1"/>
                <w:sz w:val="24"/>
                <w:szCs w:val="24"/>
                <w14:textFill>
                  <w14:solidFill>
                    <w14:schemeClr w14:val="tx1"/>
                  </w14:solidFill>
                </w14:textFill>
              </w:rPr>
              <w:t>等级的野生植物，也不是国家或四川省的保护野生植物，</w:t>
            </w:r>
            <w:r>
              <w:rPr>
                <w:rFonts w:hint="eastAsia" w:ascii="宋体" w:hAnsi="宋体"/>
                <w:color w:val="000000" w:themeColor="text1"/>
                <w:sz w:val="24"/>
                <w:szCs w:val="24"/>
                <w14:textFill>
                  <w14:solidFill>
                    <w14:schemeClr w14:val="tx1"/>
                  </w14:solidFill>
                </w14:textFill>
              </w:rPr>
              <w:t>其中</w:t>
            </w:r>
            <w:r>
              <w:rPr>
                <w:rFonts w:hint="eastAsia" w:ascii="Times New Roman" w:hAnsi="Times New Roman"/>
                <w:bCs/>
                <w:color w:val="000000" w:themeColor="text1"/>
                <w:kern w:val="0"/>
                <w:sz w:val="24"/>
                <w:szCs w:val="24"/>
                <w14:textFill>
                  <w14:solidFill>
                    <w14:schemeClr w14:val="tx1"/>
                  </w14:solidFill>
                </w14:textFill>
              </w:rPr>
              <w:t>多花胡枝子、滇青冈、灌柳</w:t>
            </w:r>
            <w:r>
              <w:rPr>
                <w:rFonts w:ascii="宋体" w:hAnsi="宋体"/>
                <w:color w:val="000000" w:themeColor="text1"/>
                <w:sz w:val="24"/>
                <w:szCs w:val="24"/>
                <w14:textFill>
                  <w14:solidFill>
                    <w14:schemeClr w14:val="tx1"/>
                  </w14:solidFill>
                </w14:textFill>
              </w:rPr>
              <w:t>为中国特有植物，但</w:t>
            </w:r>
            <w:r>
              <w:rPr>
                <w:rFonts w:hint="eastAsia" w:ascii="宋体" w:hAnsi="宋体"/>
                <w:color w:val="000000" w:themeColor="text1"/>
                <w:sz w:val="24"/>
                <w:szCs w:val="24"/>
                <w14:textFill>
                  <w14:solidFill>
                    <w14:schemeClr w14:val="tx1"/>
                  </w14:solidFill>
                </w14:textFill>
              </w:rPr>
              <w:t>这些</w:t>
            </w:r>
            <w:r>
              <w:rPr>
                <w:rFonts w:ascii="宋体" w:hAnsi="宋体"/>
                <w:color w:val="000000" w:themeColor="text1"/>
                <w:sz w:val="24"/>
                <w:szCs w:val="24"/>
                <w14:textFill>
                  <w14:solidFill>
                    <w14:schemeClr w14:val="tx1"/>
                  </w14:solidFill>
                </w14:textFill>
              </w:rPr>
              <w:t>中国特有植物在评价区均为种群数量极大的种类，工程占地影响植物种群数量较小。</w:t>
            </w:r>
            <w:r>
              <w:rPr>
                <w:rFonts w:hint="eastAsia" w:ascii="宋体" w:hAnsi="宋体"/>
                <w:color w:val="000000" w:themeColor="text1"/>
                <w:sz w:val="24"/>
                <w:szCs w:val="24"/>
                <w14:textFill>
                  <w14:solidFill>
                    <w14:schemeClr w14:val="tx1"/>
                  </w14:solidFill>
                </w14:textFill>
              </w:rPr>
              <w:t>且施工结束后随着</w:t>
            </w:r>
            <w:r>
              <w:rPr>
                <w:rFonts w:ascii="Times New Roman" w:hAnsi="Times New Roman"/>
                <w:color w:val="000000" w:themeColor="text1"/>
                <w:sz w:val="24"/>
                <w:szCs w:val="24"/>
                <w14:textFill>
                  <w14:solidFill>
                    <w14:schemeClr w14:val="tx1"/>
                  </w14:solidFill>
                </w14:textFill>
              </w:rPr>
              <w:t>临时占地区域的植被通过人工种植和表土回填将逐步得到恢复</w:t>
            </w:r>
            <w:r>
              <w:rPr>
                <w:rFonts w:hint="eastAsia" w:ascii="Times New Roman" w:hAnsi="Times New Roman"/>
                <w:color w:val="000000" w:themeColor="text1"/>
                <w:sz w:val="24"/>
                <w:szCs w:val="24"/>
                <w14:textFill>
                  <w14:solidFill>
                    <w14:schemeClr w14:val="tx1"/>
                  </w14:solidFill>
                </w14:textFill>
              </w:rPr>
              <w:t>，进一步降低影响。</w:t>
            </w:r>
          </w:p>
          <w:p w14:paraId="0619E026">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因此，占地损失植物物种在评价区属于常见种，且广泛分布，工程占地不会造成评价区植物物种消失或灭绝，对植物多样性影响小。</w:t>
            </w:r>
          </w:p>
          <w:p w14:paraId="5966A753">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④</w:t>
            </w:r>
            <w:r>
              <w:rPr>
                <w:rFonts w:ascii="宋体" w:hAnsi="宋体"/>
                <w:color w:val="000000" w:themeColor="text1"/>
                <w:sz w:val="24"/>
                <w:szCs w:val="24"/>
                <w14:textFill>
                  <w14:solidFill>
                    <w14:schemeClr w14:val="tx1"/>
                  </w14:solidFill>
                </w14:textFill>
              </w:rPr>
              <w:t>对极小种群野生植物影响分析</w:t>
            </w:r>
          </w:p>
          <w:p w14:paraId="30FFF4DE">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根据国家公布的极小种群名录，评价区内无极小种群植物分布，本项目实施对极小种群野生植物无影响。</w:t>
            </w:r>
          </w:p>
          <w:p w14:paraId="3BB69748">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b/>
                <w:bCs/>
                <w:color w:val="000000" w:themeColor="text1"/>
                <w:sz w:val="24"/>
                <w:szCs w:val="24"/>
                <w14:textFill>
                  <w14:solidFill>
                    <w14:schemeClr w14:val="tx1"/>
                  </w14:solidFill>
                </w14:textFill>
              </w:rPr>
            </w:pPr>
            <w:r>
              <w:rPr>
                <w:rFonts w:hint="eastAsia" w:ascii="Times New Roman" w:hAnsi="Times New Roman"/>
                <w:b/>
                <w:bCs/>
                <w:color w:val="000000" w:themeColor="text1"/>
                <w:sz w:val="24"/>
                <w:szCs w:val="24"/>
                <w14:textFill>
                  <w14:solidFill>
                    <w14:schemeClr w14:val="tx1"/>
                  </w14:solidFill>
                </w14:textFill>
              </w:rPr>
              <w:t>（4）治理措施</w:t>
            </w:r>
          </w:p>
          <w:p w14:paraId="0688DB0F">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b/>
                <w:bCs/>
                <w:color w:val="000000" w:themeColor="text1"/>
                <w:sz w:val="24"/>
                <w:szCs w:val="24"/>
                <w14:textFill>
                  <w14:solidFill>
                    <w14:schemeClr w14:val="tx1"/>
                  </w14:solidFill>
                </w14:textFill>
              </w:rPr>
              <w:t>严禁烟火、警示保护。</w:t>
            </w:r>
            <w:r>
              <w:rPr>
                <w:rFonts w:ascii="Times New Roman" w:hAnsi="Times New Roman"/>
                <w:color w:val="000000" w:themeColor="text1"/>
                <w:sz w:val="24"/>
                <w:szCs w:val="24"/>
                <w14:textFill>
                  <w14:solidFill>
                    <w14:schemeClr w14:val="tx1"/>
                  </w14:solidFill>
                </w14:textFill>
              </w:rPr>
              <w:t>施工期间应严格按照相关法律、法规行事，施工单位强化施工队伍的环保意识，应加强施工人员的管理，施工区外严禁烟火。各施工区设置环境保护警示牌，加强环境保护。</w:t>
            </w:r>
            <w:r>
              <w:rPr>
                <w:rFonts w:hint="eastAsia" w:ascii="Times New Roman" w:hAnsi="Times New Roman"/>
                <w:color w:val="000000" w:themeColor="text1"/>
                <w:sz w:val="24"/>
                <w:szCs w:val="24"/>
                <w14:textFill>
                  <w14:solidFill>
                    <w14:schemeClr w14:val="tx1"/>
                  </w14:solidFill>
                </w14:textFill>
              </w:rPr>
              <w:t>在</w:t>
            </w:r>
            <w:r>
              <w:rPr>
                <w:rFonts w:hint="eastAsia" w:ascii="Times New Roman" w:hAnsi="Times New Roman"/>
                <w:color w:val="000000" w:themeColor="text1"/>
                <w:sz w:val="24"/>
                <w:szCs w:val="24"/>
                <w:lang w:val="en-US" w:eastAsia="zh-CN"/>
                <w14:textFill>
                  <w14:solidFill>
                    <w14:schemeClr w14:val="tx1"/>
                  </w14:solidFill>
                </w14:textFill>
              </w:rPr>
              <w:t>遗产地内、生态保护红线和风景名胜区</w:t>
            </w:r>
            <w:r>
              <w:rPr>
                <w:rFonts w:hint="eastAsia" w:ascii="Times New Roman" w:hAnsi="Times New Roman"/>
                <w:color w:val="000000" w:themeColor="text1"/>
                <w:sz w:val="24"/>
                <w:szCs w:val="24"/>
                <w14:textFill>
                  <w14:solidFill>
                    <w14:schemeClr w14:val="tx1"/>
                  </w14:solidFill>
                </w14:textFill>
              </w:rPr>
              <w:t>附近进行施工时，加强教育，</w:t>
            </w:r>
            <w:r>
              <w:rPr>
                <w:rFonts w:ascii="Times New Roman" w:hAnsi="Times New Roman"/>
                <w:color w:val="000000" w:themeColor="text1"/>
                <w:sz w:val="24"/>
                <w:szCs w:val="24"/>
                <w14:textFill>
                  <w14:solidFill>
                    <w14:schemeClr w14:val="tx1"/>
                  </w14:solidFill>
                </w14:textFill>
              </w:rPr>
              <w:t>开展广泛的</w:t>
            </w:r>
            <w:r>
              <w:rPr>
                <w:rFonts w:hint="eastAsia" w:ascii="Times New Roman" w:hAnsi="Times New Roman"/>
                <w:color w:val="000000" w:themeColor="text1"/>
                <w:sz w:val="24"/>
                <w:szCs w:val="24"/>
                <w:lang w:val="en-US" w:eastAsia="zh-CN"/>
                <w14:textFill>
                  <w14:solidFill>
                    <w14:schemeClr w14:val="tx1"/>
                  </w14:solidFill>
                </w14:textFill>
              </w:rPr>
              <w:t>关于上述生态敏感区的</w:t>
            </w:r>
            <w:r>
              <w:rPr>
                <w:rFonts w:ascii="Times New Roman" w:hAnsi="Times New Roman"/>
                <w:color w:val="000000" w:themeColor="text1"/>
                <w:sz w:val="24"/>
                <w:szCs w:val="24"/>
                <w14:textFill>
                  <w14:solidFill>
                    <w14:schemeClr w14:val="tx1"/>
                  </w14:solidFill>
                </w14:textFill>
              </w:rPr>
              <w:t>保护宣传、教育活动，积极宣传保护的意义</w:t>
            </w:r>
            <w:r>
              <w:rPr>
                <w:rFonts w:hint="eastAsia" w:ascii="Times New Roman" w:hAnsi="Times New Roman"/>
                <w:color w:val="000000" w:themeColor="text1"/>
                <w:sz w:val="24"/>
                <w:szCs w:val="24"/>
                <w14:textFill>
                  <w14:solidFill>
                    <w14:schemeClr w14:val="tx1"/>
                  </w14:solidFill>
                </w14:textFill>
              </w:rPr>
              <w:t>，设置警示标牌，严格保护</w:t>
            </w:r>
            <w:r>
              <w:rPr>
                <w:rFonts w:hint="eastAsia" w:ascii="Times New Roman" w:hAnsi="Times New Roman"/>
                <w:color w:val="000000" w:themeColor="text1"/>
                <w:sz w:val="24"/>
                <w:szCs w:val="24"/>
                <w:lang w:val="en-US" w:eastAsia="zh-CN"/>
                <w14:textFill>
                  <w14:solidFill>
                    <w14:schemeClr w14:val="tx1"/>
                  </w14:solidFill>
                </w14:textFill>
              </w:rPr>
              <w:t>遗产地内的</w:t>
            </w:r>
            <w:r>
              <w:rPr>
                <w:rFonts w:hint="eastAsia" w:ascii="Times New Roman" w:hAnsi="Times New Roman"/>
                <w:color w:val="000000" w:themeColor="text1"/>
                <w:sz w:val="24"/>
                <w:szCs w:val="24"/>
                <w14:textFill>
                  <w14:solidFill>
                    <w14:schemeClr w14:val="tx1"/>
                  </w14:solidFill>
                </w14:textFill>
              </w:rPr>
              <w:t>自然生态系统。</w:t>
            </w:r>
          </w:p>
          <w:p w14:paraId="0E89B0B0">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b/>
                <w:bCs/>
                <w:color w:val="000000" w:themeColor="text1"/>
                <w:sz w:val="24"/>
                <w:szCs w:val="24"/>
                <w14:textFill>
                  <w14:solidFill>
                    <w14:schemeClr w14:val="tx1"/>
                  </w14:solidFill>
                </w14:textFill>
              </w:rPr>
              <w:t>少占禁伐。</w:t>
            </w:r>
            <w:r>
              <w:rPr>
                <w:rFonts w:ascii="Times New Roman" w:hAnsi="Times New Roman"/>
                <w:color w:val="000000" w:themeColor="text1"/>
                <w:sz w:val="24"/>
                <w:szCs w:val="24"/>
                <w14:textFill>
                  <w14:solidFill>
                    <w14:schemeClr w14:val="tx1"/>
                  </w14:solidFill>
                </w14:textFill>
              </w:rPr>
              <w:t>划定最小的施工作业区域，严禁施工人员和器械超出施工区域对工地周边的植被、植物物种造成破坏，不应有其他越界破坏植被的施工活动。禁止施工人员砍伐占地范围线以外林木，对施工区内的高大乔木树种，能避让的尽量避让，减轻工程施工对植被的影响。</w:t>
            </w:r>
          </w:p>
          <w:p w14:paraId="20F38A9E">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b/>
                <w:bCs/>
                <w:color w:val="000000" w:themeColor="text1"/>
                <w:sz w:val="24"/>
                <w:szCs w:val="24"/>
                <w14:textFill>
                  <w14:solidFill>
                    <w14:schemeClr w14:val="tx1"/>
                  </w14:solidFill>
                </w14:textFill>
              </w:rPr>
              <w:t>防止外来物种迁入。</w:t>
            </w:r>
            <w:r>
              <w:rPr>
                <w:rFonts w:ascii="Times New Roman" w:hAnsi="Times New Roman"/>
                <w:color w:val="000000" w:themeColor="text1"/>
                <w:sz w:val="24"/>
                <w:szCs w:val="24"/>
                <w14:textFill>
                  <w14:solidFill>
                    <w14:schemeClr w14:val="tx1"/>
                  </w14:solidFill>
                </w14:textFill>
              </w:rPr>
              <w:t>工程建设和基础设施建设将引入大量的现代运输设备和人员，人员和设备的运输可能无意引进外来物种，在施工中严格加以控制。要尽快恢复工程建设中破坏的植被，尽量减少外来物种可利用的生境，以防范和限制外来物种入侵。</w:t>
            </w:r>
          </w:p>
          <w:p w14:paraId="7C7175C8">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color w:val="000000" w:themeColor="text1"/>
                <w:sz w:val="24"/>
                <w:szCs w:val="24"/>
                <w:highlight w:val="none"/>
                <w14:textFill>
                  <w14:solidFill>
                    <w14:schemeClr w14:val="tx1"/>
                  </w14:solidFill>
                </w14:textFill>
              </w:rPr>
            </w:pPr>
            <w:r>
              <w:rPr>
                <w:rFonts w:ascii="Times New Roman" w:hAnsi="Times New Roman"/>
                <w:b/>
                <w:bCs/>
                <w:color w:val="000000" w:themeColor="text1"/>
                <w:sz w:val="24"/>
                <w:szCs w:val="24"/>
                <w:highlight w:val="none"/>
                <w14:textFill>
                  <w14:solidFill>
                    <w14:schemeClr w14:val="tx1"/>
                  </w14:solidFill>
                </w14:textFill>
              </w:rPr>
              <w:t>迹地恢复，种植植物。</w:t>
            </w:r>
            <w:r>
              <w:rPr>
                <w:rFonts w:ascii="Times New Roman" w:hAnsi="Times New Roman"/>
                <w:color w:val="000000" w:themeColor="text1"/>
                <w:sz w:val="24"/>
                <w:szCs w:val="24"/>
                <w:highlight w:val="none"/>
                <w14:textFill>
                  <w14:solidFill>
                    <w14:schemeClr w14:val="tx1"/>
                  </w14:solidFill>
                </w14:textFill>
              </w:rPr>
              <w:t>施工时应尽量收集保存建设中永久占地、临时用地的表层土，施工结束后及时覆盖表层土，应做好迹地恢复，必须清除废料，表土单独剥离，</w:t>
            </w:r>
            <w:r>
              <w:rPr>
                <w:rFonts w:hint="eastAsia" w:ascii="Times New Roman" w:hAnsi="Times New Roman"/>
                <w:color w:val="000000" w:themeColor="text1"/>
                <w:sz w:val="24"/>
                <w:szCs w:val="24"/>
                <w:highlight w:val="none"/>
                <w:lang w:val="en-US" w:eastAsia="zh-CN"/>
                <w14:textFill>
                  <w14:solidFill>
                    <w14:schemeClr w14:val="tx1"/>
                  </w14:solidFill>
                </w14:textFill>
              </w:rPr>
              <w:t>妥善</w:t>
            </w:r>
            <w:r>
              <w:rPr>
                <w:rFonts w:ascii="Times New Roman" w:hAnsi="Times New Roman"/>
                <w:color w:val="000000" w:themeColor="text1"/>
                <w:sz w:val="24"/>
                <w:szCs w:val="24"/>
                <w:highlight w:val="none"/>
                <w14:textFill>
                  <w14:solidFill>
                    <w14:schemeClr w14:val="tx1"/>
                  </w14:solidFill>
                </w14:textFill>
              </w:rPr>
              <w:t>存放，分层开挖、分别堆放、分别回填，做到“三分一回填”，及时恢复植被。施工作业带</w:t>
            </w: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eastAsia" w:ascii="Times New Roman" w:hAnsi="Times New Roman"/>
                <w:color w:val="000000" w:themeColor="text1"/>
                <w:sz w:val="24"/>
                <w:szCs w:val="24"/>
                <w:highlight w:val="none"/>
                <w:lang w:val="en-US" w:eastAsia="zh-CN"/>
                <w14:textFill>
                  <w14:solidFill>
                    <w14:schemeClr w14:val="tx1"/>
                  </w14:solidFill>
                </w14:textFill>
              </w:rPr>
              <w:t>包括开挖区、材料堆放区以及土石方临时堆存区</w:t>
            </w:r>
            <w:r>
              <w:rPr>
                <w:rFonts w:hint="eastAsia" w:ascii="Times New Roman" w:hAnsi="Times New Roman"/>
                <w:color w:val="000000" w:themeColor="text1"/>
                <w:sz w:val="24"/>
                <w:szCs w:val="24"/>
                <w:highlight w:val="none"/>
                <w:lang w:eastAsia="zh-CN"/>
                <w14:textFill>
                  <w14:solidFill>
                    <w14:schemeClr w14:val="tx1"/>
                  </w14:solidFill>
                </w14:textFill>
              </w:rPr>
              <w:t>）</w:t>
            </w:r>
            <w:r>
              <w:rPr>
                <w:rFonts w:ascii="Times New Roman" w:hAnsi="Times New Roman"/>
                <w:color w:val="000000" w:themeColor="text1"/>
                <w:sz w:val="24"/>
                <w:szCs w:val="24"/>
                <w:highlight w:val="none"/>
                <w14:textFill>
                  <w14:solidFill>
                    <w14:schemeClr w14:val="tx1"/>
                  </w14:solidFill>
                </w14:textFill>
              </w:rPr>
              <w:t>占用区以植草、种树等植物措施进行防护，选用原有植被类型。</w:t>
            </w:r>
          </w:p>
          <w:p w14:paraId="54BE08C4">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项目应及时对施工运输机械碾压过的土地进行恢复，场地内播撒适合当地生长的草籽，优先选用原著种，提高土壤保水性等生态功能最大限度</w:t>
            </w:r>
            <w:r>
              <w:rPr>
                <w:rFonts w:hint="eastAsia" w:ascii="Times New Roman" w:hAnsi="Times New Roman"/>
                <w:color w:val="000000" w:themeColor="text1"/>
                <w:sz w:val="24"/>
                <w:szCs w:val="24"/>
                <w:lang w:eastAsia="zh-CN"/>
                <w14:textFill>
                  <w14:solidFill>
                    <w14:schemeClr w14:val="tx1"/>
                  </w14:solidFill>
                </w14:textFill>
              </w:rPr>
              <w:t>减少</w:t>
            </w:r>
            <w:r>
              <w:rPr>
                <w:rFonts w:ascii="Times New Roman" w:hAnsi="Times New Roman"/>
                <w:color w:val="000000" w:themeColor="text1"/>
                <w:sz w:val="24"/>
                <w:szCs w:val="24"/>
                <w14:textFill>
                  <w14:solidFill>
                    <w14:schemeClr w14:val="tx1"/>
                  </w14:solidFill>
                </w14:textFill>
              </w:rPr>
              <w:t>原生植被的破坏面积，最大限度避免施工活动所带来的生态环境影响。</w:t>
            </w:r>
          </w:p>
          <w:p w14:paraId="3E3F94D7">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b/>
                <w:bCs/>
                <w:color w:val="000000" w:themeColor="text1"/>
                <w:sz w:val="24"/>
                <w:szCs w:val="24"/>
                <w14:textFill>
                  <w14:solidFill>
                    <w14:schemeClr w14:val="tx1"/>
                  </w14:solidFill>
                </w14:textFill>
              </w:rPr>
            </w:pPr>
            <w:r>
              <w:rPr>
                <w:rFonts w:hint="eastAsia" w:ascii="Times New Roman" w:hAnsi="Times New Roman"/>
                <w:b/>
                <w:bCs/>
                <w:color w:val="000000" w:themeColor="text1"/>
                <w:sz w:val="24"/>
                <w:szCs w:val="24"/>
                <w14:textFill>
                  <w14:solidFill>
                    <w14:schemeClr w14:val="tx1"/>
                  </w14:solidFill>
                </w14:textFill>
              </w:rPr>
              <w:t>具体生态恢复方案如下：</w:t>
            </w:r>
          </w:p>
          <w:p w14:paraId="4242BE75">
            <w:pPr>
              <w:keepNext w:val="0"/>
              <w:keepLines w:val="0"/>
              <w:pageBreakBefore w:val="0"/>
              <w:kinsoku/>
              <w:wordWrap/>
              <w:overflowPunct/>
              <w:topLinePunct w:val="0"/>
              <w:autoSpaceDE w:val="0"/>
              <w:autoSpaceDN w:val="0"/>
              <w:bidi w:val="0"/>
              <w:adjustRightInd w:val="0"/>
              <w:snapToGrid w:val="0"/>
              <w:spacing w:line="360" w:lineRule="auto"/>
              <w:ind w:left="0" w:leftChars="0" w:firstLine="482" w:firstLineChars="200"/>
              <w:textAlignment w:val="auto"/>
              <w:rPr>
                <w:rFonts w:ascii="Times New Roman" w:hAnsi="Times New Roman"/>
                <w:b/>
                <w:bCs/>
                <w:color w:val="000000" w:themeColor="text1"/>
                <w:sz w:val="24"/>
                <w:szCs w:val="24"/>
                <w14:textFill>
                  <w14:solidFill>
                    <w14:schemeClr w14:val="tx1"/>
                  </w14:solidFill>
                </w14:textFill>
              </w:rPr>
            </w:pPr>
            <w:r>
              <w:rPr>
                <w:rFonts w:hint="eastAsia" w:ascii="Times New Roman" w:hAnsi="Times New Roman"/>
                <w:b/>
                <w:bCs/>
                <w:color w:val="000000" w:themeColor="text1"/>
                <w:sz w:val="24"/>
                <w:szCs w:val="24"/>
                <w14:textFill>
                  <w14:solidFill>
                    <w14:schemeClr w14:val="tx1"/>
                  </w14:solidFill>
                </w14:textFill>
              </w:rPr>
              <w:t>A、恢复方案</w:t>
            </w:r>
          </w:p>
          <w:p w14:paraId="616A22CD">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针对项目临时占地区，在落实工程各项水土流失防治措施后，对临时占用的耕地采取全面复耕措施，对临时占用的林地，应采用乔、灌、草等本地物种综合绿化恢复植被覆盖，草本采取“撒播”的方式，可较好地恢复占地区的地表植被，有效控制工程建设引起的水土流失，有效减缓工程建设对区域生态环境的不利影响，建议将本项目临时占地区的植被恢复过程中，首先以原占地区自然植被为恢复目标。根据本项目占地区的立地条件，对临时占地植被恢复的物种配置方式充分考虑，按照“适地适树”的原则合理科学配置物种，以上物种为评价区内灌草丛中的主要优势种，其对当地气候条件的适应能力较强。植被恢复过程中，严防外来物种入侵对当地原生种类的生态影响，以达到良好的恢复效果。</w:t>
            </w:r>
          </w:p>
          <w:p w14:paraId="1D752134">
            <w:pPr>
              <w:keepNext w:val="0"/>
              <w:keepLines w:val="0"/>
              <w:pageBreakBefore w:val="0"/>
              <w:kinsoku/>
              <w:wordWrap/>
              <w:overflowPunct/>
              <w:topLinePunct w:val="0"/>
              <w:autoSpaceDE w:val="0"/>
              <w:autoSpaceDN w:val="0"/>
              <w:bidi w:val="0"/>
              <w:adjustRightInd w:val="0"/>
              <w:snapToGrid w:val="0"/>
              <w:spacing w:line="360" w:lineRule="auto"/>
              <w:ind w:left="0" w:leftChars="0" w:firstLine="482" w:firstLineChars="200"/>
              <w:textAlignment w:val="auto"/>
              <w:rPr>
                <w:rFonts w:ascii="Times New Roman" w:hAnsi="Times New Roman"/>
                <w:b/>
                <w:bCs/>
                <w:color w:val="000000" w:themeColor="text1"/>
                <w:sz w:val="24"/>
                <w:szCs w:val="24"/>
                <w14:textFill>
                  <w14:solidFill>
                    <w14:schemeClr w14:val="tx1"/>
                  </w14:solidFill>
                </w14:textFill>
              </w:rPr>
            </w:pPr>
            <w:r>
              <w:rPr>
                <w:rFonts w:ascii="Times New Roman" w:hAnsi="Times New Roman"/>
                <w:b/>
                <w:bCs/>
                <w:color w:val="000000" w:themeColor="text1"/>
                <w:sz w:val="24"/>
                <w:szCs w:val="24"/>
                <w14:textFill>
                  <w14:solidFill>
                    <w14:schemeClr w14:val="tx1"/>
                  </w14:solidFill>
                </w14:textFill>
              </w:rPr>
              <w:t>B</w:t>
            </w:r>
            <w:r>
              <w:rPr>
                <w:rFonts w:hint="eastAsia" w:ascii="Times New Roman" w:hAnsi="Times New Roman"/>
                <w:b/>
                <w:bCs/>
                <w:color w:val="000000" w:themeColor="text1"/>
                <w:sz w:val="24"/>
                <w:szCs w:val="24"/>
                <w14:textFill>
                  <w14:solidFill>
                    <w14:schemeClr w14:val="tx1"/>
                  </w14:solidFill>
                </w14:textFill>
              </w:rPr>
              <w:t>、植被恢复主要技术过程</w:t>
            </w:r>
          </w:p>
          <w:p w14:paraId="4286B9E5">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①占地区清理：在施工期施工的同时必须对完成利用的占地区采取点状、线状清理的模式，人工清除植被恢复区及其周边的废弃物、垃圾、石等块。林地清理在植被恢复前进行，严格以“边施工、边清理、边恢复”为原则，以提升植被恢复效果及减小项目建设的不利影响。</w:t>
            </w:r>
          </w:p>
          <w:p w14:paraId="153F28AD">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②占地区土壤回填：项目施工期间，对于利用完成的占地区域，应首先将施工前剥离的表土层回填。</w:t>
            </w:r>
          </w:p>
          <w:p w14:paraId="5EBCC0D0">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③整地：对植被恢复区采取穴状整地方式，在整地时，挖近似半月形的坑穴，坑穴间呈品字形排列。挖坑整地时先把表土堆放在坑的上方，把生土堆放在坑的下方，按要求不同树种的种植规格挖好坑后，再把熟土回垫入坑内，在坑下沿用生土围成高</w:t>
            </w:r>
            <w:r>
              <w:rPr>
                <w:rFonts w:ascii="Times New Roman" w:hAnsi="Times New Roman"/>
                <w:color w:val="000000" w:themeColor="text1"/>
                <w:sz w:val="24"/>
                <w:szCs w:val="24"/>
                <w14:textFill>
                  <w14:solidFill>
                    <w14:schemeClr w14:val="tx1"/>
                  </w14:solidFill>
                </w14:textFill>
              </w:rPr>
              <w:t>20</w:t>
            </w:r>
            <w:r>
              <w:rPr>
                <w:rFonts w:hint="eastAsia" w:ascii="Times New Roman" w:hAnsi="Times New Roman"/>
                <w:color w:val="000000" w:themeColor="text1"/>
                <w:sz w:val="24"/>
                <w:szCs w:val="24"/>
                <w14:textFill>
                  <w14:solidFill>
                    <w14:schemeClr w14:val="tx1"/>
                  </w14:solidFill>
                </w14:textFill>
              </w:rPr>
              <w:t>～</w:t>
            </w:r>
            <w:r>
              <w:rPr>
                <w:rFonts w:ascii="Times New Roman" w:hAnsi="Times New Roman"/>
                <w:color w:val="000000" w:themeColor="text1"/>
                <w:sz w:val="24"/>
                <w:szCs w:val="24"/>
                <w14:textFill>
                  <w14:solidFill>
                    <w14:schemeClr w14:val="tx1"/>
                  </w14:solidFill>
                </w14:textFill>
              </w:rPr>
              <w:t>25cm</w:t>
            </w:r>
            <w:r>
              <w:rPr>
                <w:rFonts w:hint="eastAsia" w:ascii="Times New Roman" w:hAnsi="Times New Roman"/>
                <w:color w:val="000000" w:themeColor="text1"/>
                <w:sz w:val="24"/>
                <w:szCs w:val="24"/>
                <w14:textFill>
                  <w14:solidFill>
                    <w14:schemeClr w14:val="tx1"/>
                  </w14:solidFill>
                </w14:textFill>
              </w:rPr>
              <w:t>的半环状土埂，在坑的上方左右两角各斜开一道小沟，以便引蓄更多的雨水。</w:t>
            </w:r>
          </w:p>
          <w:p w14:paraId="617BEC62">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⑤草种撒播：草种撒播，应先对地表进行均匀的土层挖松，根据地块规划撒播花种或草种，播种后应</w:t>
            </w:r>
            <w:r>
              <w:rPr>
                <w:rFonts w:hint="eastAsia" w:ascii="Times New Roman" w:hAnsi="Times New Roman"/>
                <w:color w:val="000000" w:themeColor="text1"/>
                <w:sz w:val="24"/>
                <w:szCs w:val="24"/>
                <w:lang w:eastAsia="zh-CN"/>
                <w14:textFill>
                  <w14:solidFill>
                    <w14:schemeClr w14:val="tx1"/>
                  </w14:solidFill>
                </w14:textFill>
              </w:rPr>
              <w:t>覆盖</w:t>
            </w:r>
            <w:r>
              <w:rPr>
                <w:rFonts w:ascii="Times New Roman" w:hAnsi="Times New Roman"/>
                <w:color w:val="000000" w:themeColor="text1"/>
                <w:sz w:val="24"/>
                <w:szCs w:val="24"/>
                <w14:textFill>
                  <w14:solidFill>
                    <w14:schemeClr w14:val="tx1"/>
                  </w14:solidFill>
                </w14:textFill>
              </w:rPr>
              <w:t>0.5cm</w:t>
            </w:r>
            <w:r>
              <w:rPr>
                <w:rFonts w:hint="eastAsia" w:ascii="Times New Roman" w:hAnsi="Times New Roman"/>
                <w:color w:val="000000" w:themeColor="text1"/>
                <w:sz w:val="24"/>
                <w:szCs w:val="24"/>
                <w14:textFill>
                  <w14:solidFill>
                    <w14:schemeClr w14:val="tx1"/>
                  </w14:solidFill>
                </w14:textFill>
              </w:rPr>
              <w:t>左右的细土，以确保种子与土壤接触。</w:t>
            </w:r>
          </w:p>
          <w:p w14:paraId="66C75456">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⑥施肥：植被恢复实施后要加强补植、施肥、洒水等管理工作。</w:t>
            </w:r>
          </w:p>
          <w:p w14:paraId="47EAF317">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b/>
                <w:bCs/>
                <w:color w:val="000000" w:themeColor="text1"/>
                <w:sz w:val="24"/>
                <w:szCs w:val="24"/>
                <w14:textFill>
                  <w14:solidFill>
                    <w14:schemeClr w14:val="tx1"/>
                  </w14:solidFill>
                </w14:textFill>
              </w:rPr>
            </w:pPr>
            <w:r>
              <w:rPr>
                <w:rFonts w:hint="eastAsia" w:ascii="Times New Roman" w:hAnsi="Times New Roman"/>
                <w:b/>
                <w:bCs/>
                <w:color w:val="000000" w:themeColor="text1"/>
                <w:sz w:val="24"/>
                <w:szCs w:val="24"/>
                <w14:textFill>
                  <w14:solidFill>
                    <w14:schemeClr w14:val="tx1"/>
                  </w14:solidFill>
                </w14:textFill>
              </w:rPr>
              <w:t>4</w:t>
            </w:r>
            <w:r>
              <w:rPr>
                <w:rFonts w:ascii="Times New Roman" w:hAnsi="Times New Roman"/>
                <w:b/>
                <w:bCs/>
                <w:color w:val="000000" w:themeColor="text1"/>
                <w:sz w:val="24"/>
                <w:szCs w:val="24"/>
                <w14:textFill>
                  <w14:solidFill>
                    <w14:schemeClr w14:val="tx1"/>
                  </w14:solidFill>
                </w14:textFill>
              </w:rPr>
              <w:t>、对</w:t>
            </w:r>
            <w:r>
              <w:rPr>
                <w:rFonts w:hint="eastAsia" w:ascii="Times New Roman" w:hAnsi="Times New Roman"/>
                <w:b/>
                <w:bCs/>
                <w:color w:val="000000" w:themeColor="text1"/>
                <w:sz w:val="24"/>
                <w:szCs w:val="24"/>
                <w:lang w:val="en-US" w:eastAsia="zh-CN"/>
                <w14:textFill>
                  <w14:solidFill>
                    <w14:schemeClr w14:val="tx1"/>
                  </w14:solidFill>
                </w14:textFill>
              </w:rPr>
              <w:t>陆生</w:t>
            </w:r>
            <w:r>
              <w:rPr>
                <w:rFonts w:ascii="Times New Roman" w:hAnsi="Times New Roman"/>
                <w:b/>
                <w:bCs/>
                <w:color w:val="000000" w:themeColor="text1"/>
                <w:sz w:val="24"/>
                <w:szCs w:val="24"/>
                <w14:textFill>
                  <w14:solidFill>
                    <w14:schemeClr w14:val="tx1"/>
                  </w14:solidFill>
                </w14:textFill>
              </w:rPr>
              <w:t>动物的影响</w:t>
            </w:r>
            <w:r>
              <w:rPr>
                <w:rFonts w:hint="eastAsia" w:ascii="Times New Roman" w:hAnsi="Times New Roman"/>
                <w:b/>
                <w:bCs/>
                <w:color w:val="000000" w:themeColor="text1"/>
                <w:sz w:val="24"/>
                <w:szCs w:val="24"/>
                <w14:textFill>
                  <w14:solidFill>
                    <w14:schemeClr w14:val="tx1"/>
                  </w14:solidFill>
                </w14:textFill>
              </w:rPr>
              <w:t>及治理措施</w:t>
            </w:r>
          </w:p>
          <w:p w14:paraId="6C2206D3">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（1）对</w:t>
            </w:r>
            <w:r>
              <w:rPr>
                <w:rFonts w:hint="eastAsia" w:ascii="Times New Roman" w:hAnsi="Times New Roman"/>
                <w:color w:val="000000" w:themeColor="text1"/>
                <w:sz w:val="24"/>
                <w:szCs w:val="24"/>
                <w:lang w:val="en-US" w:eastAsia="zh-CN"/>
                <w14:textFill>
                  <w14:solidFill>
                    <w14:schemeClr w14:val="tx1"/>
                  </w14:solidFill>
                </w14:textFill>
              </w:rPr>
              <w:t>陆生</w:t>
            </w:r>
            <w:r>
              <w:rPr>
                <w:rFonts w:hint="eastAsia" w:ascii="Times New Roman" w:hAnsi="Times New Roman"/>
                <w:color w:val="000000" w:themeColor="text1"/>
                <w:sz w:val="24"/>
                <w:szCs w:val="24"/>
                <w14:textFill>
                  <w14:solidFill>
                    <w14:schemeClr w14:val="tx1"/>
                  </w14:solidFill>
                </w14:textFill>
              </w:rPr>
              <w:t>动物影响分析</w:t>
            </w:r>
          </w:p>
          <w:p w14:paraId="2FCA8F65">
            <w:pPr>
              <w:keepNext w:val="0"/>
              <w:keepLines w:val="0"/>
              <w:pageBreakBefore w:val="0"/>
              <w:widowControl/>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施工期对</w:t>
            </w:r>
            <w:r>
              <w:rPr>
                <w:rFonts w:hint="eastAsia" w:ascii="Times New Roman" w:hAnsi="Times New Roman"/>
                <w:color w:val="000000" w:themeColor="text1"/>
                <w:sz w:val="24"/>
                <w:szCs w:val="24"/>
                <w:lang w:val="en-US" w:eastAsia="zh-CN"/>
                <w14:textFill>
                  <w14:solidFill>
                    <w14:schemeClr w14:val="tx1"/>
                  </w14:solidFill>
                </w14:textFill>
              </w:rPr>
              <w:t>陆生</w:t>
            </w:r>
            <w:r>
              <w:rPr>
                <w:rFonts w:ascii="Times New Roman" w:hAnsi="Times New Roman"/>
                <w:color w:val="000000" w:themeColor="text1"/>
                <w:sz w:val="24"/>
                <w:szCs w:val="24"/>
                <w14:textFill>
                  <w14:solidFill>
                    <w14:schemeClr w14:val="tx1"/>
                  </w14:solidFill>
                </w14:textFill>
              </w:rPr>
              <w:t>动物的影响包括施工行为影响和栖息地破坏影响，工程行为影响主要表现在施工活动及施工人员的生活活动对动物正常活动的干扰；施工机械噪声对动物栖息地声环境的破坏和机械噪声对动物的驱离；施工人员可能对动物的捕杀、猎杀等。这种影响是暂时的，具有阶段性和可恢复性，并可在施工期间采取相对应的措施减少影响。栖息地的破坏体现在工程建设为</w:t>
            </w:r>
            <w:r>
              <w:rPr>
                <w:rFonts w:hint="eastAsia" w:ascii="Times New Roman" w:hAnsi="Times New Roman"/>
                <w:color w:val="000000" w:themeColor="text1"/>
                <w:sz w:val="24"/>
                <w:szCs w:val="24"/>
                <w:lang w:eastAsia="zh-CN"/>
                <w14:textFill>
                  <w14:solidFill>
                    <w14:schemeClr w14:val="tx1"/>
                  </w14:solidFill>
                </w14:textFill>
              </w:rPr>
              <w:t>线性</w:t>
            </w:r>
            <w:r>
              <w:rPr>
                <w:rFonts w:ascii="Times New Roman" w:hAnsi="Times New Roman"/>
                <w:color w:val="000000" w:themeColor="text1"/>
                <w:sz w:val="24"/>
                <w:szCs w:val="24"/>
                <w14:textFill>
                  <w14:solidFill>
                    <w14:schemeClr w14:val="tx1"/>
                  </w14:solidFill>
                </w14:textFill>
              </w:rPr>
              <w:t>工程，可能会对动物栖息地造成分割，形成破碎化，减少动物的活动范围。</w:t>
            </w:r>
          </w:p>
          <w:p w14:paraId="1C030EE6">
            <w:pPr>
              <w:keepNext w:val="0"/>
              <w:keepLines w:val="0"/>
              <w:pageBreakBefore w:val="0"/>
              <w:widowControl/>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工程施工占地对植被的破坏以及施工活动的响声和施工人员的狩猎等，会使原来栖息地在此的动物被迫远离迁移，区域内人为活动频繁，无大中型兽类的栖息生境，工程为线型工程，占地范围有限，并设置有人行桥，一般不会对动物造成影响，小型兽类生境将有可能受到一定影响。</w:t>
            </w:r>
          </w:p>
          <w:p w14:paraId="1925657F">
            <w:pPr>
              <w:keepNext w:val="0"/>
              <w:keepLines w:val="0"/>
              <w:pageBreakBefore w:val="0"/>
              <w:widowControl/>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工程对鸟类的影响主要来自林地、</w:t>
            </w:r>
            <w:r>
              <w:rPr>
                <w:rFonts w:hint="eastAsia" w:ascii="Times New Roman" w:hAnsi="Times New Roman"/>
                <w:color w:val="000000" w:themeColor="text1"/>
                <w:sz w:val="24"/>
                <w:szCs w:val="24"/>
                <w:lang w:val="en-US" w:eastAsia="zh-CN"/>
                <w14:textFill>
                  <w14:solidFill>
                    <w14:schemeClr w14:val="tx1"/>
                  </w14:solidFill>
                </w14:textFill>
              </w:rPr>
              <w:t>草地、</w:t>
            </w:r>
            <w:r>
              <w:rPr>
                <w:rFonts w:ascii="Times New Roman" w:hAnsi="Times New Roman"/>
                <w:color w:val="000000" w:themeColor="text1"/>
                <w:sz w:val="24"/>
                <w:szCs w:val="24"/>
                <w14:textFill>
                  <w14:solidFill>
                    <w14:schemeClr w14:val="tx1"/>
                  </w14:solidFill>
                </w14:textFill>
              </w:rPr>
              <w:t>耕地占用，鸟类栖息生活受到影响，工程施工中噪声对鸟类的惊吓。鸟类活动能力较强，可通过迁飞寻求新的栖息地，工程为线型工程，占用土地较少，对鸟类栖息地影响很小，一般不会对鸟类造成影响，施工期间，工程区域附近的鸟类种类和数量会因栖息地的缩小及人为干扰明显减少，施工期结束后，这种现象会逐渐减轻、恢复。</w:t>
            </w:r>
          </w:p>
          <w:p w14:paraId="1FC6ED5E">
            <w:pPr>
              <w:keepNext w:val="0"/>
              <w:keepLines w:val="0"/>
              <w:pageBreakBefore w:val="0"/>
              <w:widowControl/>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区域内爬行动物中绝大多数速度较快，适应能力强，当环境发生变化时，他们会迅速逃离到附近安全环境中生活，工程施工对区域内爬行动物影响不大，人为捕食对动物威胁较大。</w:t>
            </w:r>
          </w:p>
          <w:p w14:paraId="4CF2B792">
            <w:pPr>
              <w:keepNext w:val="0"/>
              <w:keepLines w:val="0"/>
              <w:pageBreakBefore w:val="0"/>
              <w:widowControl/>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本项目工段</w:t>
            </w:r>
            <w:r>
              <w:rPr>
                <w:rFonts w:hint="eastAsia" w:ascii="Times New Roman" w:hAnsi="Times New Roman"/>
                <w:color w:val="000000" w:themeColor="text1"/>
                <w:sz w:val="24"/>
                <w:szCs w:val="24"/>
                <w14:textFill>
                  <w14:solidFill>
                    <w14:schemeClr w14:val="tx1"/>
                  </w14:solidFill>
                </w14:textFill>
              </w:rPr>
              <w:t>居民分散，</w:t>
            </w:r>
            <w:r>
              <w:rPr>
                <w:rFonts w:ascii="Times New Roman" w:hAnsi="Times New Roman"/>
                <w:color w:val="000000" w:themeColor="text1"/>
                <w:sz w:val="24"/>
                <w:szCs w:val="24"/>
                <w14:textFill>
                  <w14:solidFill>
                    <w14:schemeClr w14:val="tx1"/>
                  </w14:solidFill>
                </w14:textFill>
              </w:rPr>
              <w:t>区域人类活动频繁，经调查访问和沿途观察，项目工程</w:t>
            </w:r>
            <w:r>
              <w:rPr>
                <w:rFonts w:hint="eastAsia" w:ascii="Times New Roman" w:hAnsi="Times New Roman"/>
                <w:color w:val="000000" w:themeColor="text1"/>
                <w:sz w:val="24"/>
                <w:szCs w:val="24"/>
                <w:lang w:val="en-US" w:eastAsia="zh-CN"/>
                <w14:textFill>
                  <w14:solidFill>
                    <w14:schemeClr w14:val="tx1"/>
                  </w14:solidFill>
                </w14:textFill>
              </w:rPr>
              <w:t>占地区</w:t>
            </w:r>
            <w:r>
              <w:rPr>
                <w:rFonts w:ascii="Times New Roman" w:hAnsi="Times New Roman"/>
                <w:color w:val="000000" w:themeColor="text1"/>
                <w:sz w:val="24"/>
                <w:szCs w:val="24"/>
                <w14:textFill>
                  <w14:solidFill>
                    <w14:schemeClr w14:val="tx1"/>
                  </w14:solidFill>
                </w14:textFill>
              </w:rPr>
              <w:t>基本不存在大型的动物。因此，项目施工会导致地表及地下浅层的小型动物受到损失，同时工程施工机械、运输车辆在运行过程中产生的噪声将迫使两栖、爬行动物这些动物逃离施工区。工程运行后，随着施工人员的撤离，施工噪音消失，植被逐渐恢复，伴随生境的恢复与变化，迁飞（移）的动物又会逐渐迁回，区域内的动物物种及数量都会逐渐增加。</w:t>
            </w:r>
          </w:p>
          <w:p w14:paraId="7E90C751">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（2）对重要</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陆生</w:t>
            </w:r>
            <w:r>
              <w:rPr>
                <w:rFonts w:hint="default" w:ascii="Times New Roman" w:hAnsi="Times New Roman" w:eastAsia="宋体" w:cs="Times New Roman"/>
                <w:b/>
                <w:bCs/>
                <w:color w:val="000000" w:themeColor="text1"/>
                <w:sz w:val="24"/>
                <w:szCs w:val="24"/>
                <w14:textFill>
                  <w14:solidFill>
                    <w14:schemeClr w14:val="tx1"/>
                  </w14:solidFill>
                </w14:textFill>
              </w:rPr>
              <w:t>野生动物影响分析</w:t>
            </w:r>
          </w:p>
          <w:p w14:paraId="5A66A37D">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①对国家及地方重点保护野生动物影响分析</w:t>
            </w:r>
          </w:p>
          <w:p w14:paraId="747A17CE">
            <w:pPr>
              <w:pStyle w:val="16"/>
              <w:keepNext w:val="0"/>
              <w:keepLines w:val="0"/>
              <w:pageBreakBefore w:val="0"/>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经实地调查、访问并结合相关历史资料确认，评价区有国家</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二级</w:t>
            </w:r>
            <w:r>
              <w:rPr>
                <w:rFonts w:hint="default" w:ascii="Times New Roman" w:hAnsi="Times New Roman" w:eastAsia="宋体" w:cs="Times New Roman"/>
                <w:color w:val="000000" w:themeColor="text1"/>
                <w:sz w:val="24"/>
                <w:szCs w:val="24"/>
                <w14:textFill>
                  <w14:solidFill>
                    <w14:schemeClr w14:val="tx1"/>
                  </w14:solidFill>
                </w14:textFill>
              </w:rPr>
              <w:t>重点保护鸟类2种，分别为红隼</w:t>
            </w:r>
            <w:r>
              <w:rPr>
                <w:rFonts w:hint="default" w:ascii="Times New Roman" w:hAnsi="Times New Roman" w:eastAsia="宋体" w:cs="Times New Roman"/>
                <w:color w:val="000000" w:themeColor="text1"/>
                <w:sz w:val="24"/>
                <w:szCs w:val="24"/>
                <w:lang w:eastAsia="zh-CN"/>
                <w14:textFill>
                  <w14:solidFill>
                    <w14:schemeClr w14:val="tx1"/>
                  </w14:solidFill>
                </w14:textFill>
              </w:rPr>
              <w:t>、白腹锦鸡</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分布有国家二级重点保护兽类2种，分别为黑熊和豹猫，</w:t>
            </w:r>
            <w:r>
              <w:rPr>
                <w:rFonts w:hint="default" w:ascii="Times New Roman" w:hAnsi="Times New Roman" w:eastAsia="宋体" w:cs="Times New Roman"/>
                <w:color w:val="000000" w:themeColor="text1"/>
                <w:sz w:val="24"/>
                <w:szCs w:val="24"/>
                <w14:textFill>
                  <w14:solidFill>
                    <w14:schemeClr w14:val="tx1"/>
                  </w14:solidFill>
                </w14:textFill>
              </w:rPr>
              <w:t>评价区无四川省级重点保护</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陆生动物</w:t>
            </w:r>
            <w:r>
              <w:rPr>
                <w:rFonts w:hint="default" w:ascii="Times New Roman" w:hAnsi="Times New Roman" w:eastAsia="宋体" w:cs="Times New Roman"/>
                <w:color w:val="000000" w:themeColor="text1"/>
                <w:sz w:val="24"/>
                <w:szCs w:val="24"/>
                <w14:textFill>
                  <w14:solidFill>
                    <w14:schemeClr w14:val="tx1"/>
                  </w14:solidFill>
                </w14:textFill>
              </w:rPr>
              <w:t>。</w:t>
            </w:r>
          </w:p>
          <w:p w14:paraId="1DB8D818">
            <w:pPr>
              <w:pStyle w:val="16"/>
              <w:keepNext w:val="0"/>
              <w:keepLines w:val="0"/>
              <w:pageBreakBefore w:val="0"/>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根据调查，</w:t>
            </w:r>
            <w:r>
              <w:rPr>
                <w:rFonts w:hint="default" w:ascii="Times New Roman" w:hAnsi="Times New Roman" w:eastAsia="宋体" w:cs="Times New Roman"/>
                <w:color w:val="000000" w:themeColor="text1"/>
                <w:sz w:val="24"/>
                <w:szCs w:val="24"/>
                <w14:textFill>
                  <w14:solidFill>
                    <w14:schemeClr w14:val="tx1"/>
                  </w14:solidFill>
                </w14:textFill>
              </w:rPr>
              <w:t>保护鸟类中红隼多栖息于林缘、林间空地、疏林以及有稀疏树木的旷野、河谷</w:t>
            </w:r>
            <w:r>
              <w:rPr>
                <w:rFonts w:hint="default" w:ascii="Times New Roman" w:hAnsi="Times New Roman" w:eastAsia="宋体" w:cs="Times New Roman"/>
                <w:color w:val="000000" w:themeColor="text1"/>
                <w:sz w:val="24"/>
                <w:szCs w:val="24"/>
                <w:lang w:eastAsia="zh-CN"/>
                <w14:textFill>
                  <w14:solidFill>
                    <w14:schemeClr w14:val="tx1"/>
                  </w14:solidFill>
                </w14:textFill>
              </w:rPr>
              <w:t>；白腹锦鸡</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多生活在灌丛和</w:t>
            </w:r>
            <w:r>
              <w:rPr>
                <w:rFonts w:hint="default" w:ascii="Times New Roman" w:hAnsi="Times New Roman" w:eastAsia="宋体" w:cs="Times New Roman"/>
                <w:b w:val="0"/>
                <w:bCs w:val="0"/>
                <w:color w:val="000000" w:themeColor="text1"/>
                <w:sz w:val="24"/>
                <w:szCs w:val="24"/>
                <w14:textFill>
                  <w14:solidFill>
                    <w14:schemeClr w14:val="tx1"/>
                  </w14:solidFill>
                </w14:textFill>
              </w:rPr>
              <w:t>矮竹丛</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间</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虽然本项目施工期间会占用部分</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林地</w:t>
            </w:r>
            <w:r>
              <w:rPr>
                <w:rFonts w:hint="default" w:ascii="Times New Roman" w:hAnsi="Times New Roman" w:eastAsia="宋体" w:cs="Times New Roman"/>
                <w:color w:val="000000" w:themeColor="text1"/>
                <w:sz w:val="24"/>
                <w:szCs w:val="24"/>
                <w14:textFill>
                  <w14:solidFill>
                    <w14:schemeClr w14:val="tx1"/>
                  </w14:solidFill>
                </w14:textFill>
              </w:rPr>
              <w:t>，影响红隼</w:t>
            </w:r>
            <w:r>
              <w:rPr>
                <w:rFonts w:hint="default" w:ascii="Times New Roman" w:hAnsi="Times New Roman" w:eastAsia="宋体" w:cs="Times New Roman"/>
                <w:color w:val="000000" w:themeColor="text1"/>
                <w:sz w:val="24"/>
                <w:szCs w:val="24"/>
                <w:lang w:eastAsia="zh-CN"/>
                <w14:textFill>
                  <w14:solidFill>
                    <w14:schemeClr w14:val="tx1"/>
                  </w14:solidFill>
                </w14:textFill>
              </w:rPr>
              <w:t>、白腹锦鸡</w:t>
            </w:r>
            <w:r>
              <w:rPr>
                <w:rFonts w:hint="default" w:ascii="Times New Roman" w:hAnsi="Times New Roman" w:eastAsia="宋体" w:cs="Times New Roman"/>
                <w:color w:val="000000" w:themeColor="text1"/>
                <w:sz w:val="24"/>
                <w:szCs w:val="24"/>
                <w14:textFill>
                  <w14:solidFill>
                    <w14:schemeClr w14:val="tx1"/>
                  </w14:solidFill>
                </w14:textFill>
              </w:rPr>
              <w:t>的栖息地，但红隼</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属于猛禽</w:t>
            </w:r>
            <w:r>
              <w:rPr>
                <w:rFonts w:hint="default" w:ascii="Times New Roman" w:hAnsi="Times New Roman" w:eastAsia="宋体" w:cs="Times New Roman"/>
                <w:color w:val="000000" w:themeColor="text1"/>
                <w:sz w:val="24"/>
                <w:szCs w:val="24"/>
                <w14:textFill>
                  <w14:solidFill>
                    <w14:schemeClr w14:val="tx1"/>
                  </w14:solidFill>
                </w14:textFill>
              </w:rPr>
              <w:t>一般在评价区上空盘旋，觅食和活动范围广，躲避干扰的能力极强，正常施工干扰不会直接伤害</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白腹锦鸡常出没活动于灌丛</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间，行动迅速，躲避干扰能力强，只要不是刻意捕猎，正常施工不会直接伤害</w:t>
            </w:r>
            <w:r>
              <w:rPr>
                <w:rFonts w:hint="default" w:ascii="Times New Roman" w:hAnsi="Times New Roman" w:eastAsia="宋体" w:cs="Times New Roman"/>
                <w:color w:val="000000" w:themeColor="text1"/>
                <w:sz w:val="24"/>
                <w:szCs w:val="24"/>
                <w14:textFill>
                  <w14:solidFill>
                    <w14:schemeClr w14:val="tx1"/>
                  </w14:solidFill>
                </w14:textFill>
              </w:rPr>
              <w:t>；施工噪声、粉尘、灯光等干扰将减少其在项目区上空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以及区域</w:t>
            </w:r>
            <w:r>
              <w:rPr>
                <w:rFonts w:hint="default" w:ascii="Times New Roman" w:hAnsi="Times New Roman" w:eastAsia="宋体" w:cs="Times New Roman"/>
                <w:color w:val="000000" w:themeColor="text1"/>
                <w:sz w:val="24"/>
                <w:szCs w:val="24"/>
                <w14:textFill>
                  <w14:solidFill>
                    <w14:schemeClr w14:val="tx1"/>
                  </w14:solidFill>
                </w14:textFill>
              </w:rPr>
              <w:t>活动的几率。使得这些保护鸟类远离项目区域活动，暂时降低了项目区及周边区域保护动物的栖息地价值，评价区内种群数量有减少的趋势，但个体不会受到直接侵害。</w:t>
            </w:r>
          </w:p>
          <w:p w14:paraId="081FA456">
            <w:pPr>
              <w:pStyle w:val="16"/>
              <w:keepNext w:val="0"/>
              <w:keepLines w:val="0"/>
              <w:pageBreakBefore w:val="0"/>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保护动物</w:t>
            </w:r>
            <w:r>
              <w:rPr>
                <w:rFonts w:hint="default" w:ascii="Times New Roman" w:hAnsi="Times New Roman" w:eastAsia="宋体" w:cs="Times New Roman"/>
                <w:color w:val="000000" w:themeColor="text1"/>
                <w:sz w:val="24"/>
                <w:szCs w:val="24"/>
                <w14:textFill>
                  <w14:solidFill>
                    <w14:schemeClr w14:val="tx1"/>
                  </w14:solidFill>
                </w14:textFill>
              </w:rPr>
              <w:t>黑熊多栖息于常绿阔叶林或混交林</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独栖。根据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区域</w:t>
            </w:r>
            <w:r>
              <w:rPr>
                <w:rFonts w:hint="default" w:ascii="Times New Roman" w:hAnsi="Times New Roman" w:eastAsia="宋体" w:cs="Times New Roman"/>
                <w:color w:val="000000" w:themeColor="text1"/>
                <w:sz w:val="24"/>
                <w:szCs w:val="24"/>
                <w14:textFill>
                  <w14:solidFill>
                    <w14:schemeClr w14:val="tx1"/>
                  </w14:solidFill>
                </w14:textFill>
              </w:rPr>
              <w:t>野生动物</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以及调查走访</w:t>
            </w:r>
            <w:r>
              <w:rPr>
                <w:rFonts w:hint="default" w:ascii="Times New Roman" w:hAnsi="Times New Roman" w:eastAsia="宋体" w:cs="Times New Roman"/>
                <w:color w:val="000000" w:themeColor="text1"/>
                <w:sz w:val="24"/>
                <w:szCs w:val="24"/>
                <w14:textFill>
                  <w14:solidFill>
                    <w14:schemeClr w14:val="tx1"/>
                  </w14:solidFill>
                </w14:textFill>
              </w:rPr>
              <w:t>资料，黑熊在本</w:t>
            </w:r>
            <w:r>
              <w:rPr>
                <w:rFonts w:hint="default" w:ascii="Times New Roman" w:hAnsi="Times New Roman" w:eastAsia="宋体" w:cs="Times New Roman"/>
                <w:color w:val="000000" w:themeColor="text1"/>
                <w:sz w:val="24"/>
                <w:szCs w:val="24"/>
                <w:lang w:eastAsia="zh-CN"/>
                <w14:textFill>
                  <w14:solidFill>
                    <w14:schemeClr w14:val="tx1"/>
                  </w14:solidFill>
                </w14:textFill>
              </w:rPr>
              <w:t>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取水口南侧评价区的</w:t>
            </w:r>
            <w:r>
              <w:rPr>
                <w:rFonts w:hint="default" w:ascii="Times New Roman" w:hAnsi="Times New Roman" w:eastAsia="宋体" w:cs="Times New Roman"/>
                <w:color w:val="000000" w:themeColor="text1"/>
                <w:sz w:val="24"/>
                <w:szCs w:val="24"/>
                <w14:textFill>
                  <w14:solidFill>
                    <w14:schemeClr w14:val="tx1"/>
                  </w14:solidFill>
                </w14:textFill>
              </w:rPr>
              <w:t>边缘可能有分布，距离本项目约800m以上。根据分析，黑熊在评价区周边分布数量极少，属于偶见物种，项目对黑熊的主要影响因子为噪声。经预测，本项目距离</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黑熊可能存在的区域850</w:t>
            </w:r>
            <w:r>
              <w:rPr>
                <w:rFonts w:hint="default" w:ascii="Times New Roman" w:hAnsi="Times New Roman" w:eastAsia="宋体" w:cs="Times New Roman"/>
                <w:color w:val="000000" w:themeColor="text1"/>
                <w:sz w:val="24"/>
                <w:szCs w:val="24"/>
                <w14:textFill>
                  <w14:solidFill>
                    <w14:schemeClr w14:val="tx1"/>
                  </w14:solidFill>
                </w14:textFill>
              </w:rPr>
              <w:t>m，施工期噪声经过距离衰减到达</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850</w:t>
            </w:r>
            <w:r>
              <w:rPr>
                <w:rFonts w:hint="default" w:ascii="Times New Roman" w:hAnsi="Times New Roman" w:eastAsia="宋体" w:cs="Times New Roman"/>
                <w:color w:val="000000" w:themeColor="text1"/>
                <w:sz w:val="24"/>
                <w:szCs w:val="24"/>
                <w14:textFill>
                  <w14:solidFill>
                    <w14:schemeClr w14:val="tx1"/>
                  </w14:solidFill>
                </w14:textFill>
              </w:rPr>
              <w:t>m以后噪声影响较小，因此黑熊</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可能</w:t>
            </w:r>
            <w:r>
              <w:rPr>
                <w:rFonts w:hint="default" w:ascii="Times New Roman" w:hAnsi="Times New Roman" w:eastAsia="宋体" w:cs="Times New Roman"/>
                <w:color w:val="000000" w:themeColor="text1"/>
                <w:sz w:val="24"/>
                <w:szCs w:val="24"/>
                <w14:textFill>
                  <w14:solidFill>
                    <w14:schemeClr w14:val="tx1"/>
                  </w14:solidFill>
                </w14:textFill>
              </w:rPr>
              <w:t>分布区基本不会受到本项目噪声影响。本项目在建设中落实“三废”治理的情况下对黑熊基本无影响。</w:t>
            </w:r>
          </w:p>
          <w:p w14:paraId="4B51BE68">
            <w:pPr>
              <w:pStyle w:val="16"/>
              <w:keepNext w:val="0"/>
              <w:keepLines w:val="0"/>
              <w:pageBreakBefore w:val="0"/>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根据资料分析、现场调查、社区访问调查分析，</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保护动物豹猫</w:t>
            </w:r>
            <w:r>
              <w:rPr>
                <w:rFonts w:hint="default" w:ascii="Times New Roman" w:hAnsi="Times New Roman" w:eastAsia="宋体" w:cs="Times New Roman"/>
                <w:color w:val="000000" w:themeColor="text1"/>
                <w:sz w:val="24"/>
                <w:szCs w:val="24"/>
                <w14:textFill>
                  <w14:solidFill>
                    <w14:schemeClr w14:val="tx1"/>
                  </w14:solidFill>
                </w14:textFill>
              </w:rPr>
              <w:t>距离本项目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施工区域最近</w:t>
            </w:r>
            <w:r>
              <w:rPr>
                <w:rFonts w:hint="default" w:ascii="Times New Roman" w:hAnsi="Times New Roman" w:eastAsia="宋体" w:cs="Times New Roman"/>
                <w:color w:val="000000" w:themeColor="text1"/>
                <w:sz w:val="24"/>
                <w:szCs w:val="24"/>
                <w14:textFill>
                  <w14:solidFill>
                    <w14:schemeClr w14:val="tx1"/>
                  </w14:solidFill>
                </w14:textFill>
              </w:rPr>
              <w:t>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240</w:t>
            </w:r>
            <w:r>
              <w:rPr>
                <w:rFonts w:hint="default" w:ascii="Times New Roman" w:hAnsi="Times New Roman" w:eastAsia="宋体" w:cs="Times New Roman"/>
                <w:color w:val="000000" w:themeColor="text1"/>
                <w:sz w:val="24"/>
                <w:szCs w:val="24"/>
                <w14:textFill>
                  <w14:solidFill>
                    <w14:schemeClr w14:val="tx1"/>
                  </w14:solidFill>
                </w14:textFill>
              </w:rPr>
              <w:t>m，评价区内</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豹猫</w:t>
            </w:r>
            <w:r>
              <w:rPr>
                <w:rFonts w:hint="default" w:ascii="Times New Roman" w:hAnsi="Times New Roman" w:eastAsia="宋体" w:cs="Times New Roman"/>
                <w:color w:val="000000" w:themeColor="text1"/>
                <w:sz w:val="24"/>
                <w:szCs w:val="24"/>
                <w14:textFill>
                  <w14:solidFill>
                    <w14:schemeClr w14:val="tx1"/>
                  </w14:solidFill>
                </w14:textFill>
              </w:rPr>
              <w:t>数量稀少，主要</w:t>
            </w:r>
            <w:r>
              <w:rPr>
                <w:rFonts w:hint="default" w:ascii="Times New Roman" w:hAnsi="Times New Roman" w:eastAsia="宋体" w:cs="Times New Roman"/>
                <w:color w:val="000000" w:themeColor="text1"/>
                <w:sz w:val="24"/>
                <w:szCs w:val="24"/>
                <w:lang w:eastAsia="zh-CN"/>
                <w14:textFill>
                  <w14:solidFill>
                    <w14:schemeClr w14:val="tx1"/>
                  </w14:solidFill>
                </w14:textFill>
              </w:rPr>
              <w:t>受</w:t>
            </w:r>
            <w:r>
              <w:rPr>
                <w:rFonts w:hint="default" w:ascii="Times New Roman" w:hAnsi="Times New Roman" w:eastAsia="宋体" w:cs="Times New Roman"/>
                <w:color w:val="000000" w:themeColor="text1"/>
                <w:sz w:val="24"/>
                <w:szCs w:val="24"/>
                <w14:textFill>
                  <w14:solidFill>
                    <w14:schemeClr w14:val="tx1"/>
                  </w14:solidFill>
                </w14:textFill>
              </w:rPr>
              <w:t>人类运输</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耕作</w:t>
            </w:r>
            <w:r>
              <w:rPr>
                <w:rFonts w:hint="default" w:ascii="Times New Roman" w:hAnsi="Times New Roman" w:eastAsia="宋体" w:cs="Times New Roman"/>
                <w:color w:val="000000" w:themeColor="text1"/>
                <w:sz w:val="24"/>
                <w:szCs w:val="24"/>
                <w14:textFill>
                  <w14:solidFill>
                    <w14:schemeClr w14:val="tx1"/>
                  </w14:solidFill>
                </w14:textFill>
              </w:rPr>
              <w:t>活动等影响。</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豹猫</w:t>
            </w:r>
            <w:r>
              <w:rPr>
                <w:rFonts w:hint="default" w:ascii="Times New Roman" w:hAnsi="Times New Roman" w:eastAsia="宋体" w:cs="Times New Roman"/>
                <w:color w:val="000000" w:themeColor="text1"/>
                <w:sz w:val="24"/>
                <w:szCs w:val="24"/>
                <w14:textFill>
                  <w14:solidFill>
                    <w14:schemeClr w14:val="tx1"/>
                  </w14:solidFill>
                </w14:textFill>
              </w:rPr>
              <w:t>的栖息环境非常多样，如</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平原、丘陵、山地森林、草坡、灌丛、居民区、作物地等处</w:t>
            </w:r>
            <w:r>
              <w:rPr>
                <w:rFonts w:hint="default" w:ascii="Times New Roman" w:hAnsi="Times New Roman" w:eastAsia="宋体" w:cs="Times New Roman"/>
                <w:color w:val="000000" w:themeColor="text1"/>
                <w:sz w:val="24"/>
                <w:szCs w:val="24"/>
                <w14:textFill>
                  <w14:solidFill>
                    <w14:schemeClr w14:val="tx1"/>
                  </w14:solidFill>
                </w14:textFill>
              </w:rPr>
              <w:t>，适应能力强，具备较强的迁徙能力，会选择其他的适宜生境。本项目施工期对</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豹猫</w:t>
            </w:r>
            <w:r>
              <w:rPr>
                <w:rFonts w:hint="default" w:ascii="Times New Roman" w:hAnsi="Times New Roman" w:eastAsia="宋体" w:cs="Times New Roman"/>
                <w:color w:val="000000" w:themeColor="text1"/>
                <w:sz w:val="24"/>
                <w:szCs w:val="24"/>
                <w14:textFill>
                  <w14:solidFill>
                    <w14:schemeClr w14:val="tx1"/>
                  </w14:solidFill>
                </w14:textFill>
              </w:rPr>
              <w:t>的影响的主要因子为噪声，</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但</w:t>
            </w:r>
            <w:r>
              <w:rPr>
                <w:rFonts w:hint="default" w:ascii="Times New Roman" w:hAnsi="Times New Roman" w:eastAsia="宋体" w:cs="Times New Roman"/>
                <w:color w:val="000000" w:themeColor="text1"/>
                <w:sz w:val="24"/>
                <w:szCs w:val="24"/>
                <w14:textFill>
                  <w14:solidFill>
                    <w14:schemeClr w14:val="tx1"/>
                  </w14:solidFill>
                </w14:textFill>
              </w:rPr>
              <w:t>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沿线存在已有道路，存在交通噪声，</w:t>
            </w:r>
            <w:r>
              <w:rPr>
                <w:rFonts w:hint="default" w:ascii="Times New Roman" w:hAnsi="Times New Roman" w:eastAsia="宋体" w:cs="Times New Roman"/>
                <w:color w:val="000000" w:themeColor="text1"/>
                <w:sz w:val="24"/>
                <w:szCs w:val="24"/>
                <w14:textFill>
                  <w14:solidFill>
                    <w14:schemeClr w14:val="tx1"/>
                  </w14:solidFill>
                </w14:textFill>
              </w:rPr>
              <w:t>已存在对</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豹猫的</w:t>
            </w:r>
            <w:r>
              <w:rPr>
                <w:rFonts w:hint="default" w:ascii="Times New Roman" w:hAnsi="Times New Roman" w:eastAsia="宋体" w:cs="Times New Roman"/>
                <w:color w:val="000000" w:themeColor="text1"/>
                <w:sz w:val="24"/>
                <w:szCs w:val="24"/>
                <w14:textFill>
                  <w14:solidFill>
                    <w14:schemeClr w14:val="tx1"/>
                  </w14:solidFill>
                </w14:textFill>
              </w:rPr>
              <w:t>影响因素</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而本次沿线主要建设输水管道，</w:t>
            </w:r>
            <w:r>
              <w:rPr>
                <w:rFonts w:hint="default" w:ascii="Times New Roman" w:hAnsi="Times New Roman" w:eastAsia="宋体" w:cs="Times New Roman"/>
                <w:color w:val="000000" w:themeColor="text1"/>
                <w:sz w:val="24"/>
                <w:szCs w:val="24"/>
                <w14:textFill>
                  <w14:solidFill>
                    <w14:schemeClr w14:val="tx1"/>
                  </w14:solidFill>
                </w14:textFill>
              </w:rPr>
              <w:t>本项目施工期噪声经过距离衰减到达</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240</w:t>
            </w:r>
            <w:r>
              <w:rPr>
                <w:rFonts w:hint="default" w:ascii="Times New Roman" w:hAnsi="Times New Roman" w:eastAsia="宋体" w:cs="Times New Roman"/>
                <w:color w:val="000000" w:themeColor="text1"/>
                <w:sz w:val="24"/>
                <w:szCs w:val="24"/>
                <w14:textFill>
                  <w14:solidFill>
                    <w14:schemeClr w14:val="tx1"/>
                  </w14:solidFill>
                </w14:textFill>
              </w:rPr>
              <w:t>m以后噪声影响较小，</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且施工期影响时间较短，随着施工结束而结束，</w:t>
            </w:r>
            <w:r>
              <w:rPr>
                <w:rFonts w:hint="default" w:ascii="Times New Roman" w:hAnsi="Times New Roman" w:eastAsia="宋体" w:cs="Times New Roman"/>
                <w:color w:val="000000" w:themeColor="text1"/>
                <w:sz w:val="24"/>
                <w:szCs w:val="24"/>
                <w14:textFill>
                  <w14:solidFill>
                    <w14:schemeClr w14:val="tx1"/>
                  </w14:solidFill>
                </w14:textFill>
              </w:rPr>
              <w:t>因此</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本项目的施工对豹猫及其</w:t>
            </w:r>
            <w:r>
              <w:rPr>
                <w:rFonts w:hint="default" w:ascii="Times New Roman" w:hAnsi="Times New Roman" w:eastAsia="宋体" w:cs="Times New Roman"/>
                <w:color w:val="000000" w:themeColor="text1"/>
                <w:sz w:val="24"/>
                <w:szCs w:val="24"/>
                <w14:textFill>
                  <w14:solidFill>
                    <w14:schemeClr w14:val="tx1"/>
                  </w14:solidFill>
                </w14:textFill>
              </w:rPr>
              <w:t>分布区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影响轻微</w:t>
            </w:r>
            <w:r>
              <w:rPr>
                <w:rFonts w:hint="default" w:ascii="Times New Roman" w:hAnsi="Times New Roman" w:eastAsia="宋体" w:cs="Times New Roman"/>
                <w:color w:val="000000" w:themeColor="text1"/>
                <w:sz w:val="24"/>
                <w:szCs w:val="24"/>
                <w14:textFill>
                  <w14:solidFill>
                    <w14:schemeClr w14:val="tx1"/>
                  </w14:solidFill>
                </w14:textFill>
              </w:rPr>
              <w:t>。</w:t>
            </w:r>
          </w:p>
          <w:p w14:paraId="06997E1A">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综上所述，项目建设对评价区内保护动物的影响主要为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噪声</w:t>
            </w:r>
            <w:r>
              <w:rPr>
                <w:rFonts w:hint="default" w:ascii="Times New Roman" w:hAnsi="Times New Roman" w:eastAsia="宋体" w:cs="Times New Roman"/>
                <w:color w:val="000000" w:themeColor="text1"/>
                <w:sz w:val="24"/>
                <w:szCs w:val="24"/>
                <w14:textFill>
                  <w14:solidFill>
                    <w14:schemeClr w14:val="tx1"/>
                  </w14:solidFill>
                </w14:textFill>
              </w:rPr>
              <w:t>驱离效应，待干扰降低后保护动物会再次回归，在严格管</w:t>
            </w:r>
            <w:r>
              <w:rPr>
                <w:rFonts w:hint="default" w:ascii="Times New Roman" w:hAnsi="Times New Roman" w:eastAsia="宋体" w:cs="Times New Roman"/>
                <w:color w:val="000000" w:themeColor="text1"/>
                <w:sz w:val="24"/>
                <w:szCs w:val="24"/>
                <w:lang w:eastAsia="zh-CN"/>
                <w14:textFill>
                  <w14:solidFill>
                    <w14:schemeClr w14:val="tx1"/>
                  </w14:solidFill>
                </w14:textFill>
              </w:rPr>
              <w:t>理和</w:t>
            </w:r>
            <w:r>
              <w:rPr>
                <w:rFonts w:hint="default" w:ascii="Times New Roman" w:hAnsi="Times New Roman" w:eastAsia="宋体" w:cs="Times New Roman"/>
                <w:color w:val="000000" w:themeColor="text1"/>
                <w:sz w:val="24"/>
                <w:szCs w:val="24"/>
                <w14:textFill>
                  <w14:solidFill>
                    <w14:schemeClr w14:val="tx1"/>
                  </w14:solidFill>
                </w14:textFill>
              </w:rPr>
              <w:t>禁止人员捕猎</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严格落实“三废”治理等措施</w:t>
            </w:r>
            <w:r>
              <w:rPr>
                <w:rFonts w:hint="default" w:ascii="Times New Roman" w:hAnsi="Times New Roman" w:eastAsia="宋体" w:cs="Times New Roman"/>
                <w:color w:val="000000" w:themeColor="text1"/>
                <w:sz w:val="24"/>
                <w:szCs w:val="24"/>
                <w14:textFill>
                  <w14:solidFill>
                    <w14:schemeClr w14:val="tx1"/>
                  </w14:solidFill>
                </w14:textFill>
              </w:rPr>
              <w:t>的前提下，不会对保护动物个体造成直接伤害，总体影响较低。</w:t>
            </w:r>
          </w:p>
          <w:p w14:paraId="7F10DD80">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②对红色名录极危、濒危和易危野生动物的影响</w:t>
            </w:r>
          </w:p>
          <w:p w14:paraId="7DB71C57">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Style w:val="186"/>
                <w:rFonts w:hint="default" w:ascii="Times New Roman" w:hAnsi="Times New Roman" w:eastAsia="宋体" w:cs="Times New Roman"/>
                <w:color w:val="000000" w:themeColor="text1"/>
                <w:sz w:val="24"/>
                <w:szCs w:val="24"/>
                <w14:textFill>
                  <w14:solidFill>
                    <w14:schemeClr w14:val="tx1"/>
                  </w14:solidFill>
                </w14:textFill>
              </w:rPr>
              <w:t>根据《中国生物多样性红色名录——脊椎动物卷》</w:t>
            </w:r>
            <w:r>
              <w:rPr>
                <w:rStyle w:val="186"/>
                <w:rFonts w:hint="default" w:ascii="Times New Roman" w:hAnsi="Times New Roman" w:eastAsia="宋体" w:cs="Times New Roman"/>
                <w:color w:val="000000" w:themeColor="text1"/>
                <w:sz w:val="24"/>
                <w:szCs w:val="24"/>
                <w:lang w:eastAsia="zh-CN"/>
                <w14:textFill>
                  <w14:solidFill>
                    <w14:schemeClr w14:val="tx1"/>
                  </w14:solidFill>
                </w14:textFill>
              </w:rPr>
              <w:t>（</w:t>
            </w:r>
            <w:r>
              <w:rPr>
                <w:rStyle w:val="186"/>
                <w:rFonts w:hint="default" w:ascii="Times New Roman" w:hAnsi="Times New Roman" w:eastAsia="宋体" w:cs="Times New Roman"/>
                <w:color w:val="000000" w:themeColor="text1"/>
                <w:sz w:val="24"/>
                <w:szCs w:val="24"/>
                <w:lang w:val="en-US" w:eastAsia="zh-CN"/>
                <w14:textFill>
                  <w14:solidFill>
                    <w14:schemeClr w14:val="tx1"/>
                  </w14:solidFill>
                </w14:textFill>
              </w:rPr>
              <w:t>2020年版</w:t>
            </w:r>
            <w:r>
              <w:rPr>
                <w:rStyle w:val="186"/>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评价区内无极危动物分布，分布有易危爬行动物</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种，分别为王锦蛇、黑眉锦蛇</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分布有</w:t>
            </w:r>
            <w:r>
              <w:rPr>
                <w:rFonts w:hint="default" w:ascii="Times New Roman" w:hAnsi="Times New Roman" w:eastAsia="宋体" w:cs="Times New Roman"/>
                <w:color w:val="000000" w:themeColor="text1"/>
                <w:sz w:val="24"/>
                <w:szCs w:val="24"/>
                <w14:textFill>
                  <w14:solidFill>
                    <w14:schemeClr w14:val="tx1"/>
                  </w14:solidFill>
                </w14:textFill>
              </w:rPr>
              <w:t>易危兽类黑熊</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其中黑熊属于国家二级保护野生动物，对其影响分析已在上节分析，不再累述。</w:t>
            </w:r>
          </w:p>
          <w:p w14:paraId="5BCD1D47">
            <w:pPr>
              <w:pStyle w:val="16"/>
              <w:keepNext w:val="0"/>
              <w:keepLines w:val="0"/>
              <w:pageBreakBefore w:val="0"/>
              <w:kinsoku/>
              <w:wordWrap/>
              <w:overflowPunct/>
              <w:topLinePunct w:val="0"/>
              <w:bidi w:val="0"/>
              <w:adjustRightInd w:val="0"/>
              <w:snapToGrid w:val="0"/>
              <w:spacing w:line="360" w:lineRule="auto"/>
              <w:ind w:left="0" w:leftChars="0" w:firstLine="48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根据调查，</w:t>
            </w:r>
            <w:r>
              <w:rPr>
                <w:rFonts w:hint="default" w:ascii="Times New Roman" w:hAnsi="Times New Roman" w:eastAsia="宋体" w:cs="Times New Roman"/>
                <w:color w:val="000000" w:themeColor="text1"/>
                <w:sz w:val="24"/>
                <w:szCs w:val="24"/>
                <w14:textFill>
                  <w14:solidFill>
                    <w14:schemeClr w14:val="tx1"/>
                  </w14:solidFill>
                </w14:textFill>
              </w:rPr>
              <w:t>王锦蛇耐寒、适应性强，主要栖息在山地、平原及丘陵地带，活动于河边、水塘边、库区及其他近水域的地方。王锦蛇性情凶猛，动作敏捷，爬行速度快且会攀爬上树，王锦蛇的蛇皮受到密集贸易的影响，可被制作成鞋子、钱包等。黑眉锦蛇常在房屋内及其附近活动，善攀爬，有时在屋檐及屋顶出现，草地、田园、丘陵亦有其踪迹。</w:t>
            </w:r>
          </w:p>
          <w:p w14:paraId="10691A8D">
            <w:pPr>
              <w:pStyle w:val="16"/>
              <w:keepNext w:val="0"/>
              <w:keepLines w:val="0"/>
              <w:pageBreakBefore w:val="0"/>
              <w:kinsoku/>
              <w:wordWrap/>
              <w:overflowPunct/>
              <w:topLinePunct w:val="0"/>
              <w:bidi w:val="0"/>
              <w:adjustRightInd w:val="0"/>
              <w:snapToGrid w:val="0"/>
              <w:spacing w:line="360" w:lineRule="auto"/>
              <w:ind w:left="0" w:leftChars="0" w:firstLine="48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王锦蛇、黑眉锦蛇、均属于经济动物，其易危因素是人类捕杀、车辆碾压、贸易及栖息地丧失等因素。</w:t>
            </w:r>
          </w:p>
          <w:p w14:paraId="68DD8066">
            <w:pPr>
              <w:pStyle w:val="16"/>
              <w:keepNext w:val="0"/>
              <w:keepLines w:val="0"/>
              <w:pageBreakBefore w:val="0"/>
              <w:kinsoku/>
              <w:wordWrap/>
              <w:overflowPunct/>
              <w:topLinePunct w:val="0"/>
              <w:bidi w:val="0"/>
              <w:adjustRightInd w:val="0"/>
              <w:snapToGrid w:val="0"/>
              <w:spacing w:line="360" w:lineRule="auto"/>
              <w:ind w:left="0" w:leftChars="0" w:firstLine="48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本项目施工过程对王锦蛇、黑眉锦蛇的影响的主要因子为车辆、机械噪声，同时由于管道开挖、临时堆土等新增占地区导致森林及部分灌丛的破坏，可能影响蛇类栖息地。</w:t>
            </w:r>
          </w:p>
          <w:p w14:paraId="6FD82369">
            <w:pPr>
              <w:pStyle w:val="16"/>
              <w:keepNext w:val="0"/>
              <w:keepLines w:val="0"/>
              <w:pageBreakBefore w:val="0"/>
              <w:kinsoku/>
              <w:wordWrap/>
              <w:overflowPunct/>
              <w:topLinePunct w:val="0"/>
              <w:bidi w:val="0"/>
              <w:adjustRightInd w:val="0"/>
              <w:snapToGrid w:val="0"/>
              <w:spacing w:line="360" w:lineRule="auto"/>
              <w:ind w:left="0" w:leftChars="0" w:firstLine="48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由于项目沿线居民较多，人类活动频繁，且管道大多沿着现有乡道铺设，机械噪声、人员活动噪声本身存在，区域存在王锦蛇、黑眉锦蛇的可能性很小，同时，王锦蛇、黑眉锦蛇行动迅速，可以及时远离项目区域，项目施工及运营虽然暂时降低了项目区及周边区域蛇类的栖息地价值，评价区内种群数量有减少的趋势，但在严格禁止捕猎，个体不会受到直接侵害，不会造成王锦蛇、黑眉锦</w:t>
            </w:r>
            <w:r>
              <w:rPr>
                <w:rFonts w:hint="default" w:ascii="Times New Roman" w:hAnsi="Times New Roman" w:eastAsia="宋体" w:cs="Times New Roman"/>
                <w:color w:val="000000" w:themeColor="text1"/>
                <w:sz w:val="24"/>
                <w:szCs w:val="24"/>
                <w:lang w:eastAsia="zh-CN"/>
                <w14:textFill>
                  <w14:solidFill>
                    <w14:schemeClr w14:val="tx1"/>
                  </w14:solidFill>
                </w14:textFill>
              </w:rPr>
              <w:t>蛇</w:t>
            </w:r>
            <w:r>
              <w:rPr>
                <w:rFonts w:hint="default" w:ascii="Times New Roman" w:hAnsi="Times New Roman" w:eastAsia="宋体" w:cs="Times New Roman"/>
                <w:color w:val="000000" w:themeColor="text1"/>
                <w:sz w:val="24"/>
                <w:szCs w:val="24"/>
                <w14:textFill>
                  <w14:solidFill>
                    <w14:schemeClr w14:val="tx1"/>
                  </w14:solidFill>
                </w14:textFill>
              </w:rPr>
              <w:t>种群数量的减少。</w:t>
            </w:r>
          </w:p>
          <w:p w14:paraId="3F1DBCAB">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③对中国特有野生动物的影响</w:t>
            </w:r>
          </w:p>
          <w:p w14:paraId="3B5EE14E">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根据现状调查，</w:t>
            </w:r>
            <w:r>
              <w:rPr>
                <w:rFonts w:hint="default" w:ascii="Times New Roman" w:hAnsi="Times New Roman" w:eastAsia="宋体" w:cs="Times New Roman"/>
                <w:color w:val="000000" w:themeColor="text1"/>
                <w:sz w:val="24"/>
                <w:szCs w:val="24"/>
                <w14:textFill>
                  <w14:solidFill>
                    <w14:schemeClr w14:val="tx1"/>
                  </w14:solidFill>
                </w14:textFill>
              </w:rPr>
              <w:t>评价区分布中国特有</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两栖类3种，分别为华西蟾蜍、倭蛙和高原林蛙；</w:t>
            </w:r>
            <w:r>
              <w:rPr>
                <w:rFonts w:hint="default" w:ascii="Times New Roman" w:hAnsi="Times New Roman" w:eastAsia="宋体" w:cs="Times New Roman"/>
                <w:color w:val="000000" w:themeColor="text1"/>
                <w:sz w:val="24"/>
                <w:szCs w:val="24"/>
                <w14:textFill>
                  <w14:solidFill>
                    <w14:schemeClr w14:val="tx1"/>
                  </w14:solidFill>
                </w14:textFill>
              </w:rPr>
              <w:t>中国特有兽类</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种为岩松鼠、小麂</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川西</w:t>
            </w:r>
            <w:r>
              <w:rPr>
                <w:rFonts w:hint="default" w:ascii="Times New Roman" w:hAnsi="Times New Roman" w:eastAsia="宋体" w:cs="Times New Roman"/>
                <w:color w:val="000000" w:themeColor="text1"/>
                <w:sz w:val="24"/>
                <w:szCs w:val="24"/>
                <w:lang w:eastAsia="zh-CN"/>
                <w14:textFill>
                  <w14:solidFill>
                    <w14:schemeClr w14:val="tx1"/>
                  </w14:solidFill>
                </w14:textFill>
              </w:rPr>
              <w:t>白腹鼠、高山姬鼠。</w:t>
            </w:r>
          </w:p>
          <w:p w14:paraId="5836D330">
            <w:pPr>
              <w:pStyle w:val="16"/>
              <w:keepNext w:val="0"/>
              <w:keepLines w:val="0"/>
              <w:pageBreakBefore w:val="0"/>
              <w:numPr>
                <w:ilvl w:val="0"/>
                <w:numId w:val="22"/>
              </w:numPr>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两栖类</w:t>
            </w:r>
          </w:p>
          <w:p w14:paraId="73F3856A">
            <w:pPr>
              <w:pStyle w:val="16"/>
              <w:keepNext w:val="0"/>
              <w:keepLines w:val="0"/>
              <w:pageBreakBefore w:val="0"/>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特有动物</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华西蟾蜍喜湿、喜暗、喜暖，白天活动较少，喜欢栖息于水边草丛、砖石孔洞、沟塘、水渠、石穴、农田、草地、山间等阴暗潮湿的地方。倭蛙主要栖息于高原沼泽地、水坑内，流溪亦能见到，白天多隐伏在石块下或草丛中，有的蹲于水边，受惊扰即跳于水中或蹿于石块下；高原林蛙多生活在海拔2000-4200米高原地区的各种水域及其附近的湿润环境中，以湖泊、水塘、水坑和沼泽等静水域及其附近的草地、农田、灌丛、森林边缘为主要栖息地。</w:t>
            </w:r>
          </w:p>
          <w:p w14:paraId="43373697">
            <w:pPr>
              <w:pStyle w:val="16"/>
              <w:keepNext w:val="0"/>
              <w:keepLines w:val="0"/>
              <w:pageBreakBefore w:val="0"/>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本</w:t>
            </w:r>
            <w:r>
              <w:rPr>
                <w:rFonts w:hint="default" w:ascii="Times New Roman" w:hAnsi="Times New Roman" w:eastAsia="宋体" w:cs="Times New Roman"/>
                <w:color w:val="000000" w:themeColor="text1"/>
                <w:sz w:val="24"/>
                <w:szCs w:val="24"/>
                <w14:textFill>
                  <w14:solidFill>
                    <w14:schemeClr w14:val="tx1"/>
                  </w14:solidFill>
                </w14:textFill>
              </w:rPr>
              <w:t>次</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现状</w:t>
            </w:r>
            <w:r>
              <w:rPr>
                <w:rFonts w:hint="default" w:ascii="Times New Roman" w:hAnsi="Times New Roman" w:eastAsia="宋体" w:cs="Times New Roman"/>
                <w:color w:val="000000" w:themeColor="text1"/>
                <w:sz w:val="24"/>
                <w:szCs w:val="24"/>
                <w14:textFill>
                  <w14:solidFill>
                    <w14:schemeClr w14:val="tx1"/>
                  </w14:solidFill>
                </w14:textFill>
              </w:rPr>
              <w:t>调查在占地区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附近</w:t>
            </w:r>
            <w:r>
              <w:rPr>
                <w:rFonts w:hint="default" w:ascii="Times New Roman" w:hAnsi="Times New Roman" w:eastAsia="宋体" w:cs="Times New Roman"/>
                <w:color w:val="000000" w:themeColor="text1"/>
                <w:sz w:val="24"/>
                <w:szCs w:val="24"/>
                <w14:textFill>
                  <w14:solidFill>
                    <w14:schemeClr w14:val="tx1"/>
                  </w14:solidFill>
                </w14:textFill>
              </w:rPr>
              <w:t>未发现</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华西蟾蜍、倭蛙和高原林蛙</w:t>
            </w:r>
            <w:r>
              <w:rPr>
                <w:rFonts w:hint="default" w:ascii="Times New Roman" w:hAnsi="Times New Roman" w:eastAsia="宋体" w:cs="Times New Roman"/>
                <w:color w:val="000000" w:themeColor="text1"/>
                <w:sz w:val="24"/>
                <w:szCs w:val="24"/>
                <w14:textFill>
                  <w14:solidFill>
                    <w14:schemeClr w14:val="tx1"/>
                  </w14:solidFill>
                </w14:textFill>
              </w:rPr>
              <w:t>的踪迹，本项目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管道</w:t>
            </w:r>
            <w:r>
              <w:rPr>
                <w:rFonts w:hint="default" w:ascii="Times New Roman" w:hAnsi="Times New Roman" w:eastAsia="宋体" w:cs="Times New Roman"/>
                <w:color w:val="000000" w:themeColor="text1"/>
                <w:sz w:val="24"/>
                <w:szCs w:val="24"/>
                <w14:textFill>
                  <w14:solidFill>
                    <w14:schemeClr w14:val="tx1"/>
                  </w14:solidFill>
                </w14:textFill>
              </w:rPr>
              <w:t>大部分段均</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沿着五里沟、大渡河</w:t>
            </w:r>
            <w:r>
              <w:rPr>
                <w:rFonts w:hint="default" w:ascii="Times New Roman" w:hAnsi="Times New Roman" w:eastAsia="宋体" w:cs="Times New Roman"/>
                <w:color w:val="000000" w:themeColor="text1"/>
                <w:sz w:val="24"/>
                <w:szCs w:val="24"/>
                <w14:textFill>
                  <w14:solidFill>
                    <w14:schemeClr w14:val="tx1"/>
                  </w14:solidFill>
                </w14:textFill>
              </w:rPr>
              <w:t>而行，项目施工过程中部分段紧邻河流，</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且取水口施工直接在五里沟上进行，施工</w:t>
            </w:r>
            <w:r>
              <w:rPr>
                <w:rFonts w:hint="default" w:ascii="Times New Roman" w:hAnsi="Times New Roman" w:eastAsia="宋体" w:cs="Times New Roman"/>
                <w:color w:val="000000" w:themeColor="text1"/>
                <w:sz w:val="24"/>
                <w:szCs w:val="24"/>
                <w14:textFill>
                  <w14:solidFill>
                    <w14:schemeClr w14:val="tx1"/>
                  </w14:solidFill>
                </w14:textFill>
              </w:rPr>
              <w:t>会占用部分</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上述特有两栖类的</w:t>
            </w:r>
            <w:r>
              <w:rPr>
                <w:rFonts w:hint="default" w:ascii="Times New Roman" w:hAnsi="Times New Roman" w:eastAsia="宋体" w:cs="Times New Roman"/>
                <w:color w:val="000000" w:themeColor="text1"/>
                <w:sz w:val="24"/>
                <w:szCs w:val="24"/>
                <w14:textFill>
                  <w14:solidFill>
                    <w14:schemeClr w14:val="tx1"/>
                  </w14:solidFill>
                </w14:textFill>
              </w:rPr>
              <w:t>栖息地，</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但</w:t>
            </w:r>
            <w:r>
              <w:rPr>
                <w:rFonts w:hint="default" w:ascii="Times New Roman" w:hAnsi="Times New Roman" w:eastAsia="宋体" w:cs="Times New Roman"/>
                <w:color w:val="000000" w:themeColor="text1"/>
                <w:sz w:val="24"/>
                <w:szCs w:val="24"/>
                <w14:textFill>
                  <w14:solidFill>
                    <w14:schemeClr w14:val="tx1"/>
                  </w14:solidFill>
                </w14:textFill>
              </w:rPr>
              <w:t>评价区适宜生境较多，工程影响时可迁移至其他适宜区域，</w:t>
            </w:r>
            <w:r>
              <w:rPr>
                <w:rFonts w:hint="default" w:ascii="Times New Roman" w:hAnsi="Times New Roman" w:eastAsia="宋体" w:cs="Times New Roman"/>
                <w:color w:val="000000" w:themeColor="text1"/>
                <w:sz w:val="24"/>
                <w:szCs w:val="24"/>
                <w:lang w:eastAsia="zh-CN"/>
                <w14:textFill>
                  <w14:solidFill>
                    <w14:schemeClr w14:val="tx1"/>
                  </w14:solidFill>
                </w14:textFill>
              </w:rPr>
              <w:t>在</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严禁捕猎，施工前对两栖类进行驱赶后，不会伤害两栖类的个体，采取措施后</w:t>
            </w:r>
            <w:r>
              <w:rPr>
                <w:rFonts w:hint="default" w:ascii="Times New Roman" w:hAnsi="Times New Roman" w:eastAsia="宋体" w:cs="Times New Roman"/>
                <w:color w:val="000000" w:themeColor="text1"/>
                <w:sz w:val="24"/>
                <w:szCs w:val="24"/>
                <w14:textFill>
                  <w14:solidFill>
                    <w14:schemeClr w14:val="tx1"/>
                  </w14:solidFill>
                </w14:textFill>
              </w:rPr>
              <w:t>工程建设对其的影响较小。</w:t>
            </w:r>
          </w:p>
          <w:p w14:paraId="6807177E">
            <w:pPr>
              <w:pStyle w:val="16"/>
              <w:keepNext w:val="0"/>
              <w:keepLines w:val="0"/>
              <w:pageBreakBefore w:val="0"/>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C、</w:t>
            </w:r>
            <w:r>
              <w:rPr>
                <w:rFonts w:hint="default" w:ascii="Times New Roman" w:hAnsi="Times New Roman" w:eastAsia="宋体" w:cs="Times New Roman"/>
                <w:b/>
                <w:bCs/>
                <w:color w:val="000000" w:themeColor="text1"/>
                <w:sz w:val="24"/>
                <w:szCs w:val="24"/>
                <w14:textFill>
                  <w14:solidFill>
                    <w14:schemeClr w14:val="tx1"/>
                  </w14:solidFill>
                </w14:textFill>
              </w:rPr>
              <w:t>兽类</w:t>
            </w:r>
          </w:p>
          <w:p w14:paraId="1B2E41B6">
            <w:pPr>
              <w:pStyle w:val="16"/>
              <w:keepNext w:val="0"/>
              <w:keepLines w:val="0"/>
              <w:pageBreakBefore w:val="0"/>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特有兽类岩松鼠多栖息于山地、丘陵多岩石或裸岩等地油松林、针阔混交林、阔叶林等较开阔而不很郁闭的生境。特有兽类小麂性很怯懦，且孤僻，常单独生活，很少结群，其活动范围小，经常游荡于其</w:t>
            </w:r>
            <w:r>
              <w:rPr>
                <w:rFonts w:hint="default" w:ascii="Times New Roman" w:hAnsi="Times New Roman" w:eastAsia="宋体" w:cs="Times New Roman"/>
                <w:color w:val="000000" w:themeColor="text1"/>
                <w:sz w:val="24"/>
                <w:szCs w:val="24"/>
                <w:lang w:eastAsia="zh-CN"/>
                <w14:textFill>
                  <w14:solidFill>
                    <w14:schemeClr w14:val="tx1"/>
                  </w14:solidFill>
                </w14:textFill>
              </w:rPr>
              <w:t>栖息</w:t>
            </w:r>
            <w:r>
              <w:rPr>
                <w:rFonts w:hint="default" w:ascii="Times New Roman" w:hAnsi="Times New Roman" w:eastAsia="宋体" w:cs="Times New Roman"/>
                <w:color w:val="000000" w:themeColor="text1"/>
                <w:sz w:val="24"/>
                <w:szCs w:val="24"/>
                <w14:textFill>
                  <w14:solidFill>
                    <w14:schemeClr w14:val="tx1"/>
                  </w14:solidFill>
                </w14:textFill>
              </w:rPr>
              <w:t>处附近，经常栖息在小丘陵、小山的低谷或森林边缘的灌丛、杂草丛中。高山姬鼠多栖于海拔800-2000m的农作区、针阔混交林及灌丛、林区人房，喜选择阴暗潮湿的环境作为栖息位点。</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川西</w:t>
            </w:r>
            <w:r>
              <w:rPr>
                <w:rFonts w:hint="default" w:ascii="Times New Roman" w:hAnsi="Times New Roman" w:eastAsia="宋体" w:cs="Times New Roman"/>
                <w:color w:val="000000" w:themeColor="text1"/>
                <w:sz w:val="24"/>
                <w:szCs w:val="24"/>
                <w:lang w:eastAsia="zh-CN"/>
                <w14:textFill>
                  <w14:solidFill>
                    <w14:schemeClr w14:val="tx1"/>
                  </w14:solidFill>
                </w14:textFill>
              </w:rPr>
              <w:t>白腹鼠</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多栖息于</w:t>
            </w:r>
            <w:r>
              <w:rPr>
                <w:rFonts w:hint="default" w:ascii="Times New Roman" w:hAnsi="Times New Roman" w:eastAsia="宋体" w:cs="Times New Roman"/>
                <w:color w:val="000000" w:themeColor="text1"/>
                <w:sz w:val="24"/>
                <w:szCs w:val="24"/>
                <w:lang w:eastAsia="zh-CN"/>
                <w14:textFill>
                  <w14:solidFill>
                    <w14:schemeClr w14:val="tx1"/>
                  </w14:solidFill>
                </w14:textFill>
              </w:rPr>
              <w:t>‌常绿阔叶林‌、‌针阔叶混交林‌及‌亚高山针叶林‌，常见于林下草本植物发达或灌丛茂密的区域。</w:t>
            </w:r>
          </w:p>
          <w:p w14:paraId="10E4F9BA">
            <w:pPr>
              <w:pStyle w:val="16"/>
              <w:keepNext w:val="0"/>
              <w:keepLines w:val="0"/>
              <w:pageBreakBefore w:val="0"/>
              <w:kinsoku/>
              <w:wordWrap/>
              <w:overflowPunct/>
              <w:topLinePunct w:val="0"/>
              <w:bidi w:val="0"/>
              <w:adjustRightInd w:val="0"/>
              <w:snapToGrid w:val="0"/>
              <w:spacing w:line="360" w:lineRule="auto"/>
              <w:ind w:left="0" w:leftChars="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工程建设对其的影响主要有：栖息地生境的干扰，机械噪声、施工人员的捕猎。但由于工程建设占用灌丛以及阔叶林的面积不大，且项目周边大量分布着适宜上述特有兽类的栖息地，且特有兽类行动迅速，可以及时远离施工区域，施工暂时降低了项目区及周边区域特有动物的栖息地价值，施工占地内种群数量有减少的趋势，在严格禁止施工期捕猎，个体不会受到直接侵害，对评价区整体兽类种群的数量影响较小。</w:t>
            </w:r>
          </w:p>
          <w:p w14:paraId="27879CCD">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default" w:ascii="Times New Roman" w:hAnsi="Times New Roman" w:eastAsia="宋体" w:cs="Times New Roman"/>
                <w:bCs/>
                <w:color w:val="000000" w:themeColor="text1"/>
                <w:sz w:val="24"/>
                <w:szCs w:val="24"/>
                <w14:textFill>
                  <w14:solidFill>
                    <w14:schemeClr w14:val="tx1"/>
                  </w14:solidFill>
                </w14:textFill>
              </w:rPr>
            </w:pPr>
            <w:r>
              <w:rPr>
                <w:rFonts w:hint="default" w:ascii="Times New Roman" w:hAnsi="Times New Roman" w:eastAsia="宋体" w:cs="Times New Roman"/>
                <w:bCs/>
                <w:color w:val="000000" w:themeColor="text1"/>
                <w:sz w:val="24"/>
                <w:szCs w:val="24"/>
                <w14:textFill>
                  <w14:solidFill>
                    <w14:schemeClr w14:val="tx1"/>
                  </w14:solidFill>
                </w14:textFill>
              </w:rPr>
              <w:t>④</w:t>
            </w:r>
            <w:r>
              <w:rPr>
                <w:rFonts w:hint="default" w:ascii="Times New Roman" w:hAnsi="Times New Roman" w:eastAsia="宋体" w:cs="Times New Roman"/>
                <w:b/>
                <w:color w:val="000000" w:themeColor="text1"/>
                <w:sz w:val="24"/>
                <w:szCs w:val="24"/>
                <w14:textFill>
                  <w14:solidFill>
                    <w14:schemeClr w14:val="tx1"/>
                  </w14:solidFill>
                </w14:textFill>
              </w:rPr>
              <w:t>对重要生境影响分析</w:t>
            </w:r>
          </w:p>
          <w:p w14:paraId="17DE6414">
            <w:pPr>
              <w:keepNext w:val="0"/>
              <w:keepLines w:val="0"/>
              <w:pageBreakBefore w:val="0"/>
              <w:kinsoku/>
              <w:wordWrap/>
              <w:overflowPunct/>
              <w:topLinePunct w:val="0"/>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14:textFill>
                  <w14:solidFill>
                    <w14:schemeClr w14:val="tx1"/>
                  </w14:solidFill>
                </w14:textFill>
              </w:rPr>
              <w:t>经调查，评价区人类</w:t>
            </w:r>
            <w:r>
              <w:rPr>
                <w:rFonts w:hint="default" w:ascii="Times New Roman" w:hAnsi="Times New Roman" w:eastAsia="宋体" w:cs="Times New Roman"/>
                <w:color w:val="000000" w:themeColor="text1"/>
                <w:kern w:val="0"/>
                <w:sz w:val="24"/>
                <w:szCs w:val="24"/>
                <w:lang w:eastAsia="zh-CN"/>
                <w14:textFill>
                  <w14:solidFill>
                    <w14:schemeClr w14:val="tx1"/>
                  </w14:solidFill>
                </w14:textFill>
              </w:rPr>
              <w:t>活动</w:t>
            </w:r>
            <w:r>
              <w:rPr>
                <w:rFonts w:hint="default" w:ascii="Times New Roman" w:hAnsi="Times New Roman" w:eastAsia="宋体" w:cs="Times New Roman"/>
                <w:color w:val="000000" w:themeColor="text1"/>
                <w:kern w:val="0"/>
                <w:sz w:val="24"/>
                <w:szCs w:val="24"/>
                <w14:textFill>
                  <w14:solidFill>
                    <w14:schemeClr w14:val="tx1"/>
                  </w14:solidFill>
                </w14:textFill>
              </w:rPr>
              <w:t>频繁，无迁徙鸟类、重要野生的动物的重要繁殖地、停歇地、越冬地，无野生动物重要迁徙通道，不存在对其影响。</w:t>
            </w:r>
          </w:p>
          <w:p w14:paraId="52EDD6DF">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（3）</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陆生</w:t>
            </w:r>
            <w:r>
              <w:rPr>
                <w:rFonts w:hint="default" w:ascii="Times New Roman" w:hAnsi="Times New Roman" w:eastAsia="宋体" w:cs="Times New Roman"/>
                <w:b/>
                <w:bCs/>
                <w:color w:val="000000" w:themeColor="text1"/>
                <w:sz w:val="24"/>
                <w:szCs w:val="24"/>
                <w14:textFill>
                  <w14:solidFill>
                    <w14:schemeClr w14:val="tx1"/>
                  </w14:solidFill>
                </w14:textFill>
              </w:rPr>
              <w:t>动物保护措施</w:t>
            </w:r>
          </w:p>
          <w:p w14:paraId="1BB6E094">
            <w:pPr>
              <w:pageBreakBefore w:val="0"/>
              <w:wordWrap/>
              <w:bidi w:val="0"/>
              <w:adjustRightInd w:val="0"/>
              <w:snapToGrid w:val="0"/>
              <w:spacing w:line="360" w:lineRule="auto"/>
              <w:ind w:firstLine="482"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b/>
                <w:bCs/>
                <w:color w:val="000000" w:themeColor="text1"/>
                <w:sz w:val="24"/>
                <w:lang w:eastAsia="zh-CN"/>
                <w14:textFill>
                  <w14:solidFill>
                    <w14:schemeClr w14:val="tx1"/>
                  </w14:solidFill>
                </w14:textFill>
              </w:rPr>
              <w:t>增强</w:t>
            </w:r>
            <w:r>
              <w:rPr>
                <w:rFonts w:ascii="Times New Roman" w:hAnsi="Times New Roman"/>
                <w:b/>
                <w:bCs/>
                <w:color w:val="000000" w:themeColor="text1"/>
                <w:sz w:val="24"/>
                <w14:textFill>
                  <w14:solidFill>
                    <w14:schemeClr w14:val="tx1"/>
                  </w14:solidFill>
                </w14:textFill>
              </w:rPr>
              <w:t>意识、禁止狩猎。</w:t>
            </w:r>
            <w:r>
              <w:rPr>
                <w:rFonts w:hint="eastAsia" w:ascii="Times New Roman" w:hAnsi="Times New Roman"/>
                <w:color w:val="000000" w:themeColor="text1"/>
                <w:sz w:val="24"/>
                <w:lang w:eastAsia="zh-CN"/>
                <w14:textFill>
                  <w14:solidFill>
                    <w14:schemeClr w14:val="tx1"/>
                  </w14:solidFill>
                </w14:textFill>
              </w:rPr>
              <w:t>增强</w:t>
            </w:r>
            <w:r>
              <w:rPr>
                <w:rFonts w:ascii="Times New Roman" w:hAnsi="Times New Roman"/>
                <w:color w:val="000000" w:themeColor="text1"/>
                <w:sz w:val="24"/>
                <w14:textFill>
                  <w14:solidFill>
                    <w14:schemeClr w14:val="tx1"/>
                  </w14:solidFill>
                </w14:textFill>
              </w:rPr>
              <w:t>施工人员的保护意识，严禁捕猎野生动物</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color w:val="000000" w:themeColor="text1"/>
                <w:sz w:val="24"/>
                <w:lang w:val="en-US" w:eastAsia="zh-CN"/>
                <w14:textFill>
                  <w14:solidFill>
                    <w14:schemeClr w14:val="tx1"/>
                  </w14:solidFill>
                </w14:textFill>
              </w:rPr>
              <w:t>尤其是针对</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国家二级保护动物（红隼、白腹锦鸡、黑熊、豹猫）及易危物种（王锦蛇、黑眉锦蛇）</w:t>
            </w:r>
            <w:r>
              <w:rPr>
                <w:rFonts w:hint="eastAsia" w:ascii="Segoe UI" w:hAnsi="Segoe UI" w:eastAsia="宋体" w:cs="Segoe UI"/>
                <w:i w:val="0"/>
                <w:iCs w:val="0"/>
                <w:caps w:val="0"/>
                <w:color w:val="000000" w:themeColor="text1"/>
                <w:spacing w:val="0"/>
                <w:sz w:val="24"/>
                <w:szCs w:val="24"/>
                <w:shd w:val="clear" w:fill="FFFFFF"/>
                <w:lang w:val="en-US" w:eastAsia="zh-CN"/>
                <w14:textFill>
                  <w14:solidFill>
                    <w14:schemeClr w14:val="tx1"/>
                  </w14:solidFill>
                </w14:textFill>
              </w:rPr>
              <w:t>更要在沿线保护动物和易危动物可能出现的地方设置禁止捕猎宣传标识标牌，</w:t>
            </w:r>
            <w:r>
              <w:rPr>
                <w:rFonts w:ascii="Times New Roman" w:hAnsi="Times New Roman"/>
                <w:color w:val="000000" w:themeColor="text1"/>
                <w:sz w:val="24"/>
                <w14:textFill>
                  <w14:solidFill>
                    <w14:schemeClr w14:val="tx1"/>
                  </w14:solidFill>
                </w14:textFill>
              </w:rPr>
              <w:t>施工人员必须遵守《中华人民共和国野生动物保护法》，严禁在施工区及其周围捕猎野生动物，特别是</w:t>
            </w:r>
            <w:r>
              <w:rPr>
                <w:rFonts w:hint="eastAsia" w:ascii="Times New Roman" w:hAnsi="Times New Roman"/>
                <w:color w:val="000000" w:themeColor="text1"/>
                <w:sz w:val="24"/>
                <w:lang w:val="en-US" w:eastAsia="zh-CN"/>
                <w14:textFill>
                  <w14:solidFill>
                    <w14:schemeClr w14:val="tx1"/>
                  </w14:solidFill>
                </w14:textFill>
              </w:rPr>
              <w:t>上述</w:t>
            </w:r>
            <w:r>
              <w:rPr>
                <w:rFonts w:ascii="Times New Roman" w:hAnsi="Times New Roman"/>
                <w:color w:val="000000" w:themeColor="text1"/>
                <w:sz w:val="24"/>
                <w14:textFill>
                  <w14:solidFill>
                    <w14:schemeClr w14:val="tx1"/>
                  </w14:solidFill>
                </w14:textFill>
              </w:rPr>
              <w:t>珍稀濒危保护动物。</w:t>
            </w:r>
          </w:p>
          <w:p w14:paraId="51D25938">
            <w:pPr>
              <w:pageBreakBefore w:val="0"/>
              <w:wordWrap/>
              <w:bidi w:val="0"/>
              <w:adjustRightInd w:val="0"/>
              <w:snapToGrid w:val="0"/>
              <w:spacing w:line="360" w:lineRule="auto"/>
              <w:ind w:firstLine="482" w:firstLineChars="200"/>
              <w:rPr>
                <w:rFonts w:hint="default" w:ascii="Times New Roman" w:hAnsi="Times New Roman" w:eastAsia="宋体"/>
                <w:color w:val="000000" w:themeColor="text1"/>
                <w:sz w:val="24"/>
                <w:lang w:val="en-US" w:eastAsia="zh-CN"/>
                <w14:textFill>
                  <w14:solidFill>
                    <w14:schemeClr w14:val="tx1"/>
                  </w14:solidFill>
                </w14:textFill>
              </w:rPr>
            </w:pPr>
            <w:r>
              <w:rPr>
                <w:rFonts w:ascii="Times New Roman" w:hAnsi="Times New Roman"/>
                <w:b/>
                <w:bCs/>
                <w:color w:val="000000" w:themeColor="text1"/>
                <w:sz w:val="24"/>
                <w14:textFill>
                  <w14:solidFill>
                    <w14:schemeClr w14:val="tx1"/>
                  </w14:solidFill>
                </w14:textFill>
              </w:rPr>
              <w:t>施工安排少惊扰。</w:t>
            </w:r>
            <w:r>
              <w:rPr>
                <w:rFonts w:ascii="Times New Roman" w:hAnsi="Times New Roman"/>
                <w:color w:val="000000" w:themeColor="text1"/>
                <w:sz w:val="24"/>
                <w14:textFill>
                  <w14:solidFill>
                    <w14:schemeClr w14:val="tx1"/>
                  </w14:solidFill>
                </w14:textFill>
              </w:rPr>
              <w:t>野生鸟类和哺乳类大多是晨昏外出觅食，正午休息。为了减少工程施工噪声对野生动物的惊扰，应做好施工方式和时间的计划，并力求避免在晨昏和正午进行高噪音施工</w:t>
            </w:r>
            <w:r>
              <w:rPr>
                <w:rFonts w:hint="eastAsia" w:ascii="Times New Roman" w:hAnsi="Times New Roman"/>
                <w:color w:val="000000" w:themeColor="text1"/>
                <w:sz w:val="24"/>
                <w:lang w:eastAsia="zh-CN"/>
                <w14:textFill>
                  <w14:solidFill>
                    <w14:schemeClr w14:val="tx1"/>
                  </w14:solidFill>
                </w14:textFill>
              </w:rPr>
              <w:t>，</w:t>
            </w:r>
            <w:r>
              <w:rPr>
                <w:rFonts w:hint="eastAsia" w:ascii="Times New Roman" w:hAnsi="Times New Roman"/>
                <w:color w:val="000000" w:themeColor="text1"/>
                <w:sz w:val="24"/>
                <w:lang w:val="en-US" w:eastAsia="zh-CN"/>
                <w14:textFill>
                  <w14:solidFill>
                    <w14:schemeClr w14:val="tx1"/>
                  </w14:solidFill>
                </w14:textFill>
              </w:rPr>
              <w:t>避免夜间施工，减少对</w:t>
            </w:r>
            <w:r>
              <w:rPr>
                <w:rFonts w:ascii="Segoe UI" w:hAnsi="Segoe UI" w:eastAsia="Segoe UI" w:cs="Segoe UI"/>
                <w:i w:val="0"/>
                <w:iCs w:val="0"/>
                <w:caps w:val="0"/>
                <w:color w:val="000000" w:themeColor="text1"/>
                <w:spacing w:val="0"/>
                <w:sz w:val="24"/>
                <w:szCs w:val="24"/>
                <w:shd w:val="clear" w:fill="FFFFFF"/>
                <w14:textFill>
                  <w14:solidFill>
                    <w14:schemeClr w14:val="tx1"/>
                  </w14:solidFill>
                </w14:textFill>
              </w:rPr>
              <w:t>国家二级保护动物（红隼、白腹锦鸡、黑熊、豹猫）</w:t>
            </w:r>
            <w:r>
              <w:rPr>
                <w:rFonts w:hint="eastAsia" w:ascii="Segoe UI" w:hAnsi="Segoe UI" w:eastAsia="宋体" w:cs="Segoe UI"/>
                <w:i w:val="0"/>
                <w:iCs w:val="0"/>
                <w:caps w:val="0"/>
                <w:color w:val="000000" w:themeColor="text1"/>
                <w:spacing w:val="0"/>
                <w:sz w:val="24"/>
                <w:szCs w:val="24"/>
                <w:shd w:val="clear" w:fill="FFFFFF"/>
                <w:lang w:val="en-US" w:eastAsia="zh-CN"/>
                <w14:textFill>
                  <w14:solidFill>
                    <w14:schemeClr w14:val="tx1"/>
                  </w14:solidFill>
                </w14:textFill>
              </w:rPr>
              <w:t>以及黑熊的惊扰。</w:t>
            </w:r>
          </w:p>
          <w:p w14:paraId="24A430B0">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重要野生动物保护措施。</w:t>
            </w:r>
          </w:p>
          <w:p w14:paraId="78F371C3">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default" w:ascii="Times New Roman" w:hAnsi="Times New Roman" w:eastAsia="宋体" w:cs="Times New Roman"/>
                <w:bCs/>
                <w:color w:val="000000" w:themeColor="text1"/>
                <w:kern w:val="0"/>
                <w:sz w:val="24"/>
                <w:szCs w:val="24"/>
                <w14:textFill>
                  <w14:solidFill>
                    <w14:schemeClr w14:val="tx1"/>
                  </w14:solidFill>
                </w14:textFill>
              </w:rPr>
            </w:pPr>
            <w:r>
              <w:rPr>
                <w:rFonts w:hint="default" w:ascii="Times New Roman" w:hAnsi="Times New Roman" w:eastAsia="宋体" w:cs="Times New Roman"/>
                <w:bCs/>
                <w:color w:val="000000" w:themeColor="text1"/>
                <w:kern w:val="0"/>
                <w:sz w:val="24"/>
                <w:szCs w:val="24"/>
                <w14:textFill>
                  <w14:solidFill>
                    <w14:schemeClr w14:val="tx1"/>
                  </w14:solidFill>
                </w14:textFill>
              </w:rPr>
              <w:t>1）尽量选用低噪声或备有消声降噪设备的施工机械，减少噪声污染对</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红隼、白腹锦鸡、黑熊、豹猫</w:t>
            </w:r>
            <w:r>
              <w:rPr>
                <w:rFonts w:hint="default" w:ascii="Times New Roman" w:hAnsi="Times New Roman" w:eastAsia="宋体" w:cs="Times New Roman"/>
                <w:bCs/>
                <w:color w:val="000000" w:themeColor="text1"/>
                <w:kern w:val="0"/>
                <w:sz w:val="24"/>
                <w:szCs w:val="24"/>
                <w14:textFill>
                  <w14:solidFill>
                    <w14:schemeClr w14:val="tx1"/>
                  </w14:solidFill>
                </w14:textFill>
              </w:rPr>
              <w:t>等重要动物的觅食活动的影响。</w:t>
            </w:r>
          </w:p>
          <w:p w14:paraId="230C493F">
            <w:pPr>
              <w:pStyle w:val="16"/>
              <w:keepNext w:val="0"/>
              <w:keepLines w:val="0"/>
              <w:pageBreakBefore w:val="0"/>
              <w:kinsoku/>
              <w:wordWrap/>
              <w:overflowPunct/>
              <w:topLinePunct w:val="0"/>
              <w:bidi w:val="0"/>
              <w:adjustRightInd w:val="0"/>
              <w:snapToGrid w:val="0"/>
              <w:spacing w:line="360" w:lineRule="auto"/>
              <w:ind w:left="0" w:leftChars="0" w:firstLine="48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2）在施工区</w:t>
            </w:r>
            <w:r>
              <w:rPr>
                <w:rFonts w:hint="default" w:ascii="Times New Roman" w:hAnsi="Times New Roman" w:eastAsia="宋体" w:cs="Times New Roman"/>
                <w:color w:val="000000" w:themeColor="text1"/>
                <w:sz w:val="24"/>
                <w:szCs w:val="24"/>
                <w:lang w:eastAsia="zh-CN"/>
                <w14:textFill>
                  <w14:solidFill>
                    <w14:schemeClr w14:val="tx1"/>
                  </w14:solidFill>
                </w14:textFill>
              </w:rPr>
              <w:t>竖立</w:t>
            </w:r>
            <w:r>
              <w:rPr>
                <w:rFonts w:hint="default" w:ascii="Times New Roman" w:hAnsi="Times New Roman" w:eastAsia="宋体" w:cs="Times New Roman"/>
                <w:color w:val="000000" w:themeColor="text1"/>
                <w:sz w:val="24"/>
                <w:szCs w:val="24"/>
                <w14:textFill>
                  <w14:solidFill>
                    <w14:schemeClr w14:val="tx1"/>
                  </w14:solidFill>
                </w14:textFill>
              </w:rPr>
              <w:t>野生动物保护宣传牌，禁止施工人员捕猎</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红隼、白腹锦鸡、黑熊、豹猫</w:t>
            </w:r>
            <w:r>
              <w:rPr>
                <w:rFonts w:hint="default" w:ascii="Times New Roman" w:hAnsi="Times New Roman" w:eastAsia="宋体" w:cs="Times New Roman"/>
                <w:color w:val="000000" w:themeColor="text1"/>
                <w:sz w:val="24"/>
                <w:szCs w:val="24"/>
                <w14:textFill>
                  <w14:solidFill>
                    <w14:schemeClr w14:val="tx1"/>
                  </w14:solidFill>
                </w14:textFill>
              </w:rPr>
              <w:t>等珍稀保护动物以及</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黑眉锦蛇</w:t>
            </w:r>
            <w:r>
              <w:rPr>
                <w:rFonts w:hint="default" w:ascii="Times New Roman" w:hAnsi="Times New Roman" w:eastAsia="宋体" w:cs="Times New Roman"/>
                <w:color w:val="000000" w:themeColor="text1"/>
                <w:sz w:val="24"/>
                <w:szCs w:val="24"/>
                <w14:textFill>
                  <w14:solidFill>
                    <w14:schemeClr w14:val="tx1"/>
                  </w14:solidFill>
                </w14:textFill>
              </w:rPr>
              <w:t>、王锦蛇等易危动物，</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华西蟾蜍、倭蛙、高原林蛙、</w:t>
            </w:r>
            <w:r>
              <w:rPr>
                <w:rFonts w:hint="default" w:ascii="Times New Roman" w:hAnsi="Times New Roman" w:eastAsia="宋体" w:cs="Times New Roman"/>
                <w:color w:val="000000" w:themeColor="text1"/>
                <w:sz w:val="24"/>
                <w:szCs w:val="24"/>
                <w14:textFill>
                  <w14:solidFill>
                    <w14:schemeClr w14:val="tx1"/>
                  </w14:solidFill>
                </w14:textFill>
              </w:rPr>
              <w:t>岩松鼠、小麂</w:t>
            </w:r>
            <w:r>
              <w:rPr>
                <w:rFonts w:hint="default" w:ascii="Times New Roman" w:hAnsi="Times New Roman" w:eastAsia="宋体" w:cs="Times New Roman"/>
                <w:color w:val="000000" w:themeColor="text1"/>
                <w:sz w:val="24"/>
                <w:szCs w:val="24"/>
                <w:lang w:eastAsia="zh-CN"/>
                <w14:textFill>
                  <w14:solidFill>
                    <w14:schemeClr w14:val="tx1"/>
                  </w14:solidFill>
                </w14:textFill>
              </w:rPr>
              <w:t>、高山姬鼠、</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川西</w:t>
            </w:r>
            <w:r>
              <w:rPr>
                <w:rFonts w:hint="default" w:ascii="Times New Roman" w:hAnsi="Times New Roman" w:eastAsia="宋体" w:cs="Times New Roman"/>
                <w:color w:val="000000" w:themeColor="text1"/>
                <w:sz w:val="24"/>
                <w:szCs w:val="24"/>
                <w:lang w:eastAsia="zh-CN"/>
                <w14:textFill>
                  <w14:solidFill>
                    <w14:schemeClr w14:val="tx1"/>
                  </w14:solidFill>
                </w14:textFill>
              </w:rPr>
              <w:t>白腹鼠</w:t>
            </w:r>
            <w:r>
              <w:rPr>
                <w:rFonts w:hint="default" w:ascii="Times New Roman" w:hAnsi="Times New Roman" w:eastAsia="宋体" w:cs="Times New Roman"/>
                <w:color w:val="000000" w:themeColor="text1"/>
                <w:sz w:val="24"/>
                <w:szCs w:val="24"/>
                <w14:textFill>
                  <w14:solidFill>
                    <w14:schemeClr w14:val="tx1"/>
                  </w14:solidFill>
                </w14:textFill>
              </w:rPr>
              <w:t>等特有动物。严禁捕捉评价区分布的珍稀野生动物以及易危动物，经发现有捕猎行为将依法移交执法部门严肃处理。若发现有珍稀动物因意外需要救助时，应第一时间通知相应的野生动物管理机构，施工场地周边应设置野生保护动物保护标志和目标保护动物图片，禁止猎杀和惊扰野生动物，由项目监理部门和建设部门的环保专职人员开展在野生动物保护方面的监理工作。</w:t>
            </w:r>
          </w:p>
          <w:p w14:paraId="04329276">
            <w:pPr>
              <w:pStyle w:val="16"/>
              <w:keepNext w:val="0"/>
              <w:keepLines w:val="0"/>
              <w:pageBreakBefore w:val="0"/>
              <w:kinsoku/>
              <w:wordWrap/>
              <w:overflowPunct/>
              <w:topLinePunct w:val="0"/>
              <w:bidi w:val="0"/>
              <w:adjustRightInd w:val="0"/>
              <w:snapToGrid w:val="0"/>
              <w:spacing w:line="360" w:lineRule="auto"/>
              <w:ind w:left="0" w:leftChars="0" w:firstLine="48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3）定期对施工人员进行珍稀野生保护动物和易危动物宣传，增强施工人员野生动物保护意识。在施工区配备一名兼职野生动物巡视人员，严禁非法捕杀野生动物，且在施工场地四周设置防护围挡，避免对动物造成直接伤害。</w:t>
            </w:r>
          </w:p>
          <w:p w14:paraId="55381A1A">
            <w:pPr>
              <w:pStyle w:val="16"/>
              <w:keepNext w:val="0"/>
              <w:keepLines w:val="0"/>
              <w:pageBreakBefore w:val="0"/>
              <w:kinsoku/>
              <w:wordWrap/>
              <w:overflowPunct/>
              <w:topLinePunct w:val="0"/>
              <w:bidi w:val="0"/>
              <w:adjustRightInd w:val="0"/>
              <w:snapToGrid w:val="0"/>
              <w:spacing w:line="360" w:lineRule="auto"/>
              <w:ind w:left="0" w:leftChars="0" w:firstLine="480"/>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4）加强项目实施对评价区周边分布的</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红隼、白腹锦鸡、黑熊、豹猫</w:t>
            </w:r>
            <w:r>
              <w:rPr>
                <w:rFonts w:hint="default" w:ascii="Times New Roman" w:hAnsi="Times New Roman" w:eastAsia="宋体" w:cs="Times New Roman"/>
                <w:color w:val="000000" w:themeColor="text1"/>
                <w:sz w:val="24"/>
                <w:szCs w:val="24"/>
                <w14:textFill>
                  <w14:solidFill>
                    <w14:schemeClr w14:val="tx1"/>
                  </w14:solidFill>
                </w14:textFill>
              </w:rPr>
              <w:t>等珍稀野生动物影响效应的监测工作，与监测巡护人员签订目标责任书，明确职责。</w:t>
            </w:r>
          </w:p>
          <w:p w14:paraId="41303AC7">
            <w:pPr>
              <w:pStyle w:val="16"/>
              <w:keepNext w:val="0"/>
              <w:keepLines w:val="0"/>
              <w:pageBreakBefore w:val="0"/>
              <w:kinsoku/>
              <w:wordWrap/>
              <w:overflowPunct/>
              <w:topLinePunct w:val="0"/>
              <w:bidi w:val="0"/>
              <w:adjustRightInd w:val="0"/>
              <w:snapToGrid w:val="0"/>
              <w:spacing w:line="360" w:lineRule="auto"/>
              <w:ind w:firstLine="482"/>
              <w:jc w:val="both"/>
              <w:textAlignment w:val="auto"/>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5、对水生生态的影响分析及保护措施</w:t>
            </w:r>
          </w:p>
          <w:p w14:paraId="724BABEC">
            <w:pPr>
              <w:keepNext w:val="0"/>
              <w:keepLines w:val="0"/>
              <w:pageBreakBefore w:val="0"/>
              <w:kinsoku/>
              <w:wordWrap/>
              <w:overflowPunct/>
              <w:topLinePunct w:val="0"/>
              <w:autoSpaceDE w:val="0"/>
              <w:autoSpaceDN w:val="0"/>
              <w:bidi w:val="0"/>
              <w:adjustRightInd w:val="0"/>
              <w:snapToGrid w:val="0"/>
              <w:spacing w:line="360" w:lineRule="auto"/>
              <w:ind w:firstLine="482" w:firstLineChars="200"/>
              <w:jc w:val="both"/>
              <w:textAlignment w:val="auto"/>
              <w:rPr>
                <w:rFonts w:ascii="Times New Roman" w:hAnsi="Times New Roman"/>
                <w:b/>
                <w:bCs/>
                <w:color w:val="000000" w:themeColor="text1"/>
                <w:sz w:val="24"/>
                <w:szCs w:val="24"/>
                <w:highlight w:val="none"/>
                <w14:textFill>
                  <w14:solidFill>
                    <w14:schemeClr w14:val="tx1"/>
                  </w14:solidFill>
                </w14:textFill>
              </w:rPr>
            </w:pPr>
            <w:r>
              <w:rPr>
                <w:rFonts w:hint="eastAsia" w:ascii="Times New Roman" w:hAnsi="Times New Roman"/>
                <w:b/>
                <w:bCs/>
                <w:color w:val="000000" w:themeColor="text1"/>
                <w:sz w:val="24"/>
                <w:szCs w:val="24"/>
                <w:highlight w:val="none"/>
                <w14:textFill>
                  <w14:solidFill>
                    <w14:schemeClr w14:val="tx1"/>
                  </w14:solidFill>
                </w14:textFill>
              </w:rPr>
              <w:t>（1）对水生生态影响分析</w:t>
            </w:r>
          </w:p>
          <w:p w14:paraId="7E300485">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工程施工期对水环境的影响因素主要来源于建设取水口围堰施工过程中产生的施工废水、生活污水以及固体废物等。围堰施工首先会导致河道水流形态与流速发生变化，围堰的修筑改变了河道原有过水断面，导致局部水流受阻，流速减缓，流态紊乱。在围堰上游，水位会出现壅高现象，形成壅水区；下游则因流量减少，水位下降，易引发河床冲刷或泥沙淤积，影响河道的自然演变和行洪能力。围堰基础开挖、边坡修整及回填等作业，会扰动五里沟河床底泥和周边土体，大量泥沙进入水体，导致悬浮物浓度急剧升高。泥沙扩散不仅降低水体透明度，还可能随水流扩散至下游，影响更大范围的水质。</w:t>
            </w:r>
          </w:p>
          <w:p w14:paraId="132A520A">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其次围堰施工过程中污染物排放会引起水体化学性质改变，施工机械运行过程中产生的废油、含油废水，混凝土浇筑时的泥浆水、外加剂残留，以及施工人员生活污水等，若未经有效处理直接排入水体，会导致五里沟水体中COD、BOD、石油类、重金属等污染物含量超标，破坏水体自净能力。围堰施工过程中产生的大量泥沙悬浮还会阻碍水体与大气之间的氧气交换，同时泥沙吸附的有机物分解消耗溶解氧，可能造成局部水体缺氧，威胁施工区附近五里沟水生生物生存。</w:t>
            </w:r>
          </w:p>
          <w:p w14:paraId="145D791B">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本工程</w:t>
            </w:r>
            <w:r>
              <w:rPr>
                <w:rFonts w:hint="eastAsia"/>
                <w:color w:val="000000" w:themeColor="text1"/>
                <w:sz w:val="24"/>
                <w:szCs w:val="24"/>
                <w:lang w:val="en-US" w:eastAsia="zh-CN"/>
                <w14:textFill>
                  <w14:solidFill>
                    <w14:schemeClr w14:val="tx1"/>
                  </w14:solidFill>
                </w14:textFill>
              </w:rPr>
              <w:t>要求建设单位</w:t>
            </w:r>
            <w:r>
              <w:rPr>
                <w:color w:val="000000" w:themeColor="text1"/>
                <w:sz w:val="24"/>
                <w:szCs w:val="24"/>
                <w14:textFill>
                  <w14:solidFill>
                    <w14:schemeClr w14:val="tx1"/>
                  </w14:solidFill>
                </w14:textFill>
              </w:rPr>
              <w:t>施工期生产和生活废水</w:t>
            </w:r>
            <w:r>
              <w:rPr>
                <w:rFonts w:hint="eastAsia"/>
                <w:color w:val="000000" w:themeColor="text1"/>
                <w:sz w:val="24"/>
                <w:szCs w:val="24"/>
                <w:lang w:val="en-US" w:eastAsia="zh-CN"/>
                <w14:textFill>
                  <w14:solidFill>
                    <w14:schemeClr w14:val="tx1"/>
                  </w14:solidFill>
                </w14:textFill>
              </w:rPr>
              <w:t>不</w:t>
            </w:r>
            <w:r>
              <w:rPr>
                <w:color w:val="000000" w:themeColor="text1"/>
                <w:sz w:val="24"/>
                <w:szCs w:val="24"/>
                <w14:textFill>
                  <w14:solidFill>
                    <w14:schemeClr w14:val="tx1"/>
                  </w14:solidFill>
                </w14:textFill>
              </w:rPr>
              <w:t>对外排放，整体对于</w:t>
            </w:r>
            <w:r>
              <w:rPr>
                <w:rFonts w:hint="eastAsia"/>
                <w:color w:val="000000" w:themeColor="text1"/>
                <w:sz w:val="24"/>
                <w:szCs w:val="24"/>
                <w:lang w:val="en-US" w:eastAsia="zh-CN"/>
                <w14:textFill>
                  <w14:solidFill>
                    <w14:schemeClr w14:val="tx1"/>
                  </w14:solidFill>
                </w14:textFill>
              </w:rPr>
              <w:t>五里</w:t>
            </w:r>
            <w:r>
              <w:rPr>
                <w:color w:val="000000" w:themeColor="text1"/>
                <w:sz w:val="24"/>
                <w:szCs w:val="24"/>
                <w14:textFill>
                  <w14:solidFill>
                    <w14:schemeClr w14:val="tx1"/>
                  </w14:solidFill>
                </w14:textFill>
              </w:rPr>
              <w:t>沟水质影响较小；固体废物由环卫部门统一收集，不外排，对水环境不产生影响。取水口采用</w:t>
            </w:r>
            <w:r>
              <w:rPr>
                <w:rFonts w:hint="eastAsia"/>
                <w:color w:val="000000" w:themeColor="text1"/>
                <w:sz w:val="24"/>
                <w:szCs w:val="24"/>
                <w14:textFill>
                  <w14:solidFill>
                    <w14:schemeClr w14:val="tx1"/>
                  </w14:solidFill>
                </w14:textFill>
              </w:rPr>
              <w:t>土石围堰+临时明渠</w:t>
            </w:r>
            <w:r>
              <w:rPr>
                <w:rFonts w:hint="eastAsia"/>
                <w:color w:val="000000" w:themeColor="text1"/>
                <w:sz w:val="24"/>
                <w:szCs w:val="24"/>
                <w:lang w:val="en-US" w:eastAsia="zh-CN"/>
                <w14:textFill>
                  <w14:solidFill>
                    <w14:schemeClr w14:val="tx1"/>
                  </w14:solidFill>
                </w14:textFill>
              </w:rPr>
              <w:t>的方式</w:t>
            </w:r>
            <w:r>
              <w:rPr>
                <w:color w:val="000000" w:themeColor="text1"/>
                <w:sz w:val="24"/>
                <w:szCs w:val="24"/>
                <w14:textFill>
                  <w14:solidFill>
                    <w14:schemeClr w14:val="tx1"/>
                  </w14:solidFill>
                </w14:textFill>
              </w:rPr>
              <w:t>施工，</w:t>
            </w:r>
            <w:r>
              <w:rPr>
                <w:rFonts w:hint="eastAsia"/>
                <w:color w:val="000000" w:themeColor="text1"/>
                <w:sz w:val="24"/>
                <w:szCs w:val="24"/>
                <w:lang w:val="en-US" w:eastAsia="zh-CN"/>
                <w14:textFill>
                  <w14:solidFill>
                    <w14:schemeClr w14:val="tx1"/>
                  </w14:solidFill>
                </w14:textFill>
              </w:rPr>
              <w:t>土石围堰的放入和拆除</w:t>
            </w:r>
            <w:r>
              <w:rPr>
                <w:color w:val="000000" w:themeColor="text1"/>
                <w:sz w:val="24"/>
                <w:szCs w:val="24"/>
                <w14:textFill>
                  <w14:solidFill>
                    <w14:schemeClr w14:val="tx1"/>
                  </w14:solidFill>
                </w14:textFill>
              </w:rPr>
              <w:t>过程使</w:t>
            </w:r>
            <w:r>
              <w:rPr>
                <w:rFonts w:hint="eastAsia"/>
                <w:color w:val="000000" w:themeColor="text1"/>
                <w:sz w:val="24"/>
                <w:szCs w:val="24"/>
                <w:lang w:val="en-US" w:eastAsia="zh-CN"/>
                <w14:textFill>
                  <w14:solidFill>
                    <w14:schemeClr w14:val="tx1"/>
                  </w14:solidFill>
                </w14:textFill>
              </w:rPr>
              <w:t>五里沟</w:t>
            </w:r>
            <w:r>
              <w:rPr>
                <w:color w:val="000000" w:themeColor="text1"/>
                <w:sz w:val="24"/>
                <w:szCs w:val="24"/>
                <w14:textFill>
                  <w14:solidFill>
                    <w14:schemeClr w14:val="tx1"/>
                  </w14:solidFill>
                </w14:textFill>
              </w:rPr>
              <w:t>局部地形发生改变，使得原沉积在河道底部的污染物部分释放进入水体中，进而造成河道水质局部污染，但围堰占地面积较小，工期短，施工过程中释放的污染物整体较小，对</w:t>
            </w:r>
            <w:r>
              <w:rPr>
                <w:rFonts w:hint="eastAsia"/>
                <w:color w:val="000000" w:themeColor="text1"/>
                <w:sz w:val="24"/>
                <w:szCs w:val="24"/>
                <w:lang w:val="en-US" w:eastAsia="zh-CN"/>
                <w14:textFill>
                  <w14:solidFill>
                    <w14:schemeClr w14:val="tx1"/>
                  </w14:solidFill>
                </w14:textFill>
              </w:rPr>
              <w:t>五里</w:t>
            </w:r>
            <w:r>
              <w:rPr>
                <w:color w:val="000000" w:themeColor="text1"/>
                <w:sz w:val="24"/>
                <w:szCs w:val="24"/>
                <w14:textFill>
                  <w14:solidFill>
                    <w14:schemeClr w14:val="tx1"/>
                  </w14:solidFill>
                </w14:textFill>
              </w:rPr>
              <w:t>沟水环境影响有限。</w:t>
            </w:r>
          </w:p>
          <w:p w14:paraId="1978ABF2">
            <w:pPr>
              <w:keepNext w:val="0"/>
              <w:keepLines w:val="0"/>
              <w:pageBreakBefore w:val="0"/>
              <w:widowControl/>
              <w:numPr>
                <w:ilvl w:val="0"/>
                <w:numId w:val="23"/>
              </w:numPr>
              <w:kinsoku/>
              <w:wordWrap/>
              <w:overflowPunct/>
              <w:topLinePunct w:val="0"/>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对</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水文情势的影响分析</w:t>
            </w:r>
          </w:p>
          <w:p w14:paraId="5B498D7A">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项目涉水施工仅发生在五里沟取水头部位置，采用土石围堰+临时明渠导流施工方案，临时建筑物级别5级，导流标准采用5年一遇洪水，涉水作业安排在枯水期开展。施工期对水文情势的改变全部来自取水头部围堰‑导流系统，属于局部河段、短期、可逆影响，围堰全部拆除后，河道水文情势可恢复至天然状态。</w:t>
            </w:r>
          </w:p>
          <w:p w14:paraId="2FC57B4F">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围堰将原主河槽施工基坑段阻隔，五里沟全部来水改由65m临时导流明渠宣泄，原天然河道水流路径被人为改变。导流明渠断面有限，来水集中下泄，导流渠内部、出口下游局部河段流速相比天然状态增大，存在对导流渠渠身、出口河床的冲刷风险。被围堰封闭的基坑内侧原河槽段，切断上游主河道补给，该河段水量锐减，出现缺水，极端条件下发生局部短时断流，仅依靠少量坡面区间汇流形成零星积水，该区域水体置换更新基本停滞。本工程不会改变五里沟全流域总来水量，仅在取水头部局部河段对径流进行空间重新分配，上游、远离工程的下游河段总径流量不受施工扰动。</w:t>
            </w:r>
          </w:p>
          <w:p w14:paraId="46184517">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受土石围堰阻水作用，围堰上游会产生局部轻微壅水，因工程处于枯水期施工、围堰规模小，壅水高度有限，壅水影响范围仅局限于围堰上游很短距离。围堰隔离的基坑侧河槽失去主河道来水补给，河槽水位显著下降，部分河床裸露，仅保留少量坡面汇流积水。导流明渠下游出口受集中出流影响，出口附近局部水位、流态发生波动；向下游一定距离之后，河道水位逐步恢复天然状态。水位扰动只发生在取水头部上下游局部评价河段（上下游各 300m 范围），对更远的上下游河道水位基本无影响。</w:t>
            </w:r>
          </w:p>
          <w:p w14:paraId="2C1F5075">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导流明渠流速增大，加剧导流渠及出口位置冲刷，被冲刷的床面泥沙随水流输移向下游，造成下游局部时段含沙量升高。围堰隔离的河槽段水流滞缓，坡面汇流携带泥沙、施工散落碎屑无法被水流输移带走，淤积在隔离河槽内；河床裸露区域沉积物经历干湿交替，一旦遭遇区间暴雨，裸露淤积底泥被搅动冲刷，瞬时向下游输送泥沙。基坑开挖、围堰填筑、导流明渠开挖，若施工土石方防护不到位，降雨冲刷弃渣入河，会进一步增大局部水体含沙量，改变局部河段泥沙输移。施工末期围堰拆除阶段，围堰土石方解体，短时间内向河道输入一定量泥沙；围堰拆除完成后，河道恢复天然泥沙输移条件。</w:t>
            </w:r>
          </w:p>
          <w:p w14:paraId="485E6ED2">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土石围堰、导流明渠侵占部分天然河道过流断面，压缩行洪通道。在 5 年一遇导流标准以内，导流明渠可以正常宣泄洪水；一旦遭遇超 5 年一遇超标洪水，导流设施过流能力不足，围堰上游壅水高度进一步加大，存在围堰渗漏、溃堰风险。若发生围堰溃决，围堰内蓄积水量裹挟土石方下泄，下游瞬时流量、含沙量急剧增大，会对下游河段水文情势形成剧烈冲击。根据行洪论证结论，只要严格落实枯水期施工、汛前完成涉水施工并拆除围堰，做好度汛预案，正常工况下施工期不会显著降低河段行洪能力，对五里沟整体行洪影响有限，但超标洪水风险客观存在。</w:t>
            </w:r>
          </w:p>
          <w:p w14:paraId="3AAE750F">
            <w:pPr>
              <w:keepNext w:val="0"/>
              <w:keepLines w:val="0"/>
              <w:pageBreakBefore w:val="0"/>
              <w:widowControl/>
              <w:numPr>
                <w:ilvl w:val="0"/>
                <w:numId w:val="23"/>
              </w:numPr>
              <w:kinsoku/>
              <w:wordWrap/>
              <w:overflowPunct/>
              <w:topLinePunct w:val="0"/>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对浮游植物的</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影响</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分析</w:t>
            </w:r>
          </w:p>
          <w:p w14:paraId="6CB5E0FF">
            <w:pPr>
              <w:pStyle w:val="16"/>
              <w:keepNext w:val="0"/>
              <w:keepLines w:val="0"/>
              <w:pageBreakBefore w:val="0"/>
              <w:kinsoku/>
              <w:wordWrap/>
              <w:overflowPunct/>
              <w:topLinePunct w:val="0"/>
              <w:bidi w:val="0"/>
              <w:adjustRightInd w:val="0"/>
              <w:snapToGrid w:val="0"/>
              <w:spacing w:line="360" w:lineRule="auto"/>
              <w:jc w:val="both"/>
              <w:textAlignment w:val="auto"/>
              <w:rPr>
                <w:rFonts w:hint="eastAsia" w:ascii="Times New Roman" w:hAnsi="Times New Roman"/>
                <w:color w:val="000000" w:themeColor="text1"/>
                <w:sz w:val="24"/>
                <w:szCs w:val="24"/>
                <w:highlight w:val="none"/>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根据调查，评价水域共有</w:t>
            </w:r>
            <w:r>
              <w:rPr>
                <w:rFonts w:hint="eastAsia"/>
                <w:color w:val="000000" w:themeColor="text1"/>
                <w:sz w:val="24"/>
                <w:szCs w:val="24"/>
                <w:lang w:eastAsia="zh-CN"/>
                <w14:textFill>
                  <w14:solidFill>
                    <w14:schemeClr w14:val="tx1"/>
                  </w14:solidFill>
                </w14:textFill>
              </w:rPr>
              <w:t>浮游植物</w:t>
            </w:r>
            <w:r>
              <w:rPr>
                <w:rFonts w:hint="eastAsia"/>
                <w:color w:val="000000" w:themeColor="text1"/>
                <w:sz w:val="24"/>
                <w:szCs w:val="24"/>
                <w14:textFill>
                  <w14:solidFill>
                    <w14:schemeClr w14:val="tx1"/>
                  </w14:solidFill>
                </w14:textFill>
              </w:rPr>
              <w:t>3门9科13属24种</w:t>
            </w:r>
            <w:r>
              <w:rPr>
                <w:rFonts w:hint="eastAsia"/>
                <w:color w:val="000000" w:themeColor="text1"/>
                <w:sz w:val="24"/>
                <w:szCs w:val="24"/>
                <w:lang w:eastAsia="zh-CN"/>
                <w14:textFill>
                  <w14:solidFill>
                    <w14:schemeClr w14:val="tx1"/>
                  </w14:solidFill>
                </w14:textFill>
              </w:rPr>
              <w:t>。</w:t>
            </w:r>
            <w:r>
              <w:rPr>
                <w:rFonts w:hint="eastAsia" w:ascii="Times New Roman" w:hAnsi="Times New Roman"/>
                <w:color w:val="000000" w:themeColor="text1"/>
                <w:sz w:val="24"/>
                <w:szCs w:val="24"/>
                <w:highlight w:val="none"/>
                <w14:textFill>
                  <w14:solidFill>
                    <w14:schemeClr w14:val="tx1"/>
                  </w14:solidFill>
                </w14:textFill>
              </w:rPr>
              <w:t>本工程施工期对浮游植物的影响因素主要来源于建设取水口围堰施工。施工期围堰基础开挖、土方回填等作业导致大量泥沙入河，五里沟水体悬浮物浓度急剧上升，显著降低水体透明度。数据显示，悬浮物浓度每升高100mg/L，水下光照强度可下降30%~50%。光照不足直接限制浮游植物的光合作用效率，抑制藻类生长繁殖，尤其对五里沟内喜强光的硅藻、绿藻等优势种产生负面影响。其次围堰缩窄了河道过水断面，使局部水流流速减缓、流态紊乱，导致浮游植物分布不均。在壅水区域，藻类因水流滞留时间延长而聚集，易引发局部水华；而下游区域因流速加快，藻类易被冲刷流失，群落密度显著降低。</w:t>
            </w:r>
          </w:p>
          <w:p w14:paraId="19EB49C8">
            <w:pPr>
              <w:keepNext w:val="0"/>
              <w:keepLines w:val="0"/>
              <w:pageBreakBefore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color w:val="000000" w:themeColor="text1"/>
                <w:sz w:val="24"/>
                <w:szCs w:val="24"/>
                <w:highlight w:val="none"/>
                <w14:textFill>
                  <w14:solidFill>
                    <w14:schemeClr w14:val="tx1"/>
                  </w14:solidFill>
                </w14:textFill>
              </w:rPr>
            </w:pPr>
            <w:r>
              <w:rPr>
                <w:rFonts w:hint="eastAsia" w:ascii="Times New Roman" w:hAnsi="Times New Roman"/>
                <w:color w:val="000000" w:themeColor="text1"/>
                <w:sz w:val="24"/>
                <w:szCs w:val="24"/>
                <w:highlight w:val="none"/>
                <w14:textFill>
                  <w14:solidFill>
                    <w14:schemeClr w14:val="tx1"/>
                  </w14:solidFill>
                </w14:textFill>
              </w:rPr>
              <w:t>本工程施工期可能产生的含油废水、生活污水等污染源直接排放，可能导致水体中氮、磷等营养盐浓度波动。若营养盐比例失衡（如TN/TP＞30），可能抑制藻类生长；但短期内营养盐过量输入，又可能刺激蓝藻等耐污种快速增殖，改变群落优势种组成。施工期水泥等碱性物质溶解使五里沟水体pH值升高，超出浮游植物（适宜pH 6.5-8.5）的耐受范围。同时，泥沙吸附耗氧有机物，加剧水体缺氧，抑制好氧藻类生长，为厌氧或兼性厌氧藻类创造生存条件，导致施工区浮游植物种类组成发生改变。</w:t>
            </w:r>
          </w:p>
          <w:p w14:paraId="0B12E698">
            <w:pPr>
              <w:keepNext w:val="0"/>
              <w:keepLines w:val="0"/>
              <w:pageBreakBefore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color w:val="000000" w:themeColor="text1"/>
                <w:sz w:val="24"/>
                <w:szCs w:val="24"/>
                <w:highlight w:val="none"/>
                <w14:textFill>
                  <w14:solidFill>
                    <w14:schemeClr w14:val="tx1"/>
                  </w14:solidFill>
                </w14:textFill>
              </w:rPr>
            </w:pPr>
            <w:r>
              <w:rPr>
                <w:rFonts w:hint="eastAsia" w:ascii="Times New Roman" w:hAnsi="Times New Roman"/>
                <w:color w:val="000000" w:themeColor="text1"/>
                <w:sz w:val="24"/>
                <w:szCs w:val="24"/>
                <w:highlight w:val="none"/>
                <w14:textFill>
                  <w14:solidFill>
                    <w14:schemeClr w14:val="tx1"/>
                  </w14:solidFill>
                </w14:textFill>
              </w:rPr>
              <w:t>本工程施工期围堰开挖引起的水体扰动还会引起浮游植物生态位竞争与群落演替，在施工扰动初期，耐污能力强的蓝藻（如颤藻）和小型绿藻（如小球藻）因适应性强而迅速占据生态位，成为优势种；而对环境敏感的金藻等种类减少甚至消失。长期来看，若水质恶化持续，可能导致蓝藻水华风险增加。极端环境压力下，浮游植物物种丰富度降低，群落结构趋于简单。研究表明，重度施工扰动区域藻类物种数可比背景值减少，群落均匀度指数显著下降，生态系统稳定性减弱。</w:t>
            </w:r>
          </w:p>
          <w:p w14:paraId="097401F1">
            <w:pPr>
              <w:keepNext w:val="0"/>
              <w:keepLines w:val="0"/>
              <w:pageBreakBefore w:val="0"/>
              <w:widowControl/>
              <w:kinsoku/>
              <w:wordWrap/>
              <w:overflowPunct/>
              <w:topLinePunct w:val="0"/>
              <w:bidi w:val="0"/>
              <w:adjustRightInd w:val="0"/>
              <w:snapToGrid w:val="0"/>
              <w:spacing w:line="360" w:lineRule="auto"/>
              <w:ind w:right="0" w:firstLine="468" w:firstLineChars="200"/>
              <w:contextualSpacing/>
              <w:jc w:val="both"/>
              <w:textAlignment w:val="auto"/>
              <w:rPr>
                <w:rFonts w:ascii="宋体" w:hAnsi="宋体" w:eastAsia="宋体" w:cs="宋体"/>
                <w:color w:val="000000" w:themeColor="text1"/>
                <w:spacing w:val="-3"/>
                <w:sz w:val="24"/>
                <w:szCs w:val="24"/>
                <w14:textFill>
                  <w14:solidFill>
                    <w14:schemeClr w14:val="tx1"/>
                  </w14:solidFill>
                </w14:textFill>
              </w:rPr>
            </w:pPr>
            <w:r>
              <w:rPr>
                <w:rFonts w:ascii="宋体" w:hAnsi="宋体" w:eastAsia="宋体" w:cs="宋体"/>
                <w:color w:val="000000" w:themeColor="text1"/>
                <w:spacing w:val="-3"/>
                <w:sz w:val="24"/>
                <w:szCs w:val="24"/>
                <w14:textFill>
                  <w14:solidFill>
                    <w14:schemeClr w14:val="tx1"/>
                  </w14:solidFill>
                </w14:textFill>
              </w:rPr>
              <w:t>综上所述，本工程取水口围堰施工过程中产生的悬浮物、含油废水以</w:t>
            </w:r>
            <w:r>
              <w:rPr>
                <w:rFonts w:ascii="宋体" w:hAnsi="宋体" w:eastAsia="宋体" w:cs="宋体"/>
                <w:color w:val="000000" w:themeColor="text1"/>
                <w:spacing w:val="-4"/>
                <w:sz w:val="24"/>
                <w:szCs w:val="24"/>
                <w14:textFill>
                  <w14:solidFill>
                    <w14:schemeClr w14:val="tx1"/>
                  </w14:solidFill>
                </w14:textFill>
              </w:rPr>
              <w:t>及生活</w:t>
            </w:r>
            <w:r>
              <w:rPr>
                <w:rFonts w:ascii="宋体" w:hAnsi="宋体" w:eastAsia="宋体" w:cs="宋体"/>
                <w:color w:val="000000" w:themeColor="text1"/>
                <w:spacing w:val="-6"/>
                <w:sz w:val="24"/>
                <w:szCs w:val="24"/>
                <w14:textFill>
                  <w14:solidFill>
                    <w14:schemeClr w14:val="tx1"/>
                  </w14:solidFill>
                </w14:textFill>
              </w:rPr>
              <w:t>污水对浮游植物生长、繁殖将产生不利影响。但由于</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本次取水工程量较小，施工在枯水期（11月）进行，水流速度慢，取水口的坝体基础施工均在围堰范围内进行，并采用围堰+明渠的施工方式，仅在围堰的放入和拆除的过程中接触水体，且在围堰迎水边坡采用防渗土工膜处理，减少了</w:t>
            </w:r>
            <w:r>
              <w:rPr>
                <w:rFonts w:ascii="Times New Roman" w:hAnsi="Times New Roman" w:eastAsia="宋体" w:cs="Times New Roman"/>
                <w:color w:val="000000" w:themeColor="text1"/>
                <w:kern w:val="0"/>
                <w:sz w:val="24"/>
                <w:szCs w:val="24"/>
                <w:lang w:val="en-US" w:eastAsia="zh-CN" w:bidi="ar-SA"/>
                <w14:textFill>
                  <w14:solidFill>
                    <w14:schemeClr w14:val="tx1"/>
                  </w14:solidFill>
                </w14:textFill>
              </w:rPr>
              <w:t>SS</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的扩散，</w:t>
            </w:r>
            <w:r>
              <w:rPr>
                <w:rFonts w:hint="eastAsia" w:ascii="Times New Roman" w:hAnsi="Times New Roman" w:cs="Times New Roman"/>
                <w:color w:val="000000" w:themeColor="text1"/>
                <w:kern w:val="0"/>
                <w:sz w:val="24"/>
                <w:szCs w:val="24"/>
                <w:lang w:val="en-US" w:eastAsia="zh-CN" w:bidi="ar-SA"/>
                <w14:textFill>
                  <w14:solidFill>
                    <w14:schemeClr w14:val="tx1"/>
                  </w14:solidFill>
                </w14:textFill>
              </w:rPr>
              <w:t>并在</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施工过程中严格对施工废水、生活污水、施工废弃物进行处理，</w:t>
            </w:r>
            <w:r>
              <w:rPr>
                <w:rFonts w:ascii="宋体" w:hAnsi="宋体" w:eastAsia="宋体" w:cs="宋体"/>
                <w:color w:val="000000" w:themeColor="text1"/>
                <w:spacing w:val="-3"/>
                <w:sz w:val="24"/>
                <w:szCs w:val="24"/>
                <w14:textFill>
                  <w14:solidFill>
                    <w14:schemeClr w14:val="tx1"/>
                  </w14:solidFill>
                </w14:textFill>
              </w:rPr>
              <w:t>这在一定程度上会减弱工程施工对浮游植物生长、繁殖</w:t>
            </w:r>
            <w:r>
              <w:rPr>
                <w:rFonts w:ascii="宋体" w:hAnsi="宋体" w:eastAsia="宋体" w:cs="宋体"/>
                <w:color w:val="000000" w:themeColor="text1"/>
                <w:spacing w:val="-5"/>
                <w:sz w:val="24"/>
                <w:szCs w:val="24"/>
                <w14:textFill>
                  <w14:solidFill>
                    <w14:schemeClr w14:val="tx1"/>
                  </w14:solidFill>
                </w14:textFill>
              </w:rPr>
              <w:t>带来不利影响的范围。</w:t>
            </w:r>
            <w:r>
              <w:rPr>
                <w:rFonts w:hint="eastAsia" w:ascii="宋体" w:hAnsi="宋体" w:eastAsia="宋体" w:cs="宋体"/>
                <w:color w:val="000000" w:themeColor="text1"/>
                <w:spacing w:val="-5"/>
                <w:sz w:val="24"/>
                <w:szCs w:val="24"/>
                <w:lang w:val="en-US" w:eastAsia="zh-CN"/>
                <w14:textFill>
                  <w14:solidFill>
                    <w14:schemeClr w14:val="tx1"/>
                  </w14:solidFill>
                </w14:textFill>
              </w:rPr>
              <w:t>总</w:t>
            </w:r>
            <w:r>
              <w:rPr>
                <w:rFonts w:ascii="宋体" w:hAnsi="宋体" w:eastAsia="宋体" w:cs="宋体"/>
                <w:color w:val="000000" w:themeColor="text1"/>
                <w:spacing w:val="-5"/>
                <w:sz w:val="24"/>
                <w:szCs w:val="24"/>
                <w14:textFill>
                  <w14:solidFill>
                    <w14:schemeClr w14:val="tx1"/>
                  </w14:solidFill>
                </w14:textFill>
              </w:rPr>
              <w:t>体而言，本工程施工期间将对浮游藻类的生长和</w:t>
            </w:r>
            <w:r>
              <w:rPr>
                <w:rFonts w:ascii="宋体" w:hAnsi="宋体" w:eastAsia="宋体" w:cs="宋体"/>
                <w:color w:val="000000" w:themeColor="text1"/>
                <w:spacing w:val="-6"/>
                <w:sz w:val="24"/>
                <w:szCs w:val="24"/>
                <w14:textFill>
                  <w14:solidFill>
                    <w14:schemeClr w14:val="tx1"/>
                  </w14:solidFill>
                </w14:textFill>
              </w:rPr>
              <w:t>繁殖产</w:t>
            </w:r>
            <w:r>
              <w:rPr>
                <w:rFonts w:ascii="宋体" w:hAnsi="宋体" w:eastAsia="宋体" w:cs="宋体"/>
                <w:color w:val="000000" w:themeColor="text1"/>
                <w:spacing w:val="-3"/>
                <w:sz w:val="24"/>
                <w:szCs w:val="24"/>
                <w14:textFill>
                  <w14:solidFill>
                    <w14:schemeClr w14:val="tx1"/>
                  </w14:solidFill>
                </w14:textFill>
              </w:rPr>
              <w:t>生一定的影响，但是影响范围和程度相对有限。</w:t>
            </w:r>
          </w:p>
          <w:p w14:paraId="303CCF1B">
            <w:pPr>
              <w:keepNext w:val="0"/>
              <w:keepLines w:val="0"/>
              <w:pageBreakBefore w:val="0"/>
              <w:widowControl/>
              <w:numPr>
                <w:ilvl w:val="0"/>
                <w:numId w:val="23"/>
              </w:numPr>
              <w:kinsoku/>
              <w:wordWrap/>
              <w:overflowPunct/>
              <w:topLinePunct w:val="0"/>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对浮游动物的</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影响</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分析</w:t>
            </w:r>
          </w:p>
          <w:p w14:paraId="7EC936AC">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根据现状调查，调查水域共观察到浮游动物3门6科6属7种</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14:textFill>
                  <w14:solidFill>
                    <w14:schemeClr w14:val="tx1"/>
                  </w14:solidFill>
                </w14:textFill>
              </w:rPr>
              <w:t>本工程施工期产生的悬浮物、碱性生产废水以及生活污水将对浮游动物产生一定的影响。首先围堰施工导致五里沟河道水流形态显著改变，上游壅水形成静水区，下游流量减少引发水位下降。这种水流变化破坏了浮游动物原有的栖息环境，如桡足类、枝角类等喜流性物种因水流停滞被迫迁移；而部分不耐扰动的底栖浮游动物（如轮虫休眠卵）因底泥翻涌被冲入水体，存活率大幅降低。施工产生的大量悬浮物使五里沟水体浑浊度激增，直接影响浮游动物的滤食效率。例如，以藻类为食的枝角类动物，其滤食器官易被泥沙颗粒堵塞，导致摄食能力下降；同时，浑浊水体降低了浮游动物的视觉定位能力，影响其捕食与逃避天敌的行为。</w:t>
            </w:r>
          </w:p>
          <w:p w14:paraId="084371F4">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其次本工程施工期碱性生产废水以及生活污水若不慎进入五里沟水体，将对浮游动物产生毒性效应。研究表明，低浓度石油类生产废水即可抑制桡足类的繁殖能力，导致卵孵化率下降30%以上。本工程施工期产生的泥沙悬浮物将消耗水体溶解氧，同时施工废水导致pH值异常（如水泥碱性物质使水体碱化），超出浮游动物的耐受范围（适宜溶解氧≥5mg/L，pH 6.5-8.5）。缺氧环境会迫使需氧型浮游动物（如大型溞）向表层迁移，而极端pH值可能直接导致敏感物种（如无节幼体）死亡。浮游动物主要以</w:t>
            </w:r>
            <w:r>
              <w:rPr>
                <w:rFonts w:hint="eastAsia"/>
                <w:color w:val="000000" w:themeColor="text1"/>
                <w:sz w:val="24"/>
                <w:szCs w:val="24"/>
                <w:lang w:eastAsia="zh-CN"/>
                <w14:textFill>
                  <w14:solidFill>
                    <w14:schemeClr w14:val="tx1"/>
                  </w14:solidFill>
                </w14:textFill>
              </w:rPr>
              <w:t>浮游植物</w:t>
            </w:r>
            <w:r>
              <w:rPr>
                <w:rFonts w:hint="eastAsia"/>
                <w:color w:val="000000" w:themeColor="text1"/>
                <w:sz w:val="24"/>
                <w:szCs w:val="24"/>
                <w14:textFill>
                  <w14:solidFill>
                    <w14:schemeClr w14:val="tx1"/>
                  </w14:solidFill>
                </w14:textFill>
              </w:rPr>
              <w:t>、细菌及有机碎屑为食。施工会导致</w:t>
            </w:r>
            <w:r>
              <w:rPr>
                <w:rFonts w:hint="eastAsia"/>
                <w:color w:val="000000" w:themeColor="text1"/>
                <w:sz w:val="24"/>
                <w:szCs w:val="24"/>
                <w:lang w:eastAsia="zh-CN"/>
                <w14:textFill>
                  <w14:solidFill>
                    <w14:schemeClr w14:val="tx1"/>
                  </w14:solidFill>
                </w14:textFill>
              </w:rPr>
              <w:t>浮游植物</w:t>
            </w:r>
            <w:r>
              <w:rPr>
                <w:rFonts w:hint="eastAsia"/>
                <w:color w:val="000000" w:themeColor="text1"/>
                <w:sz w:val="24"/>
                <w:szCs w:val="24"/>
                <w14:textFill>
                  <w14:solidFill>
                    <w14:schemeClr w14:val="tx1"/>
                  </w14:solidFill>
                </w14:textFill>
              </w:rPr>
              <w:t>群落结构改变（如蓝藻比例上升、绿藻减少），影响浮游动物的食物质量与可获取性。例如，蓝藻细胞表面的胶质鞘会降低枝角类的摄食效率，迫使浮游动物转向低营养级食物，导致能量传递效率下降。</w:t>
            </w:r>
          </w:p>
          <w:p w14:paraId="443CDBE5">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综上所述，本工程施工期产生的悬浮物、碱性生产废水以及生活污水将对浮游动物产生一定的影响，具体而言，上述污染物排入水体，会直接影响水体水质，不利于浮游动物的生长，影响浮游动物的生物量。</w:t>
            </w:r>
            <w:r>
              <w:rPr>
                <w:color w:val="000000" w:themeColor="text1"/>
                <w:sz w:val="24"/>
                <w:szCs w:val="24"/>
                <w14:textFill>
                  <w14:solidFill>
                    <w14:schemeClr w14:val="tx1"/>
                  </w14:solidFill>
                </w14:textFill>
              </w:rPr>
              <w:t>但本工程施工期</w:t>
            </w:r>
            <w:r>
              <w:rPr>
                <w:rFonts w:hint="eastAsia"/>
                <w:color w:val="000000" w:themeColor="text1"/>
                <w:sz w:val="24"/>
                <w:szCs w:val="24"/>
                <w:lang w:val="en-US" w:eastAsia="zh-CN"/>
                <w14:textFill>
                  <w14:solidFill>
                    <w14:schemeClr w14:val="tx1"/>
                  </w14:solidFill>
                </w14:textFill>
              </w:rPr>
              <w:t>较短，采用枯水期11月份施工，</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水流速度慢，取水口的坝体施工均在围堰范围内进行，并采用围堰+明渠的施工方式，仅在围堰的放入和拆除的过程中接触水体，且在围堰迎水边坡采用防渗土工膜处理，减少了</w:t>
            </w:r>
            <w:r>
              <w:rPr>
                <w:rFonts w:ascii="Times New Roman" w:hAnsi="Times New Roman" w:eastAsia="宋体" w:cs="Times New Roman"/>
                <w:color w:val="000000" w:themeColor="text1"/>
                <w:kern w:val="0"/>
                <w:sz w:val="24"/>
                <w:szCs w:val="24"/>
                <w:lang w:val="en-US" w:eastAsia="zh-CN" w:bidi="ar-SA"/>
                <w14:textFill>
                  <w14:solidFill>
                    <w14:schemeClr w14:val="tx1"/>
                  </w14:solidFill>
                </w14:textFill>
              </w:rPr>
              <w:t>SS</w:t>
            </w: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的扩散，</w:t>
            </w:r>
            <w:r>
              <w:rPr>
                <w:color w:val="000000" w:themeColor="text1"/>
                <w:sz w:val="24"/>
                <w:szCs w:val="24"/>
                <w14:textFill>
                  <w14:solidFill>
                    <w14:schemeClr w14:val="tx1"/>
                  </w14:solidFill>
                </w14:textFill>
              </w:rPr>
              <w:t>悬浮物影响范围相对较小，生产和生活废水也将进行处理，不对外排放，因此施工区对</w:t>
            </w:r>
            <w:r>
              <w:rPr>
                <w:rFonts w:hint="eastAsia"/>
                <w:color w:val="000000" w:themeColor="text1"/>
                <w:sz w:val="24"/>
                <w:szCs w:val="24"/>
                <w:lang w:eastAsia="zh-CN"/>
                <w14:textFill>
                  <w14:solidFill>
                    <w14:schemeClr w14:val="tx1"/>
                  </w14:solidFill>
                </w14:textFill>
              </w:rPr>
              <w:t>五里沟</w:t>
            </w:r>
            <w:r>
              <w:rPr>
                <w:color w:val="000000" w:themeColor="text1"/>
                <w:sz w:val="24"/>
                <w:szCs w:val="24"/>
                <w14:textFill>
                  <w14:solidFill>
                    <w14:schemeClr w14:val="tx1"/>
                  </w14:solidFill>
                </w14:textFill>
              </w:rPr>
              <w:t>水质影响较小，进而对水体中的浮游动物生长、繁殖影响也较小。</w:t>
            </w:r>
          </w:p>
          <w:p w14:paraId="6F4827C3">
            <w:pPr>
              <w:keepNext w:val="0"/>
              <w:keepLines w:val="0"/>
              <w:pageBreakBefore w:val="0"/>
              <w:widowControl/>
              <w:numPr>
                <w:ilvl w:val="0"/>
                <w:numId w:val="23"/>
              </w:numPr>
              <w:kinsoku/>
              <w:wordWrap/>
              <w:overflowPunct/>
              <w:topLinePunct w:val="0"/>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对着生藻类的</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影响</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分析</w:t>
            </w:r>
          </w:p>
          <w:p w14:paraId="2AFB26EE">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根据现状调查，调查水域</w:t>
            </w:r>
            <w:r>
              <w:rPr>
                <w:rFonts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共观察到</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着生藻类</w:t>
            </w:r>
            <w:r>
              <w:rPr>
                <w:rFonts w:hint="eastAsia"/>
                <w:color w:val="000000" w:themeColor="text1"/>
                <w:sz w:val="24"/>
                <w:szCs w:val="24"/>
                <w14:textFill>
                  <w14:solidFill>
                    <w14:schemeClr w14:val="tx1"/>
                  </w14:solidFill>
                </w14:textFill>
              </w:rPr>
              <w:t>2门11科12属16种</w:t>
            </w:r>
            <w:r>
              <w:rPr>
                <w:rFonts w:hint="eastAsia" w:ascii="Times New Roman" w:hAnsi="Times New Roman" w:eastAsia="宋体" w:cs="Times New Roman"/>
                <w:color w:val="000000" w:themeColor="text1"/>
                <w:kern w:val="0"/>
                <w:sz w:val="24"/>
                <w:szCs w:val="24"/>
                <w:highlight w:val="none"/>
                <w:lang w:val="en-US" w:eastAsia="zh-CN" w:bidi="ar-SA"/>
                <w14:textFill>
                  <w14:solidFill>
                    <w14:schemeClr w14:val="tx1"/>
                  </w14:solidFill>
                </w14:textFill>
              </w:rPr>
              <w:t>。</w:t>
            </w:r>
            <w:r>
              <w:rPr>
                <w:rFonts w:hint="eastAsia"/>
                <w:color w:val="000000" w:themeColor="text1"/>
                <w:sz w:val="24"/>
                <w:szCs w:val="24"/>
                <w14:textFill>
                  <w14:solidFill>
                    <w14:schemeClr w14:val="tx1"/>
                  </w14:solidFill>
                </w14:textFill>
              </w:rPr>
              <w:t>本工程施工期对着生藻类的影响主要来源于取水口围堰施工。围堰基础开挖、土方回填及机械作业直接破坏河床底质、岩石等附着基质。石块被移除、底泥被翻搅导致着生藻类赖以生存的附着面消失，大量藻体因基质破坏而脱落，尤其是对固着能力较弱的丝状藻类（如水绵属）影响显著。围堰施工还会导致河道水流形态改变，上游壅水区水流减缓，下游流量减少，缓流环境易使泥沙等悬浮物沉积覆盖基质表面，遮蔽光照，抑制藻类光合作用；而下游流速过快则可能冲刷附着藻类，使其难以稳定生长。</w:t>
            </w:r>
          </w:p>
          <w:p w14:paraId="00113AB4">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工程施工期施工机械废油、混凝土添加剂中的重金属（如铅、镉）、施工废水的化学药剂等污染物如不慎进入水体，通过吸附、沉积附着于基质表面，将对着生藻类产生毒害作用，着生藻类直接接触高浓度污染物，导致细胞结构受损、光合作用酶活性抑制，甚至引发藻体死亡。施工废水排放还可能导致水体氮、磷营养盐浓度异常升高或比例失衡，刺激</w:t>
            </w:r>
            <w:r>
              <w:rPr>
                <w:rFonts w:hint="eastAsia"/>
                <w:color w:val="000000" w:themeColor="text1"/>
                <w:sz w:val="24"/>
                <w:szCs w:val="24"/>
                <w:lang w:eastAsia="zh-CN"/>
                <w14:textFill>
                  <w14:solidFill>
                    <w14:schemeClr w14:val="tx1"/>
                  </w14:solidFill>
                </w14:textFill>
              </w:rPr>
              <w:t>浮游植物</w:t>
            </w:r>
            <w:r>
              <w:rPr>
                <w:rFonts w:hint="eastAsia"/>
                <w:color w:val="000000" w:themeColor="text1"/>
                <w:sz w:val="24"/>
                <w:szCs w:val="24"/>
                <w14:textFill>
                  <w14:solidFill>
                    <w14:schemeClr w14:val="tx1"/>
                  </w14:solidFill>
                </w14:textFill>
              </w:rPr>
              <w:t>快速增殖，与着生藻类竞争光照和营养。同时，水泥等碱性物质使水体pH值升高，超出着生藻类（适宜pH 6.5-8.5）的耐受范围，影响其生理代谢。</w:t>
            </w:r>
          </w:p>
          <w:p w14:paraId="3005AE62">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工程取水口围堰施工还可能导致着生藻类优势种更替，在施工扰动初期，耐污能力强的着生藻类（如硅藻门中的桥弯藻属、舟形藻属）可能因适应性强而暂时维持生长；而对环境敏感的裸藻等种类迅速减少。随着污染加剧，丝状蓝藻（如颤藻）因抗逆性强逐渐占据优势，群落结构从多样性丰富的硅藻-绿藻型向单一蓝藻型转变。物理扰动和水质恶化导致着生藻类生物量显著降低，其固碳、释氧及有机物分解等生态功能受损，着生藻类的初级生产力可比背景值下降40%</w:t>
            </w:r>
            <w:r>
              <w:rPr>
                <w:rFonts w:hint="eastAsia"/>
                <w:color w:val="000000" w:themeColor="text1"/>
                <w:sz w:val="24"/>
                <w:szCs w:val="24"/>
                <w:lang w:val="en-US" w:eastAsia="zh-CN"/>
                <w14:textFill>
                  <w14:solidFill>
                    <w14:schemeClr w14:val="tx1"/>
                  </w14:solidFill>
                </w14:textFill>
              </w:rPr>
              <w:t>~</w:t>
            </w:r>
            <w:r>
              <w:rPr>
                <w:rFonts w:hint="eastAsia"/>
                <w:color w:val="000000" w:themeColor="text1"/>
                <w:sz w:val="24"/>
                <w:szCs w:val="24"/>
                <w14:textFill>
                  <w14:solidFill>
                    <w14:schemeClr w14:val="tx1"/>
                  </w14:solidFill>
                </w14:textFill>
              </w:rPr>
              <w:t>60%，影响水生态系统的物质循环效率。</w:t>
            </w:r>
          </w:p>
          <w:p w14:paraId="64FFB8C5">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综上所述，本工程取水口围堰施工将对着生藻类种类和生物量产生一定的影响，但是受影响的这些着生藻类为五里沟广泛分布种类，施工作业不会导致这些种类的消亡，且施工区以外的其他区域着生藻类并不受施工作业的任何影响，而且本工程施工期将对生产和生活废水进行处理，污染物不排入河道，不会对着生藻类产生叠加影响。因此，本工程施工期对着生藻类影响有限。</w:t>
            </w:r>
          </w:p>
          <w:p w14:paraId="2327B4C3">
            <w:pPr>
              <w:keepNext w:val="0"/>
              <w:keepLines w:val="0"/>
              <w:pageBreakBefore w:val="0"/>
              <w:widowControl/>
              <w:numPr>
                <w:ilvl w:val="0"/>
                <w:numId w:val="23"/>
              </w:numPr>
              <w:kinsoku/>
              <w:wordWrap/>
              <w:overflowPunct/>
              <w:topLinePunct w:val="0"/>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对底栖动物的</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影响</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分析</w:t>
            </w:r>
          </w:p>
          <w:p w14:paraId="2CB193BD">
            <w:pPr>
              <w:keepNext w:val="0"/>
              <w:keepLines w:val="0"/>
              <w:pageBreakBefore w:val="0"/>
              <w:widowControl/>
              <w:kinsoku/>
              <w:wordWrap/>
              <w:overflowPunct/>
              <w:topLinePunct w:val="0"/>
              <w:bidi w:val="0"/>
              <w:adjustRightInd w:val="0"/>
              <w:snapToGrid w:val="0"/>
              <w:spacing w:line="360" w:lineRule="auto"/>
              <w:ind w:right="0" w:firstLine="480" w:firstLineChars="200"/>
              <w:contextualSpacing/>
              <w:jc w:val="both"/>
              <w:textAlignment w:val="auto"/>
              <w:rPr>
                <w:rFonts w:hint="eastAsia" w:ascii="宋体" w:hAnsi="宋体" w:eastAsia="宋体" w:cs="宋体"/>
                <w:color w:val="000000" w:themeColor="text1"/>
                <w:spacing w:val="-3"/>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kern w:val="0"/>
                <w:sz w:val="24"/>
                <w:szCs w:val="24"/>
                <w:lang w:val="en-US" w:eastAsia="zh-CN" w:bidi="ar-SA"/>
                <w14:textFill>
                  <w14:solidFill>
                    <w14:schemeClr w14:val="tx1"/>
                  </w14:solidFill>
                </w14:textFill>
              </w:rPr>
              <w:t>根据现状调查，调查水域内底栖动物由1门2目3科3属3种组成，</w:t>
            </w:r>
            <w:r>
              <w:rPr>
                <w:rStyle w:val="186"/>
                <w:color w:val="000000" w:themeColor="text1"/>
                <w:sz w:val="24"/>
                <w:szCs w:val="24"/>
                <w14:textFill>
                  <w14:solidFill>
                    <w14:schemeClr w14:val="tx1"/>
                  </w14:solidFill>
                </w14:textFill>
              </w:rPr>
              <w:t>均为节肢动物门，</w:t>
            </w:r>
            <w:r>
              <w:rPr>
                <w:rStyle w:val="186"/>
                <w:rFonts w:hint="eastAsia"/>
                <w:color w:val="000000" w:themeColor="text1"/>
                <w:sz w:val="24"/>
                <w:szCs w:val="24"/>
                <w:lang w:val="en-US" w:eastAsia="zh-CN"/>
                <w14:textFill>
                  <w14:solidFill>
                    <w14:schemeClr w14:val="tx1"/>
                  </w14:solidFill>
                </w14:textFill>
              </w:rPr>
              <w:t>主要为</w:t>
            </w:r>
            <w:r>
              <w:rPr>
                <w:rStyle w:val="186"/>
                <w:rFonts w:hint="eastAsia"/>
                <w:color w:val="000000" w:themeColor="text1"/>
                <w:sz w:val="24"/>
                <w:szCs w:val="24"/>
                <w14:textFill>
                  <w14:solidFill>
                    <w14:schemeClr w14:val="tx1"/>
                  </w14:solidFill>
                </w14:textFill>
              </w:rPr>
              <w:t>纹石蚕、等蝠与扁蝠</w:t>
            </w:r>
            <w:r>
              <w:rPr>
                <w:rStyle w:val="186"/>
                <w:rFonts w:hint="eastAsia"/>
                <w:color w:val="000000" w:themeColor="text1"/>
                <w:sz w:val="24"/>
                <w:szCs w:val="24"/>
                <w:lang w:eastAsia="zh-CN"/>
                <w14:textFill>
                  <w14:solidFill>
                    <w14:schemeClr w14:val="tx1"/>
                  </w14:solidFill>
                </w14:textFill>
              </w:rPr>
              <w:t>。</w:t>
            </w:r>
          </w:p>
          <w:p w14:paraId="28D7A1CB">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本工程施工期对底栖动物的影响主要来源于围堰施工。围堰基础开挖、回填及机械作业直接破坏河床底质结构，导致原本稳定的泥沙、砾石或淤泥层被翻搅、移位甚至掩埋。底栖动物赖以生存的栖息场所被掩埋，</w:t>
            </w:r>
            <w:r>
              <w:rPr>
                <w:rFonts w:hint="eastAsia"/>
                <w:color w:val="000000" w:themeColor="text1"/>
                <w:sz w:val="24"/>
                <w:szCs w:val="24"/>
                <w:lang w:val="en-US" w:eastAsia="zh-CN"/>
                <w14:textFill>
                  <w14:solidFill>
                    <w14:schemeClr w14:val="tx1"/>
                  </w14:solidFill>
                </w14:textFill>
              </w:rPr>
              <w:t>本次调查到的蜉蝣目如扁蝠等，</w:t>
            </w:r>
            <w:r>
              <w:rPr>
                <w:rFonts w:hint="eastAsia"/>
                <w:color w:val="000000" w:themeColor="text1"/>
                <w:sz w:val="24"/>
                <w:szCs w:val="24"/>
                <w14:textFill>
                  <w14:solidFill>
                    <w14:schemeClr w14:val="tx1"/>
                  </w14:solidFill>
                </w14:textFill>
              </w:rPr>
              <w:t>因底质剧烈扰动而暴露于水面，存活率大幅降低。围堰施工缩窄了河道过水断面，使上游水位壅高、水流变缓，下游水位下降、流速加快。这种变化改变了底栖动物的栖息适宜区，如喜流性的蜉蝣稚虫因水流停滞被迫迁移，而耐静水性的摇蚊幼虫可能局部增殖，群落结构发生显著改变。</w:t>
            </w:r>
          </w:p>
          <w:p w14:paraId="7366A6DC">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工程施工期施工机械漏油、混凝土添加剂中的重金属（汞、镉等）、施工废水的化学药剂等污染物进入水体后，沉积于底质中形成慢性毒害，底栖动物通过滤食、体表接触等方式富集污染物，导致生理代谢紊乱、生长发育受阻，甚至死亡。本工程施工作业产生的大量悬浮物沉降覆盖底质表面，阻碍水体与底质间的氧气交换，导致底泥缺氧加剧。厌氧环境下，底质中硫化物、氨氮等有害物质释放，进一步恶化底栖动物生存条件。例如，低氧环境会使底栖软体动物因呼吸障碍大量死亡，而耐低氧的颤蚓类数量可能短暂增加。底栖动物主要以底质中的藻类、有机碎屑、微生物为食，施工期水体浑浊抑制藻类生长，同时大量泥沙覆盖底质，掩埋有机食物资源，导致底栖动物食物可获得性显著降低。</w:t>
            </w:r>
          </w:p>
          <w:p w14:paraId="441C3604">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综上所述，本工程施工期将对</w:t>
            </w:r>
            <w:r>
              <w:rPr>
                <w:color w:val="000000" w:themeColor="text1"/>
                <w:sz w:val="24"/>
                <w:szCs w:val="24"/>
                <w14:textFill>
                  <w14:solidFill>
                    <w14:schemeClr w14:val="tx1"/>
                  </w14:solidFill>
                </w14:textFill>
              </w:rPr>
              <w:t>底栖动物栖息</w:t>
            </w:r>
            <w:r>
              <w:rPr>
                <w:rFonts w:hint="eastAsia"/>
                <w:color w:val="000000" w:themeColor="text1"/>
                <w:sz w:val="24"/>
                <w:szCs w:val="24"/>
                <w14:textFill>
                  <w14:solidFill>
                    <w14:schemeClr w14:val="tx1"/>
                  </w14:solidFill>
                </w14:textFill>
              </w:rPr>
              <w:t>生境</w:t>
            </w:r>
            <w:r>
              <w:rPr>
                <w:color w:val="000000" w:themeColor="text1"/>
                <w:sz w:val="24"/>
                <w:szCs w:val="24"/>
                <w14:textFill>
                  <w14:solidFill>
                    <w14:schemeClr w14:val="tx1"/>
                  </w14:solidFill>
                </w14:textFill>
              </w:rPr>
              <w:t>造成</w:t>
            </w:r>
            <w:r>
              <w:rPr>
                <w:rFonts w:hint="eastAsia"/>
                <w:color w:val="000000" w:themeColor="text1"/>
                <w:sz w:val="24"/>
                <w:szCs w:val="24"/>
                <w14:textFill>
                  <w14:solidFill>
                    <w14:schemeClr w14:val="tx1"/>
                  </w14:solidFill>
                </w14:textFill>
              </w:rPr>
              <w:t>破坏</w:t>
            </w:r>
            <w:r>
              <w:rPr>
                <w:color w:val="000000" w:themeColor="text1"/>
                <w:sz w:val="24"/>
                <w:szCs w:val="24"/>
                <w14:textFill>
                  <w14:solidFill>
                    <w14:schemeClr w14:val="tx1"/>
                  </w14:solidFill>
                </w14:textFill>
              </w:rPr>
              <w:t>，导致底栖动物种类减少、生物多样性</w:t>
            </w:r>
            <w:r>
              <w:rPr>
                <w:rFonts w:hint="eastAsia"/>
                <w:color w:val="000000" w:themeColor="text1"/>
                <w:sz w:val="24"/>
                <w:szCs w:val="24"/>
                <w14:textFill>
                  <w14:solidFill>
                    <w14:schemeClr w14:val="tx1"/>
                  </w14:solidFill>
                </w14:textFill>
              </w:rPr>
              <w:t>暂时</w:t>
            </w:r>
            <w:r>
              <w:rPr>
                <w:color w:val="000000" w:themeColor="text1"/>
                <w:sz w:val="24"/>
                <w:szCs w:val="24"/>
                <w14:textFill>
                  <w14:solidFill>
                    <w14:schemeClr w14:val="tx1"/>
                  </w14:solidFill>
                </w14:textFill>
              </w:rPr>
              <w:t>降低，生物量</w:t>
            </w:r>
            <w:r>
              <w:rPr>
                <w:rFonts w:hint="eastAsia"/>
                <w:color w:val="000000" w:themeColor="text1"/>
                <w:sz w:val="24"/>
                <w:szCs w:val="24"/>
                <w14:textFill>
                  <w14:solidFill>
                    <w14:schemeClr w14:val="tx1"/>
                  </w14:solidFill>
                </w14:textFill>
              </w:rPr>
              <w:t>减少</w:t>
            </w:r>
            <w:r>
              <w:rPr>
                <w:color w:val="000000" w:themeColor="text1"/>
                <w:sz w:val="24"/>
                <w:szCs w:val="24"/>
                <w14:textFill>
                  <w14:solidFill>
                    <w14:schemeClr w14:val="tx1"/>
                  </w14:solidFill>
                </w14:textFill>
              </w:rPr>
              <w:t>。</w:t>
            </w:r>
          </w:p>
          <w:p w14:paraId="5CA7ED20">
            <w:pPr>
              <w:keepNext w:val="0"/>
              <w:keepLines w:val="0"/>
              <w:pageBreakBefore w:val="0"/>
              <w:widowControl/>
              <w:numPr>
                <w:ilvl w:val="0"/>
                <w:numId w:val="23"/>
              </w:numPr>
              <w:kinsoku/>
              <w:wordWrap/>
              <w:overflowPunct/>
              <w:topLinePunct w:val="0"/>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对鱼类的</w:t>
            </w:r>
            <w:r>
              <w:rPr>
                <w:rFonts w:hint="default" w:ascii="Times New Roman" w:hAnsi="Times New Roman" w:eastAsia="宋体" w:cs="Times New Roman"/>
                <w:b/>
                <w:bCs/>
                <w:color w:val="000000" w:themeColor="text1"/>
                <w:kern w:val="2"/>
                <w:sz w:val="24"/>
                <w:szCs w:val="24"/>
                <w:lang w:val="en-US" w:eastAsia="zh-CN" w:bidi="ar-SA"/>
                <w14:textFill>
                  <w14:solidFill>
                    <w14:schemeClr w14:val="tx1"/>
                  </w14:solidFill>
                </w14:textFill>
              </w:rPr>
              <w:t>影响</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分析</w:t>
            </w:r>
          </w:p>
          <w:p w14:paraId="048A4D83">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本项目各采样断面采用地笼网、圆锥网</w:t>
            </w:r>
            <w:r>
              <w:rPr>
                <w:rFonts w:hint="eastAsia"/>
                <w:color w:val="000000" w:themeColor="text1"/>
                <w:sz w:val="24"/>
                <w:szCs w:val="24"/>
                <w:lang w:val="en-US" w:eastAsia="zh-CN"/>
                <w14:textFill>
                  <w14:solidFill>
                    <w14:schemeClr w14:val="tx1"/>
                  </w14:solidFill>
                </w14:textFill>
              </w:rPr>
              <w:t>方式</w:t>
            </w:r>
            <w:r>
              <w:rPr>
                <w:color w:val="000000" w:themeColor="text1"/>
                <w:sz w:val="24"/>
                <w:szCs w:val="24"/>
                <w14:textFill>
                  <w14:solidFill>
                    <w14:schemeClr w14:val="tx1"/>
                  </w14:solidFill>
                </w14:textFill>
              </w:rPr>
              <w:t>调查</w:t>
            </w:r>
            <w:r>
              <w:rPr>
                <w:rFonts w:hint="eastAsia"/>
                <w:color w:val="000000" w:themeColor="text1"/>
                <w:sz w:val="24"/>
                <w:szCs w:val="24"/>
                <w:lang w:val="en-US" w:eastAsia="zh-CN"/>
                <w14:textFill>
                  <w14:solidFill>
                    <w14:schemeClr w14:val="tx1"/>
                  </w14:solidFill>
                </w14:textFill>
              </w:rPr>
              <w:t>鱼类资源</w:t>
            </w:r>
            <w:r>
              <w:rPr>
                <w:color w:val="000000" w:themeColor="text1"/>
                <w:sz w:val="24"/>
                <w:szCs w:val="24"/>
                <w14:textFill>
                  <w14:solidFill>
                    <w14:schemeClr w14:val="tx1"/>
                  </w14:solidFill>
                </w14:textFill>
              </w:rPr>
              <w:t>，未采集到</w:t>
            </w:r>
            <w:r>
              <w:rPr>
                <w:rFonts w:hint="eastAsia"/>
                <w:color w:val="000000" w:themeColor="text1"/>
                <w:sz w:val="24"/>
                <w:szCs w:val="24"/>
                <w:lang w:val="en-US" w:eastAsia="zh-CN"/>
                <w14:textFill>
                  <w14:solidFill>
                    <w14:schemeClr w14:val="tx1"/>
                  </w14:solidFill>
                </w14:textFill>
              </w:rPr>
              <w:t>鱼类个体及早期资源</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原因可能是本项目评价范围五里沟河段本底无鱼类资源或鱼类资源极低，五里沟拟建取水口工程</w:t>
            </w:r>
            <w:r>
              <w:rPr>
                <w:color w:val="000000" w:themeColor="text1"/>
                <w:sz w:val="24"/>
                <w:szCs w:val="24"/>
                <w14:textFill>
                  <w14:solidFill>
                    <w14:schemeClr w14:val="tx1"/>
                  </w14:solidFill>
                </w14:textFill>
              </w:rPr>
              <w:t>下游</w:t>
            </w:r>
            <w:r>
              <w:rPr>
                <w:rFonts w:hint="eastAsia"/>
                <w:color w:val="000000" w:themeColor="text1"/>
                <w:sz w:val="24"/>
                <w:szCs w:val="24"/>
                <w:lang w:val="en-US" w:eastAsia="zh-CN"/>
                <w14:textFill>
                  <w14:solidFill>
                    <w14:schemeClr w14:val="tx1"/>
                  </w14:solidFill>
                </w14:textFill>
              </w:rPr>
              <w:t>2km左右</w:t>
            </w:r>
            <w:r>
              <w:rPr>
                <w:color w:val="000000" w:themeColor="text1"/>
                <w:sz w:val="24"/>
                <w:szCs w:val="24"/>
                <w14:textFill>
                  <w14:solidFill>
                    <w14:schemeClr w14:val="tx1"/>
                  </w14:solidFill>
                </w14:textFill>
              </w:rPr>
              <w:t>有10m高差堰坎、混凝土渠化河床形成物理阻隔，阻断下游鱼类上溯；五里沟上游无涉水建筑物，河川径流由高山季节性积雪融水、大气降雨共同补给，并辅以基岩裂隙地下水补给</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上游同样无鱼类资源分布</w:t>
            </w:r>
            <w:r>
              <w:rPr>
                <w:color w:val="000000" w:themeColor="text1"/>
                <w:sz w:val="24"/>
                <w:szCs w:val="24"/>
                <w14:textFill>
                  <w14:solidFill>
                    <w14:schemeClr w14:val="tx1"/>
                  </w14:solidFill>
                </w14:textFill>
              </w:rPr>
              <w:t>。河谷比降大、多急流跌水，河段本身鱼类本底极低，缺少稳定</w:t>
            </w:r>
            <w:r>
              <w:rPr>
                <w:rFonts w:hint="eastAsia"/>
                <w:color w:val="000000" w:themeColor="text1"/>
                <w:sz w:val="24"/>
                <w:szCs w:val="24"/>
                <w:lang w:eastAsia="zh-CN"/>
                <w14:textFill>
                  <w14:solidFill>
                    <w14:schemeClr w14:val="tx1"/>
                  </w14:solidFill>
                </w14:textFill>
              </w:rPr>
              <w:t>的</w:t>
            </w:r>
            <w:r>
              <w:rPr>
                <w:color w:val="000000" w:themeColor="text1"/>
                <w:sz w:val="24"/>
                <w:szCs w:val="24"/>
                <w14:textFill>
                  <w14:solidFill>
                    <w14:schemeClr w14:val="tx1"/>
                  </w14:solidFill>
                </w14:textFill>
              </w:rPr>
              <w:t>鱼类种群。但现状无鱼不等于完全没有鱼类活动潜力，大渡河干流的鱼卵、仔稚鱼仍存在随洪水偶然漂移进入评价河段的可能性，施工期、运行期扰动仍会对潜在的鱼类栖息条件产生影响。</w:t>
            </w:r>
          </w:p>
          <w:p w14:paraId="6B72628D">
            <w:pPr>
              <w:keepNext w:val="0"/>
              <w:keepLines w:val="0"/>
              <w:pageBreakBefore w:val="0"/>
              <w:widowControl/>
              <w:kinsoku/>
              <w:wordWrap/>
              <w:overflowPunct/>
              <w:topLinePunct w:val="0"/>
              <w:bidi w:val="0"/>
              <w:adjustRightInd w:val="0"/>
              <w:snapToGrid w:val="0"/>
              <w:spacing w:line="360" w:lineRule="auto"/>
              <w:ind w:right="0" w:firstLine="468" w:firstLineChars="200"/>
              <w:contextualSpacing/>
              <w:jc w:val="both"/>
              <w:textAlignment w:val="auto"/>
              <w:rPr>
                <w:rFonts w:hint="default" w:ascii="宋体" w:hAnsi="宋体" w:eastAsia="宋体" w:cs="宋体"/>
                <w:color w:val="000000" w:themeColor="text1"/>
                <w:spacing w:val="-3"/>
                <w:sz w:val="24"/>
                <w:szCs w:val="24"/>
                <w:lang w:val="en-US" w:eastAsia="zh-CN"/>
                <w14:textFill>
                  <w14:solidFill>
                    <w14:schemeClr w14:val="tx1"/>
                  </w14:solidFill>
                </w14:textFill>
              </w:rPr>
            </w:pPr>
            <w:r>
              <w:rPr>
                <w:rFonts w:hint="eastAsia" w:ascii="宋体" w:hAnsi="宋体" w:cs="宋体"/>
                <w:color w:val="000000" w:themeColor="text1"/>
                <w:spacing w:val="-3"/>
                <w:sz w:val="24"/>
                <w:szCs w:val="24"/>
                <w:lang w:val="en-US" w:eastAsia="zh-CN"/>
                <w14:textFill>
                  <w14:solidFill>
                    <w14:schemeClr w14:val="tx1"/>
                  </w14:solidFill>
                </w14:textFill>
              </w:rPr>
              <w:t>①</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对鱼类物种多样性的影响</w:t>
            </w:r>
          </w:p>
          <w:p w14:paraId="5E8B8E7D">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涉水围堰、导流明渠施工会造成局部河段水流阻隔、局部河槽短时缺水断流，施工扰动会造成水体悬浮物升高。虽然现状调查未发现鱼类，但汛期洪水仍可能将大渡河</w:t>
            </w:r>
            <w:r>
              <w:rPr>
                <w:rFonts w:hint="eastAsia"/>
                <w:color w:val="000000" w:themeColor="text1"/>
                <w:sz w:val="24"/>
                <w:szCs w:val="24"/>
                <w:lang w:val="en-US" w:eastAsia="zh-CN"/>
                <w14:textFill>
                  <w14:solidFill>
                    <w14:schemeClr w14:val="tx1"/>
                  </w14:solidFill>
                </w14:textFill>
              </w:rPr>
              <w:t>干流</w:t>
            </w:r>
            <w:r>
              <w:rPr>
                <w:color w:val="000000" w:themeColor="text1"/>
                <w:sz w:val="24"/>
                <w:szCs w:val="24"/>
                <w14:textFill>
                  <w14:solidFill>
                    <w14:schemeClr w14:val="tx1"/>
                  </w14:solidFill>
                </w14:textFill>
              </w:rPr>
              <w:t>的少量仔稚鱼、个体带入本河段。若此时恰逢施工扰动，局部生境破坏、泥沙浓度骤升，会造成这些偶然性进入的鱼类个体死亡，进一步压缩河段鱼类定居恢复的可能性。但受下游既有工程永久性阻隔限制，外部鱼类种群难以持续输入，施工不会造成现有鱼类物种多样性下降（现状本就无鱼类群落</w:t>
            </w:r>
            <w:r>
              <w:rPr>
                <w:rFonts w:hint="eastAsia"/>
                <w:color w:val="000000" w:themeColor="text1"/>
                <w:sz w:val="24"/>
                <w:szCs w:val="24"/>
                <w:lang w:val="en-US" w:eastAsia="zh-CN"/>
                <w14:textFill>
                  <w14:solidFill>
                    <w14:schemeClr w14:val="tx1"/>
                  </w14:solidFill>
                </w14:textFill>
              </w:rPr>
              <w:t>分布</w:t>
            </w:r>
            <w:r>
              <w:rPr>
                <w:color w:val="000000" w:themeColor="text1"/>
                <w:sz w:val="24"/>
                <w:szCs w:val="24"/>
                <w14:textFill>
                  <w14:solidFill>
                    <w14:schemeClr w14:val="tx1"/>
                  </w14:solidFill>
                </w14:textFill>
              </w:rPr>
              <w:t>），主要是抑制河段鱼类种群未来自然恢复潜力。</w:t>
            </w:r>
          </w:p>
          <w:p w14:paraId="3F825FEC">
            <w:pPr>
              <w:keepNext w:val="0"/>
              <w:keepLines w:val="0"/>
              <w:pageBreakBefore w:val="0"/>
              <w:widowControl/>
              <w:kinsoku/>
              <w:wordWrap/>
              <w:overflowPunct/>
              <w:topLinePunct w:val="0"/>
              <w:bidi w:val="0"/>
              <w:adjustRightInd w:val="0"/>
              <w:snapToGrid w:val="0"/>
              <w:spacing w:line="360" w:lineRule="auto"/>
              <w:ind w:right="0" w:firstLine="470" w:firstLineChars="200"/>
              <w:contextualSpacing/>
              <w:jc w:val="both"/>
              <w:textAlignment w:val="auto"/>
              <w:rPr>
                <w:rFonts w:hint="eastAsia" w:ascii="宋体" w:hAnsi="宋体" w:cs="宋体"/>
                <w:b/>
                <w:bCs/>
                <w:color w:val="000000" w:themeColor="text1"/>
                <w:spacing w:val="-3"/>
                <w:sz w:val="24"/>
                <w:szCs w:val="24"/>
                <w:lang w:val="en-US" w:eastAsia="zh-CN"/>
                <w14:textFill>
                  <w14:solidFill>
                    <w14:schemeClr w14:val="tx1"/>
                  </w14:solidFill>
                </w14:textFill>
              </w:rPr>
            </w:pPr>
            <w:r>
              <w:rPr>
                <w:rFonts w:hint="eastAsia" w:ascii="宋体" w:hAnsi="宋体" w:cs="宋体"/>
                <w:b/>
                <w:bCs/>
                <w:color w:val="000000" w:themeColor="text1"/>
                <w:spacing w:val="-3"/>
                <w:sz w:val="24"/>
                <w:szCs w:val="24"/>
                <w:lang w:val="en-US" w:eastAsia="zh-CN"/>
                <w14:textFill>
                  <w14:solidFill>
                    <w14:schemeClr w14:val="tx1"/>
                  </w14:solidFill>
                </w14:textFill>
              </w:rPr>
              <w:t>②对鱼类早期资源的影响</w:t>
            </w:r>
          </w:p>
          <w:p w14:paraId="5BC28029">
            <w:pPr>
              <w:pStyle w:val="16"/>
              <w:keepNext w:val="0"/>
              <w:keepLines w:val="0"/>
              <w:pageBreakBefore w:val="0"/>
              <w:kinsoku/>
              <w:wordWrap/>
              <w:overflowPunct/>
              <w:topLinePunct w:val="0"/>
              <w:bidi w:val="0"/>
              <w:adjustRightInd w:val="0"/>
              <w:snapToGrid w:val="0"/>
              <w:spacing w:line="360" w:lineRule="auto"/>
              <w:jc w:val="both"/>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正常枯水施工时段，河段本身缺少鱼卵、仔稚鱼，直接影响较小。但在汛期融雪</w:t>
            </w:r>
            <w:r>
              <w:rPr>
                <w:rFonts w:hint="eastAsia"/>
                <w:color w:val="000000" w:themeColor="text1"/>
                <w:sz w:val="24"/>
                <w:szCs w:val="24"/>
                <w:lang w:val="en-US" w:eastAsia="zh-CN"/>
                <w14:textFill>
                  <w14:solidFill>
                    <w14:schemeClr w14:val="tx1"/>
                  </w14:solidFill>
                </w14:textFill>
              </w:rPr>
              <w:t>-</w:t>
            </w:r>
            <w:r>
              <w:rPr>
                <w:rFonts w:hint="eastAsia"/>
                <w:color w:val="000000" w:themeColor="text1"/>
                <w:sz w:val="24"/>
                <w:szCs w:val="24"/>
                <w14:textFill>
                  <w14:solidFill>
                    <w14:schemeClr w14:val="tx1"/>
                  </w14:solidFill>
                </w14:textFill>
              </w:rPr>
              <w:t>暴雨洪水期间，存在鱼卵、仔稚鱼随水流漂移进入本河段的偶然情况；施工开挖、弃渣冲刷带来高悬浮物，会损伤漂移过来的鱼卵、仔稚鱼；围堰局部断流也会导致偶然滞留在此处的仔稚鱼死亡。施工结束围堰拆除后，水文生境可以复原。</w:t>
            </w:r>
          </w:p>
          <w:p w14:paraId="4FBB9390">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本工程施工期</w:t>
            </w:r>
            <w:r>
              <w:rPr>
                <w:rFonts w:hint="eastAsia"/>
                <w:color w:val="000000" w:themeColor="text1"/>
                <w:sz w:val="24"/>
                <w:szCs w:val="24"/>
                <w:lang w:val="en-US" w:eastAsia="zh-CN"/>
                <w14:textFill>
                  <w14:solidFill>
                    <w14:schemeClr w14:val="tx1"/>
                  </w14:solidFill>
                </w14:textFill>
              </w:rPr>
              <w:t>较短，采用枯水期11月份施工，可以降低对鱼类早期资源的影响，且</w:t>
            </w:r>
            <w:r>
              <w:rPr>
                <w:color w:val="000000" w:themeColor="text1"/>
                <w:sz w:val="24"/>
                <w:szCs w:val="24"/>
                <w14:textFill>
                  <w14:solidFill>
                    <w14:schemeClr w14:val="tx1"/>
                  </w14:solidFill>
                </w14:textFill>
              </w:rPr>
              <w:t>现状调查河段无定居鱼类，无稳定鱼类早期资源，工程施工不会造成现有鱼类</w:t>
            </w:r>
            <w:r>
              <w:rPr>
                <w:rFonts w:hint="eastAsia"/>
                <w:color w:val="000000" w:themeColor="text1"/>
                <w:sz w:val="24"/>
                <w:szCs w:val="24"/>
                <w:lang w:eastAsia="zh-CN"/>
                <w14:textFill>
                  <w14:solidFill>
                    <w14:schemeClr w14:val="tx1"/>
                  </w14:solidFill>
                </w14:textFill>
              </w:rPr>
              <w:t>资源</w:t>
            </w:r>
            <w:r>
              <w:rPr>
                <w:color w:val="000000" w:themeColor="text1"/>
                <w:sz w:val="24"/>
                <w:szCs w:val="24"/>
                <w14:textFill>
                  <w14:solidFill>
                    <w14:schemeClr w14:val="tx1"/>
                  </w14:solidFill>
                </w14:textFill>
              </w:rPr>
              <w:t>的直接消亡</w:t>
            </w:r>
            <w:r>
              <w:rPr>
                <w:rFonts w:hint="eastAsia"/>
                <w:color w:val="000000" w:themeColor="text1"/>
                <w:sz w:val="24"/>
                <w:szCs w:val="24"/>
                <w14:textFill>
                  <w14:solidFill>
                    <w14:schemeClr w14:val="tx1"/>
                  </w14:solidFill>
                </w14:textFill>
              </w:rPr>
              <w:t>，本项目施工对鱼类</w:t>
            </w:r>
            <w:r>
              <w:rPr>
                <w:rFonts w:hint="eastAsia"/>
                <w:color w:val="000000" w:themeColor="text1"/>
                <w:sz w:val="24"/>
                <w:szCs w:val="24"/>
                <w:lang w:val="en-US" w:eastAsia="zh-CN"/>
                <w14:textFill>
                  <w14:solidFill>
                    <w14:schemeClr w14:val="tx1"/>
                  </w14:solidFill>
                </w14:textFill>
              </w:rPr>
              <w:t>早期资源</w:t>
            </w:r>
            <w:r>
              <w:rPr>
                <w:rFonts w:hint="eastAsia"/>
                <w:color w:val="000000" w:themeColor="text1"/>
                <w:sz w:val="24"/>
                <w:szCs w:val="24"/>
                <w14:textFill>
                  <w14:solidFill>
                    <w14:schemeClr w14:val="tx1"/>
                  </w14:solidFill>
                </w14:textFill>
              </w:rPr>
              <w:t>影响较小。</w:t>
            </w:r>
          </w:p>
          <w:p w14:paraId="2F5A13E2">
            <w:pPr>
              <w:keepNext w:val="0"/>
              <w:keepLines w:val="0"/>
              <w:pageBreakBefore w:val="0"/>
              <w:widowControl/>
              <w:kinsoku/>
              <w:wordWrap/>
              <w:overflowPunct/>
              <w:topLinePunct w:val="0"/>
              <w:bidi w:val="0"/>
              <w:adjustRightInd w:val="0"/>
              <w:snapToGrid w:val="0"/>
              <w:spacing w:line="360" w:lineRule="auto"/>
              <w:ind w:right="0" w:firstLine="470" w:firstLineChars="200"/>
              <w:contextualSpacing/>
              <w:jc w:val="both"/>
              <w:textAlignment w:val="auto"/>
              <w:rPr>
                <w:rFonts w:hint="eastAsia" w:ascii="宋体" w:hAnsi="宋体" w:cs="宋体"/>
                <w:b/>
                <w:bCs/>
                <w:color w:val="000000" w:themeColor="text1"/>
                <w:spacing w:val="-3"/>
                <w:sz w:val="24"/>
                <w:szCs w:val="24"/>
                <w:lang w:val="en-US" w:eastAsia="zh-CN"/>
                <w14:textFill>
                  <w14:solidFill>
                    <w14:schemeClr w14:val="tx1"/>
                  </w14:solidFill>
                </w14:textFill>
              </w:rPr>
            </w:pPr>
            <w:r>
              <w:rPr>
                <w:rFonts w:hint="eastAsia" w:ascii="宋体" w:hAnsi="宋体" w:cs="宋体"/>
                <w:b/>
                <w:bCs/>
                <w:color w:val="000000" w:themeColor="text1"/>
                <w:spacing w:val="-3"/>
                <w:sz w:val="24"/>
                <w:szCs w:val="24"/>
                <w:lang w:val="en-US" w:eastAsia="zh-CN"/>
                <w14:textFill>
                  <w14:solidFill>
                    <w14:schemeClr w14:val="tx1"/>
                  </w14:solidFill>
                </w14:textFill>
              </w:rPr>
              <w:t>③对鱼类“三场”的影响</w:t>
            </w:r>
          </w:p>
          <w:p w14:paraId="5756D816">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现状评价河段受下游阻隔、河床渠化硬化、河道比降大等综合因素，无稳定、规模化的鱼类产卵场、索饵场、越冬场分布</w:t>
            </w:r>
            <w:r>
              <w:rPr>
                <w:rFonts w:hint="eastAsia"/>
                <w:color w:val="000000" w:themeColor="text1"/>
                <w:sz w:val="24"/>
                <w:szCs w:val="24"/>
                <w14:textFill>
                  <w14:solidFill>
                    <w14:schemeClr w14:val="tx1"/>
                  </w14:solidFill>
                </w14:textFill>
              </w:rPr>
              <w:t>。</w:t>
            </w:r>
          </w:p>
          <w:p w14:paraId="39ACADA4">
            <w:pPr>
              <w:pStyle w:val="16"/>
              <w:keepNext w:val="0"/>
              <w:keepLines w:val="0"/>
              <w:pageBreakBefore w:val="0"/>
              <w:kinsoku/>
              <w:wordWrap/>
              <w:overflowPunct/>
              <w:topLinePunct w:val="0"/>
              <w:bidi w:val="0"/>
              <w:adjustRightInd w:val="0"/>
              <w:snapToGrid w:val="0"/>
              <w:spacing w:line="360" w:lineRule="auto"/>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围堰施工会短期改变局部河段水文、底质条件，破坏局部砾石底质。由于现状没有定型“三场”，不会造成现有产卵、索饵、越冬场的直接损毁；但局部河床扰动会破坏本河段仅存的少量潜在生境，削弱未来形成“三场”的基底条件。施工结束后围堰拆除，河床清理复原，潜在生境条件可以得到恢复。</w:t>
            </w:r>
          </w:p>
          <w:p w14:paraId="57336C36">
            <w:pPr>
              <w:keepNext w:val="0"/>
              <w:keepLines w:val="0"/>
              <w:pageBreakBefore w:val="0"/>
              <w:kinsoku/>
              <w:wordWrap/>
              <w:overflowPunct/>
              <w:topLinePunct w:val="0"/>
              <w:autoSpaceDE w:val="0"/>
              <w:autoSpaceDN w:val="0"/>
              <w:bidi w:val="0"/>
              <w:adjustRightInd w:val="0"/>
              <w:snapToGrid w:val="0"/>
              <w:spacing w:line="360" w:lineRule="auto"/>
              <w:ind w:firstLine="482" w:firstLineChars="200"/>
              <w:jc w:val="both"/>
              <w:textAlignment w:val="auto"/>
              <w:rPr>
                <w:rFonts w:ascii="Times New Roman" w:hAnsi="Times New Roman"/>
                <w:b/>
                <w:bCs/>
                <w:color w:val="000000" w:themeColor="text1"/>
                <w:sz w:val="24"/>
                <w:szCs w:val="24"/>
                <w:highlight w:val="none"/>
                <w14:textFill>
                  <w14:solidFill>
                    <w14:schemeClr w14:val="tx1"/>
                  </w14:solidFill>
                </w14:textFill>
              </w:rPr>
            </w:pPr>
            <w:r>
              <w:rPr>
                <w:rFonts w:hint="eastAsia" w:ascii="Times New Roman" w:hAnsi="Times New Roman"/>
                <w:b/>
                <w:bCs/>
                <w:color w:val="000000" w:themeColor="text1"/>
                <w:sz w:val="24"/>
                <w:szCs w:val="24"/>
                <w:highlight w:val="none"/>
                <w14:textFill>
                  <w14:solidFill>
                    <w14:schemeClr w14:val="tx1"/>
                  </w14:solidFill>
                </w14:textFill>
              </w:rPr>
              <w:t>（2）水生生态保护措施</w:t>
            </w:r>
          </w:p>
          <w:p w14:paraId="36BF4FC5">
            <w:pPr>
              <w:pStyle w:val="438"/>
              <w:keepNext w:val="0"/>
              <w:keepLines w:val="0"/>
              <w:pageBreakBefore w:val="0"/>
              <w:kinsoku/>
              <w:wordWrap/>
              <w:overflowPunct/>
              <w:topLinePunct w:val="0"/>
              <w:bidi w:val="0"/>
              <w:adjustRightInd w:val="0"/>
              <w:snapToGrid w:val="0"/>
              <w:spacing w:line="360" w:lineRule="auto"/>
              <w:ind w:firstLine="480"/>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①</w:t>
            </w:r>
            <w:r>
              <w:rPr>
                <w:rFonts w:hint="default" w:ascii="Times New Roman" w:hAnsi="Times New Roman" w:cs="Times New Roman"/>
                <w:color w:val="000000" w:themeColor="text1"/>
                <w:sz w:val="24"/>
                <w:szCs w:val="24"/>
                <w14:textFill>
                  <w14:solidFill>
                    <w14:schemeClr w14:val="tx1"/>
                  </w14:solidFill>
                </w14:textFill>
              </w:rPr>
              <w:t>项目施工导流应安排在枯水期</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11</w:t>
            </w:r>
            <w:r>
              <w:rPr>
                <w:rFonts w:hint="default" w:ascii="Times New Roman" w:hAnsi="Times New Roman" w:cs="Times New Roman"/>
                <w:color w:val="000000" w:themeColor="text1"/>
                <w:sz w:val="24"/>
                <w:szCs w:val="24"/>
                <w:lang w:val="en-US" w:eastAsia="zh-CN"/>
                <w14:textFill>
                  <w14:solidFill>
                    <w14:schemeClr w14:val="tx1"/>
                  </w14:solidFill>
                </w14:textFill>
              </w:rPr>
              <w:t>月</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完成，采用</w:t>
            </w:r>
            <w:r>
              <w:rPr>
                <w:rFonts w:hint="eastAsia" w:ascii="Times New Roman" w:hAnsi="Times New Roman" w:cs="Times New Roman"/>
                <w:color w:val="000000" w:themeColor="text1"/>
                <w:sz w:val="24"/>
                <w:szCs w:val="24"/>
                <w:lang w:val="en-US" w:eastAsia="zh-CN"/>
                <w14:textFill>
                  <w14:solidFill>
                    <w14:schemeClr w14:val="tx1"/>
                  </w14:solidFill>
                </w14:textFill>
              </w:rPr>
              <w:t>明渠导流+土石方</w:t>
            </w:r>
            <w:r>
              <w:rPr>
                <w:rFonts w:hint="eastAsia" w:cs="Times New Roman"/>
                <w:color w:val="000000" w:themeColor="text1"/>
                <w:sz w:val="24"/>
                <w:szCs w:val="24"/>
                <w:lang w:val="en-US" w:eastAsia="zh-CN"/>
                <w14:textFill>
                  <w14:solidFill>
                    <w14:schemeClr w14:val="tx1"/>
                  </w14:solidFill>
                </w14:textFill>
              </w:rPr>
              <w:t>围堰方式导流</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控制施工扰动面积，从而</w:t>
            </w:r>
            <w:r>
              <w:rPr>
                <w:rFonts w:hint="default" w:ascii="Times New Roman" w:hAnsi="Times New Roman" w:cs="Times New Roman"/>
                <w:color w:val="000000" w:themeColor="text1"/>
                <w:sz w:val="24"/>
                <w:szCs w:val="24"/>
                <w14:textFill>
                  <w14:solidFill>
                    <w14:schemeClr w14:val="tx1"/>
                  </w14:solidFill>
                </w14:textFill>
              </w:rPr>
              <w:t>降低水生生物生境质量</w:t>
            </w:r>
            <w:r>
              <w:rPr>
                <w:rFonts w:hint="eastAsia" w:ascii="Times New Roman" w:hAnsi="Times New Roman" w:cs="Times New Roman"/>
                <w:color w:val="000000" w:themeColor="text1"/>
                <w:sz w:val="24"/>
                <w:szCs w:val="24"/>
                <w:lang w:eastAsia="zh-CN"/>
                <w14:textFill>
                  <w14:solidFill>
                    <w14:schemeClr w14:val="tx1"/>
                  </w14:solidFill>
                </w14:textFill>
              </w:rPr>
              <w:t>的</w:t>
            </w:r>
            <w:r>
              <w:rPr>
                <w:rFonts w:hint="eastAsia" w:ascii="Times New Roman" w:hAnsi="Times New Roman" w:cs="Times New Roman"/>
                <w:color w:val="000000" w:themeColor="text1"/>
                <w:sz w:val="24"/>
                <w:szCs w:val="24"/>
                <w:lang w:val="en-US" w:eastAsia="zh-CN"/>
                <w14:textFill>
                  <w14:solidFill>
                    <w14:schemeClr w14:val="tx1"/>
                  </w14:solidFill>
                </w14:textFill>
              </w:rPr>
              <w:t>影响</w:t>
            </w:r>
            <w:r>
              <w:rPr>
                <w:rFonts w:hint="default" w:ascii="Times New Roman" w:hAnsi="Times New Roman" w:cs="Times New Roman"/>
                <w:color w:val="000000" w:themeColor="text1"/>
                <w:sz w:val="24"/>
                <w:szCs w:val="24"/>
                <w14:textFill>
                  <w14:solidFill>
                    <w14:schemeClr w14:val="tx1"/>
                  </w14:solidFill>
                </w14:textFill>
              </w:rPr>
              <w:t>。</w:t>
            </w:r>
          </w:p>
          <w:p w14:paraId="48965337">
            <w:pPr>
              <w:pStyle w:val="438"/>
              <w:keepNext w:val="0"/>
              <w:keepLines w:val="0"/>
              <w:pageBreakBefore w:val="0"/>
              <w:kinsoku/>
              <w:wordWrap/>
              <w:overflowPunct/>
              <w:topLinePunct w:val="0"/>
              <w:bidi w:val="0"/>
              <w:adjustRightInd w:val="0"/>
              <w:snapToGrid w:val="0"/>
              <w:spacing w:line="360" w:lineRule="auto"/>
              <w:ind w:firstLine="480"/>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②土石方围堰采用</w:t>
            </w:r>
            <w:r>
              <w:rPr>
                <w:rFonts w:hint="default" w:ascii="Times New Roman" w:hAnsi="Times New Roman" w:cs="Times New Roman"/>
                <w:color w:val="000000" w:themeColor="text1"/>
                <w:sz w:val="24"/>
                <w:szCs w:val="24"/>
                <w14:textFill>
                  <w14:solidFill>
                    <w14:schemeClr w14:val="tx1"/>
                  </w14:solidFill>
                </w14:textFill>
              </w:rPr>
              <w:t>复合土工膜（如HDPE膜+无纺布）替代传统黏土心墙，减少土方开挖</w:t>
            </w:r>
            <w:r>
              <w:rPr>
                <w:rFonts w:hint="eastAsia"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对透水地基，采用高压喷射注浆形成防渗帷幕，或铺设“土工膜+膨润土垫”复合防渗层，提高防渗效率。并且项目施工导流期较短，计划在一个枯水期内完成所有建设内容，对鱼类及水生生物的影响时间有限。</w:t>
            </w:r>
          </w:p>
          <w:p w14:paraId="7F2BD776">
            <w:pPr>
              <w:pStyle w:val="438"/>
              <w:keepNext w:val="0"/>
              <w:keepLines w:val="0"/>
              <w:pageBreakBefore w:val="0"/>
              <w:kinsoku/>
              <w:wordWrap/>
              <w:overflowPunct/>
              <w:topLinePunct w:val="0"/>
              <w:bidi w:val="0"/>
              <w:adjustRightInd w:val="0"/>
              <w:snapToGrid w:val="0"/>
              <w:spacing w:line="360" w:lineRule="auto"/>
              <w:ind w:firstLine="480"/>
              <w:jc w:val="both"/>
              <w:textAlignment w:val="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②施工材料、土石方等临时堆场应远离地表水，选择暴雨径流难以冲刷的地方。临时堆放场四周挖明沟，设挡墙等，并配备无纺布等遮雨设施，防止被暴雨径流冲刷进入水体，影响水质。</w:t>
            </w:r>
          </w:p>
          <w:p w14:paraId="0B770F5B">
            <w:pPr>
              <w:pStyle w:val="438"/>
              <w:keepNext w:val="0"/>
              <w:keepLines w:val="0"/>
              <w:pageBreakBefore w:val="0"/>
              <w:kinsoku/>
              <w:wordWrap/>
              <w:overflowPunct/>
              <w:topLinePunct w:val="0"/>
              <w:bidi w:val="0"/>
              <w:adjustRightInd w:val="0"/>
              <w:snapToGrid w:val="0"/>
              <w:spacing w:line="360" w:lineRule="auto"/>
              <w:ind w:firstLine="480"/>
              <w:jc w:val="both"/>
              <w:textAlignment w:val="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③施工期间严禁废水外排，对施工废水采取严格的收集、处理及回用措施，禁止在河道洗车、丢弃垃圾、建筑垃圾下河等，防止废水漫溢、禁止排入附近河流。</w:t>
            </w:r>
          </w:p>
          <w:p w14:paraId="47FCB387">
            <w:pPr>
              <w:pStyle w:val="438"/>
              <w:keepNext w:val="0"/>
              <w:keepLines w:val="0"/>
              <w:pageBreakBefore w:val="0"/>
              <w:kinsoku/>
              <w:wordWrap/>
              <w:overflowPunct/>
              <w:topLinePunct w:val="0"/>
              <w:bidi w:val="0"/>
              <w:adjustRightInd w:val="0"/>
              <w:snapToGrid w:val="0"/>
              <w:spacing w:line="360" w:lineRule="auto"/>
              <w:ind w:firstLine="480"/>
              <w:jc w:val="both"/>
              <w:textAlignment w:val="auto"/>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④加强施工机械管理，严格控制振动大、高噪声设备运行，为了减少工程施工噪声对野生动物的惊扰，应做好施工方式和时间的计划。机械噪声和振动对河流鱼类等水生动物的影响干扰。</w:t>
            </w:r>
          </w:p>
          <w:p w14:paraId="4024CE42">
            <w:pPr>
              <w:pStyle w:val="438"/>
              <w:keepNext w:val="0"/>
              <w:keepLines w:val="0"/>
              <w:pageBreakBefore w:val="0"/>
              <w:kinsoku/>
              <w:wordWrap/>
              <w:overflowPunct/>
              <w:topLinePunct w:val="0"/>
              <w:bidi w:val="0"/>
              <w:adjustRightInd w:val="0"/>
              <w:snapToGrid w:val="0"/>
              <w:spacing w:line="360" w:lineRule="auto"/>
              <w:ind w:firstLine="480"/>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⑤</w:t>
            </w:r>
            <w:r>
              <w:rPr>
                <w:rFonts w:hint="default" w:ascii="Times New Roman" w:hAnsi="Times New Roman" w:cs="Times New Roman"/>
                <w:color w:val="000000" w:themeColor="text1"/>
                <w:sz w:val="24"/>
                <w:szCs w:val="24"/>
                <w:lang w:eastAsia="zh-CN"/>
                <w14:textFill>
                  <w14:solidFill>
                    <w14:schemeClr w14:val="tx1"/>
                  </w14:solidFill>
                </w14:textFill>
              </w:rPr>
              <w:t>施工中应加强管理，</w:t>
            </w:r>
            <w:r>
              <w:rPr>
                <w:rFonts w:hint="default" w:ascii="Times New Roman" w:hAnsi="Times New Roman" w:cs="Times New Roman"/>
                <w:color w:val="000000" w:themeColor="text1"/>
                <w:sz w:val="24"/>
                <w:szCs w:val="24"/>
                <w14:textFill>
                  <w14:solidFill>
                    <w14:schemeClr w14:val="tx1"/>
                  </w14:solidFill>
                </w14:textFill>
              </w:rPr>
              <w:t>施工人员在施工期内不得随意捕杀周边水域鱼类，不得随意排放污水至周边水体中，尽可能减少对鱼类的影响。</w:t>
            </w:r>
          </w:p>
          <w:p w14:paraId="128431AF">
            <w:pPr>
              <w:pStyle w:val="16"/>
              <w:keepNext w:val="0"/>
              <w:keepLines w:val="0"/>
              <w:pageBreakBefore w:val="0"/>
              <w:kinsoku/>
              <w:wordWrap/>
              <w:overflowPunct/>
              <w:topLinePunct w:val="0"/>
              <w:bidi w:val="0"/>
              <w:adjustRightInd w:val="0"/>
              <w:snapToGrid w:val="0"/>
              <w:spacing w:line="360" w:lineRule="auto"/>
              <w:ind w:firstLine="482"/>
              <w:jc w:val="both"/>
              <w:textAlignment w:val="auto"/>
              <w:rPr>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⑥</w:t>
            </w:r>
            <w:r>
              <w:rPr>
                <w:color w:val="000000" w:themeColor="text1"/>
                <w:sz w:val="24"/>
                <w:szCs w:val="24"/>
                <w:highlight w:val="none"/>
                <w14:textFill>
                  <w14:solidFill>
                    <w14:schemeClr w14:val="tx1"/>
                  </w14:solidFill>
                </w14:textFill>
              </w:rPr>
              <w:t>生活污水和施工废水禁止排入水体，</w:t>
            </w:r>
            <w:r>
              <w:rPr>
                <w:rFonts w:hint="eastAsia"/>
                <w:color w:val="000000" w:themeColor="text1"/>
                <w:sz w:val="24"/>
                <w:szCs w:val="24"/>
                <w:highlight w:val="none"/>
                <w14:textFill>
                  <w14:solidFill>
                    <w14:schemeClr w14:val="tx1"/>
                  </w14:solidFill>
                </w14:textFill>
              </w:rPr>
              <w:t>固体废物禁止入河，严格按照水土保持方案采取相应的水保措施，</w:t>
            </w:r>
            <w:r>
              <w:rPr>
                <w:color w:val="000000" w:themeColor="text1"/>
                <w:sz w:val="24"/>
                <w:szCs w:val="24"/>
                <w:highlight w:val="none"/>
                <w14:textFill>
                  <w14:solidFill>
                    <w14:schemeClr w14:val="tx1"/>
                  </w14:solidFill>
                </w14:textFill>
              </w:rPr>
              <w:t>防止影响水生生物生境污染的事故发生。</w:t>
            </w:r>
          </w:p>
          <w:p w14:paraId="1A21CA29">
            <w:pPr>
              <w:pStyle w:val="16"/>
              <w:keepNext w:val="0"/>
              <w:keepLines w:val="0"/>
              <w:pageBreakBefore w:val="0"/>
              <w:kinsoku/>
              <w:wordWrap/>
              <w:overflowPunct/>
              <w:topLinePunct w:val="0"/>
              <w:bidi w:val="0"/>
              <w:adjustRightInd w:val="0"/>
              <w:snapToGrid w:val="0"/>
              <w:spacing w:line="360" w:lineRule="auto"/>
              <w:ind w:left="0" w:leftChars="0" w:firstLine="482"/>
              <w:textAlignment w:val="auto"/>
              <w:rPr>
                <w:rFonts w:hint="default" w:ascii="Times New Roman" w:hAnsi="Times New Roman" w:eastAsia="宋体"/>
                <w:b w:val="0"/>
                <w:bCs w:val="0"/>
                <w:color w:val="000000" w:themeColor="text1"/>
                <w:sz w:val="24"/>
                <w:szCs w:val="24"/>
                <w:lang w:val="en-US" w:eastAsia="zh-CN"/>
                <w14:textFill>
                  <w14:solidFill>
                    <w14:schemeClr w14:val="tx1"/>
                  </w14:solidFill>
                </w14:textFill>
              </w:rPr>
            </w:pPr>
            <w:r>
              <w:rPr>
                <w:rFonts w:hint="eastAsia" w:ascii="Times New Roman" w:hAnsi="Times New Roman"/>
                <w:b w:val="0"/>
                <w:bCs w:val="0"/>
                <w:color w:val="000000" w:themeColor="text1"/>
                <w:sz w:val="24"/>
                <w:szCs w:val="24"/>
                <w14:textFill>
                  <w14:solidFill>
                    <w14:schemeClr w14:val="tx1"/>
                  </w14:solidFill>
                </w14:textFill>
              </w:rPr>
              <w:fldChar w:fldCharType="begin"/>
            </w:r>
            <w:r>
              <w:rPr>
                <w:rFonts w:hint="eastAsia" w:ascii="Times New Roman" w:hAnsi="Times New Roman"/>
                <w:b w:val="0"/>
                <w:bCs w:val="0"/>
                <w:color w:val="000000" w:themeColor="text1"/>
                <w:sz w:val="24"/>
                <w:szCs w:val="24"/>
                <w14:textFill>
                  <w14:solidFill>
                    <w14:schemeClr w14:val="tx1"/>
                  </w14:solidFill>
                </w14:textFill>
              </w:rPr>
              <w:instrText xml:space="preserve"> = 7 \* GB3 \* MERGEFORMAT </w:instrText>
            </w:r>
            <w:r>
              <w:rPr>
                <w:rFonts w:hint="eastAsia" w:ascii="Times New Roman" w:hAnsi="Times New Roman"/>
                <w:b w:val="0"/>
                <w:bCs w:val="0"/>
                <w:color w:val="000000" w:themeColor="text1"/>
                <w:sz w:val="24"/>
                <w:szCs w:val="24"/>
                <w14:textFill>
                  <w14:solidFill>
                    <w14:schemeClr w14:val="tx1"/>
                  </w14:solidFill>
                </w14:textFill>
              </w:rPr>
              <w:fldChar w:fldCharType="separate"/>
            </w:r>
            <w:r>
              <w:rPr>
                <w:b w:val="0"/>
                <w:bCs w:val="0"/>
                <w:color w:val="000000" w:themeColor="text1"/>
                <w:sz w:val="24"/>
                <w:szCs w:val="24"/>
                <w14:textFill>
                  <w14:solidFill>
                    <w14:schemeClr w14:val="tx1"/>
                  </w14:solidFill>
                </w14:textFill>
              </w:rPr>
              <w:t>⑦</w:t>
            </w:r>
            <w:r>
              <w:rPr>
                <w:rFonts w:hint="eastAsia" w:ascii="Times New Roman" w:hAnsi="Times New Roman"/>
                <w:b w:val="0"/>
                <w:bCs w:val="0"/>
                <w:color w:val="000000" w:themeColor="text1"/>
                <w:sz w:val="24"/>
                <w:szCs w:val="24"/>
                <w14:textFill>
                  <w14:solidFill>
                    <w14:schemeClr w14:val="tx1"/>
                  </w14:solidFill>
                </w14:textFill>
              </w:rPr>
              <w:fldChar w:fldCharType="end"/>
            </w:r>
            <w:r>
              <w:rPr>
                <w:rFonts w:hint="eastAsia"/>
                <w:b w:val="0"/>
                <w:bCs w:val="0"/>
                <w:color w:val="000000" w:themeColor="text1"/>
                <w:sz w:val="24"/>
                <w:szCs w:val="24"/>
                <w:lang w:val="en-US" w:eastAsia="zh-CN"/>
                <w14:textFill>
                  <w14:solidFill>
                    <w14:schemeClr w14:val="tx1"/>
                  </w14:solidFill>
                </w14:textFill>
              </w:rPr>
              <w:t>根据本项目水生生态调查报告要求进行水生生态恢复。</w:t>
            </w:r>
          </w:p>
          <w:p w14:paraId="2B64E7E1">
            <w:pPr>
              <w:pStyle w:val="16"/>
              <w:keepNext w:val="0"/>
              <w:keepLines w:val="0"/>
              <w:pageBreakBefore w:val="0"/>
              <w:kinsoku/>
              <w:wordWrap/>
              <w:overflowPunct/>
              <w:topLinePunct w:val="0"/>
              <w:bidi w:val="0"/>
              <w:adjustRightInd w:val="0"/>
              <w:snapToGrid w:val="0"/>
              <w:spacing w:line="360" w:lineRule="auto"/>
              <w:ind w:left="0" w:leftChars="0" w:firstLine="482"/>
              <w:textAlignment w:val="auto"/>
              <w:rPr>
                <w:rFonts w:ascii="Times New Roman" w:hAnsi="Times New Roman"/>
                <w:b/>
                <w:bCs/>
                <w:color w:val="000000" w:themeColor="text1"/>
                <w:sz w:val="24"/>
                <w:szCs w:val="24"/>
                <w14:textFill>
                  <w14:solidFill>
                    <w14:schemeClr w14:val="tx1"/>
                  </w14:solidFill>
                </w14:textFill>
              </w:rPr>
            </w:pPr>
            <w:r>
              <w:rPr>
                <w:rFonts w:hint="eastAsia" w:ascii="Times New Roman" w:hAnsi="Times New Roman"/>
                <w:b/>
                <w:bCs/>
                <w:color w:val="000000" w:themeColor="text1"/>
                <w:sz w:val="24"/>
                <w:szCs w:val="24"/>
                <w14:textFill>
                  <w14:solidFill>
                    <w14:schemeClr w14:val="tx1"/>
                  </w14:solidFill>
                </w14:textFill>
              </w:rPr>
              <w:t>6</w:t>
            </w:r>
            <w:r>
              <w:rPr>
                <w:rFonts w:ascii="Times New Roman" w:hAnsi="Times New Roman"/>
                <w:b/>
                <w:bCs/>
                <w:color w:val="000000" w:themeColor="text1"/>
                <w:sz w:val="24"/>
                <w:szCs w:val="24"/>
                <w14:textFill>
                  <w14:solidFill>
                    <w14:schemeClr w14:val="tx1"/>
                  </w14:solidFill>
                </w14:textFill>
              </w:rPr>
              <w:t>、对区域景观的影响分析</w:t>
            </w:r>
          </w:p>
          <w:p w14:paraId="41F56439">
            <w:pPr>
              <w:keepNext w:val="0"/>
              <w:keepLines w:val="0"/>
              <w:pageBreakBefore w:val="0"/>
              <w:widowControl/>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由于项目施工开挖等活动，会因为地表植被不同程度的破坏，在短期内成为与原有生态景观不协调的“裸地”或“疮疤”斑块，工程施工造成土地利用格局的暂时性改变，景观破碎化增加，景观</w:t>
            </w:r>
            <w:r>
              <w:rPr>
                <w:rFonts w:hint="eastAsia" w:ascii="Times New Roman" w:hAnsi="Times New Roman"/>
                <w:color w:val="000000" w:themeColor="text1"/>
                <w:sz w:val="24"/>
                <w:szCs w:val="24"/>
                <w:lang w:eastAsia="zh-CN"/>
                <w14:textFill>
                  <w14:solidFill>
                    <w14:schemeClr w14:val="tx1"/>
                  </w14:solidFill>
                </w14:textFill>
              </w:rPr>
              <w:t>比例</w:t>
            </w:r>
            <w:r>
              <w:rPr>
                <w:rFonts w:ascii="Times New Roman" w:hAnsi="Times New Roman"/>
                <w:color w:val="000000" w:themeColor="text1"/>
                <w:sz w:val="24"/>
                <w:szCs w:val="24"/>
                <w14:textFill>
                  <w14:solidFill>
                    <w14:schemeClr w14:val="tx1"/>
                  </w14:solidFill>
                </w14:textFill>
              </w:rPr>
              <w:t>略有降低，</w:t>
            </w:r>
            <w:r>
              <w:rPr>
                <w:rFonts w:hint="eastAsia" w:ascii="Times New Roman" w:hAnsi="Times New Roman"/>
                <w:color w:val="000000" w:themeColor="text1"/>
                <w:sz w:val="24"/>
                <w:szCs w:val="24"/>
                <w14:textFill>
                  <w14:solidFill>
                    <w14:schemeClr w14:val="tx1"/>
                  </w14:solidFill>
                </w14:textFill>
              </w:rPr>
              <w:t>连通</w:t>
            </w:r>
            <w:r>
              <w:rPr>
                <w:rFonts w:ascii="Times New Roman" w:hAnsi="Times New Roman"/>
                <w:color w:val="000000" w:themeColor="text1"/>
                <w:sz w:val="24"/>
                <w:szCs w:val="24"/>
                <w14:textFill>
                  <w14:solidFill>
                    <w14:schemeClr w14:val="tx1"/>
                  </w14:solidFill>
                </w14:textFill>
              </w:rPr>
              <w:t>度稍有降低。另外施工现场的暴露、建筑垃圾的堆存也影响区域景观，对整体生态景观形成不和谐的视觉效果，造成较为明显的不利影响。因此必须在施工现场设置围挡。围挡不仅可以有效地减少施工对周围环境的大气、噪声污染，而且只要利用得当，也能成为周边整体环境中的一部分。施工对景观的影响只发生在施工期，是短暂的，随着施工的结束，场地的平整、恢复，对景观的影响也会随之结束。因此，本项目施工期对景观生态环境影响较小。</w:t>
            </w:r>
          </w:p>
          <w:p w14:paraId="78B5D6AC">
            <w:pPr>
              <w:keepNext w:val="0"/>
              <w:keepLines w:val="0"/>
              <w:pageBreakBefore w:val="0"/>
              <w:kinsoku/>
              <w:wordWrap/>
              <w:overflowPunct/>
              <w:topLinePunct w:val="0"/>
              <w:bidi w:val="0"/>
              <w:adjustRightInd w:val="0"/>
              <w:snapToGrid w:val="0"/>
              <w:spacing w:line="360" w:lineRule="auto"/>
              <w:ind w:left="0" w:leftChars="0" w:firstLine="482" w:firstLineChars="200"/>
              <w:textAlignment w:val="auto"/>
              <w:rPr>
                <w:rFonts w:ascii="Times New Roman" w:hAnsi="Times New Roman"/>
                <w:b/>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14:textFill>
                  <w14:solidFill>
                    <w14:schemeClr w14:val="tx1"/>
                  </w14:solidFill>
                </w14:textFill>
              </w:rPr>
              <w:t>7</w:t>
            </w:r>
            <w:r>
              <w:rPr>
                <w:rFonts w:ascii="Times New Roman" w:hAnsi="Times New Roman"/>
                <w:b/>
                <w:color w:val="000000" w:themeColor="text1"/>
                <w:sz w:val="24"/>
                <w:szCs w:val="24"/>
                <w14:textFill>
                  <w14:solidFill>
                    <w14:schemeClr w14:val="tx1"/>
                  </w14:solidFill>
                </w14:textFill>
              </w:rPr>
              <w:t>、水土流失影响</w:t>
            </w:r>
            <w:r>
              <w:rPr>
                <w:rFonts w:hint="eastAsia" w:ascii="Times New Roman" w:hAnsi="Times New Roman"/>
                <w:b/>
                <w:color w:val="000000" w:themeColor="text1"/>
                <w:sz w:val="24"/>
                <w:szCs w:val="24"/>
                <w14:textFill>
                  <w14:solidFill>
                    <w14:schemeClr w14:val="tx1"/>
                  </w14:solidFill>
                </w14:textFill>
              </w:rPr>
              <w:t>分析及水保措施</w:t>
            </w:r>
          </w:p>
          <w:p w14:paraId="5AFB7E6D">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14:textFill>
                  <w14:solidFill>
                    <w14:schemeClr w14:val="tx1"/>
                  </w14:solidFill>
                </w14:textFill>
              </w:rPr>
              <w:t>区域</w:t>
            </w:r>
            <w:r>
              <w:rPr>
                <w:rFonts w:ascii="Times New Roman" w:hAnsi="Times New Roman"/>
                <w:color w:val="000000" w:themeColor="text1"/>
                <w:sz w:val="24"/>
                <w:szCs w:val="24"/>
                <w14:textFill>
                  <w14:solidFill>
                    <w14:schemeClr w14:val="tx1"/>
                  </w14:solidFill>
                </w14:textFill>
              </w:rPr>
              <w:t>土壤侵蚀以水蚀为主，根据项目水土保持方案，本工程施工期、自然恢复期可能造成的水土流失</w:t>
            </w:r>
            <w:r>
              <w:rPr>
                <w:rFonts w:hint="eastAsia" w:ascii="Times New Roman" w:hAnsi="Times New Roman"/>
                <w:color w:val="000000" w:themeColor="text1"/>
                <w:sz w:val="24"/>
                <w:szCs w:val="24"/>
                <w:lang w:val="en-US" w:eastAsia="zh-CN"/>
                <w14:textFill>
                  <w14:solidFill>
                    <w14:schemeClr w14:val="tx1"/>
                  </w14:solidFill>
                </w14:textFill>
              </w:rPr>
              <w:t>主要为施工作业带（包括管道开挖、临时堆土和材料堆放）</w:t>
            </w:r>
            <w:r>
              <w:rPr>
                <w:rFonts w:ascii="Times New Roman" w:hAnsi="Times New Roman"/>
                <w:color w:val="000000" w:themeColor="text1"/>
                <w:sz w:val="24"/>
                <w:szCs w:val="24"/>
                <w14:textFill>
                  <w14:solidFill>
                    <w14:schemeClr w14:val="tx1"/>
                  </w14:solidFill>
                </w14:textFill>
              </w:rPr>
              <w:t>。</w:t>
            </w:r>
          </w:p>
          <w:p w14:paraId="19DAC285">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项目建设造成的水土流失主要发生在</w:t>
            </w:r>
            <w:r>
              <w:rPr>
                <w:rFonts w:hint="eastAsia" w:ascii="Times New Roman" w:hAnsi="Times New Roman"/>
                <w:color w:val="000000" w:themeColor="text1"/>
                <w:sz w:val="24"/>
                <w:szCs w:val="24"/>
                <w14:textFill>
                  <w14:solidFill>
                    <w14:schemeClr w14:val="tx1"/>
                  </w14:solidFill>
                </w14:textFill>
              </w:rPr>
              <w:t>管道沟槽</w:t>
            </w:r>
            <w:r>
              <w:rPr>
                <w:rFonts w:ascii="Times New Roman" w:hAnsi="Times New Roman"/>
                <w:color w:val="000000" w:themeColor="text1"/>
                <w:sz w:val="24"/>
                <w:szCs w:val="24"/>
                <w14:textFill>
                  <w14:solidFill>
                    <w14:schemeClr w14:val="tx1"/>
                  </w14:solidFill>
                </w14:textFill>
              </w:rPr>
              <w:t>开挖回填、土石方堆放过程中，本项目在建设期间会给建设区的地表带来较大的扰动，占用和损坏现有的水土保持功能面积，增加土壤侵蚀强度，如果不采取任何水土保持措施，盲目施工将会造成以下危害：</w:t>
            </w:r>
          </w:p>
          <w:p w14:paraId="46EA1AD8">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工程建设期间造成大面积裸露疏松地表，由于没有任何植被覆盖，在雨季极易产生坡面汇流，不仅直接影响工程稳定性，严重时还将造成大量的冲沟乃至切沟侵蚀，增加工程的土壤侵蚀强度和水土流失总量。</w:t>
            </w:r>
          </w:p>
          <w:p w14:paraId="6C92FE03">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管道</w:t>
            </w:r>
            <w:r>
              <w:rPr>
                <w:rFonts w:ascii="Times New Roman" w:hAnsi="Times New Roman"/>
                <w:color w:val="000000" w:themeColor="text1"/>
                <w:sz w:val="24"/>
                <w:szCs w:val="24"/>
                <w14:textFill>
                  <w14:solidFill>
                    <w14:schemeClr w14:val="tx1"/>
                  </w14:solidFill>
                </w14:textFill>
              </w:rPr>
              <w:t>的开挖和填筑、</w:t>
            </w:r>
            <w:r>
              <w:rPr>
                <w:rFonts w:hint="eastAsia" w:ascii="Times New Roman" w:hAnsi="Times New Roman"/>
                <w:color w:val="000000" w:themeColor="text1"/>
                <w:sz w:val="24"/>
                <w:szCs w:val="24"/>
                <w:lang w:val="en-US" w:eastAsia="zh-CN"/>
                <w14:textFill>
                  <w14:solidFill>
                    <w14:schemeClr w14:val="tx1"/>
                  </w14:solidFill>
                </w14:textFill>
              </w:rPr>
              <w:t>开挖土石方</w:t>
            </w:r>
            <w:r>
              <w:rPr>
                <w:rFonts w:ascii="Times New Roman" w:hAnsi="Times New Roman"/>
                <w:color w:val="000000" w:themeColor="text1"/>
                <w:sz w:val="24"/>
                <w:szCs w:val="24"/>
                <w14:textFill>
                  <w14:solidFill>
                    <w14:schemeClr w14:val="tx1"/>
                  </w14:solidFill>
                </w14:textFill>
              </w:rPr>
              <w:t>的临时堆放与转存等施工过程将影响原有土体单元的稳定性，为水土流失的加剧创造客观条件，特别是对于可能发生崩塌、滑坡等地质灾害的区域，由于建筑物及道路施工等工程活动影响，遇到雨季施工，极有可能导致上述地质灾害活跃，如果不及时做好相应区域的施工预防和灾害治理工作，一旦地质灾害发生，将直接对工程的正常施工和安全运营造成严重破坏，引起施工器材和当地人民财产的损失，严重时甚至会威胁施工人员和当地人民的生命安全。</w:t>
            </w:r>
          </w:p>
          <w:p w14:paraId="71485E95">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ascii="Times New Roman" w:hAnsi="Times New Roman" w:eastAsia="宋体"/>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本项目施工时间相对较短，对地表的破坏和扰动较大，在项目建设和植被恢复过程中都会有新水土流失的产生。</w:t>
            </w:r>
            <w:r>
              <w:rPr>
                <w:rFonts w:hint="eastAsia" w:ascii="Times New Roman" w:hAnsi="Times New Roman"/>
                <w:color w:val="000000" w:themeColor="text1"/>
                <w:sz w:val="24"/>
                <w:szCs w:val="24"/>
                <w14:textFill>
                  <w14:solidFill>
                    <w14:schemeClr w14:val="tx1"/>
                  </w14:solidFill>
                </w14:textFill>
              </w:rPr>
              <w:t>管道</w:t>
            </w:r>
            <w:r>
              <w:rPr>
                <w:rFonts w:hint="eastAsia" w:ascii="Times New Roman" w:hAnsi="Times New Roman"/>
                <w:color w:val="000000" w:themeColor="text1"/>
                <w:sz w:val="24"/>
                <w:szCs w:val="24"/>
                <w:lang w:eastAsia="zh-CN"/>
                <w14:textFill>
                  <w14:solidFill>
                    <w14:schemeClr w14:val="tx1"/>
                  </w14:solidFill>
                </w14:textFill>
              </w:rPr>
              <w:t>的</w:t>
            </w:r>
            <w:r>
              <w:rPr>
                <w:rFonts w:ascii="Times New Roman" w:hAnsi="Times New Roman"/>
                <w:color w:val="000000" w:themeColor="text1"/>
                <w:sz w:val="24"/>
                <w:szCs w:val="24"/>
                <w14:textFill>
                  <w14:solidFill>
                    <w14:schemeClr w14:val="tx1"/>
                  </w14:solidFill>
                </w14:textFill>
              </w:rPr>
              <w:t>建设时的开挖、回填形成的裸露地面在外营力作用下极易发生加速侵蚀；自然恢复期由于部分</w:t>
            </w:r>
            <w:r>
              <w:rPr>
                <w:rFonts w:hint="eastAsia" w:ascii="Times New Roman" w:hAnsi="Times New Roman"/>
                <w:color w:val="000000" w:themeColor="text1"/>
                <w:sz w:val="24"/>
                <w:szCs w:val="24"/>
                <w:lang w:val="en-US" w:eastAsia="zh-CN"/>
                <w14:textFill>
                  <w14:solidFill>
                    <w14:schemeClr w14:val="tx1"/>
                  </w14:solidFill>
                </w14:textFill>
              </w:rPr>
              <w:t>施工作业带临</w:t>
            </w:r>
            <w:r>
              <w:rPr>
                <w:rFonts w:ascii="Times New Roman" w:hAnsi="Times New Roman"/>
                <w:color w:val="000000" w:themeColor="text1"/>
                <w:sz w:val="24"/>
                <w:szCs w:val="24"/>
                <w14:textFill>
                  <w14:solidFill>
                    <w14:schemeClr w14:val="tx1"/>
                  </w14:solidFill>
                </w14:textFill>
              </w:rPr>
              <w:t>时占地区域裸露地表尚未完全被植被覆盖，雨水和地表径流容易对松散土体进行冲刷，从而增加水土流失，但</w:t>
            </w:r>
            <w:r>
              <w:rPr>
                <w:rFonts w:hint="eastAsia" w:ascii="Times New Roman" w:hAnsi="Times New Roman"/>
                <w:color w:val="000000" w:themeColor="text1"/>
                <w:sz w:val="24"/>
                <w:szCs w:val="24"/>
                <w14:textFill>
                  <w14:solidFill>
                    <w14:schemeClr w14:val="tx1"/>
                  </w14:solidFill>
                </w14:textFill>
              </w:rPr>
              <w:t>随着</w:t>
            </w:r>
            <w:r>
              <w:rPr>
                <w:rFonts w:ascii="Times New Roman" w:hAnsi="Times New Roman"/>
                <w:color w:val="000000" w:themeColor="text1"/>
                <w:sz w:val="24"/>
                <w:szCs w:val="24"/>
                <w14:textFill>
                  <w14:solidFill>
                    <w14:schemeClr w14:val="tx1"/>
                  </w14:solidFill>
                </w14:textFill>
              </w:rPr>
              <w:t>项目区生态修复进行植被种植后，绿化率有所提高，因此，水土流失量会较建设期减少。因此，本项目新增水土流失量主要发生在项目施</w:t>
            </w:r>
            <w:r>
              <w:rPr>
                <w:rFonts w:ascii="Times New Roman" w:hAnsi="Times New Roman" w:eastAsia="宋体"/>
                <w:color w:val="000000" w:themeColor="text1"/>
                <w:sz w:val="24"/>
                <w:szCs w:val="24"/>
                <w14:textFill>
                  <w14:solidFill>
                    <w14:schemeClr w14:val="tx1"/>
                  </w14:solidFill>
                </w14:textFill>
              </w:rPr>
              <w:t>工期。</w:t>
            </w:r>
          </w:p>
          <w:p w14:paraId="456F83EA">
            <w:pPr>
              <w:keepNext w:val="0"/>
              <w:keepLines w:val="0"/>
              <w:pageBreakBefore w:val="0"/>
              <w:kinsoku/>
              <w:wordWrap/>
              <w:overflowPunct/>
              <w:topLinePunct w:val="0"/>
              <w:bidi w:val="0"/>
              <w:adjustRightInd w:val="0"/>
              <w:snapToGrid w:val="0"/>
              <w:spacing w:line="360" w:lineRule="auto"/>
              <w:ind w:left="0" w:leftChars="0" w:firstLine="480" w:firstLineChars="200"/>
              <w:textAlignment w:val="auto"/>
              <w:rPr>
                <w:rFonts w:hint="eastAsia" w:ascii="Times New Roman" w:hAnsi="Times New Roman" w:eastAsia="宋体"/>
                <w:color w:val="000000" w:themeColor="text1"/>
                <w:sz w:val="24"/>
                <w:szCs w:val="24"/>
                <w:lang w:val="en-US" w:eastAsia="zh-CN"/>
                <w14:textFill>
                  <w14:solidFill>
                    <w14:schemeClr w14:val="tx1"/>
                  </w14:solidFill>
                </w14:textFill>
              </w:rPr>
            </w:pPr>
            <w:r>
              <w:rPr>
                <w:rFonts w:ascii="Times New Roman" w:hAnsi="Times New Roman" w:eastAsia="宋体"/>
                <w:color w:val="000000" w:themeColor="text1"/>
                <w:sz w:val="24"/>
                <w:szCs w:val="24"/>
                <w14:textFill>
                  <w14:solidFill>
                    <w14:schemeClr w14:val="tx1"/>
                  </w14:solidFill>
                </w14:textFill>
              </w:rPr>
              <w:t>因此，在严格采取水土保持设计中提出的水土流失预防措施后，工程的建设期不易造成水土流失，且待项目</w:t>
            </w:r>
            <w:r>
              <w:rPr>
                <w:rFonts w:hint="eastAsia" w:ascii="Times New Roman" w:hAnsi="Times New Roman" w:eastAsia="宋体"/>
                <w:color w:val="000000" w:themeColor="text1"/>
                <w:sz w:val="24"/>
                <w:szCs w:val="24"/>
                <w14:textFill>
                  <w14:solidFill>
                    <w14:schemeClr w14:val="tx1"/>
                  </w14:solidFill>
                </w14:textFill>
              </w:rPr>
              <w:t>管道回填完毕，随着生态恢复的完成，</w:t>
            </w:r>
            <w:r>
              <w:rPr>
                <w:rFonts w:ascii="Times New Roman" w:hAnsi="Times New Roman" w:eastAsia="宋体"/>
                <w:color w:val="000000" w:themeColor="text1"/>
                <w:sz w:val="24"/>
                <w:szCs w:val="24"/>
                <w14:textFill>
                  <w14:solidFill>
                    <w14:schemeClr w14:val="tx1"/>
                  </w14:solidFill>
                </w14:textFill>
              </w:rPr>
              <w:t>因项目施工导致的水土流失将得到有效控制。根据水土流失防治分区和水土保持措施体系，针对工程建设生产过程中各防治分区的水土</w:t>
            </w:r>
            <w:r>
              <w:rPr>
                <w:rFonts w:hint="eastAsia" w:ascii="Times New Roman" w:hAnsi="Times New Roman" w:eastAsia="宋体"/>
                <w:color w:val="000000" w:themeColor="text1"/>
                <w:sz w:val="24"/>
                <w:szCs w:val="24"/>
                <w:lang w:val="en-US" w:eastAsia="zh-CN"/>
                <w14:textFill>
                  <w14:solidFill>
                    <w14:schemeClr w14:val="tx1"/>
                  </w14:solidFill>
                </w14:textFill>
              </w:rPr>
              <w:t>流失情况，因地制宜地布置水土流失防治措施。具体如下：</w:t>
            </w:r>
          </w:p>
          <w:p w14:paraId="25450668">
            <w:pPr>
              <w:pStyle w:val="165"/>
              <w:numPr>
                <w:ilvl w:val="0"/>
                <w:numId w:val="21"/>
              </w:numPr>
              <w:spacing w:line="240" w:lineRule="auto"/>
              <w:ind w:left="0" w:firstLine="0"/>
              <w:jc w:val="cente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水土保持措施总体布局表</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2205"/>
              <w:gridCol w:w="2007"/>
              <w:gridCol w:w="3283"/>
            </w:tblGrid>
            <w:tr w14:paraId="6253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417" w:type="pct"/>
                  <w:vAlign w:val="center"/>
                </w:tcPr>
                <w:p w14:paraId="302E1DF2">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序号</w:t>
                  </w:r>
                </w:p>
              </w:tc>
              <w:tc>
                <w:tcPr>
                  <w:tcW w:w="1348" w:type="pct"/>
                  <w:vAlign w:val="center"/>
                </w:tcPr>
                <w:p w14:paraId="1994365D">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位置</w:t>
                  </w:r>
                </w:p>
              </w:tc>
              <w:tc>
                <w:tcPr>
                  <w:tcW w:w="1227" w:type="pct"/>
                  <w:vAlign w:val="center"/>
                </w:tcPr>
                <w:p w14:paraId="7CE01CAD">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水土保持措施</w:t>
                  </w:r>
                </w:p>
              </w:tc>
              <w:tc>
                <w:tcPr>
                  <w:tcW w:w="2006" w:type="pct"/>
                  <w:vAlign w:val="center"/>
                </w:tcPr>
                <w:p w14:paraId="5582AF48">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水土保持工程</w:t>
                  </w:r>
                </w:p>
              </w:tc>
            </w:tr>
            <w:tr w14:paraId="3ADB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417" w:type="pct"/>
                  <w:vAlign w:val="center"/>
                </w:tcPr>
                <w:p w14:paraId="39FEAA75">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1</w:t>
                  </w:r>
                </w:p>
              </w:tc>
              <w:tc>
                <w:tcPr>
                  <w:tcW w:w="1348" w:type="pct"/>
                  <w:vMerge w:val="restart"/>
                  <w:vAlign w:val="center"/>
                </w:tcPr>
                <w:p w14:paraId="033C9D8F">
                  <w:pPr>
                    <w:pageBreakBefore w:val="0"/>
                    <w:wordWrap/>
                    <w:bidi w:val="0"/>
                    <w:adjustRightInd w:val="0"/>
                    <w:snapToGrid w:val="0"/>
                    <w:spacing w:line="276" w:lineRule="auto"/>
                    <w:jc w:val="center"/>
                    <w:rPr>
                      <w:rFonts w:hint="default" w:ascii="Times New Roman" w:hAnsi="Times New Roman" w:eastAsia="宋体"/>
                      <w:color w:val="000000" w:themeColor="text1"/>
                      <w:szCs w:val="21"/>
                      <w:lang w:val="en-US"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施工作业带（包括管道开挖、临时堆土区）</w:t>
                  </w:r>
                </w:p>
              </w:tc>
              <w:tc>
                <w:tcPr>
                  <w:tcW w:w="1227" w:type="pct"/>
                  <w:vAlign w:val="center"/>
                </w:tcPr>
                <w:p w14:paraId="36B1A277">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植物措施</w:t>
                  </w:r>
                </w:p>
              </w:tc>
              <w:tc>
                <w:tcPr>
                  <w:tcW w:w="2006" w:type="pct"/>
                  <w:vAlign w:val="center"/>
                </w:tcPr>
                <w:p w14:paraId="722F5E81">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管道</w:t>
                  </w:r>
                  <w:r>
                    <w:rPr>
                      <w:rFonts w:ascii="Times New Roman" w:hAnsi="Times New Roman"/>
                      <w:color w:val="000000" w:themeColor="text1"/>
                      <w:szCs w:val="21"/>
                      <w14:textFill>
                        <w14:solidFill>
                          <w14:schemeClr w14:val="tx1"/>
                        </w14:solidFill>
                      </w14:textFill>
                    </w:rPr>
                    <w:t>两侧的扰动区域</w:t>
                  </w:r>
                  <w:r>
                    <w:rPr>
                      <w:rFonts w:hint="eastAsia" w:ascii="Times New Roman" w:hAnsi="Times New Roman"/>
                      <w:color w:val="000000" w:themeColor="text1"/>
                      <w:szCs w:val="21"/>
                      <w14:textFill>
                        <w14:solidFill>
                          <w14:schemeClr w14:val="tx1"/>
                        </w14:solidFill>
                      </w14:textFill>
                    </w:rPr>
                    <w:t>采用“乔灌草”结合的方式进行生态修复</w:t>
                  </w:r>
                </w:p>
              </w:tc>
            </w:tr>
            <w:tr w14:paraId="1C61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417" w:type="pct"/>
                  <w:vAlign w:val="center"/>
                </w:tcPr>
                <w:p w14:paraId="3F3B1D22">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2</w:t>
                  </w:r>
                </w:p>
              </w:tc>
              <w:tc>
                <w:tcPr>
                  <w:tcW w:w="1348" w:type="pct"/>
                  <w:vMerge w:val="continue"/>
                  <w:vAlign w:val="center"/>
                </w:tcPr>
                <w:p w14:paraId="0678254F">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p>
              </w:tc>
              <w:tc>
                <w:tcPr>
                  <w:tcW w:w="1227" w:type="pct"/>
                  <w:vAlign w:val="center"/>
                </w:tcPr>
                <w:p w14:paraId="38B0D033">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复垦措施</w:t>
                  </w:r>
                </w:p>
              </w:tc>
              <w:tc>
                <w:tcPr>
                  <w:tcW w:w="2006" w:type="pct"/>
                  <w:vAlign w:val="center"/>
                </w:tcPr>
                <w:p w14:paraId="5DA42AAB">
                  <w:pPr>
                    <w:pageBreakBefore w:val="0"/>
                    <w:wordWrap/>
                    <w:bidi w:val="0"/>
                    <w:adjustRightInd w:val="0"/>
                    <w:snapToGrid w:val="0"/>
                    <w:spacing w:line="276" w:lineRule="auto"/>
                    <w:jc w:val="center"/>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耕地复垦</w:t>
                  </w:r>
                </w:p>
              </w:tc>
            </w:tr>
          </w:tbl>
          <w:p w14:paraId="31755F91">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该工程实施水土保持</w:t>
            </w:r>
            <w:r>
              <w:rPr>
                <w:rFonts w:hint="eastAsia"/>
                <w:color w:val="000000" w:themeColor="text1"/>
                <w:sz w:val="24"/>
                <w:szCs w:val="24"/>
                <w14:textFill>
                  <w14:solidFill>
                    <w14:schemeClr w14:val="tx1"/>
                  </w14:solidFill>
                </w14:textFill>
              </w:rPr>
              <w:t>方案以及上述的</w:t>
            </w:r>
            <w:r>
              <w:rPr>
                <w:color w:val="000000" w:themeColor="text1"/>
                <w:sz w:val="24"/>
                <w:szCs w:val="24"/>
                <w14:textFill>
                  <w14:solidFill>
                    <w14:schemeClr w14:val="tx1"/>
                  </w14:solidFill>
                </w14:textFill>
              </w:rPr>
              <w:t>措施后，能够有效</w:t>
            </w:r>
            <w:r>
              <w:rPr>
                <w:rFonts w:hint="eastAsia"/>
                <w:color w:val="000000" w:themeColor="text1"/>
                <w:sz w:val="24"/>
                <w:szCs w:val="24"/>
                <w14:textFill>
                  <w14:solidFill>
                    <w14:schemeClr w14:val="tx1"/>
                  </w14:solidFill>
                </w14:textFill>
              </w:rPr>
              <w:t>控制</w:t>
            </w:r>
            <w:r>
              <w:rPr>
                <w:color w:val="000000" w:themeColor="text1"/>
                <w:sz w:val="24"/>
                <w:szCs w:val="24"/>
                <w14:textFill>
                  <w14:solidFill>
                    <w14:schemeClr w14:val="tx1"/>
                  </w14:solidFill>
                </w14:textFill>
              </w:rPr>
              <w:t>工程建设造成的水土流失，减少水土流失量，减轻工程施工对周围环境的影响，恢复和改善工程区的生态环境</w:t>
            </w:r>
            <w:r>
              <w:rPr>
                <w:rFonts w:hint="eastAsia"/>
                <w:color w:val="000000" w:themeColor="text1"/>
                <w:sz w:val="24"/>
                <w:szCs w:val="24"/>
                <w14:textFill>
                  <w14:solidFill>
                    <w14:schemeClr w14:val="tx1"/>
                  </w14:solidFill>
                </w14:textFill>
              </w:rPr>
              <w:t>。</w:t>
            </w:r>
          </w:p>
          <w:p w14:paraId="4B190A90">
            <w:pPr>
              <w:keepNext w:val="0"/>
              <w:keepLines w:val="0"/>
              <w:pageBreakBefore w:val="0"/>
              <w:widowControl w:val="0"/>
              <w:numPr>
                <w:ilvl w:val="0"/>
                <w:numId w:val="24"/>
              </w:numPr>
              <w:kinsoku/>
              <w:wordWrap/>
              <w:overflowPunct/>
              <w:topLinePunct w:val="0"/>
              <w:autoSpaceDE/>
              <w:autoSpaceDN/>
              <w:bidi w:val="0"/>
              <w:adjustRightInd w:val="0"/>
              <w:snapToGrid w:val="0"/>
              <w:spacing w:line="360" w:lineRule="auto"/>
              <w:ind w:firstLine="482" w:firstLineChars="200"/>
              <w:textAlignment w:val="auto"/>
              <w:rPr>
                <w:rFonts w:ascii="Times New Roman" w:hAnsi="Times New Roman"/>
                <w:b/>
                <w:color w:val="000000" w:themeColor="text1"/>
                <w:sz w:val="24"/>
                <w:szCs w:val="24"/>
                <w14:textFill>
                  <w14:solidFill>
                    <w14:schemeClr w14:val="tx1"/>
                  </w14:solidFill>
                </w14:textFill>
              </w:rPr>
            </w:pPr>
            <w:r>
              <w:rPr>
                <w:rFonts w:hint="eastAsia" w:ascii="Times New Roman" w:hAnsi="Times New Roman"/>
                <w:b/>
                <w:color w:val="000000" w:themeColor="text1"/>
                <w:sz w:val="24"/>
                <w:szCs w:val="24"/>
                <w14:textFill>
                  <w14:solidFill>
                    <w14:schemeClr w14:val="tx1"/>
                  </w14:solidFill>
                </w14:textFill>
              </w:rPr>
              <w:t>对大熊猫栖息地世界自然遗产地的影响分析</w:t>
            </w:r>
          </w:p>
          <w:p w14:paraId="423304CB">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本项目涉及占用大熊猫栖息地世界自然遗产地缓冲区，建设单位已委托成都青叶林业规划设计有限公司编制《泸定县城区自来水厂备用水源取水工程新建项目对四川大熊猫栖息地世界自然遗产影响评价报告》并取得</w:t>
            </w:r>
            <w:r>
              <w:rPr>
                <w:rFonts w:hint="eastAsia"/>
                <w:color w:val="000000" w:themeColor="text1"/>
                <w:sz w:val="24"/>
                <w:szCs w:val="24"/>
                <w:lang w:eastAsia="zh-CN"/>
                <w14:textFill>
                  <w14:solidFill>
                    <w14:schemeClr w14:val="tx1"/>
                  </w14:solidFill>
                </w14:textFill>
              </w:rPr>
              <w:t>《泸定县林业和草原局关于同意泸定县城区自来水厂备用水源取水工程新建项目进入四川大熊猫栖息地世界自然遗产缓冲区的审核意见》（泸林护审字〔2025〕2号）。</w:t>
            </w:r>
            <w:r>
              <w:rPr>
                <w:rFonts w:hint="eastAsia"/>
                <w:color w:val="000000" w:themeColor="text1"/>
                <w:sz w:val="24"/>
                <w:szCs w:val="24"/>
                <w:lang w:val="en-US" w:eastAsia="zh-CN"/>
                <w14:textFill>
                  <w14:solidFill>
                    <w14:schemeClr w14:val="tx1"/>
                  </w14:solidFill>
                </w14:textFill>
              </w:rPr>
              <w:t>本次环评影响分析及措施结合该报告的分析成果及结论进行分析。</w:t>
            </w:r>
          </w:p>
          <w:p w14:paraId="6C0381FD">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（1）对大熊猫种群活动的影响</w:t>
            </w:r>
          </w:p>
          <w:p w14:paraId="1FA8DB9B">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eastAsia="宋体"/>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①与大熊猫痕迹点的关系</w:t>
            </w:r>
          </w:p>
          <w:p w14:paraId="335DD6EB">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本项目位于泸桥镇，经走访，该评价区内近年来未发现有大熊猫活动的痕迹。</w:t>
            </w:r>
            <w:r>
              <w:rPr>
                <w:rFonts w:hint="eastAsia"/>
                <w:color w:val="000000" w:themeColor="text1"/>
                <w:sz w:val="24"/>
                <w:szCs w:val="24"/>
                <w:lang w:val="en-US" w:eastAsia="zh-CN"/>
                <w14:textFill>
                  <w14:solidFill>
                    <w14:schemeClr w14:val="tx1"/>
                  </w14:solidFill>
                </w14:textFill>
              </w:rPr>
              <w:t>经</w:t>
            </w:r>
            <w:r>
              <w:rPr>
                <w:rFonts w:hint="eastAsia"/>
                <w:color w:val="000000" w:themeColor="text1"/>
                <w:sz w:val="24"/>
                <w:szCs w:val="24"/>
                <w14:textFill>
                  <w14:solidFill>
                    <w14:schemeClr w14:val="tx1"/>
                  </w14:solidFill>
                </w14:textFill>
              </w:rPr>
              <w:t>查询大熊猫四调报告得知，</w:t>
            </w:r>
            <w:r>
              <w:rPr>
                <w:rFonts w:hint="eastAsia"/>
                <w:color w:val="000000" w:themeColor="text1"/>
                <w:sz w:val="24"/>
                <w:szCs w:val="24"/>
                <w:lang w:val="en-US" w:eastAsia="zh-CN"/>
                <w14:textFill>
                  <w14:solidFill>
                    <w14:schemeClr w14:val="tx1"/>
                  </w14:solidFill>
                </w14:textFill>
              </w:rPr>
              <w:t>项目最近大熊猫</w:t>
            </w:r>
            <w:r>
              <w:rPr>
                <w:rFonts w:hint="eastAsia"/>
                <w:color w:val="000000" w:themeColor="text1"/>
                <w:sz w:val="24"/>
                <w:szCs w:val="24"/>
                <w14:textFill>
                  <w14:solidFill>
                    <w14:schemeClr w14:val="tx1"/>
                  </w14:solidFill>
                </w14:textFill>
              </w:rPr>
              <w:t>痕迹点位于</w:t>
            </w:r>
            <w:r>
              <w:rPr>
                <w:rFonts w:hint="eastAsia"/>
                <w:color w:val="000000" w:themeColor="text1"/>
                <w:sz w:val="24"/>
                <w:szCs w:val="24"/>
                <w:lang w:val="en-US" w:eastAsia="zh-CN"/>
                <w14:textFill>
                  <w14:solidFill>
                    <w14:schemeClr w14:val="tx1"/>
                  </w14:solidFill>
                </w14:textFill>
              </w:rPr>
              <w:t>天全县两路乡</w:t>
            </w:r>
            <w:r>
              <w:rPr>
                <w:rFonts w:hint="eastAsia"/>
                <w:color w:val="000000" w:themeColor="text1"/>
                <w:sz w:val="24"/>
                <w:szCs w:val="24"/>
                <w14:textFill>
                  <w14:solidFill>
                    <w14:schemeClr w14:val="tx1"/>
                  </w14:solidFill>
                </w14:textFill>
              </w:rPr>
              <w:t>，本项目</w:t>
            </w:r>
            <w:r>
              <w:rPr>
                <w:rFonts w:hint="eastAsia"/>
                <w:color w:val="000000" w:themeColor="text1"/>
                <w:sz w:val="24"/>
                <w:szCs w:val="24"/>
                <w:lang w:val="en-US" w:eastAsia="zh-CN"/>
                <w14:textFill>
                  <w14:solidFill>
                    <w14:schemeClr w14:val="tx1"/>
                  </w14:solidFill>
                </w14:textFill>
              </w:rPr>
              <w:t>占地区距离最近痕迹点6.9km，评价区距离最近痕迹点5.9km，距离较远，</w:t>
            </w:r>
            <w:r>
              <w:rPr>
                <w:rFonts w:hint="eastAsia"/>
                <w:color w:val="000000" w:themeColor="text1"/>
                <w:sz w:val="24"/>
                <w:szCs w:val="24"/>
                <w14:textFill>
                  <w14:solidFill>
                    <w14:schemeClr w14:val="tx1"/>
                  </w14:solidFill>
                </w14:textFill>
              </w:rPr>
              <w:t>因此，项目的建设对大熊猫痕迹点无影响。</w:t>
            </w:r>
          </w:p>
          <w:p w14:paraId="5F462FF3">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eastAsia="宋体"/>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②项目对大熊猫种群活动的影响</w:t>
            </w:r>
          </w:p>
          <w:p w14:paraId="332B2E3C">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通过实地调查、访问及资料查阅，大熊猫主要活动地带为海拔2300～3600米之间的针阔混交林和亚高山针叶林带，本次项目评价区海拔位于1</w:t>
            </w:r>
            <w:r>
              <w:rPr>
                <w:rFonts w:hint="eastAsia"/>
                <w:color w:val="000000" w:themeColor="text1"/>
                <w:sz w:val="24"/>
                <w:szCs w:val="24"/>
                <w:lang w:val="en-US" w:eastAsia="zh-CN"/>
                <w14:textFill>
                  <w14:solidFill>
                    <w14:schemeClr w14:val="tx1"/>
                  </w14:solidFill>
                </w14:textFill>
              </w:rPr>
              <w:t>3</w:t>
            </w:r>
            <w:r>
              <w:rPr>
                <w:rFonts w:hint="eastAsia"/>
                <w:color w:val="000000" w:themeColor="text1"/>
                <w:sz w:val="24"/>
                <w:szCs w:val="24"/>
                <w14:textFill>
                  <w14:solidFill>
                    <w14:schemeClr w14:val="tx1"/>
                  </w14:solidFill>
                </w14:textFill>
              </w:rPr>
              <w:t>00</w:t>
            </w:r>
            <w:r>
              <w:rPr>
                <w:rFonts w:hint="eastAsia"/>
                <w:color w:val="000000" w:themeColor="text1"/>
                <w:sz w:val="24"/>
                <w:szCs w:val="24"/>
                <w:lang w:val="en-US" w:eastAsia="zh-CN"/>
                <w14:textFill>
                  <w14:solidFill>
                    <w14:schemeClr w14:val="tx1"/>
                  </w14:solidFill>
                </w14:textFill>
              </w:rPr>
              <w:t>~</w:t>
            </w:r>
            <w:r>
              <w:rPr>
                <w:rFonts w:hint="eastAsia"/>
                <w:color w:val="000000" w:themeColor="text1"/>
                <w:sz w:val="24"/>
                <w:szCs w:val="24"/>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400</w:t>
            </w:r>
            <w:r>
              <w:rPr>
                <w:rFonts w:hint="eastAsia"/>
                <w:color w:val="000000" w:themeColor="text1"/>
                <w:sz w:val="24"/>
                <w:szCs w:val="24"/>
                <w14:textFill>
                  <w14:solidFill>
                    <w14:schemeClr w14:val="tx1"/>
                  </w14:solidFill>
                </w14:textFill>
              </w:rPr>
              <w:t>左右，不</w:t>
            </w:r>
            <w:r>
              <w:rPr>
                <w:rFonts w:hint="eastAsia"/>
                <w:color w:val="000000" w:themeColor="text1"/>
                <w:sz w:val="24"/>
                <w:szCs w:val="24"/>
                <w:lang w:eastAsia="zh-CN"/>
                <w14:textFill>
                  <w14:solidFill>
                    <w14:schemeClr w14:val="tx1"/>
                  </w14:solidFill>
                </w14:textFill>
              </w:rPr>
              <w:t>在</w:t>
            </w:r>
            <w:r>
              <w:rPr>
                <w:rFonts w:hint="eastAsia"/>
                <w:color w:val="000000" w:themeColor="text1"/>
                <w:sz w:val="24"/>
                <w:szCs w:val="24"/>
                <w14:textFill>
                  <w14:solidFill>
                    <w14:schemeClr w14:val="tx1"/>
                  </w14:solidFill>
                </w14:textFill>
              </w:rPr>
              <w:t>大熊猫现实活动区域</w:t>
            </w:r>
            <w:r>
              <w:rPr>
                <w:rFonts w:hint="eastAsia"/>
                <w:color w:val="000000" w:themeColor="text1"/>
                <w:sz w:val="24"/>
                <w:szCs w:val="24"/>
                <w:lang w:val="en-US" w:eastAsia="zh-CN"/>
                <w14:textFill>
                  <w14:solidFill>
                    <w14:schemeClr w14:val="tx1"/>
                  </w14:solidFill>
                </w14:textFill>
              </w:rPr>
              <w:t>内</w:t>
            </w:r>
            <w:r>
              <w:rPr>
                <w:rFonts w:hint="eastAsia"/>
                <w:color w:val="000000" w:themeColor="text1"/>
                <w:sz w:val="24"/>
                <w:szCs w:val="24"/>
                <w14:textFill>
                  <w14:solidFill>
                    <w14:schemeClr w14:val="tx1"/>
                  </w14:solidFill>
                </w14:textFill>
              </w:rPr>
              <w:t>，项目的实施不会对大熊猫的种群活动产生影响。</w:t>
            </w:r>
          </w:p>
          <w:p w14:paraId="14FEAC54">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（2）对大熊猫种取食竹的影响</w:t>
            </w:r>
          </w:p>
          <w:p w14:paraId="3F63C077">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根据“全国第四次大熊猫调查四川省分报告”，四川省大熊猫栖息地内共生长有大熊猫取食竹7属32种，大熊猫取食竹分布区分布在遗产地核心区和保护区范围，邛崃山山系大熊猫栖息地内生长有大熊猫取食竹6属18种，包括了巴山木竹、冷箭竹、八月竹、刺黑竹、刺竹子、白夹竹、金竹、毛金竹、丰实箭竹、拐棍竹、华西箭竹、九龙箭竹、团竹、油竹子、筇竹、三月竹、短锥玉山竹、石棉玉山竹，其中冷箭竹面积最大（49.12万公顷），约占该山系大熊猫取食竹总面积的43.36%；其次是短锥玉山竹（17.43万公顷），约占该山系大熊猫取食竹总面积的15.38%；再次为拐棍竹（面积12.19万公顷），约占该山系大熊猫取食竹总面积的10.76%。</w:t>
            </w:r>
          </w:p>
          <w:p w14:paraId="3544F631">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从邛崃山山系大熊猫主食竹种类分布看，大熊猫主食竹种是冷箭竹、短锥玉山竹和拐棍竹。根据实地调查，本次项目评价区内基本无竹类分布，故本项目对大熊猫取食不会产生直接影响。</w:t>
            </w:r>
          </w:p>
          <w:p w14:paraId="050E43F8">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（3）对大熊猫廊道的影响</w:t>
            </w:r>
          </w:p>
          <w:p w14:paraId="4E030724">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根据“大熊猫四调报告”，遗产地中的白沙河种群、三合种群通过二郎山在邛崃山山系的二郎山大熊猫廊道进行种群遗传交流及栖息地联通，本项目距离二郎山大熊猫走廊距离约6公里，故其对遗产地大熊猫廊道不会产生影响。</w:t>
            </w:r>
          </w:p>
          <w:p w14:paraId="7CE9A2A4">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eastAsia="宋体"/>
                <w:b/>
                <w:bCs/>
                <w:color w:val="000000" w:themeColor="text1"/>
                <w:sz w:val="24"/>
                <w:szCs w:val="24"/>
                <w:lang w:eastAsia="zh-CN"/>
                <w14:textFill>
                  <w14:solidFill>
                    <w14:schemeClr w14:val="tx1"/>
                  </w14:solidFill>
                </w14:textFill>
              </w:rPr>
            </w:pPr>
            <w:r>
              <w:rPr>
                <w:rFonts w:hint="eastAsia"/>
                <w:b/>
                <w:bCs/>
                <w:color w:val="000000" w:themeColor="text1"/>
                <w:sz w:val="24"/>
                <w:szCs w:val="24"/>
                <w:lang w:eastAsia="zh-CN"/>
                <w14:textFill>
                  <w14:solidFill>
                    <w14:schemeClr w14:val="tx1"/>
                  </w14:solidFill>
                </w14:textFill>
              </w:rPr>
              <w:t>（</w:t>
            </w:r>
            <w:r>
              <w:rPr>
                <w:rFonts w:hint="eastAsia"/>
                <w:b/>
                <w:bCs/>
                <w:color w:val="000000" w:themeColor="text1"/>
                <w:sz w:val="24"/>
                <w:szCs w:val="24"/>
                <w:lang w:val="en-US" w:eastAsia="zh-CN"/>
                <w14:textFill>
                  <w14:solidFill>
                    <w14:schemeClr w14:val="tx1"/>
                  </w14:solidFill>
                </w14:textFill>
              </w:rPr>
              <w:t>4</w:t>
            </w:r>
            <w:r>
              <w:rPr>
                <w:rFonts w:hint="eastAsia"/>
                <w:b/>
                <w:bCs/>
                <w:color w:val="000000" w:themeColor="text1"/>
                <w:sz w:val="24"/>
                <w:szCs w:val="24"/>
                <w:lang w:eastAsia="zh-CN"/>
                <w14:textFill>
                  <w14:solidFill>
                    <w14:schemeClr w14:val="tx1"/>
                  </w14:solidFill>
                </w14:textFill>
              </w:rPr>
              <w:t>）对大熊猫栖息地的影响</w:t>
            </w:r>
          </w:p>
          <w:p w14:paraId="1259EBA2">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①对大熊猫现实栖息地的影响</w:t>
            </w:r>
          </w:p>
          <w:p w14:paraId="57055437">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根据《全国第四次大熊猫调查报告》（四川省分报告），四川省野生大熊猫局域种群栖息地总面积为2027244.27</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eastAsia="zh-CN"/>
                <w14:textFill>
                  <w14:solidFill>
                    <w14:schemeClr w14:val="tx1"/>
                  </w14:solidFill>
                </w14:textFill>
              </w:rPr>
              <w:t>，邛崃山山系栖息地总面积688759.17</w:t>
            </w:r>
            <w:r>
              <w:rPr>
                <w:rFonts w:hint="eastAsia"/>
                <w:color w:val="000000" w:themeColor="text1"/>
                <w:sz w:val="24"/>
                <w:szCs w:val="24"/>
                <w:lang w:val="en-US" w:eastAsia="zh-CN"/>
                <w14:textFill>
                  <w14:solidFill>
                    <w14:schemeClr w14:val="tx1"/>
                  </w14:solidFill>
                </w14:textFill>
              </w:rPr>
              <w:t>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eastAsia="zh-CN"/>
                <w14:textFill>
                  <w14:solidFill>
                    <w14:schemeClr w14:val="tx1"/>
                  </w14:solidFill>
                </w14:textFill>
              </w:rPr>
              <w:t>。本次项目评价区位于现状泸桥镇，评价区内</w:t>
            </w:r>
            <w:r>
              <w:rPr>
                <w:rFonts w:hint="eastAsia"/>
                <w:color w:val="000000" w:themeColor="text1"/>
                <w:sz w:val="24"/>
                <w:szCs w:val="24"/>
                <w:lang w:val="en-US" w:eastAsia="zh-CN"/>
                <w14:textFill>
                  <w14:solidFill>
                    <w14:schemeClr w14:val="tx1"/>
                  </w14:solidFill>
                </w14:textFill>
              </w:rPr>
              <w:t>无</w:t>
            </w:r>
            <w:r>
              <w:rPr>
                <w:rFonts w:hint="eastAsia"/>
                <w:color w:val="000000" w:themeColor="text1"/>
                <w:sz w:val="24"/>
                <w:szCs w:val="24"/>
                <w:lang w:eastAsia="zh-CN"/>
                <w14:textFill>
                  <w14:solidFill>
                    <w14:schemeClr w14:val="tx1"/>
                  </w14:solidFill>
                </w14:textFill>
              </w:rPr>
              <w:t>大熊猫现实栖息地分布。</w:t>
            </w:r>
          </w:p>
          <w:p w14:paraId="4841805F">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②对大熊猫潜在栖息地的影响</w:t>
            </w:r>
          </w:p>
          <w:p w14:paraId="3BFEA808">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大熊猫潜在栖息地分布在遗产地的西侧，四姑娘山北侧，以及二郎山西北面区域，本项目不涉及大熊猫潜在栖息地，且项目区海拔较低、人为活动相对频繁，也无成为大熊猫栖息地的潜力，故项目对于大熊猫潜在栖息地的无影响。</w:t>
            </w:r>
          </w:p>
          <w:p w14:paraId="487B1DEC">
            <w:pPr>
              <w:pStyle w:val="16"/>
              <w:keepNext w:val="0"/>
              <w:keepLines w:val="0"/>
              <w:pageBreakBefore w:val="0"/>
              <w:widowControl w:val="0"/>
              <w:numPr>
                <w:ilvl w:val="0"/>
                <w:numId w:val="2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对遗产地功能区保护的影响</w:t>
            </w:r>
          </w:p>
          <w:p w14:paraId="1CF63E99">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本次项目不涉及遗产地，只涉及缓冲区，项目在缓冲区内永久占地0.26169hm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，临时占地面积0.2976hm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，占缓冲区面积527100hm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的比例也是微乎其微的，项目评价区中遗产地缓冲区范围291.5815hm</w:t>
            </w:r>
            <w:r>
              <w:rPr>
                <w:rFonts w:hint="eastAsia"/>
                <w:color w:val="000000" w:themeColor="text1"/>
                <w:sz w:val="24"/>
                <w:szCs w:val="24"/>
                <w:vertAlign w:val="superscript"/>
                <w:lang w:val="en-US" w:eastAsia="zh-CN"/>
                <w14:textFill>
                  <w14:solidFill>
                    <w14:schemeClr w14:val="tx1"/>
                  </w14:solidFill>
                </w14:textFill>
              </w:rPr>
              <w:t>2</w:t>
            </w:r>
            <w:r>
              <w:rPr>
                <w:rFonts w:hint="eastAsia"/>
                <w:color w:val="000000" w:themeColor="text1"/>
                <w:sz w:val="24"/>
                <w:szCs w:val="24"/>
                <w:lang w:val="en-US" w:eastAsia="zh-CN"/>
                <w14:textFill>
                  <w14:solidFill>
                    <w14:schemeClr w14:val="tx1"/>
                  </w14:solidFill>
                </w14:textFill>
              </w:rPr>
              <w:t>，占遗产地及缓冲区总面积的0.002%，无论是工程占地区域亦或是项目评价区内遗产地的范围，所占遗产地及缓冲区面积的比例极小，并且根据前述分析，项目对评价区范围内的生态环境影响程度有限，不会从根本上造成区域生态功能结构的改变，因此，项目对遗产地功能保护区的影响极小，且这部分影响将在施工期结束植被恢复后消失。</w:t>
            </w:r>
          </w:p>
          <w:p w14:paraId="491D8768">
            <w:pPr>
              <w:pStyle w:val="16"/>
              <w:keepNext w:val="0"/>
              <w:keepLines w:val="0"/>
              <w:pageBreakBefore w:val="0"/>
              <w:widowControl w:val="0"/>
              <w:numPr>
                <w:ilvl w:val="0"/>
                <w:numId w:val="20"/>
              </w:numPr>
              <w:kinsoku/>
              <w:wordWrap/>
              <w:overflowPunct/>
              <w:topLinePunct w:val="0"/>
              <w:autoSpaceDE/>
              <w:autoSpaceDN/>
              <w:bidi w:val="0"/>
              <w:adjustRightInd w:val="0"/>
              <w:snapToGrid w:val="0"/>
              <w:spacing w:line="360" w:lineRule="auto"/>
              <w:ind w:left="0" w:leftChars="0" w:firstLine="482" w:firstLineChars="200"/>
              <w:textAlignment w:val="auto"/>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对遗产地普遍价值的影响分析</w:t>
            </w:r>
          </w:p>
          <w:p w14:paraId="60FFDE9D">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世界遗产公约实施行动指南》明确规定了世界遗产地保护原则，针对自然遗产主要为“完整性”，这一原则是衡量遗产价值的标尺和保护所依据的关键。自然遗产的完整性体现为“对于最重要和最有意义的自然栖息地，景点应包括对动植物种类生存不可缺少的环境因素。景点的边界应该包括足够的空间距离，以使景点免受人类活动和资源乱用的直接影响”，同时其范围内的环境内容“不得人为增加或删减”。而自然遗产地的保护核心内容之一是生态系统保护。</w:t>
            </w:r>
          </w:p>
          <w:p w14:paraId="7796C3C7">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通过对同域分布的野生动物种类和现状调研分析，项目施工将对世界遗产地缓冲区内植被临时造成破坏，将对工程区及周边区域的野生动物产生驱赶效应，由于项目占地面积相对遗产地缓冲区面积很小且集中于泸桥镇镇区及周边，因此对遗产地的影响是较小的。项目对遗产地植物垂直带谱没有根本性改变，不会造成遗产地范围内的动植物种类的组成发生本质变化，不会造成遗产地内区域系统多样性的减少，对遗产地内生物群落的完整性没有影响。因此，也对遗产地的完整性不会造成明显影响。</w:t>
            </w:r>
          </w:p>
          <w:p w14:paraId="1D6AB673">
            <w:pPr>
              <w:pStyle w:val="16"/>
              <w:keepNext w:val="0"/>
              <w:keepLines w:val="0"/>
              <w:pageBreakBefore w:val="0"/>
              <w:widowControl w:val="0"/>
              <w:numPr>
                <w:ilvl w:val="0"/>
                <w:numId w:val="20"/>
              </w:numPr>
              <w:kinsoku/>
              <w:wordWrap/>
              <w:overflowPunct/>
              <w:topLinePunct w:val="0"/>
              <w:autoSpaceDE/>
              <w:autoSpaceDN/>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对四川大熊猫栖息地世界自然遗产地的保护措施</w:t>
            </w:r>
          </w:p>
          <w:p w14:paraId="083720C6">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A、影响消减的工程措施</w:t>
            </w:r>
          </w:p>
          <w:p w14:paraId="442106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前文分析，项目评价区不是大熊猫活动的主要区域，也未涉及大熊猫廊道，但评价区位于大熊猫世界自然遗产地缓冲区内，且评价区内有大熊猫潜在栖息地，为进一步控制和减少项目建设对大熊猫栖息地的不利影响，结合《泸定县城区自来水厂备用水源取水工程新建项目对四川大熊猫栖息地世界自然遗产影响评价报告》及其审核意见，提出以下保护措施：</w:t>
            </w:r>
          </w:p>
          <w:p w14:paraId="0D7B59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①</w:t>
            </w:r>
            <w:r>
              <w:rPr>
                <w:rFonts w:hint="default" w:ascii="Times New Roman" w:hAnsi="Times New Roman" w:eastAsia="宋体" w:cs="Times New Roman"/>
                <w:color w:val="000000" w:themeColor="text1"/>
                <w:sz w:val="24"/>
                <w:szCs w:val="24"/>
                <w14:textFill>
                  <w14:solidFill>
                    <w14:schemeClr w14:val="tx1"/>
                  </w14:solidFill>
                </w14:textFill>
              </w:rPr>
              <w:t>项目应按照批准的占地范围和面积，划定工程占地红线，将所有施工行为严格控制在占地红线内，严禁超面积、超范围占地和清理清除植被。</w:t>
            </w:r>
          </w:p>
          <w:p w14:paraId="745D90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②</w:t>
            </w:r>
            <w:r>
              <w:rPr>
                <w:rFonts w:hint="default" w:ascii="Times New Roman" w:hAnsi="Times New Roman" w:eastAsia="宋体" w:cs="Times New Roman"/>
                <w:color w:val="000000" w:themeColor="text1"/>
                <w:sz w:val="24"/>
                <w:szCs w:val="24"/>
                <w14:textFill>
                  <w14:solidFill>
                    <w14:schemeClr w14:val="tx1"/>
                  </w14:solidFill>
                </w14:textFill>
              </w:rPr>
              <w:t>进一步优化项目施工方案，合理安排施工人员数量，采用集中施工的方式缩短世界自然遗产缓冲区内的施工时间，以减少施工活动对世界自然遗产的干扰。</w:t>
            </w:r>
          </w:p>
          <w:p w14:paraId="1123A6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③</w:t>
            </w:r>
            <w:r>
              <w:rPr>
                <w:rFonts w:hint="default" w:ascii="Times New Roman" w:hAnsi="Times New Roman" w:eastAsia="宋体" w:cs="Times New Roman"/>
                <w:color w:val="000000" w:themeColor="text1"/>
                <w:sz w:val="24"/>
                <w:szCs w:val="24"/>
                <w14:textFill>
                  <w14:solidFill>
                    <w14:schemeClr w14:val="tx1"/>
                  </w14:solidFill>
                </w14:textFill>
              </w:rPr>
              <w:t>在施工过程中，应尽可能缩小施工范围和占地面积，减少工程开挖量，降低水土流失和植被破坏，确保不破坏自然景观。项目建设期间产生的工程</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土石方直接全部用于沿线管道回填，做到挖填平衡，产生的</w:t>
            </w:r>
            <w:r>
              <w:rPr>
                <w:rFonts w:hint="default" w:ascii="Times New Roman" w:hAnsi="Times New Roman" w:eastAsia="宋体" w:cs="Times New Roman"/>
                <w:color w:val="000000" w:themeColor="text1"/>
                <w:sz w:val="24"/>
                <w:szCs w:val="24"/>
                <w14:textFill>
                  <w14:solidFill>
                    <w14:schemeClr w14:val="tx1"/>
                  </w14:solidFill>
                </w14:textFill>
              </w:rPr>
              <w:t>固体废弃物</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必须全部清运至遗产地外，严禁在遗产地内进行处置</w:t>
            </w:r>
            <w:r>
              <w:rPr>
                <w:rFonts w:hint="default" w:ascii="Times New Roman" w:hAnsi="Times New Roman" w:eastAsia="宋体" w:cs="Times New Roman"/>
                <w:color w:val="000000" w:themeColor="text1"/>
                <w:sz w:val="24"/>
                <w:szCs w:val="24"/>
                <w14:textFill>
                  <w14:solidFill>
                    <w14:schemeClr w14:val="tx1"/>
                  </w14:solidFill>
                </w14:textFill>
              </w:rPr>
              <w:t>。</w:t>
            </w:r>
          </w:p>
          <w:p w14:paraId="600D88F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④</w:t>
            </w:r>
            <w:r>
              <w:rPr>
                <w:rFonts w:hint="default" w:ascii="Times New Roman" w:hAnsi="Times New Roman" w:eastAsia="宋体" w:cs="Times New Roman"/>
                <w:color w:val="000000" w:themeColor="text1"/>
                <w:sz w:val="24"/>
                <w:szCs w:val="24"/>
                <w14:textFill>
                  <w14:solidFill>
                    <w14:schemeClr w14:val="tx1"/>
                  </w14:solidFill>
                </w14:textFill>
              </w:rPr>
              <w:t>施工前对施工人员开展国家重点保护的野生动植物培训，明确占地区可能出现的重点保护动植物，可采取教育培训，发放图册、设置宣传公告等方式。</w:t>
            </w:r>
          </w:p>
          <w:p w14:paraId="74FE2D6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⑤</w:t>
            </w:r>
            <w:r>
              <w:rPr>
                <w:rFonts w:hint="default" w:ascii="Times New Roman" w:hAnsi="Times New Roman" w:eastAsia="宋体" w:cs="Times New Roman"/>
                <w:color w:val="000000" w:themeColor="text1"/>
                <w:sz w:val="24"/>
                <w:szCs w:val="24"/>
                <w14:textFill>
                  <w14:solidFill>
                    <w14:schemeClr w14:val="tx1"/>
                  </w14:solidFill>
                </w14:textFill>
              </w:rPr>
              <w:t>在大熊猫繁殖期内（3-4月）进行施工时，建设单位应确保《泸定县城区自来水厂备用水源取水工程新建项目对四川大熊猫栖息地世界自然遗产影响评价报告》提出的“</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影响</w:t>
            </w:r>
            <w:r>
              <w:rPr>
                <w:rFonts w:hint="default" w:ascii="Times New Roman" w:hAnsi="Times New Roman" w:eastAsia="宋体" w:cs="Times New Roman"/>
                <w:color w:val="000000" w:themeColor="text1"/>
                <w:sz w:val="24"/>
                <w:szCs w:val="24"/>
                <w14:textFill>
                  <w14:solidFill>
                    <w14:schemeClr w14:val="tx1"/>
                  </w14:solidFill>
                </w14:textFill>
              </w:rPr>
              <w:t>消减措施”的严格采用，将施工活动对大熊猫繁殖等活动的影响控制在较低水平。</w:t>
            </w:r>
          </w:p>
          <w:p w14:paraId="088E8D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⑥设立防火、进入遗产范围等标识标牌来提醒过往人员注意个人行为，不得超出规定的可活动范围。做好项目周边的森林草原防火工作，加大森林草原防火宣传力度，在森林草原防火期前对项目周边可燃物进行清理，制定森林火灾防控应急处置预案，确保不对世界自然遗产自然生态系统和公众安全造成负面影响。</w:t>
            </w:r>
          </w:p>
          <w:p w14:paraId="3ADE93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⑦</w:t>
            </w:r>
            <w:r>
              <w:rPr>
                <w:rFonts w:hint="default" w:ascii="Times New Roman" w:hAnsi="Times New Roman" w:eastAsia="宋体" w:cs="Times New Roman"/>
                <w:color w:val="000000" w:themeColor="text1"/>
                <w:sz w:val="24"/>
                <w:szCs w:val="24"/>
                <w14:textFill>
                  <w14:solidFill>
                    <w14:schemeClr w14:val="tx1"/>
                  </w14:solidFill>
                </w14:textFill>
              </w:rPr>
              <w:t>加强对施工车辆的管控，对超限、超载车辆加大巡查和处罚力度，在遗产保护区路段为降低对野生大熊猫活动的惊扰特别，建议过往车辆禁止鸣笛。</w:t>
            </w:r>
          </w:p>
          <w:p w14:paraId="100DF37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⑧</w:t>
            </w:r>
            <w:r>
              <w:rPr>
                <w:rFonts w:hint="default" w:ascii="Times New Roman" w:hAnsi="Times New Roman" w:eastAsia="宋体" w:cs="Times New Roman"/>
                <w:color w:val="000000" w:themeColor="text1"/>
                <w:sz w:val="24"/>
                <w:szCs w:val="24"/>
                <w14:textFill>
                  <w14:solidFill>
                    <w14:schemeClr w14:val="tx1"/>
                  </w14:solidFill>
                </w14:textFill>
              </w:rPr>
              <w:t>若发现有珍稀野生动物进入施工区或邻近区域，应停止周边区域相关施工活动，待珍稀动物自行离开施工区后方可恢复施工，若动物不自行离开，需汇报野生动物保护机构；若在施工区发现行动迟缓或呈现病态的珍稀动物，应及时上报施工区负责人，在采取保护措施的同时通知遗产地管理部门进行处理。</w:t>
            </w:r>
          </w:p>
          <w:p w14:paraId="778070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lang w:val="en-US" w:eastAsia="zh-CN"/>
                <w14:textFill>
                  <w14:solidFill>
                    <w14:schemeClr w14:val="tx1"/>
                  </w14:solidFill>
                </w14:textFill>
              </w:rPr>
              <w:t>⑨施工期间</w:t>
            </w:r>
            <w:r>
              <w:rPr>
                <w:rFonts w:ascii="Times New Roman" w:hAnsi="Times New Roman"/>
                <w:color w:val="000000" w:themeColor="text1"/>
                <w:sz w:val="24"/>
                <w14:textFill>
                  <w14:solidFill>
                    <w14:schemeClr w14:val="tx1"/>
                  </w14:solidFill>
                </w14:textFill>
              </w:rPr>
              <w:t>严禁对鸟类、两栖和爬行动物的捕食行为，严禁偷猎、故意下夹和设置陷阱等捕杀野生兽类动物的行为，保护好区域内的野生兽类动物。</w:t>
            </w:r>
          </w:p>
          <w:p w14:paraId="1BA6F1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lang w:val="en-US" w:eastAsia="zh-CN"/>
                <w14:textFill>
                  <w14:solidFill>
                    <w14:schemeClr w14:val="tx1"/>
                  </w14:solidFill>
                </w14:textFill>
              </w:rPr>
              <w:t>⑩</w:t>
            </w:r>
            <w:r>
              <w:rPr>
                <w:rFonts w:hint="eastAsia" w:ascii="Times New Roman" w:hAnsi="Times New Roman"/>
                <w:color w:val="000000" w:themeColor="text1"/>
                <w:sz w:val="24"/>
                <w14:textFill>
                  <w14:solidFill>
                    <w14:schemeClr w14:val="tx1"/>
                  </w14:solidFill>
                </w14:textFill>
              </w:rPr>
              <w:t>全面落实《泸定县城区自来水厂备用水源取水工程新建项目对四川大熊猫栖息地世界自然遗产影响评价报告》及其</w:t>
            </w:r>
            <w:r>
              <w:rPr>
                <w:rFonts w:hint="eastAsia" w:ascii="Times New Roman" w:hAnsi="Times New Roman"/>
                <w:color w:val="000000" w:themeColor="text1"/>
                <w:sz w:val="24"/>
                <w:lang w:val="en-US" w:eastAsia="zh-CN"/>
                <w14:textFill>
                  <w14:solidFill>
                    <w14:schemeClr w14:val="tx1"/>
                  </w14:solidFill>
                </w14:textFill>
              </w:rPr>
              <w:t>审核</w:t>
            </w:r>
            <w:r>
              <w:rPr>
                <w:rFonts w:hint="eastAsia" w:ascii="Times New Roman" w:hAnsi="Times New Roman"/>
                <w:color w:val="000000" w:themeColor="text1"/>
                <w:sz w:val="24"/>
                <w14:textFill>
                  <w14:solidFill>
                    <w14:schemeClr w14:val="tx1"/>
                  </w14:solidFill>
                </w14:textFill>
              </w:rPr>
              <w:t>意见中的防止环境污染、破坏生态和自然景观的各项影响消减措施，聘请专业机构，对项目建设活动对大熊猫等珍稀濒危野生动植物及其生存环境、自然生态系统、自然景观和世界自然遗产突出普遍价值的影响以及自然生态环境的变化情况，开展生态和环境监测，并根据监测数据进一步优化完善影响消减和生态环境保护措施，确保项目建设不破坏世界遗产突出普遍价值。</w:t>
            </w:r>
            <w:r>
              <w:rPr>
                <w:rFonts w:hint="eastAsia" w:ascii="Times New Roman" w:hAnsi="Times New Roman"/>
                <w:color w:val="000000" w:themeColor="text1"/>
                <w:sz w:val="24"/>
                <w:lang w:val="en-US" w:eastAsia="zh-CN"/>
                <w14:textFill>
                  <w14:solidFill>
                    <w14:schemeClr w14:val="tx1"/>
                  </w14:solidFill>
                </w14:textFill>
              </w:rPr>
              <w:t>具体监测计划详见后文。</w:t>
            </w:r>
          </w:p>
          <w:p w14:paraId="537E3C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⑪</w:t>
            </w:r>
            <w:r>
              <w:rPr>
                <w:rFonts w:ascii="Times New Roman" w:hAnsi="Times New Roman"/>
                <w:color w:val="000000" w:themeColor="text1"/>
                <w:sz w:val="24"/>
                <w14:textFill>
                  <w14:solidFill>
                    <w14:schemeClr w14:val="tx1"/>
                  </w14:solidFill>
                </w14:textFill>
              </w:rPr>
              <w:t>建设单位应和遗产地管理部门签订协议，明确会承担各项消减措施落实的责任，并接受和配合管理部门的监督、监测工作。</w:t>
            </w:r>
          </w:p>
          <w:p w14:paraId="282BF0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14:textFill>
                  <w14:solidFill>
                    <w14:schemeClr w14:val="tx1"/>
                  </w14:solidFill>
                </w14:textFill>
              </w:rPr>
              <w:t>⑫</w:t>
            </w:r>
            <w:r>
              <w:rPr>
                <w:rFonts w:ascii="Times New Roman" w:hAnsi="Times New Roman"/>
                <w:color w:val="000000" w:themeColor="text1"/>
                <w:sz w:val="24"/>
                <w14:textFill>
                  <w14:solidFill>
                    <w14:schemeClr w14:val="tx1"/>
                  </w14:solidFill>
                </w14:textFill>
              </w:rPr>
              <w:t>遗产地管理部门要落实到专人或专门的负责小组，对建设项目的实施情况、各项影响消减措施的落实情况等监督监测，保障各项措施的落实。</w:t>
            </w:r>
          </w:p>
          <w:p w14:paraId="736CB3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olor w:val="000000" w:themeColor="text1"/>
                <w:sz w:val="24"/>
                <w:lang w:eastAsia="zh-CN"/>
                <w14:textFill>
                  <w14:solidFill>
                    <w14:schemeClr w14:val="tx1"/>
                  </w14:solidFill>
                </w14:textFill>
              </w:rPr>
            </w:pPr>
            <w:r>
              <w:rPr>
                <w:rFonts w:hint="eastAsia" w:ascii="Times New Roman" w:hAnsi="Times New Roman"/>
                <w:color w:val="000000" w:themeColor="text1"/>
                <w:sz w:val="24"/>
                <w:lang w:eastAsia="zh-CN"/>
                <w14:textFill>
                  <w14:solidFill>
                    <w14:schemeClr w14:val="tx1"/>
                  </w14:solidFill>
                </w14:textFill>
              </w:rPr>
              <w:t>⑬做好项目周边的森林草原防火工作，加大森林草原防火宣传力度，在森林草原防火期前对项目周边可燃物进行清理，制定森林火灾防控应急处置预案，确保不对世界自然遗产自然生态系统和公众安全造成负面影响。</w:t>
            </w:r>
          </w:p>
          <w:p w14:paraId="439C0E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olor w:val="000000" w:themeColor="text1"/>
                <w:sz w:val="24"/>
                <w:lang w:eastAsia="zh-CN"/>
                <w14:textFill>
                  <w14:solidFill>
                    <w14:schemeClr w14:val="tx1"/>
                  </w14:solidFill>
                </w14:textFill>
              </w:rPr>
            </w:pPr>
            <w:r>
              <w:rPr>
                <w:rFonts w:hint="eastAsia" w:ascii="Times New Roman" w:hAnsi="Times New Roman"/>
                <w:color w:val="000000" w:themeColor="text1"/>
                <w:sz w:val="24"/>
                <w:lang w:eastAsia="zh-CN"/>
                <w14:textFill>
                  <w14:solidFill>
                    <w14:schemeClr w14:val="tx1"/>
                  </w14:solidFill>
                </w14:textFill>
              </w:rPr>
              <w:t>⑭项目完工后3个月内，拆除工程临时占地的所有设施设备，采用当地原生植物种类，恢复临时占地区域原有的自然生态系统。</w:t>
            </w:r>
          </w:p>
          <w:p w14:paraId="535565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olor w:val="000000" w:themeColor="text1"/>
                <w:sz w:val="24"/>
                <w:lang w:val="en-US" w:eastAsia="zh-CN"/>
                <w14:textFill>
                  <w14:solidFill>
                    <w14:schemeClr w14:val="tx1"/>
                  </w14:solidFill>
                </w14:textFill>
              </w:rPr>
            </w:pPr>
            <w:r>
              <w:rPr>
                <w:rFonts w:hint="eastAsia" w:ascii="Times New Roman" w:hAnsi="Times New Roman"/>
                <w:color w:val="000000" w:themeColor="text1"/>
                <w:sz w:val="24"/>
                <w:lang w:eastAsia="zh-CN"/>
                <w14:textFill>
                  <w14:solidFill>
                    <w14:schemeClr w14:val="tx1"/>
                  </w14:solidFill>
                </w14:textFill>
              </w:rPr>
              <w:t>‌⑮</w:t>
            </w:r>
            <w:r>
              <w:rPr>
                <w:rFonts w:hint="eastAsia" w:ascii="Times New Roman" w:hAnsi="Times New Roman"/>
                <w:color w:val="000000" w:themeColor="text1"/>
                <w:sz w:val="24"/>
                <w:lang w:val="en-US" w:eastAsia="zh-CN"/>
                <w14:textFill>
                  <w14:solidFill>
                    <w14:schemeClr w14:val="tx1"/>
                  </w14:solidFill>
                </w14:textFill>
              </w:rPr>
              <w:t>本项目占地不涉及占用大熊猫现实栖息地（详见项目与大熊猫栖息地位置关系图），因此不需要进行异地恢复。</w:t>
            </w:r>
          </w:p>
          <w:p w14:paraId="41910873">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B、影响消减的管理措施</w:t>
            </w:r>
          </w:p>
          <w:p w14:paraId="6EFCAD01">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建设单位要在进出遗产地出入口及敏感位置设置固定警示牌，并落实专业管理人员和巡护人员长期保护和监测。</w:t>
            </w:r>
          </w:p>
          <w:p w14:paraId="6E02602A">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施工方、业主、遗产地相关管理部门需共同建立珍稀动物损害的生态修复、生态建设等相关补偿机制。在施工期间，一旦发生因施工人员造成的保护动物个体损害、栖息地环境明显恶化等现象，立即启动应急预案，尽可能将损害降至最低。实行谁破坏、谁修复、谁补偿的原则，由破坏者直接进行生态修复并进行补偿，建设单位和施工单位必须做好相关补偿预算，需要建立更明确细致的补偿机制。</w:t>
            </w:r>
          </w:p>
          <w:p w14:paraId="27BBA88D">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工程建设方应在施工期间给予遗产地管理部门一定的经济补偿，用于加强遗产地的日常巡护工作支出。芦山县林业局应派出工作人员对工程施工进行现场监督。</w:t>
            </w:r>
          </w:p>
          <w:p w14:paraId="1723C0D7">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建设单位加强对遗产地内自然资源、自然生态系统、环境因子和主要保护对象的监测工作。根据监测结果，综合分析，适时提出有效的保护对策。芦山县林业局对监测工作进行不定期的检查。</w:t>
            </w:r>
          </w:p>
          <w:p w14:paraId="2D27CD5E">
            <w:pPr>
              <w:pStyle w:val="16"/>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9、对</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天然林、公益林</w:t>
            </w:r>
            <w:r>
              <w:rPr>
                <w:rFonts w:hint="default" w:ascii="Times New Roman" w:hAnsi="Times New Roman" w:eastAsia="宋体" w:cs="Times New Roman"/>
                <w:b/>
                <w:bCs/>
                <w:color w:val="000000" w:themeColor="text1"/>
                <w:sz w:val="24"/>
                <w:szCs w:val="24"/>
                <w14:textFill>
                  <w14:solidFill>
                    <w14:schemeClr w14:val="tx1"/>
                  </w14:solidFill>
                </w14:textFill>
              </w:rPr>
              <w:t>的影响分析</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及保护措施</w:t>
            </w:r>
          </w:p>
          <w:p w14:paraId="35BBA8FD">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对天然林的影响分析及保护措施</w:t>
            </w:r>
          </w:p>
          <w:p w14:paraId="1C09D798">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本项目占用部分天然林，根据相关矢量文件叠图，本项目建设占用天然林</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0.22</w:t>
            </w:r>
            <w:r>
              <w:rPr>
                <w:rFonts w:hint="default" w:ascii="Times New Roman" w:hAnsi="Times New Roman" w:eastAsia="宋体" w:cs="Times New Roman"/>
                <w:color w:val="000000" w:themeColor="text1"/>
                <w:sz w:val="24"/>
                <w:szCs w:val="24"/>
                <w14:textFill>
                  <w14:solidFill>
                    <w14:schemeClr w14:val="tx1"/>
                  </w14:solidFill>
                </w14:textFill>
              </w:rPr>
              <w:t>hm</w:t>
            </w:r>
            <w:r>
              <w:rPr>
                <w:rFonts w:hint="default" w:ascii="Times New Roman" w:hAnsi="Times New Roman" w:eastAsia="宋体" w:cs="Times New Roman"/>
                <w:color w:val="000000" w:themeColor="text1"/>
                <w:sz w:val="24"/>
                <w:szCs w:val="24"/>
                <w:vertAlign w:val="superscript"/>
                <w14:textFill>
                  <w14:solidFill>
                    <w14:schemeClr w14:val="tx1"/>
                  </w14:solidFill>
                </w14:textFill>
              </w:rPr>
              <w:t>2</w:t>
            </w:r>
            <w: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占评价区天然林总面积的0.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044</w:t>
            </w:r>
            <w:r>
              <w:rPr>
                <w:rFonts w:hint="default" w:ascii="Times New Roman" w:hAnsi="Times New Roman" w:eastAsia="宋体" w:cs="Times New Roman"/>
                <w:color w:val="000000" w:themeColor="text1"/>
                <w:sz w:val="24"/>
                <w:szCs w:val="24"/>
                <w14:textFill>
                  <w14:solidFill>
                    <w14:schemeClr w14:val="tx1"/>
                  </w14:solidFill>
                </w14:textFill>
              </w:rPr>
              <w:t>%，项目占用林种主要为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青冈、胡枝子灌丛、马桑-水麻、木蓝、柳灌丛</w:t>
            </w:r>
            <w:r>
              <w:rPr>
                <w:rFonts w:hint="default" w:ascii="Times New Roman" w:hAnsi="Times New Roman" w:eastAsia="宋体" w:cs="Times New Roman"/>
                <w:color w:val="000000" w:themeColor="text1"/>
                <w:sz w:val="24"/>
                <w:szCs w:val="24"/>
                <w14:textFill>
                  <w14:solidFill>
                    <w14:schemeClr w14:val="tx1"/>
                  </w14:solidFill>
                </w14:textFill>
              </w:rPr>
              <w:t>。为了保护项目附近天然林，本报告结合《四川省天然林保护条例》的情况下，对项目施工期提出进一步的天然林保护措施，包括：</w:t>
            </w:r>
          </w:p>
          <w:p w14:paraId="3913E0D5">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①</w:t>
            </w:r>
            <w:r>
              <w:rPr>
                <w:rFonts w:hint="default" w:ascii="Times New Roman" w:hAnsi="Times New Roman" w:eastAsia="宋体" w:cs="Times New Roman"/>
                <w:color w:val="000000" w:themeColor="text1"/>
                <w:sz w:val="24"/>
                <w:szCs w:val="24"/>
                <w14:textFill>
                  <w14:solidFill>
                    <w14:schemeClr w14:val="tx1"/>
                  </w14:solidFill>
                </w14:textFill>
              </w:rPr>
              <w:t>加强对施工人员的宣传教育，在天然林附近设立保护标牌，除了手续允许占用的天然林，占地红线外的天然林一律不得随意占用、砍伐、放火破坏，禁止项目任何人员以烧柴名义破坏天然林。</w:t>
            </w:r>
          </w:p>
          <w:p w14:paraId="6A4DA724">
            <w:pPr>
              <w:pStyle w:val="16"/>
              <w:keepNext w:val="0"/>
              <w:keepLines w:val="0"/>
              <w:pageBreakBefore w:val="0"/>
              <w:widowControl w:val="0"/>
              <w:kinsoku/>
              <w:wordWrap/>
              <w:overflowPunct/>
              <w:topLinePunct w:val="0"/>
              <w:autoSpaceDE/>
              <w:autoSpaceDN/>
              <w:bidi w:val="0"/>
              <w:adjustRightInd w:val="0"/>
              <w:snapToGrid w:val="0"/>
              <w:spacing w:line="360" w:lineRule="auto"/>
              <w:ind w:firstLine="48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②</w:t>
            </w:r>
            <w:r>
              <w:rPr>
                <w:rFonts w:hint="default" w:ascii="Times New Roman" w:hAnsi="Times New Roman" w:eastAsia="宋体" w:cs="Times New Roman"/>
                <w:color w:val="000000" w:themeColor="text1"/>
                <w:sz w:val="24"/>
                <w:szCs w:val="24"/>
                <w14:textFill>
                  <w14:solidFill>
                    <w14:schemeClr w14:val="tx1"/>
                  </w14:solidFill>
                </w14:textFill>
              </w:rPr>
              <w:t>禁止擅自移动或损坏天然林保护标牌和封山育林标牌。</w:t>
            </w:r>
          </w:p>
          <w:p w14:paraId="40F13EF6">
            <w:pPr>
              <w:pStyle w:val="16"/>
              <w:pageBreakBefore w:val="0"/>
              <w:wordWrap/>
              <w:bidi w:val="0"/>
              <w:adjustRightInd w:val="0"/>
              <w:snapToGrid w:val="0"/>
              <w:spacing w:line="360" w:lineRule="auto"/>
              <w:ind w:firstLine="480"/>
              <w:rPr>
                <w:rFonts w:hint="eastAsia" w:ascii="Times New Roman" w:hAnsi="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③</w:t>
            </w:r>
            <w:r>
              <w:rPr>
                <w:rFonts w:hint="eastAsia" w:ascii="Times New Roman" w:hAnsi="Times New Roman"/>
                <w:color w:val="000000" w:themeColor="text1"/>
                <w:sz w:val="24"/>
                <w:szCs w:val="24"/>
                <w:lang w:val="en-US" w:eastAsia="zh-CN"/>
                <w14:textFill>
                  <w14:solidFill>
                    <w14:schemeClr w14:val="tx1"/>
                  </w14:solidFill>
                </w14:textFill>
              </w:rPr>
              <w:t>占用林地部分需在建设之前取得用林许</w:t>
            </w:r>
            <w:r>
              <w:rPr>
                <w:color w:val="000000" w:themeColor="text1"/>
                <w:sz w:val="24"/>
                <w:szCs w:val="24"/>
                <w14:textFill>
                  <w14:solidFill>
                    <w14:schemeClr w14:val="tx1"/>
                  </w14:solidFill>
                </w14:textFill>
              </w:rPr>
              <w:commentReference w:id="4"/>
            </w:r>
            <w:r>
              <w:rPr>
                <w:rFonts w:hint="eastAsia" w:ascii="Times New Roman" w:hAnsi="Times New Roman"/>
                <w:color w:val="000000" w:themeColor="text1"/>
                <w:sz w:val="24"/>
                <w:szCs w:val="24"/>
                <w:lang w:val="en-US" w:eastAsia="zh-CN"/>
                <w14:textFill>
                  <w14:solidFill>
                    <w14:schemeClr w14:val="tx1"/>
                  </w14:solidFill>
                </w14:textFill>
              </w:rPr>
              <w:t>可，施工完毕后制定林地恢复方案，及时采取措施恢复原有林地。</w:t>
            </w:r>
          </w:p>
          <w:p w14:paraId="32F8DD4B">
            <w:pPr>
              <w:pStyle w:val="16"/>
              <w:pageBreakBefore w:val="0"/>
              <w:wordWrap/>
              <w:bidi w:val="0"/>
              <w:adjustRightInd w:val="0"/>
              <w:snapToGrid w:val="0"/>
              <w:spacing w:line="360" w:lineRule="auto"/>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落实上述措施的情况下，项目对周边天然林地的影响较小。</w:t>
            </w:r>
          </w:p>
          <w:p w14:paraId="15DFCDCC">
            <w:pPr>
              <w:pStyle w:val="16"/>
              <w:pageBreakBefore w:val="0"/>
              <w:wordWrap/>
              <w:bidi w:val="0"/>
              <w:adjustRightInd w:val="0"/>
              <w:snapToGrid w:val="0"/>
              <w:spacing w:line="360" w:lineRule="auto"/>
              <w:ind w:firstLine="480"/>
              <w:rPr>
                <w:rFonts w:hint="eastAsia"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（2）对公益林的影响分析及保护措施</w:t>
            </w:r>
          </w:p>
          <w:p w14:paraId="5BD0C0C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根据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泸定</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县森林资源</w:t>
            </w:r>
            <w:r>
              <w:rPr>
                <w:rFonts w:hint="default" w:ascii="Times New Roman" w:hAnsi="Times New Roman" w:cs="Times New Roman"/>
                <w:color w:val="000000" w:themeColor="text1"/>
                <w:sz w:val="24"/>
                <w:szCs w:val="24"/>
                <w:highlight w:val="none"/>
                <w14:textFill>
                  <w14:solidFill>
                    <w14:schemeClr w14:val="tx1"/>
                  </w14:solidFill>
                </w14:textFill>
              </w:rPr>
              <w:t>一张图等林业资料</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本项目沿线无一级国家公益林、Ⅰ级保护林地分布，本项目建设用地不涉及法律法规禁止占用的林地类型。项目沿线林地类型主要为二级国家公益林、Ⅱ级及以下保护林地</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叠加</w:t>
            </w:r>
            <w:r>
              <w:rPr>
                <w:rFonts w:hint="default" w:ascii="Times New Roman" w:hAnsi="Times New Roman" w:cs="Times New Roman"/>
                <w:color w:val="000000" w:themeColor="text1"/>
                <w:sz w:val="24"/>
                <w:szCs w:val="24"/>
                <w:lang w:val="en-US" w:eastAsia="zh-CN"/>
                <w14:textFill>
                  <w14:solidFill>
                    <w14:schemeClr w14:val="tx1"/>
                  </w14:solidFill>
                </w14:textFill>
              </w:rPr>
              <w:t>项目</w:t>
            </w:r>
            <w:r>
              <w:rPr>
                <w:rFonts w:hint="default" w:ascii="Times New Roman" w:hAnsi="Times New Roman" w:cs="Times New Roman"/>
                <w:color w:val="000000" w:themeColor="text1"/>
                <w:sz w:val="24"/>
                <w:szCs w:val="24"/>
                <w14:textFill>
                  <w14:solidFill>
                    <w14:schemeClr w14:val="tx1"/>
                  </w14:solidFill>
                </w14:textFill>
              </w:rPr>
              <w:t>用地红线</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本项目建设将占用公益林总面积约</w:t>
            </w:r>
            <w:r>
              <w:rPr>
                <w:rFonts w:hint="eastAsia" w:ascii="Times New Roman" w:hAnsi="Times New Roman" w:cs="Times New Roman"/>
                <w:color w:val="000000" w:themeColor="text1"/>
                <w:sz w:val="24"/>
                <w:szCs w:val="24"/>
                <w:lang w:val="en-US" w:eastAsia="zh-CN"/>
                <w14:textFill>
                  <w14:solidFill>
                    <w14:schemeClr w14:val="tx1"/>
                  </w14:solidFill>
                </w14:textFill>
              </w:rPr>
              <w:t>0.36h</w:t>
            </w:r>
            <w:r>
              <w:rPr>
                <w:rFonts w:hint="default" w:ascii="Times New Roman" w:hAnsi="Times New Roman" w:cs="Times New Roman"/>
                <w:color w:val="000000" w:themeColor="text1"/>
                <w:sz w:val="24"/>
                <w:szCs w:val="24"/>
                <w14:textFill>
                  <w14:solidFill>
                    <w14:schemeClr w14:val="tx1"/>
                  </w14:solidFill>
                </w14:textFill>
              </w:rPr>
              <w:t>m</w:t>
            </w:r>
            <w:r>
              <w:rPr>
                <w:rFonts w:hint="default" w:ascii="Times New Roman" w:hAnsi="Times New Roman" w:cs="Times New Roman"/>
                <w:color w:val="000000" w:themeColor="text1"/>
                <w:sz w:val="24"/>
                <w:szCs w:val="24"/>
                <w:vertAlign w:val="superscript"/>
                <w14:textFill>
                  <w14:solidFill>
                    <w14:schemeClr w14:val="tx1"/>
                  </w14:solidFill>
                </w14:textFill>
              </w:rPr>
              <w:t>2</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本项目占用的公益林</w:t>
            </w:r>
            <w:r>
              <w:rPr>
                <w:rFonts w:hint="default" w:ascii="Times New Roman" w:hAnsi="Times New Roman" w:cs="Times New Roman"/>
                <w:color w:val="000000" w:themeColor="text1"/>
                <w:sz w:val="24"/>
                <w:szCs w:val="24"/>
                <w:highlight w:val="none"/>
                <w14:textFill>
                  <w14:solidFill>
                    <w14:schemeClr w14:val="tx1"/>
                  </w14:solidFill>
                </w14:textFill>
              </w:rPr>
              <w:t>占评价区公益林总面积的</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0.0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75</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14:textFill>
                  <w14:solidFill>
                    <w14:schemeClr w14:val="tx1"/>
                  </w14:solidFill>
                </w14:textFill>
              </w:rPr>
              <w:t>。</w:t>
            </w:r>
          </w:p>
          <w:p w14:paraId="725732E6">
            <w:pPr>
              <w:pStyle w:val="16"/>
              <w:pageBreakBefore w:val="0"/>
              <w:wordWrap/>
              <w:bidi w:val="0"/>
              <w:adjustRightInd w:val="0"/>
              <w:snapToGrid w:val="0"/>
              <w:spacing w:line="360" w:lineRule="auto"/>
              <w:ind w:firstLine="480"/>
              <w:rPr>
                <w:rFonts w:hint="default" w:ascii="Times New Roman" w:hAnsi="Times New Roman" w:cs="Times New Roman"/>
                <w:bCs/>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commentReference w:id="5"/>
            </w:r>
            <w:r>
              <w:rPr>
                <w:rFonts w:hint="default" w:ascii="Times New Roman" w:hAnsi="Times New Roman" w:cs="Times New Roman"/>
                <w:bCs/>
                <w:color w:val="000000" w:themeColor="text1"/>
                <w:sz w:val="24"/>
                <w:szCs w:val="24"/>
                <w14:textFill>
                  <w14:solidFill>
                    <w14:schemeClr w14:val="tx1"/>
                  </w14:solidFill>
                </w14:textFill>
              </w:rPr>
              <w:t>为减少项目占用公益</w:t>
            </w:r>
            <w:r>
              <w:rPr>
                <w:rFonts w:hint="default" w:ascii="Times New Roman" w:hAnsi="Times New Roman" w:cs="Times New Roman"/>
                <w:bCs/>
                <w:color w:val="000000" w:themeColor="text1"/>
                <w:sz w:val="24"/>
                <w:szCs w:val="24"/>
                <w:lang w:eastAsia="zh-CN"/>
                <w14:textFill>
                  <w14:solidFill>
                    <w14:schemeClr w14:val="tx1"/>
                  </w14:solidFill>
                </w14:textFill>
              </w:rPr>
              <w:t>林</w:t>
            </w:r>
            <w:r>
              <w:rPr>
                <w:rFonts w:hint="default" w:ascii="Times New Roman" w:hAnsi="Times New Roman" w:cs="Times New Roman"/>
                <w:bCs/>
                <w:color w:val="000000" w:themeColor="text1"/>
                <w:sz w:val="24"/>
                <w:szCs w:val="24"/>
                <w14:textFill>
                  <w14:solidFill>
                    <w14:schemeClr w14:val="tx1"/>
                  </w14:solidFill>
                </w14:textFill>
              </w:rPr>
              <w:t>的影响，报告要求</w:t>
            </w:r>
            <w:r>
              <w:rPr>
                <w:rFonts w:hint="default" w:ascii="Times New Roman" w:hAnsi="Times New Roman" w:cs="Times New Roman"/>
                <w:bCs/>
                <w:color w:val="000000" w:themeColor="text1"/>
                <w:sz w:val="24"/>
                <w:szCs w:val="24"/>
                <w:lang w:eastAsia="zh-CN"/>
                <w14:textFill>
                  <w14:solidFill>
                    <w14:schemeClr w14:val="tx1"/>
                  </w14:solidFill>
                </w14:textFill>
              </w:rPr>
              <w:t>在</w:t>
            </w:r>
            <w:r>
              <w:rPr>
                <w:rFonts w:hint="default" w:ascii="Times New Roman" w:hAnsi="Times New Roman" w:cs="Times New Roman"/>
                <w:color w:val="000000" w:themeColor="text1"/>
                <w:sz w:val="24"/>
                <w:szCs w:val="24"/>
                <w14:textFill>
                  <w14:solidFill>
                    <w14:schemeClr w14:val="tx1"/>
                  </w14:solidFill>
                </w14:textFill>
              </w:rPr>
              <w:t>施工管理过程中，严格控制对二级国家级公益林的占用，</w:t>
            </w:r>
            <w:r>
              <w:rPr>
                <w:rFonts w:hint="eastAsia"/>
                <w:color w:val="000000" w:themeColor="text1"/>
                <w:sz w:val="24"/>
                <w:szCs w:val="24"/>
                <w14:textFill>
                  <w14:solidFill>
                    <w14:schemeClr w14:val="tx1"/>
                  </w14:solidFill>
                </w14:textFill>
              </w:rPr>
              <w:t>加强对施工人员的宣传教育，在</w:t>
            </w:r>
            <w:r>
              <w:rPr>
                <w:rFonts w:hint="eastAsia"/>
                <w:color w:val="000000" w:themeColor="text1"/>
                <w:sz w:val="24"/>
                <w:szCs w:val="24"/>
                <w:lang w:val="en-US" w:eastAsia="zh-CN"/>
                <w14:textFill>
                  <w14:solidFill>
                    <w14:schemeClr w14:val="tx1"/>
                  </w14:solidFill>
                </w14:textFill>
              </w:rPr>
              <w:t>公益林</w:t>
            </w:r>
            <w:r>
              <w:rPr>
                <w:rFonts w:hint="eastAsia"/>
                <w:color w:val="000000" w:themeColor="text1"/>
                <w:sz w:val="24"/>
                <w:szCs w:val="24"/>
                <w14:textFill>
                  <w14:solidFill>
                    <w14:schemeClr w14:val="tx1"/>
                  </w14:solidFill>
                </w14:textFill>
              </w:rPr>
              <w:t>附近设立保护标牌，除了手续允许占用的</w:t>
            </w:r>
            <w:r>
              <w:rPr>
                <w:rFonts w:hint="eastAsia"/>
                <w:color w:val="000000" w:themeColor="text1"/>
                <w:sz w:val="24"/>
                <w:szCs w:val="24"/>
                <w:lang w:val="en-US" w:eastAsia="zh-CN"/>
                <w14:textFill>
                  <w14:solidFill>
                    <w14:schemeClr w14:val="tx1"/>
                  </w14:solidFill>
                </w14:textFill>
              </w:rPr>
              <w:t>公益林</w:t>
            </w:r>
            <w:r>
              <w:rPr>
                <w:rFonts w:hint="eastAsia"/>
                <w:color w:val="000000" w:themeColor="text1"/>
                <w:sz w:val="24"/>
                <w:szCs w:val="24"/>
                <w14:textFill>
                  <w14:solidFill>
                    <w14:schemeClr w14:val="tx1"/>
                  </w14:solidFill>
                </w14:textFill>
              </w:rPr>
              <w:t>，占地红线外的</w:t>
            </w:r>
            <w:r>
              <w:rPr>
                <w:rFonts w:hint="eastAsia"/>
                <w:color w:val="000000" w:themeColor="text1"/>
                <w:sz w:val="24"/>
                <w:szCs w:val="24"/>
                <w:lang w:val="en-US" w:eastAsia="zh-CN"/>
                <w14:textFill>
                  <w14:solidFill>
                    <w14:schemeClr w14:val="tx1"/>
                  </w14:solidFill>
                </w14:textFill>
              </w:rPr>
              <w:t>公益</w:t>
            </w:r>
            <w:r>
              <w:rPr>
                <w:rFonts w:hint="eastAsia"/>
                <w:color w:val="000000" w:themeColor="text1"/>
                <w:sz w:val="24"/>
                <w:szCs w:val="24"/>
                <w14:textFill>
                  <w14:solidFill>
                    <w14:schemeClr w14:val="tx1"/>
                  </w14:solidFill>
                </w14:textFill>
              </w:rPr>
              <w:t>林一律不得随意占用、砍伐、放火破坏，禁止项目任何人员以烧柴名义破坏</w:t>
            </w:r>
            <w:r>
              <w:rPr>
                <w:rFonts w:hint="eastAsia"/>
                <w:color w:val="000000" w:themeColor="text1"/>
                <w:sz w:val="24"/>
                <w:szCs w:val="24"/>
                <w:lang w:val="en-US" w:eastAsia="zh-CN"/>
                <w14:textFill>
                  <w14:solidFill>
                    <w14:schemeClr w14:val="tx1"/>
                  </w14:solidFill>
                </w14:textFill>
              </w:rPr>
              <w:t>公益</w:t>
            </w:r>
            <w:r>
              <w:rPr>
                <w:rFonts w:hint="eastAsia"/>
                <w:color w:val="000000" w:themeColor="text1"/>
                <w:sz w:val="24"/>
                <w:szCs w:val="24"/>
                <w14:textFill>
                  <w14:solidFill>
                    <w14:schemeClr w14:val="tx1"/>
                  </w14:solidFill>
                </w14:textFill>
              </w:rPr>
              <w:t>林。</w:t>
            </w:r>
            <w:r>
              <w:rPr>
                <w:rFonts w:hint="eastAsia"/>
                <w:color w:val="000000" w:themeColor="text1"/>
                <w:sz w:val="24"/>
                <w:szCs w:val="24"/>
                <w:lang w:val="en-US" w:eastAsia="zh-CN"/>
                <w14:textFill>
                  <w14:solidFill>
                    <w14:schemeClr w14:val="tx1"/>
                  </w14:solidFill>
                </w14:textFill>
              </w:rPr>
              <w:t>同时，</w:t>
            </w:r>
            <w:r>
              <w:rPr>
                <w:rFonts w:hint="default" w:ascii="Times New Roman" w:hAnsi="Times New Roman" w:cs="Times New Roman"/>
                <w:bCs/>
                <w:color w:val="000000" w:themeColor="text1"/>
                <w:sz w:val="24"/>
                <w:szCs w:val="24"/>
                <w14:textFill>
                  <w14:solidFill>
                    <w14:schemeClr w14:val="tx1"/>
                  </w14:solidFill>
                </w14:textFill>
              </w:rPr>
              <w:t>建设单位在开工建设之前依法缴纳森林植被恢复费，并严格按照《建设项目使用林地审核审批管理办法》有关规定办理使用林地手续，涉及林木采伐的，按相关规定依法办理林木采伐手续</w:t>
            </w:r>
            <w:r>
              <w:rPr>
                <w:rFonts w:hint="default" w:ascii="Times New Roman" w:hAnsi="Times New Roman" w:cs="Times New Roman"/>
                <w:bCs/>
                <w:color w:val="000000" w:themeColor="text1"/>
                <w:sz w:val="24"/>
                <w:szCs w:val="24"/>
                <w:lang w:eastAsia="zh-CN"/>
                <w14:textFill>
                  <w14:solidFill>
                    <w14:schemeClr w14:val="tx1"/>
                  </w14:solidFill>
                </w14:textFill>
              </w:rPr>
              <w:t>，</w:t>
            </w:r>
            <w:r>
              <w:rPr>
                <w:rFonts w:hint="default" w:ascii="Times New Roman" w:hAnsi="Times New Roman" w:cs="Times New Roman"/>
                <w:bCs/>
                <w:color w:val="000000" w:themeColor="text1"/>
                <w:sz w:val="24"/>
                <w:szCs w:val="24"/>
                <w14:textFill>
                  <w14:solidFill>
                    <w14:schemeClr w14:val="tx1"/>
                  </w14:solidFill>
                </w14:textFill>
              </w:rPr>
              <w:t>缴纳的植被恢复费用于项目建设后期林地恢复。</w:t>
            </w:r>
          </w:p>
          <w:p w14:paraId="4388B6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Cs/>
                <w:color w:val="000000" w:themeColor="text1"/>
                <w:sz w:val="24"/>
                <w:szCs w:val="24"/>
                <w14:textFill>
                  <w14:solidFill>
                    <w14:schemeClr w14:val="tx1"/>
                  </w14:solidFill>
                </w14:textFill>
              </w:rPr>
            </w:pPr>
            <w:r>
              <w:rPr>
                <w:rFonts w:hint="default" w:ascii="Times New Roman" w:hAnsi="Times New Roman" w:cs="Times New Roman"/>
                <w:bCs/>
                <w:color w:val="000000" w:themeColor="text1"/>
                <w:sz w:val="24"/>
                <w:szCs w:val="24"/>
                <w14:textFill>
                  <w14:solidFill>
                    <w14:schemeClr w14:val="tx1"/>
                  </w14:solidFill>
                </w14:textFill>
              </w:rPr>
              <w:t>在落实上述措施的情况下，项目对周边公益林地的影响较小。</w:t>
            </w:r>
          </w:p>
          <w:p w14:paraId="1DCC6A0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cs="Times New Roman"/>
                <w:b/>
                <w:bCs w:val="0"/>
                <w:color w:val="000000" w:themeColor="text1"/>
                <w:sz w:val="24"/>
                <w:lang w:val="en-US" w:eastAsia="zh-CN"/>
                <w14:textFill>
                  <w14:solidFill>
                    <w14:schemeClr w14:val="tx1"/>
                  </w14:solidFill>
                </w14:textFill>
              </w:rPr>
            </w:pPr>
            <w:r>
              <w:rPr>
                <w:rFonts w:hint="eastAsia" w:ascii="Times New Roman" w:hAnsi="Times New Roman" w:cs="Times New Roman"/>
                <w:b/>
                <w:bCs w:val="0"/>
                <w:color w:val="000000" w:themeColor="text1"/>
                <w:sz w:val="24"/>
                <w:lang w:val="en-US" w:eastAsia="zh-CN"/>
                <w14:textFill>
                  <w14:solidFill>
                    <w14:schemeClr w14:val="tx1"/>
                  </w14:solidFill>
                </w14:textFill>
              </w:rPr>
              <w:t>10、施工期生态监测</w:t>
            </w:r>
          </w:p>
          <w:p w14:paraId="083EF696">
            <w:pPr>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hint="eastAsia" w:ascii="Times New Roman" w:hAnsi="Times New Roman"/>
                <w:color w:val="000000" w:themeColor="text1"/>
                <w:sz w:val="24"/>
                <w:lang w:val="en-US" w:eastAsia="zh-CN"/>
                <w14:textFill>
                  <w14:solidFill>
                    <w14:schemeClr w14:val="tx1"/>
                  </w14:solidFill>
                </w14:textFill>
              </w:rPr>
              <w:t>结合《泸定县林业利和草原局关于同意泸定县城区自来水厂备用水源取水工程新建项目进人四川大熊猫栖息地世界自然遗产缓冲区的审核意见》（泸林护审字〔2025〕02号），</w:t>
            </w:r>
            <w:r>
              <w:rPr>
                <w:rFonts w:ascii="Times New Roman" w:hAnsi="Times New Roman"/>
                <w:color w:val="000000" w:themeColor="text1"/>
                <w:sz w:val="24"/>
                <w14:textFill>
                  <w14:solidFill>
                    <w14:schemeClr w14:val="tx1"/>
                  </w14:solidFill>
                </w14:textFill>
              </w:rPr>
              <w:t>为保证项目的有效管理，建设单位必须在项目</w:t>
            </w:r>
            <w:r>
              <w:rPr>
                <w:rFonts w:hint="eastAsia" w:ascii="Times New Roman" w:hAnsi="Times New Roman"/>
                <w:color w:val="000000" w:themeColor="text1"/>
                <w:sz w:val="24"/>
                <w14:textFill>
                  <w14:solidFill>
                    <w14:schemeClr w14:val="tx1"/>
                  </w14:solidFill>
                </w14:textFill>
              </w:rPr>
              <w:t>施工</w:t>
            </w:r>
            <w:r>
              <w:rPr>
                <w:rFonts w:hint="eastAsia" w:ascii="Times New Roman" w:hAnsi="Times New Roman"/>
                <w:color w:val="000000" w:themeColor="text1"/>
                <w:sz w:val="24"/>
                <w:lang w:val="en-US" w:eastAsia="zh-CN"/>
                <w14:textFill>
                  <w14:solidFill>
                    <w14:schemeClr w14:val="tx1"/>
                  </w14:solidFill>
                </w14:textFill>
              </w:rPr>
              <w:t>期间进行</w:t>
            </w:r>
            <w:r>
              <w:rPr>
                <w:rFonts w:ascii="Times New Roman" w:hAnsi="Times New Roman"/>
                <w:color w:val="000000" w:themeColor="text1"/>
                <w:sz w:val="24"/>
                <w14:textFill>
                  <w14:solidFill>
                    <w14:schemeClr w14:val="tx1"/>
                  </w14:solidFill>
                </w14:textFill>
              </w:rPr>
              <w:t>生态监测与监理，建立项目对野生动植物影响生态监测体系和制度，明确监测任务、监测人员、监测时间及频次等。</w:t>
            </w:r>
          </w:p>
          <w:p w14:paraId="649C9828">
            <w:pPr>
              <w:adjustRightInd w:val="0"/>
              <w:snapToGrid w:val="0"/>
              <w:spacing w:line="360" w:lineRule="auto"/>
              <w:ind w:firstLine="482" w:firstLineChars="200"/>
              <w:rPr>
                <w:rFonts w:ascii="Times New Roman" w:hAnsi="Times New Roman"/>
                <w:b/>
                <w:bCs/>
                <w:iCs/>
                <w:color w:val="000000" w:themeColor="text1"/>
                <w:sz w:val="24"/>
                <w14:textFill>
                  <w14:solidFill>
                    <w14:schemeClr w14:val="tx1"/>
                  </w14:solidFill>
                </w14:textFill>
              </w:rPr>
            </w:pPr>
            <w:r>
              <w:rPr>
                <w:rFonts w:ascii="Times New Roman" w:hAnsi="Times New Roman"/>
                <w:b/>
                <w:bCs/>
                <w:iCs/>
                <w:color w:val="000000" w:themeColor="text1"/>
                <w:sz w:val="24"/>
                <w14:textFill>
                  <w14:solidFill>
                    <w14:schemeClr w14:val="tx1"/>
                  </w14:solidFill>
                </w14:textFill>
              </w:rPr>
              <w:t>（1）</w:t>
            </w:r>
            <w:r>
              <w:rPr>
                <w:rFonts w:ascii="Times New Roman" w:hAnsi="Times New Roman"/>
                <w:b/>
                <w:bCs/>
                <w:color w:val="000000" w:themeColor="text1"/>
                <w:sz w:val="24"/>
                <w14:textFill>
                  <w14:solidFill>
                    <w14:schemeClr w14:val="tx1"/>
                  </w14:solidFill>
                </w14:textFill>
              </w:rPr>
              <w:t>生态监测内容</w:t>
            </w:r>
          </w:p>
          <w:p w14:paraId="63754558">
            <w:pPr>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本项目</w:t>
            </w:r>
            <w:r>
              <w:rPr>
                <w:rFonts w:hint="eastAsia" w:ascii="Times New Roman" w:hAnsi="Times New Roman"/>
                <w:color w:val="000000" w:themeColor="text1"/>
                <w:sz w:val="24"/>
                <w:lang w:val="en-US" w:eastAsia="zh-CN"/>
                <w14:textFill>
                  <w14:solidFill>
                    <w14:schemeClr w14:val="tx1"/>
                  </w14:solidFill>
                </w14:textFill>
              </w:rPr>
              <w:t>陆生</w:t>
            </w:r>
            <w:r>
              <w:rPr>
                <w:rFonts w:ascii="Times New Roman" w:hAnsi="Times New Roman"/>
                <w:color w:val="000000" w:themeColor="text1"/>
                <w:sz w:val="24"/>
                <w14:textFill>
                  <w14:solidFill>
                    <w14:schemeClr w14:val="tx1"/>
                  </w14:solidFill>
                </w14:textFill>
              </w:rPr>
              <w:t>监测内容</w:t>
            </w:r>
            <w:r>
              <w:rPr>
                <w:rFonts w:hint="eastAsia" w:ascii="Times New Roman" w:hAnsi="Times New Roman"/>
                <w:color w:val="000000" w:themeColor="text1"/>
                <w:sz w:val="24"/>
                <w:lang w:val="en-US" w:eastAsia="zh-CN"/>
                <w14:textFill>
                  <w14:solidFill>
                    <w14:schemeClr w14:val="tx1"/>
                  </w14:solidFill>
                </w14:textFill>
              </w:rPr>
              <w:t>包括占地及评价区植物种类及数量，群落结构多样性，</w:t>
            </w:r>
            <w:r>
              <w:rPr>
                <w:rFonts w:ascii="Times New Roman" w:hAnsi="Times New Roman"/>
                <w:color w:val="000000" w:themeColor="text1"/>
                <w:sz w:val="24"/>
                <w14:textFill>
                  <w14:solidFill>
                    <w14:schemeClr w14:val="tx1"/>
                  </w14:solidFill>
                </w14:textFill>
              </w:rPr>
              <w:t>区域环境野生动植物种类、数量、种群密度、受威胁情况、栖息地恢复状况等。</w:t>
            </w:r>
            <w:r>
              <w:rPr>
                <w:rFonts w:hint="eastAsia" w:ascii="宋体" w:hAnsi="宋体" w:eastAsia="宋体"/>
                <w:color w:val="000000" w:themeColor="text1"/>
                <w:sz w:val="24"/>
                <w:szCs w:val="24"/>
                <w14:textFill>
                  <w14:solidFill>
                    <w14:schemeClr w14:val="tx1"/>
                  </w14:solidFill>
                </w14:textFill>
              </w:rPr>
              <w:t>水生生态环境主要调查和监测浮游植物、浮游动物种群数量、密度、生物量</w:t>
            </w:r>
            <w:r>
              <w:rPr>
                <w:rFonts w:hint="eastAsia" w:ascii="宋体" w:hAnsi="宋体" w:eastAsia="宋体"/>
                <w:color w:val="000000" w:themeColor="text1"/>
                <w:sz w:val="24"/>
                <w:szCs w:val="24"/>
                <w:lang w:eastAsia="zh-CN"/>
                <w14:textFill>
                  <w14:solidFill>
                    <w14:schemeClr w14:val="tx1"/>
                  </w14:solidFill>
                </w14:textFill>
              </w:rPr>
              <w:t>的</w:t>
            </w:r>
            <w:r>
              <w:rPr>
                <w:rFonts w:hint="eastAsia" w:ascii="宋体" w:hAnsi="宋体" w:eastAsia="宋体"/>
                <w:color w:val="000000" w:themeColor="text1"/>
                <w:sz w:val="24"/>
                <w:szCs w:val="24"/>
                <w:lang w:val="en-US" w:eastAsia="zh-CN"/>
                <w14:textFill>
                  <w14:solidFill>
                    <w14:schemeClr w14:val="tx1"/>
                  </w14:solidFill>
                </w14:textFill>
              </w:rPr>
              <w:t>变化情况</w:t>
            </w:r>
            <w:r>
              <w:rPr>
                <w:rFonts w:hint="eastAsia" w:ascii="宋体" w:hAnsi="宋体"/>
                <w:color w:val="000000" w:themeColor="text1"/>
                <w:sz w:val="24"/>
                <w:szCs w:val="24"/>
                <w:lang w:val="en-US" w:eastAsia="zh-CN"/>
                <w14:textFill>
                  <w14:solidFill>
                    <w14:schemeClr w14:val="tx1"/>
                  </w14:solidFill>
                </w14:textFill>
              </w:rPr>
              <w:t>、鱼类“三场”变化情况</w:t>
            </w:r>
            <w:r>
              <w:rPr>
                <w:rFonts w:hint="eastAsia" w:ascii="宋体" w:hAnsi="宋体" w:eastAsia="宋体"/>
                <w:color w:val="000000" w:themeColor="text1"/>
                <w:sz w:val="24"/>
                <w:szCs w:val="24"/>
                <w:lang w:val="en-US" w:eastAsia="zh-CN"/>
                <w14:textFill>
                  <w14:solidFill>
                    <w14:schemeClr w14:val="tx1"/>
                  </w14:solidFill>
                </w14:textFill>
              </w:rPr>
              <w:t>。</w:t>
            </w:r>
          </w:p>
          <w:p w14:paraId="26791A43">
            <w:pPr>
              <w:adjustRightInd w:val="0"/>
              <w:snapToGrid w:val="0"/>
              <w:spacing w:line="360" w:lineRule="auto"/>
              <w:ind w:firstLine="482" w:firstLineChars="200"/>
              <w:rPr>
                <w:rFonts w:ascii="Times New Roman" w:hAnsi="Times New Roman"/>
                <w:b/>
                <w:bCs/>
                <w:iCs/>
                <w:color w:val="000000" w:themeColor="text1"/>
                <w:sz w:val="24"/>
                <w14:textFill>
                  <w14:solidFill>
                    <w14:schemeClr w14:val="tx1"/>
                  </w14:solidFill>
                </w14:textFill>
              </w:rPr>
            </w:pPr>
            <w:r>
              <w:rPr>
                <w:rFonts w:ascii="Times New Roman" w:hAnsi="Times New Roman"/>
                <w:b/>
                <w:bCs/>
                <w:iCs/>
                <w:color w:val="000000" w:themeColor="text1"/>
                <w:sz w:val="24"/>
                <w14:textFill>
                  <w14:solidFill>
                    <w14:schemeClr w14:val="tx1"/>
                  </w14:solidFill>
                </w14:textFill>
              </w:rPr>
              <w:t>（2）</w:t>
            </w:r>
            <w:r>
              <w:rPr>
                <w:rFonts w:hint="eastAsia" w:ascii="Times New Roman" w:hAnsi="Times New Roman"/>
                <w:b/>
                <w:bCs/>
                <w:iCs/>
                <w:color w:val="000000" w:themeColor="text1"/>
                <w:sz w:val="24"/>
                <w14:textFill>
                  <w14:solidFill>
                    <w14:schemeClr w14:val="tx1"/>
                  </w14:solidFill>
                </w14:textFill>
              </w:rPr>
              <w:t>检测方法</w:t>
            </w:r>
          </w:p>
          <w:p w14:paraId="6EC8B53F">
            <w:pPr>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植物监测以固定样方进行监测；鸟类、爬行类、两栖类设置调查样线进行观察记录（记录种类、数量、距离、活动痕迹、粪便、时间等调查参数）；小兽类在项目占地及周边区域随机选择样地以“铗夜法”记录各类生境中的小兽类数量、种类等。</w:t>
            </w:r>
            <w:r>
              <w:rPr>
                <w:rFonts w:hint="eastAsia" w:ascii="Times New Roman" w:hAnsi="Times New Roman"/>
                <w:color w:val="000000" w:themeColor="text1"/>
                <w:sz w:val="24"/>
                <w:lang w:val="en-US" w:eastAsia="zh-CN"/>
                <w14:textFill>
                  <w14:solidFill>
                    <w14:schemeClr w14:val="tx1"/>
                  </w14:solidFill>
                </w14:textFill>
              </w:rPr>
              <w:t>水生植物、浮游植物、浮游动物、底栖动物通过设置采样断面进行监测，鱼类主要通过捕捞的方式进行调查。鱼类“三场”主要通过</w:t>
            </w:r>
            <w:r>
              <w:rPr>
                <w:rFonts w:hint="default" w:ascii="Times New Roman" w:hAnsi="Times New Roman" w:eastAsia="宋体" w:cs="Times New Roman"/>
                <w:color w:val="000000" w:themeColor="text1"/>
                <w:sz w:val="24"/>
                <w14:textFill>
                  <w14:solidFill>
                    <w14:schemeClr w14:val="tx1"/>
                  </w14:solidFill>
                </w14:textFill>
              </w:rPr>
              <w:t>走访当地捕鱼爱好者和沿河居民，了解鱼类主要集中地和鱼类繁殖情况，结合鱼类生物学特性、调查河段的河流形态和水文学特征分析评价范围内鱼类“三场”分布</w:t>
            </w:r>
            <w:r>
              <w:rPr>
                <w:rFonts w:hint="eastAsia" w:ascii="Times New Roman" w:hAnsi="Times New Roman" w:cs="Times New Roman"/>
                <w:color w:val="000000" w:themeColor="text1"/>
                <w:sz w:val="24"/>
                <w:lang w:val="en-US" w:eastAsia="zh-CN"/>
                <w14:textFill>
                  <w14:solidFill>
                    <w14:schemeClr w14:val="tx1"/>
                  </w14:solidFill>
                </w14:textFill>
              </w:rPr>
              <w:t>变化情况</w:t>
            </w:r>
            <w:r>
              <w:rPr>
                <w:rFonts w:hint="eastAsia" w:ascii="Times New Roman" w:hAnsi="Times New Roman" w:cs="Times New Roman"/>
                <w:color w:val="000000" w:themeColor="text1"/>
                <w:sz w:val="24"/>
                <w:lang w:eastAsia="zh-CN"/>
                <w14:textFill>
                  <w14:solidFill>
                    <w14:schemeClr w14:val="tx1"/>
                  </w14:solidFill>
                </w14:textFill>
              </w:rPr>
              <w:t>。</w:t>
            </w:r>
          </w:p>
          <w:p w14:paraId="7BADF719">
            <w:pPr>
              <w:adjustRightInd w:val="0"/>
              <w:snapToGrid w:val="0"/>
              <w:spacing w:line="360" w:lineRule="auto"/>
              <w:ind w:firstLine="482" w:firstLineChars="200"/>
              <w:rPr>
                <w:rFonts w:ascii="Times New Roman" w:hAnsi="Times New Roman"/>
                <w:b/>
                <w:bCs/>
                <w:iCs/>
                <w:color w:val="000000" w:themeColor="text1"/>
                <w:sz w:val="24"/>
                <w14:textFill>
                  <w14:solidFill>
                    <w14:schemeClr w14:val="tx1"/>
                  </w14:solidFill>
                </w14:textFill>
              </w:rPr>
            </w:pPr>
            <w:r>
              <w:rPr>
                <w:rFonts w:ascii="Times New Roman" w:hAnsi="Times New Roman"/>
                <w:b/>
                <w:bCs/>
                <w:iCs/>
                <w:color w:val="000000" w:themeColor="text1"/>
                <w:sz w:val="24"/>
                <w14:textFill>
                  <w14:solidFill>
                    <w14:schemeClr w14:val="tx1"/>
                  </w14:solidFill>
                </w14:textFill>
              </w:rPr>
              <w:t>（3）生态监测样地的选择</w:t>
            </w:r>
          </w:p>
          <w:p w14:paraId="7C7A2979">
            <w:pPr>
              <w:adjustRightInd w:val="0"/>
              <w:snapToGrid w:val="0"/>
              <w:spacing w:line="360" w:lineRule="auto"/>
              <w:ind w:firstLine="482" w:firstLineChars="200"/>
              <w:rPr>
                <w:rFonts w:hint="default" w:ascii="Times New Roman" w:hAnsi="Times New Roman" w:eastAsia="宋体"/>
                <w:color w:val="000000" w:themeColor="text1"/>
                <w:kern w:val="0"/>
                <w:sz w:val="24"/>
                <w:highlight w:val="none"/>
                <w:lang w:val="en-US" w:eastAsia="zh-CN"/>
                <w14:textFill>
                  <w14:solidFill>
                    <w14:schemeClr w14:val="tx1"/>
                  </w14:solidFill>
                </w14:textFill>
              </w:rPr>
            </w:pPr>
            <w:r>
              <w:rPr>
                <w:rFonts w:hint="eastAsia" w:ascii="Times New Roman" w:hAnsi="Times New Roman"/>
                <w:b/>
                <w:bCs/>
                <w:color w:val="000000" w:themeColor="text1"/>
                <w:kern w:val="0"/>
                <w:sz w:val="24"/>
                <w:lang w:val="en-US" w:eastAsia="zh-CN"/>
                <w14:textFill>
                  <w14:solidFill>
                    <w14:schemeClr w14:val="tx1"/>
                  </w14:solidFill>
                </w14:textFill>
              </w:rPr>
              <w:t>陆生调查：</w:t>
            </w:r>
            <w:r>
              <w:rPr>
                <w:rFonts w:hint="eastAsia" w:ascii="Times New Roman" w:hAnsi="Times New Roman"/>
                <w:color w:val="000000" w:themeColor="text1"/>
                <w:kern w:val="0"/>
                <w:sz w:val="24"/>
                <w14:textFill>
                  <w14:solidFill>
                    <w14:schemeClr w14:val="tx1"/>
                  </w14:solidFill>
                </w14:textFill>
              </w:rPr>
              <w:t>样地的设置遵循以下原则。第一，设置在靠近工程长期占地区的各类生态植被中；第二，植被较好地段及湿地周边；第三，动物的潜在栖息地。一方面，用以监测森林、灌丛等植物群落组成、覆盖率、生物量等变化情况</w:t>
            </w:r>
            <w:r>
              <w:rPr>
                <w:rFonts w:hint="eastAsia" w:ascii="Times New Roman" w:hAnsi="Times New Roman"/>
                <w:color w:val="000000" w:themeColor="text1"/>
                <w:kern w:val="0"/>
                <w:sz w:val="24"/>
                <w:lang w:eastAsia="zh-CN"/>
                <w14:textFill>
                  <w14:solidFill>
                    <w14:schemeClr w14:val="tx1"/>
                  </w14:solidFill>
                </w14:textFill>
              </w:rPr>
              <w:t>；另</w:t>
            </w:r>
            <w:r>
              <w:rPr>
                <w:rFonts w:hint="eastAsia" w:ascii="Times New Roman" w:hAnsi="Times New Roman"/>
                <w:color w:val="000000" w:themeColor="text1"/>
                <w:kern w:val="0"/>
                <w:sz w:val="24"/>
                <w14:textFill>
                  <w14:solidFill>
                    <w14:schemeClr w14:val="tx1"/>
                  </w14:solidFill>
                </w14:textFill>
              </w:rPr>
              <w:t>一方面，用于监测工程的建成是否会对遗产地内的动物潜在栖息地造成较大影响。</w:t>
            </w:r>
            <w:r>
              <w:rPr>
                <w:rFonts w:hint="eastAsia" w:ascii="Times New Roman" w:hAnsi="Times New Roman"/>
                <w:color w:val="000000" w:themeColor="text1"/>
                <w:kern w:val="0"/>
                <w:sz w:val="24"/>
                <w:lang w:val="en-US" w:eastAsia="zh-CN"/>
                <w14:textFill>
                  <w14:solidFill>
                    <w14:schemeClr w14:val="tx1"/>
                  </w14:solidFill>
                </w14:textFill>
              </w:rPr>
              <w:t>本次沿着工程沿线周边影</w:t>
            </w:r>
            <w:r>
              <w:rPr>
                <w:rFonts w:hint="eastAsia" w:ascii="Times New Roman" w:hAnsi="Times New Roman"/>
                <w:color w:val="000000" w:themeColor="text1"/>
                <w:kern w:val="0"/>
                <w:sz w:val="24"/>
                <w:highlight w:val="none"/>
                <w:lang w:val="en-US" w:eastAsia="zh-CN"/>
                <w14:textFill>
                  <w14:solidFill>
                    <w14:schemeClr w14:val="tx1"/>
                  </w14:solidFill>
                </w14:textFill>
              </w:rPr>
              <w:t>响范围内设置9条生态监测样线，15个陆生生态监测样方。</w:t>
            </w:r>
          </w:p>
          <w:p w14:paraId="5F62F27C">
            <w:pPr>
              <w:adjustRightInd w:val="0"/>
              <w:snapToGrid w:val="0"/>
              <w:spacing w:line="360" w:lineRule="auto"/>
              <w:ind w:firstLine="482" w:firstLineChars="200"/>
              <w:rPr>
                <w:rFonts w:hint="default" w:ascii="Times New Roman" w:hAnsi="Times New Roman" w:eastAsia="宋体"/>
                <w:color w:val="000000" w:themeColor="text1"/>
                <w:kern w:val="0"/>
                <w:sz w:val="24"/>
                <w:lang w:val="en-US" w:eastAsia="zh-CN"/>
                <w14:textFill>
                  <w14:solidFill>
                    <w14:schemeClr w14:val="tx1"/>
                  </w14:solidFill>
                </w14:textFill>
              </w:rPr>
            </w:pPr>
            <w:r>
              <w:rPr>
                <w:rFonts w:hint="eastAsia" w:ascii="Times New Roman" w:hAnsi="Times New Roman"/>
                <w:b/>
                <w:bCs/>
                <w:color w:val="000000" w:themeColor="text1"/>
                <w:kern w:val="0"/>
                <w:sz w:val="24"/>
                <w:highlight w:val="none"/>
                <w:lang w:val="en-US" w:eastAsia="zh-CN"/>
                <w14:textFill>
                  <w14:solidFill>
                    <w14:schemeClr w14:val="tx1"/>
                  </w14:solidFill>
                </w14:textFill>
              </w:rPr>
              <w:t>水生调查：</w:t>
            </w:r>
            <w:r>
              <w:rPr>
                <w:rFonts w:hint="eastAsia" w:ascii="Times New Roman" w:hAnsi="Times New Roman"/>
                <w:color w:val="000000" w:themeColor="text1"/>
                <w:kern w:val="0"/>
                <w:sz w:val="24"/>
                <w:highlight w:val="none"/>
                <w:lang w:val="en-US" w:eastAsia="zh-CN"/>
                <w14:textFill>
                  <w14:solidFill>
                    <w14:schemeClr w14:val="tx1"/>
                  </w14:solidFill>
                </w14:textFill>
              </w:rPr>
              <w:t>本项目在水生生态评价范围内设置3个水生生</w:t>
            </w:r>
            <w:r>
              <w:rPr>
                <w:rFonts w:hint="eastAsia" w:ascii="Times New Roman" w:hAnsi="Times New Roman"/>
                <w:color w:val="000000" w:themeColor="text1"/>
                <w:kern w:val="0"/>
                <w:sz w:val="24"/>
                <w:lang w:val="en-US" w:eastAsia="zh-CN"/>
                <w14:textFill>
                  <w14:solidFill>
                    <w14:schemeClr w14:val="tx1"/>
                  </w14:solidFill>
                </w14:textFill>
              </w:rPr>
              <w:t>态采样点</w:t>
            </w:r>
            <w:r>
              <w:rPr>
                <w:rFonts w:hint="eastAsia" w:ascii="Times New Roman" w:hAnsi="Times New Roman"/>
                <w:color w:val="000000" w:themeColor="text1"/>
                <w:sz w:val="24"/>
                <w:lang w:val="en-US" w:eastAsia="zh-CN"/>
                <w14:textFill>
                  <w14:solidFill>
                    <w14:schemeClr w14:val="tx1"/>
                  </w14:solidFill>
                </w14:textFill>
              </w:rPr>
              <w:t>，</w:t>
            </w:r>
            <w:r>
              <w:rPr>
                <w:rFonts w:hint="eastAsia" w:ascii="Times New Roman" w:hAnsi="Times New Roman"/>
                <w:color w:val="000000" w:themeColor="text1"/>
                <w:kern w:val="0"/>
                <w:sz w:val="24"/>
                <w:lang w:val="en-US" w:eastAsia="zh-CN"/>
                <w14:textFill>
                  <w14:solidFill>
                    <w14:schemeClr w14:val="tx1"/>
                  </w14:solidFill>
                </w14:textFill>
              </w:rPr>
              <w:t>进行水生生态调查和监测。</w:t>
            </w:r>
          </w:p>
          <w:p w14:paraId="77F48710">
            <w:pPr>
              <w:adjustRightInd w:val="0"/>
              <w:snapToGrid w:val="0"/>
              <w:spacing w:line="360" w:lineRule="auto"/>
              <w:ind w:firstLine="480" w:firstLineChars="200"/>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（4）生态监测项目及指标</w:t>
            </w:r>
          </w:p>
          <w:p w14:paraId="697101F0">
            <w:pPr>
              <w:adjustRightInd w:val="0"/>
              <w:snapToGrid w:val="0"/>
              <w:spacing w:line="360" w:lineRule="auto"/>
              <w:ind w:firstLine="480" w:firstLineChars="200"/>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ascii="Times New Roman" w:hAnsi="Times New Roman"/>
                <w:bCs/>
                <w:color w:val="000000" w:themeColor="text1"/>
                <w:kern w:val="0"/>
                <w:sz w:val="24"/>
                <w14:textFill>
                  <w14:solidFill>
                    <w14:schemeClr w14:val="tx1"/>
                  </w14:solidFill>
                </w14:textFill>
              </w:rPr>
              <w:t>为了实时掌握项目实施对</w:t>
            </w:r>
            <w:r>
              <w:rPr>
                <w:rFonts w:hint="eastAsia" w:ascii="Times New Roman" w:hAnsi="Times New Roman"/>
                <w:bCs/>
                <w:color w:val="000000" w:themeColor="text1"/>
                <w:kern w:val="0"/>
                <w:sz w:val="24"/>
                <w:lang w:val="en-US" w:eastAsia="zh-CN"/>
                <w14:textFill>
                  <w14:solidFill>
                    <w14:schemeClr w14:val="tx1"/>
                  </w14:solidFill>
                </w14:textFill>
              </w:rPr>
              <w:t>区域</w:t>
            </w:r>
            <w:r>
              <w:rPr>
                <w:rFonts w:ascii="Times New Roman" w:hAnsi="Times New Roman"/>
                <w:bCs/>
                <w:color w:val="000000" w:themeColor="text1"/>
                <w:kern w:val="0"/>
                <w:sz w:val="24"/>
                <w:highlight w:val="none"/>
                <w14:textFill>
                  <w14:solidFill>
                    <w14:schemeClr w14:val="tx1"/>
                  </w14:solidFill>
                </w14:textFill>
              </w:rPr>
              <w:t>动植物物种多样性的影响，</w:t>
            </w:r>
            <w:r>
              <w:rPr>
                <w:rFonts w:hint="eastAsia" w:ascii="Times New Roman" w:hAnsi="Times New Roman"/>
                <w:bCs/>
                <w:color w:val="000000" w:themeColor="text1"/>
                <w:kern w:val="0"/>
                <w:sz w:val="24"/>
                <w:highlight w:val="none"/>
                <w14:textFill>
                  <w14:solidFill>
                    <w14:schemeClr w14:val="tx1"/>
                  </w14:solidFill>
                </w14:textFill>
              </w:rPr>
              <w:t>本项目</w:t>
            </w:r>
            <w:r>
              <w:rPr>
                <w:rFonts w:ascii="Times New Roman" w:hAnsi="Times New Roman"/>
                <w:color w:val="000000" w:themeColor="text1"/>
                <w:kern w:val="0"/>
                <w:sz w:val="24"/>
                <w:highlight w:val="none"/>
                <w14:textFill>
                  <w14:solidFill>
                    <w14:schemeClr w14:val="tx1"/>
                  </w14:solidFill>
                </w14:textFill>
              </w:rPr>
              <w:t>在评价区设置</w:t>
            </w:r>
            <w:r>
              <w:rPr>
                <w:rFonts w:hint="eastAsia" w:ascii="Times New Roman" w:hAnsi="Times New Roman"/>
                <w:color w:val="000000" w:themeColor="text1"/>
                <w:kern w:val="0"/>
                <w:sz w:val="24"/>
                <w:highlight w:val="none"/>
                <w:lang w:val="en-US" w:eastAsia="zh-CN"/>
                <w14:textFill>
                  <w14:solidFill>
                    <w14:schemeClr w14:val="tx1"/>
                  </w14:solidFill>
                </w14:textFill>
              </w:rPr>
              <w:t>9</w:t>
            </w:r>
            <w:r>
              <w:rPr>
                <w:rFonts w:hint="eastAsia" w:ascii="Times New Roman" w:hAnsi="Times New Roman"/>
                <w:color w:val="000000" w:themeColor="text1"/>
                <w:kern w:val="0"/>
                <w:sz w:val="24"/>
                <w:highlight w:val="none"/>
                <w14:textFill>
                  <w14:solidFill>
                    <w14:schemeClr w14:val="tx1"/>
                  </w14:solidFill>
                </w14:textFill>
              </w:rPr>
              <w:t>条监测样线和</w:t>
            </w:r>
            <w:r>
              <w:rPr>
                <w:rFonts w:hint="eastAsia" w:ascii="Times New Roman" w:hAnsi="Times New Roman"/>
                <w:color w:val="000000" w:themeColor="text1"/>
                <w:kern w:val="0"/>
                <w:sz w:val="24"/>
                <w:highlight w:val="none"/>
                <w:lang w:val="en-US" w:eastAsia="zh-CN"/>
                <w14:textFill>
                  <w14:solidFill>
                    <w14:schemeClr w14:val="tx1"/>
                  </w14:solidFill>
                </w14:textFill>
              </w:rPr>
              <w:t>15</w:t>
            </w:r>
            <w:r>
              <w:rPr>
                <w:rFonts w:hint="eastAsia" w:ascii="Times New Roman" w:hAnsi="Times New Roman"/>
                <w:color w:val="000000" w:themeColor="text1"/>
                <w:kern w:val="0"/>
                <w:sz w:val="24"/>
                <w:highlight w:val="none"/>
                <w14:textFill>
                  <w14:solidFill>
                    <w14:schemeClr w14:val="tx1"/>
                  </w14:solidFill>
                </w14:textFill>
              </w:rPr>
              <w:t>个监测样方，</w:t>
            </w:r>
            <w:r>
              <w:rPr>
                <w:rFonts w:ascii="Times New Roman" w:hAnsi="Times New Roman"/>
                <w:bCs/>
                <w:color w:val="000000" w:themeColor="text1"/>
                <w:kern w:val="0"/>
                <w:sz w:val="24"/>
                <w:highlight w:val="none"/>
                <w14:textFill>
                  <w14:solidFill>
                    <w14:schemeClr w14:val="tx1"/>
                  </w14:solidFill>
                </w14:textFill>
              </w:rPr>
              <w:t>主要监测动植物多样性的变化情况，根据监测变化状况制定相应的保护</w:t>
            </w:r>
            <w:r>
              <w:rPr>
                <w:rFonts w:ascii="Times New Roman" w:hAnsi="Times New Roman"/>
                <w:bCs/>
                <w:color w:val="000000" w:themeColor="text1"/>
                <w:kern w:val="0"/>
                <w:sz w:val="24"/>
                <w14:textFill>
                  <w14:solidFill>
                    <w14:schemeClr w14:val="tx1"/>
                  </w14:solidFill>
                </w14:textFill>
              </w:rPr>
              <w:t>措施。</w:t>
            </w:r>
            <w:r>
              <w:rPr>
                <w:rFonts w:hint="eastAsia" w:ascii="Times New Roman" w:hAnsi="Times New Roman"/>
                <w:bCs/>
                <w:color w:val="000000" w:themeColor="text1"/>
                <w:kern w:val="0"/>
                <w:sz w:val="24"/>
                <w:lang w:val="en-US" w:eastAsia="zh-CN"/>
                <w14:textFill>
                  <w14:solidFill>
                    <w14:schemeClr w14:val="tx1"/>
                  </w14:solidFill>
                </w14:textFill>
              </w:rPr>
              <w:t>陆生</w:t>
            </w:r>
            <w:r>
              <w:rPr>
                <w:rFonts w:ascii="Times New Roman" w:hAnsi="Times New Roman"/>
                <w:bCs/>
                <w:color w:val="000000" w:themeColor="text1"/>
                <w:kern w:val="0"/>
                <w:sz w:val="24"/>
                <w14:textFill>
                  <w14:solidFill>
                    <w14:schemeClr w14:val="tx1"/>
                  </w14:solidFill>
                </w14:textFill>
              </w:rPr>
              <w:t>监测次数</w:t>
            </w:r>
            <w:r>
              <w:rPr>
                <w:rFonts w:hint="eastAsia" w:ascii="Times New Roman" w:hAnsi="Times New Roman"/>
                <w:bCs/>
                <w:color w:val="000000" w:themeColor="text1"/>
                <w:kern w:val="0"/>
                <w:sz w:val="24"/>
                <w14:textFill>
                  <w14:solidFill>
                    <w14:schemeClr w14:val="tx1"/>
                  </w14:solidFill>
                </w14:textFill>
              </w:rPr>
              <w:t>施工期</w:t>
            </w:r>
            <w:r>
              <w:rPr>
                <w:rFonts w:ascii="Times New Roman" w:hAnsi="Times New Roman"/>
                <w:bCs/>
                <w:color w:val="000000" w:themeColor="text1"/>
                <w:kern w:val="0"/>
                <w:sz w:val="24"/>
                <w14:textFill>
                  <w14:solidFill>
                    <w14:schemeClr w14:val="tx1"/>
                  </w14:solidFill>
                </w14:textFill>
              </w:rPr>
              <w:t>暂定为1次。</w:t>
            </w:r>
            <w:r>
              <w:rPr>
                <w:rFonts w:hint="eastAsia" w:ascii="Times New Roman" w:hAnsi="Times New Roman"/>
                <w:bCs/>
                <w:color w:val="000000" w:themeColor="text1"/>
                <w:kern w:val="0"/>
                <w:sz w:val="24"/>
                <w:lang w:val="en-US" w:eastAsia="zh-CN"/>
                <w14:textFill>
                  <w14:solidFill>
                    <w14:schemeClr w14:val="tx1"/>
                  </w14:solidFill>
                </w14:textFill>
              </w:rPr>
              <w:t>水生监测频次为</w:t>
            </w:r>
            <w:r>
              <w:rPr>
                <w:rFonts w:hint="eastAsia" w:ascii="Times New Roman" w:hAnsi="Times New Roman"/>
                <w:color w:val="000000" w:themeColor="text1"/>
                <w:sz w:val="24"/>
                <w:lang w:val="en-US" w:eastAsia="zh-CN"/>
                <w14:textFill>
                  <w14:solidFill>
                    <w14:schemeClr w14:val="tx1"/>
                  </w14:solidFill>
                </w14:textFill>
              </w:rPr>
              <w:t>施工期间每年3-6月监测一次。</w:t>
            </w:r>
            <w:r>
              <w:rPr>
                <w:rFonts w:ascii="Times New Roman" w:hAnsi="Times New Roman"/>
                <w:color w:val="000000" w:themeColor="text1"/>
                <w:sz w:val="24"/>
                <w14:textFill>
                  <w14:solidFill>
                    <w14:schemeClr w14:val="tx1"/>
                  </w14:solidFill>
                </w14:textFill>
              </w:rPr>
              <w:t>建设单位</w:t>
            </w:r>
            <w:r>
              <w:rPr>
                <w:rFonts w:hint="eastAsia" w:ascii="Times New Roman" w:hAnsi="Times New Roman"/>
                <w:color w:val="000000" w:themeColor="text1"/>
                <w:sz w:val="24"/>
                <w:lang w:val="en-US" w:eastAsia="zh-CN"/>
                <w14:textFill>
                  <w14:solidFill>
                    <w14:schemeClr w14:val="tx1"/>
                  </w14:solidFill>
                </w14:textFill>
              </w:rPr>
              <w:t>施工</w:t>
            </w: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期生态监测内容及时间见下表：</w:t>
            </w:r>
          </w:p>
          <w:p w14:paraId="71105F94">
            <w:pPr>
              <w:pStyle w:val="165"/>
              <w:keepNext w:val="0"/>
              <w:keepLines w:val="0"/>
              <w:pageBreakBefore w:val="0"/>
              <w:widowControl w:val="0"/>
              <w:numPr>
                <w:ilvl w:val="0"/>
                <w:numId w:val="21"/>
              </w:numPr>
              <w:kinsoku/>
              <w:wordWrap/>
              <w:overflowPunct/>
              <w:topLinePunct w:val="0"/>
              <w:autoSpaceDE/>
              <w:autoSpaceDN/>
              <w:bidi w:val="0"/>
              <w:adjustRightInd w:val="0"/>
              <w:snapToGrid w:val="0"/>
              <w:spacing w:line="240" w:lineRule="auto"/>
              <w:ind w:left="0" w:firstLine="0"/>
              <w:jc w:val="center"/>
              <w:textAlignment w:val="auto"/>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sz w:val="21"/>
                <w:szCs w:val="21"/>
                <w:lang w:val="en-US" w:eastAsia="zh-CN"/>
                <w14:textFill>
                  <w14:solidFill>
                    <w14:schemeClr w14:val="tx1"/>
                  </w14:solidFill>
                </w14:textFill>
              </w:rPr>
              <w:t>本项目施工期生态监测计划</w:t>
            </w:r>
          </w:p>
          <w:tbl>
            <w:tblPr>
              <w:tblStyle w:val="55"/>
              <w:tblW w:w="49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1342"/>
              <w:gridCol w:w="2247"/>
              <w:gridCol w:w="2664"/>
              <w:gridCol w:w="724"/>
            </w:tblGrid>
            <w:tr w14:paraId="66FD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661" w:type="pct"/>
                  <w:vAlign w:val="center"/>
                </w:tcPr>
                <w:p w14:paraId="74415565">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监测内容</w:t>
                  </w:r>
                </w:p>
              </w:tc>
              <w:tc>
                <w:tcPr>
                  <w:tcW w:w="834" w:type="pct"/>
                  <w:vAlign w:val="center"/>
                </w:tcPr>
                <w:p w14:paraId="1928E6A8">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方法</w:t>
                  </w:r>
                </w:p>
              </w:tc>
              <w:tc>
                <w:tcPr>
                  <w:tcW w:w="1397" w:type="pct"/>
                  <w:vAlign w:val="center"/>
                </w:tcPr>
                <w:p w14:paraId="780BF3AE">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目的</w:t>
                  </w:r>
                </w:p>
              </w:tc>
              <w:tc>
                <w:tcPr>
                  <w:tcW w:w="1656" w:type="pct"/>
                  <w:vAlign w:val="center"/>
                </w:tcPr>
                <w:p w14:paraId="5C3C27A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指标</w:t>
                  </w:r>
                </w:p>
              </w:tc>
              <w:tc>
                <w:tcPr>
                  <w:tcW w:w="450" w:type="pct"/>
                  <w:vAlign w:val="center"/>
                </w:tcPr>
                <w:p w14:paraId="5461545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频次</w:t>
                  </w:r>
                </w:p>
              </w:tc>
            </w:tr>
            <w:tr w14:paraId="7F1A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661" w:type="pct"/>
                  <w:vAlign w:val="center"/>
                </w:tcPr>
                <w:p w14:paraId="68DE9F45">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植物植被和固定样地</w:t>
                  </w:r>
                </w:p>
              </w:tc>
              <w:tc>
                <w:tcPr>
                  <w:tcW w:w="834" w:type="pct"/>
                  <w:vAlign w:val="center"/>
                </w:tcPr>
                <w:p w14:paraId="18667274">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沿公路两侧布设样线</w:t>
                  </w:r>
                </w:p>
              </w:tc>
              <w:tc>
                <w:tcPr>
                  <w:tcW w:w="1397" w:type="pct"/>
                  <w:vAlign w:val="center"/>
                </w:tcPr>
                <w:p w14:paraId="3A0ED0C3">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了解项目建设前中后期植物物种组成变化、外来物种入侵、群落结构的变化</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，植被覆盖率的变化</w:t>
                  </w:r>
                </w:p>
              </w:tc>
              <w:tc>
                <w:tcPr>
                  <w:tcW w:w="1656" w:type="pct"/>
                  <w:vAlign w:val="center"/>
                </w:tcPr>
                <w:p w14:paraId="7C3A1F7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植物种类及数量，群落结构多样性</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、植被覆盖率</w:t>
                  </w:r>
                </w:p>
              </w:tc>
              <w:tc>
                <w:tcPr>
                  <w:tcW w:w="450" w:type="pct"/>
                  <w:vAlign w:val="center"/>
                </w:tcPr>
                <w:p w14:paraId="6BA00425">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施工期1次</w:t>
                  </w:r>
                </w:p>
              </w:tc>
            </w:tr>
            <w:tr w14:paraId="7D6F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661" w:type="pct"/>
                  <w:vAlign w:val="center"/>
                </w:tcPr>
                <w:p w14:paraId="29C1016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两栖爬行类</w:t>
                  </w:r>
                </w:p>
              </w:tc>
              <w:tc>
                <w:tcPr>
                  <w:tcW w:w="834" w:type="pct"/>
                  <w:vAlign w:val="center"/>
                </w:tcPr>
                <w:p w14:paraId="5A5029D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沿公路两侧布设样线</w:t>
                  </w:r>
                </w:p>
              </w:tc>
              <w:tc>
                <w:tcPr>
                  <w:tcW w:w="1397" w:type="pct"/>
                  <w:vAlign w:val="center"/>
                </w:tcPr>
                <w:p w14:paraId="0056C70A">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了解项目建设前中后期</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公路</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沿线两栖爬行类种类、数量的变化</w:t>
                  </w:r>
                </w:p>
              </w:tc>
              <w:tc>
                <w:tcPr>
                  <w:tcW w:w="1656" w:type="pct"/>
                  <w:vAlign w:val="center"/>
                </w:tcPr>
                <w:p w14:paraId="5F669453">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两栖爬行类数量、种类及多样性</w:t>
                  </w:r>
                </w:p>
              </w:tc>
              <w:tc>
                <w:tcPr>
                  <w:tcW w:w="450" w:type="pct"/>
                  <w:vAlign w:val="center"/>
                </w:tcPr>
                <w:p w14:paraId="17B51495">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施工期1次</w:t>
                  </w:r>
                </w:p>
              </w:tc>
            </w:tr>
            <w:tr w14:paraId="202F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661" w:type="pct"/>
                  <w:vAlign w:val="center"/>
                </w:tcPr>
                <w:p w14:paraId="574A790C">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鸟类和兽类</w:t>
                  </w:r>
                </w:p>
              </w:tc>
              <w:tc>
                <w:tcPr>
                  <w:tcW w:w="834" w:type="pct"/>
                  <w:vAlign w:val="center"/>
                </w:tcPr>
                <w:p w14:paraId="38C10435">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沿公路两侧布设样线</w:t>
                  </w:r>
                </w:p>
              </w:tc>
              <w:tc>
                <w:tcPr>
                  <w:tcW w:w="1397" w:type="pct"/>
                  <w:vAlign w:val="center"/>
                </w:tcPr>
                <w:p w14:paraId="3E6D1EFB">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了解项目建设前中后期</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公路</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沿线鸟类兽类种类、数量的变化</w:t>
                  </w:r>
                </w:p>
              </w:tc>
              <w:tc>
                <w:tcPr>
                  <w:tcW w:w="1656" w:type="pct"/>
                  <w:vAlign w:val="center"/>
                </w:tcPr>
                <w:p w14:paraId="74DBD38E">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鸟类和兽类种类、数量</w:t>
                  </w:r>
                </w:p>
                <w:p w14:paraId="13B54C18">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及多样性</w:t>
                  </w:r>
                </w:p>
              </w:tc>
              <w:tc>
                <w:tcPr>
                  <w:tcW w:w="450" w:type="pct"/>
                  <w:vAlign w:val="center"/>
                </w:tcPr>
                <w:p w14:paraId="3E8C89D9">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施工期1次</w:t>
                  </w:r>
                </w:p>
              </w:tc>
            </w:tr>
            <w:tr w14:paraId="015A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661" w:type="pct"/>
                  <w:shd w:val="clear" w:color="auto" w:fill="auto"/>
                  <w:vAlign w:val="center"/>
                </w:tcPr>
                <w:p w14:paraId="52CD8DA6">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大熊猫</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世界自然遗产地</w:t>
                  </w:r>
                </w:p>
              </w:tc>
              <w:tc>
                <w:tcPr>
                  <w:tcW w:w="834" w:type="pct"/>
                  <w:shd w:val="clear" w:color="auto" w:fill="auto"/>
                  <w:vAlign w:val="center"/>
                </w:tcPr>
                <w:p w14:paraId="76B8090A">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在</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本项目大熊猫世界自然遗产地缓冲区内设置监测样线，沿线</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观测</w:t>
                  </w:r>
                </w:p>
              </w:tc>
              <w:tc>
                <w:tcPr>
                  <w:tcW w:w="1397" w:type="pct"/>
                  <w:shd w:val="clear" w:color="auto" w:fill="auto"/>
                  <w:vAlign w:val="center"/>
                </w:tcPr>
                <w:p w14:paraId="78C24CC7">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left"/>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了解项目建设、运行对大熊猫栖息地产生的影响</w:t>
                  </w:r>
                </w:p>
              </w:tc>
              <w:tc>
                <w:tcPr>
                  <w:tcW w:w="1656" w:type="pct"/>
                  <w:shd w:val="clear" w:color="auto" w:fill="auto"/>
                  <w:vAlign w:val="center"/>
                </w:tcPr>
                <w:p w14:paraId="3C67C606">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自然遗产地内珍稀濒危野生动植物</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种类及数量，群落结构多样性</w:t>
                  </w: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、自然生态系统、自然景观、世界遗产突出普遍价值</w:t>
                  </w:r>
                </w:p>
              </w:tc>
              <w:tc>
                <w:tcPr>
                  <w:tcW w:w="450" w:type="pct"/>
                  <w:shd w:val="clear" w:color="auto" w:fill="auto"/>
                  <w:vAlign w:val="center"/>
                </w:tcPr>
                <w:p w14:paraId="2A9FE349">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施工期1次</w:t>
                  </w:r>
                </w:p>
              </w:tc>
            </w:tr>
            <w:tr w14:paraId="0C6D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661" w:type="pct"/>
                  <w:vAlign w:val="center"/>
                </w:tcPr>
                <w:p w14:paraId="55788B64">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水生生物监测</w:t>
                  </w:r>
                </w:p>
              </w:tc>
              <w:tc>
                <w:tcPr>
                  <w:tcW w:w="834" w:type="pct"/>
                  <w:vAlign w:val="center"/>
                </w:tcPr>
                <w:p w14:paraId="66474E6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评价范围内的</w:t>
                  </w: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五里沟</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流域</w:t>
                  </w:r>
                </w:p>
              </w:tc>
              <w:tc>
                <w:tcPr>
                  <w:tcW w:w="1397" w:type="pct"/>
                  <w:vAlign w:val="center"/>
                </w:tcPr>
                <w:p w14:paraId="6337B850">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4"/>
                      <w:lang w:val="en-US" w:eastAsia="zh-CN" w:bidi="ar-SA"/>
                      <w14:textFill>
                        <w14:solidFill>
                          <w14:schemeClr w14:val="tx1"/>
                        </w14:solidFill>
                      </w14:textFill>
                    </w:rPr>
                    <w:t>浮游动植物、底栖动物、大型水生植物、</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鱼类</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以及重要鱼类</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等水生生物资源现状及其动态变化情况</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，鱼类“三场”变化情况</w:t>
                  </w:r>
                </w:p>
              </w:tc>
              <w:tc>
                <w:tcPr>
                  <w:tcW w:w="1656" w:type="pct"/>
                  <w:vAlign w:val="center"/>
                </w:tcPr>
                <w:p w14:paraId="2C7E68DA">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鱼类：</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鱼类资源量、鱼类种类组成、鱼类空间分布和鱼类“三场”；结合渔获物调查数据，重点研究和分析</w:t>
                  </w: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五里沟</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内</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重要保护鱼类的空间分布、资源量等现状。</w:t>
                  </w:r>
                </w:p>
                <w:p w14:paraId="623C5DF3">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水生生物：浮游植物、浮游动物、底栖动物和水生维管束植物的密度及生物量。</w:t>
                  </w:r>
                </w:p>
              </w:tc>
              <w:tc>
                <w:tcPr>
                  <w:tcW w:w="450" w:type="pct"/>
                  <w:vAlign w:val="center"/>
                </w:tcPr>
                <w:p w14:paraId="10B1FCDE">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施工期间 3-6 月监测一次</w:t>
                  </w:r>
                </w:p>
              </w:tc>
            </w:tr>
          </w:tbl>
          <w:p w14:paraId="1895C3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p>
        </w:tc>
      </w:tr>
      <w:tr w14:paraId="5C2358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83" w:hRule="atLeast"/>
        </w:trPr>
        <w:tc>
          <w:tcPr>
            <w:tcW w:w="239" w:type="pct"/>
            <w:tcMar>
              <w:left w:w="28" w:type="dxa"/>
              <w:right w:w="28" w:type="dxa"/>
            </w:tcMar>
            <w:vAlign w:val="center"/>
          </w:tcPr>
          <w:p w14:paraId="5A1A92A2">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运营</w:t>
            </w:r>
          </w:p>
          <w:p w14:paraId="48784358">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期环</w:t>
            </w:r>
          </w:p>
          <w:p w14:paraId="48BC4F6D">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境影</w:t>
            </w:r>
          </w:p>
          <w:p w14:paraId="7B3FD4DF">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响和</w:t>
            </w:r>
          </w:p>
          <w:p w14:paraId="5AD66BC4">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保护</w:t>
            </w:r>
          </w:p>
          <w:p w14:paraId="6EF128AC">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措施</w:t>
            </w:r>
          </w:p>
        </w:tc>
        <w:tc>
          <w:tcPr>
            <w:tcW w:w="4761" w:type="pct"/>
            <w:vAlign w:val="center"/>
          </w:tcPr>
          <w:p w14:paraId="5267852D">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本项目为</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水厂配套备用水源</w:t>
            </w:r>
            <w:r>
              <w:rPr>
                <w:rFonts w:hint="default" w:ascii="Times New Roman" w:hAnsi="Times New Roman" w:eastAsia="宋体" w:cs="Times New Roman"/>
                <w:b w:val="0"/>
                <w:color w:val="000000" w:themeColor="text1"/>
                <w:kern w:val="2"/>
                <w:sz w:val="24"/>
                <w:szCs w:val="24"/>
                <w14:textFill>
                  <w14:solidFill>
                    <w14:schemeClr w14:val="tx1"/>
                  </w14:solidFill>
                </w14:textFill>
              </w:rPr>
              <w:t>取水工程，水厂现有生产内容不发生变化，</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本项目</w:t>
            </w:r>
            <w:r>
              <w:rPr>
                <w:rFonts w:hint="default" w:ascii="Times New Roman" w:hAnsi="Times New Roman" w:eastAsia="宋体" w:cs="Times New Roman"/>
                <w:b w:val="0"/>
                <w:color w:val="000000" w:themeColor="text1"/>
                <w:kern w:val="2"/>
                <w:sz w:val="24"/>
                <w:szCs w:val="24"/>
                <w14:textFill>
                  <w14:solidFill>
                    <w14:schemeClr w14:val="tx1"/>
                  </w14:solidFill>
                </w14:textFill>
              </w:rPr>
              <w:t>运营期不排放废水、废气、噪声</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w:t>
            </w:r>
          </w:p>
          <w:p w14:paraId="65C1F111">
            <w:pPr>
              <w:pStyle w:val="3"/>
              <w:keepNext w:val="0"/>
              <w:snapToGrid/>
              <w:spacing w:before="0" w:after="0" w:line="360" w:lineRule="auto"/>
              <w:ind w:left="0" w:firstLine="482" w:firstLineChars="200"/>
              <w:rPr>
                <w:rFonts w:hint="default" w:ascii="Times New Roman" w:hAnsi="Times New Roman" w:eastAsia="宋体" w:cs="Times New Roman"/>
                <w:b/>
                <w:bCs w:val="0"/>
                <w:color w:val="000000" w:themeColor="text1"/>
                <w:kern w:val="2"/>
                <w:sz w:val="24"/>
                <w:szCs w:val="24"/>
                <w14:textFill>
                  <w14:solidFill>
                    <w14:schemeClr w14:val="tx1"/>
                  </w14:solidFill>
                </w14:textFill>
              </w:rPr>
            </w:pPr>
            <w:r>
              <w:rPr>
                <w:rFonts w:hint="default" w:ascii="Times New Roman" w:hAnsi="Times New Roman" w:eastAsia="宋体" w:cs="Times New Roman"/>
                <w:b/>
                <w:bCs w:val="0"/>
                <w:color w:val="000000" w:themeColor="text1"/>
                <w:kern w:val="2"/>
                <w:sz w:val="24"/>
                <w:szCs w:val="24"/>
                <w:lang w:val="en-US" w:eastAsia="zh-CN"/>
                <w14:textFill>
                  <w14:solidFill>
                    <w14:schemeClr w14:val="tx1"/>
                  </w14:solidFill>
                </w14:textFill>
              </w:rPr>
              <w:t>一、</w:t>
            </w:r>
            <w:r>
              <w:rPr>
                <w:rFonts w:hint="default" w:ascii="Times New Roman" w:hAnsi="Times New Roman" w:eastAsia="宋体" w:cs="Times New Roman"/>
                <w:b/>
                <w:bCs w:val="0"/>
                <w:color w:val="000000" w:themeColor="text1"/>
                <w:kern w:val="2"/>
                <w:sz w:val="24"/>
                <w:szCs w:val="24"/>
                <w:lang w:eastAsia="zh-CN"/>
                <w14:textFill>
                  <w14:solidFill>
                    <w14:schemeClr w14:val="tx1"/>
                  </w14:solidFill>
                </w14:textFill>
              </w:rPr>
              <w:t>运营期</w:t>
            </w:r>
            <w:r>
              <w:rPr>
                <w:rFonts w:hint="default" w:ascii="Times New Roman" w:hAnsi="Times New Roman" w:eastAsia="宋体" w:cs="Times New Roman"/>
                <w:b/>
                <w:bCs w:val="0"/>
                <w:color w:val="000000" w:themeColor="text1"/>
                <w:kern w:val="2"/>
                <w:sz w:val="24"/>
                <w:szCs w:val="24"/>
                <w14:textFill>
                  <w14:solidFill>
                    <w14:schemeClr w14:val="tx1"/>
                  </w14:solidFill>
                </w14:textFill>
              </w:rPr>
              <w:t>废水影响和保护措施</w:t>
            </w:r>
          </w:p>
          <w:p w14:paraId="694077BA">
            <w:pPr>
              <w:pStyle w:val="3"/>
              <w:keepNext w:val="0"/>
              <w:snapToGrid/>
              <w:spacing w:before="0" w:after="0" w:line="360" w:lineRule="auto"/>
              <w:ind w:left="0" w:firstLine="482" w:firstLineChars="200"/>
              <w:rPr>
                <w:rFonts w:hint="default" w:ascii="Times New Roman" w:hAnsi="Times New Roman" w:eastAsia="宋体" w:cs="Times New Roman"/>
                <w:b/>
                <w:bCs w:val="0"/>
                <w:color w:val="000000" w:themeColor="text1"/>
                <w:kern w:val="2"/>
                <w:sz w:val="24"/>
                <w:szCs w:val="24"/>
                <w:lang w:val="en-US" w:eastAsia="zh-CN"/>
                <w14:textFill>
                  <w14:solidFill>
                    <w14:schemeClr w14:val="tx1"/>
                  </w14:solidFill>
                </w14:textFill>
              </w:rPr>
            </w:pPr>
            <w:r>
              <w:rPr>
                <w:rFonts w:hint="default" w:ascii="Times New Roman" w:hAnsi="Times New Roman" w:eastAsia="宋体" w:cs="Times New Roman"/>
                <w:b/>
                <w:bCs w:val="0"/>
                <w:color w:val="000000" w:themeColor="text1"/>
                <w:kern w:val="2"/>
                <w:sz w:val="24"/>
                <w:szCs w:val="24"/>
                <w:lang w:val="en-US" w:eastAsia="zh-CN"/>
                <w14:textFill>
                  <w14:solidFill>
                    <w14:schemeClr w14:val="tx1"/>
                  </w14:solidFill>
                </w14:textFill>
              </w:rPr>
              <w:t>1、地表水环境影响</w:t>
            </w:r>
          </w:p>
          <w:p w14:paraId="2F80A79C">
            <w:pPr>
              <w:spacing w:line="360" w:lineRule="auto"/>
              <w:ind w:firstLine="482" w:firstLineChars="200"/>
              <w:rPr>
                <w:rFonts w:hint="eastAsia" w:ascii="Times New Roman" w:hAnsi="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b/>
                <w:bCs/>
                <w:color w:val="000000" w:themeColor="text1"/>
                <w:sz w:val="24"/>
                <w:szCs w:val="24"/>
                <w:highlight w:val="none"/>
                <w:lang w:val="en-US" w:eastAsia="zh-CN"/>
                <w14:textFill>
                  <w14:solidFill>
                    <w14:schemeClr w14:val="tx1"/>
                  </w14:solidFill>
                </w14:textFill>
              </w:rPr>
              <w:t>（1）水文情势影响分析</w:t>
            </w:r>
          </w:p>
          <w:p w14:paraId="38931D03">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本项目设计日取水量</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0.36</w:t>
            </w:r>
            <w:r>
              <w:rPr>
                <w:rFonts w:hint="default" w:ascii="Times New Roman" w:hAnsi="Times New Roman" w:eastAsia="宋体" w:cs="Times New Roman"/>
                <w:b w:val="0"/>
                <w:color w:val="000000" w:themeColor="text1"/>
                <w:kern w:val="2"/>
                <w:sz w:val="24"/>
                <w:szCs w:val="24"/>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14:textFill>
                  <w14:solidFill>
                    <w14:schemeClr w14:val="tx1"/>
                  </w14:solidFill>
                </w14:textFill>
              </w:rPr>
              <w:t>/d</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131.4</w:t>
            </w:r>
            <w:r>
              <w:rPr>
                <w:rFonts w:hint="default" w:ascii="Times New Roman" w:hAnsi="Times New Roman" w:eastAsia="宋体" w:cs="Times New Roman"/>
                <w:b w:val="0"/>
                <w:color w:val="000000" w:themeColor="text1"/>
                <w:kern w:val="2"/>
                <w:sz w:val="24"/>
                <w:szCs w:val="24"/>
                <w14:textFill>
                  <w14:solidFill>
                    <w14:schemeClr w14:val="tx1"/>
                  </w14:solidFill>
                </w14:textFill>
              </w:rPr>
              <w:t>万m³/a。</w:t>
            </w:r>
          </w:p>
          <w:p w14:paraId="70312A82">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下游其他用水量分为河道外需水及河道内需水两部分，其中河道外需水主要包括居民生活用水、农业及养殖用水；河道内需水主要为生态流量。</w:t>
            </w:r>
          </w:p>
          <w:p w14:paraId="038C86D1">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根据区域人口数量统计、人口增长预测，以及用水定额计算得</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五里沟</w:t>
            </w:r>
            <w:r>
              <w:rPr>
                <w:rFonts w:hint="default" w:ascii="Times New Roman" w:hAnsi="Times New Roman" w:eastAsia="宋体" w:cs="Times New Roman"/>
                <w:b w:val="0"/>
                <w:color w:val="000000" w:themeColor="text1"/>
                <w:kern w:val="2"/>
                <w:sz w:val="24"/>
                <w:szCs w:val="24"/>
                <w14:textFill>
                  <w14:solidFill>
                    <w14:schemeClr w14:val="tx1"/>
                  </w14:solidFill>
                </w14:textFill>
              </w:rPr>
              <w:t>流域部分地区生活用水量，根据</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五里沟</w:t>
            </w:r>
            <w:r>
              <w:rPr>
                <w:rFonts w:hint="default" w:ascii="Times New Roman" w:hAnsi="Times New Roman" w:eastAsia="宋体" w:cs="Times New Roman"/>
                <w:b w:val="0"/>
                <w:color w:val="000000" w:themeColor="text1"/>
                <w:kern w:val="2"/>
                <w:sz w:val="24"/>
                <w:szCs w:val="24"/>
                <w14:textFill>
                  <w14:solidFill>
                    <w14:schemeClr w14:val="tx1"/>
                  </w14:solidFill>
                </w14:textFill>
              </w:rPr>
              <w:t>流域需要灌溉的水田、水浇地、菜地、林果、鱼塘和畜禽养殖统计数据和相应的用水定额计算得</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五里沟</w:t>
            </w:r>
            <w:r>
              <w:rPr>
                <w:rFonts w:hint="default" w:ascii="Times New Roman" w:hAnsi="Times New Roman" w:eastAsia="宋体" w:cs="Times New Roman"/>
                <w:b w:val="0"/>
                <w:color w:val="000000" w:themeColor="text1"/>
                <w:kern w:val="2"/>
                <w:sz w:val="24"/>
                <w:szCs w:val="24"/>
                <w14:textFill>
                  <w14:solidFill>
                    <w14:schemeClr w14:val="tx1"/>
                  </w14:solidFill>
                </w14:textFill>
              </w:rPr>
              <w:t>流域部分地区农业及养殖用水量。</w:t>
            </w:r>
          </w:p>
          <w:p w14:paraId="12AF4C98">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河道所需生态流量生态环境需水量包括生态需水量和环境需水量两部分，即维持陆生、水生生物需水量和保护改善人类生存环境（包括水环境）所需的水量，需要考虑河流水体维持原有自然景观，使河流不萎缩断流，并能维持生态平衡。根据《河湖生态环境需水计算规范》（SL/Z712-2014）附录A</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、《深入打好长江保护修复攻坚战行动方案》（环水体〔2022〕55号）</w:t>
            </w:r>
            <w:r>
              <w:rPr>
                <w:rFonts w:hint="default" w:ascii="Times New Roman" w:hAnsi="Times New Roman" w:eastAsia="宋体" w:cs="Times New Roman"/>
                <w:b w:val="0"/>
                <w:color w:val="000000" w:themeColor="text1"/>
                <w:kern w:val="2"/>
                <w:sz w:val="24"/>
                <w:szCs w:val="24"/>
                <w14:textFill>
                  <w14:solidFill>
                    <w14:schemeClr w14:val="tx1"/>
                  </w14:solidFill>
                </w14:textFill>
              </w:rPr>
              <w:t>，</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五里沟多年平均流量为1</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val="en-US"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/s，因此下泄生态流量按0.1</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val="en-US"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/s考虑。</w:t>
            </w:r>
          </w:p>
          <w:p w14:paraId="6947EBE7">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pP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项目下游取水口位置年内生态环境需水量为</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318.90</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val="en-US"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/a，即0.864万</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val="en-US"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/d。</w:t>
            </w:r>
          </w:p>
          <w:p w14:paraId="623A46CB">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可供水量计算结合项目取水口位置来水量和用水量计算结果，按典型年份对项目取水位置进行调节计算，用水调节详见下表。</w:t>
            </w:r>
          </w:p>
          <w:p w14:paraId="77F2A48B">
            <w:pPr>
              <w:pStyle w:val="165"/>
              <w:keepNext w:val="0"/>
              <w:keepLines w:val="0"/>
              <w:pageBreakBefore w:val="0"/>
              <w:numPr>
                <w:ilvl w:val="0"/>
                <w:numId w:val="21"/>
              </w:numPr>
              <w:kinsoku/>
              <w:wordWrap/>
              <w:overflowPunct/>
              <w:topLinePunct w:val="0"/>
              <w:autoSpaceDE/>
              <w:autoSpaceDN/>
              <w:bidi w:val="0"/>
              <w:adjustRightInd w:val="0"/>
              <w:snapToGrid w:val="0"/>
              <w:spacing w:line="240" w:lineRule="auto"/>
              <w:ind w:left="0" w:firstLine="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取水口P=95%水量平衡表（五里沟）</w:t>
            </w:r>
          </w:p>
          <w:tbl>
            <w:tblPr>
              <w:tblStyle w:val="55"/>
              <w:tblW w:w="4998" w:type="pct"/>
              <w:tblInd w:w="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18"/>
              <w:gridCol w:w="620"/>
              <w:gridCol w:w="899"/>
              <w:gridCol w:w="689"/>
              <w:gridCol w:w="827"/>
              <w:gridCol w:w="584"/>
              <w:gridCol w:w="899"/>
              <w:gridCol w:w="689"/>
              <w:gridCol w:w="759"/>
              <w:gridCol w:w="690"/>
              <w:gridCol w:w="900"/>
            </w:tblGrid>
            <w:tr w14:paraId="64ED8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vMerge w:val="restart"/>
                  <w:tcBorders>
                    <w:tl2br w:val="nil"/>
                    <w:tr2bl w:val="nil"/>
                  </w:tcBorders>
                  <w:noWrap w:val="0"/>
                  <w:vAlign w:val="center"/>
                </w:tcPr>
                <w:p w14:paraId="0D21E7F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月份</w:t>
                  </w:r>
                </w:p>
              </w:tc>
              <w:tc>
                <w:tcPr>
                  <w:tcW w:w="937" w:type="pct"/>
                  <w:gridSpan w:val="2"/>
                  <w:tcBorders>
                    <w:tl2br w:val="nil"/>
                    <w:tr2bl w:val="nil"/>
                  </w:tcBorders>
                  <w:noWrap w:val="0"/>
                  <w:vAlign w:val="center"/>
                </w:tcPr>
                <w:p w14:paraId="199CB88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上游来水</w:t>
                  </w:r>
                </w:p>
              </w:tc>
              <w:tc>
                <w:tcPr>
                  <w:tcW w:w="910" w:type="pct"/>
                  <w:gridSpan w:val="2"/>
                  <w:tcBorders>
                    <w:tl2br w:val="nil"/>
                    <w:tr2bl w:val="nil"/>
                  </w:tcBorders>
                  <w:noWrap w:val="0"/>
                  <w:vAlign w:val="center"/>
                </w:tcPr>
                <w:p w14:paraId="39007C3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最小下泄流量生态用水下泄量</w:t>
                  </w:r>
                </w:p>
              </w:tc>
              <w:tc>
                <w:tcPr>
                  <w:tcW w:w="896" w:type="pct"/>
                  <w:gridSpan w:val="2"/>
                  <w:tcBorders>
                    <w:tl2br w:val="nil"/>
                    <w:tr2bl w:val="nil"/>
                  </w:tcBorders>
                  <w:noWrap w:val="0"/>
                  <w:vAlign w:val="center"/>
                </w:tcPr>
                <w:p w14:paraId="3D079DF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可供水量</w:t>
                  </w:r>
                </w:p>
              </w:tc>
              <w:tc>
                <w:tcPr>
                  <w:tcW w:w="920" w:type="pct"/>
                  <w:gridSpan w:val="2"/>
                  <w:tcBorders>
                    <w:tl2br w:val="nil"/>
                    <w:tr2bl w:val="nil"/>
                  </w:tcBorders>
                  <w:noWrap w:val="0"/>
                  <w:vAlign w:val="center"/>
                </w:tcPr>
                <w:p w14:paraId="67EF270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项目取水</w:t>
                  </w:r>
                </w:p>
              </w:tc>
              <w:tc>
                <w:tcPr>
                  <w:tcW w:w="940" w:type="pct"/>
                  <w:gridSpan w:val="2"/>
                  <w:tcBorders>
                    <w:tl2br w:val="nil"/>
                    <w:tr2bl w:val="nil"/>
                  </w:tcBorders>
                  <w:noWrap w:val="0"/>
                  <w:vAlign w:val="center"/>
                </w:tcPr>
                <w:p w14:paraId="323CE6D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余水量</w:t>
                  </w:r>
                </w:p>
              </w:tc>
            </w:tr>
            <w:tr w14:paraId="237DB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8" w:hRule="atLeast"/>
              </w:trPr>
              <w:tc>
                <w:tcPr>
                  <w:tcW w:w="395" w:type="pct"/>
                  <w:vMerge w:val="continue"/>
                  <w:tcBorders>
                    <w:tl2br w:val="nil"/>
                    <w:tr2bl w:val="nil"/>
                  </w:tcBorders>
                  <w:noWrap w:val="0"/>
                  <w:vAlign w:val="center"/>
                </w:tcPr>
                <w:p w14:paraId="140908CF">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396" w:type="pct"/>
                  <w:tcBorders>
                    <w:tl2br w:val="nil"/>
                    <w:tr2bl w:val="nil"/>
                  </w:tcBorders>
                  <w:noWrap w:val="0"/>
                  <w:vAlign w:val="center"/>
                </w:tcPr>
                <w:p w14:paraId="3BB4D95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m³/s</w:t>
                  </w:r>
                </w:p>
              </w:tc>
              <w:tc>
                <w:tcPr>
                  <w:tcW w:w="540" w:type="pct"/>
                  <w:tcBorders>
                    <w:tl2br w:val="nil"/>
                    <w:tr2bl w:val="nil"/>
                  </w:tcBorders>
                  <w:noWrap w:val="0"/>
                  <w:vAlign w:val="center"/>
                </w:tcPr>
                <w:p w14:paraId="5867BE11">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万m³</w:t>
                  </w:r>
                </w:p>
              </w:tc>
              <w:tc>
                <w:tcPr>
                  <w:tcW w:w="387" w:type="pct"/>
                  <w:tcBorders>
                    <w:tl2br w:val="nil"/>
                    <w:tr2bl w:val="nil"/>
                  </w:tcBorders>
                  <w:noWrap w:val="0"/>
                  <w:vAlign w:val="center"/>
                </w:tcPr>
                <w:p w14:paraId="4FB2808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m³/s</w:t>
                  </w:r>
                </w:p>
              </w:tc>
              <w:tc>
                <w:tcPr>
                  <w:tcW w:w="522" w:type="pct"/>
                  <w:tcBorders>
                    <w:tl2br w:val="nil"/>
                    <w:tr2bl w:val="nil"/>
                  </w:tcBorders>
                  <w:noWrap w:val="0"/>
                  <w:vAlign w:val="center"/>
                </w:tcPr>
                <w:p w14:paraId="30E3A4B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万m³</w:t>
                  </w:r>
                </w:p>
              </w:tc>
              <w:tc>
                <w:tcPr>
                  <w:tcW w:w="353" w:type="pct"/>
                  <w:tcBorders>
                    <w:tl2br w:val="nil"/>
                    <w:tr2bl w:val="nil"/>
                  </w:tcBorders>
                  <w:noWrap w:val="0"/>
                  <w:vAlign w:val="center"/>
                </w:tcPr>
                <w:p w14:paraId="7FFB1C3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m³/s</w:t>
                  </w:r>
                </w:p>
              </w:tc>
              <w:tc>
                <w:tcPr>
                  <w:tcW w:w="543" w:type="pct"/>
                  <w:tcBorders>
                    <w:tl2br w:val="nil"/>
                    <w:tr2bl w:val="nil"/>
                  </w:tcBorders>
                  <w:noWrap w:val="0"/>
                  <w:vAlign w:val="center"/>
                </w:tcPr>
                <w:p w14:paraId="26F4B488">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万m³</w:t>
                  </w:r>
                </w:p>
              </w:tc>
              <w:tc>
                <w:tcPr>
                  <w:tcW w:w="433" w:type="pct"/>
                  <w:tcBorders>
                    <w:tl2br w:val="nil"/>
                    <w:tr2bl w:val="nil"/>
                  </w:tcBorders>
                  <w:noWrap w:val="0"/>
                  <w:vAlign w:val="center"/>
                </w:tcPr>
                <w:p w14:paraId="10632DD3">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m³/s</w:t>
                  </w:r>
                </w:p>
              </w:tc>
              <w:tc>
                <w:tcPr>
                  <w:tcW w:w="487" w:type="pct"/>
                  <w:tcBorders>
                    <w:tl2br w:val="nil"/>
                    <w:tr2bl w:val="nil"/>
                  </w:tcBorders>
                  <w:noWrap w:val="0"/>
                  <w:vAlign w:val="center"/>
                </w:tcPr>
                <w:p w14:paraId="44F673B0">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万m³</w:t>
                  </w:r>
                </w:p>
              </w:tc>
              <w:tc>
                <w:tcPr>
                  <w:tcW w:w="398" w:type="pct"/>
                  <w:tcBorders>
                    <w:tl2br w:val="nil"/>
                    <w:tr2bl w:val="nil"/>
                  </w:tcBorders>
                  <w:noWrap w:val="0"/>
                  <w:vAlign w:val="center"/>
                </w:tcPr>
                <w:p w14:paraId="3458B8C5">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m³/s</w:t>
                  </w:r>
                </w:p>
              </w:tc>
              <w:tc>
                <w:tcPr>
                  <w:tcW w:w="542" w:type="pct"/>
                  <w:tcBorders>
                    <w:tl2br w:val="nil"/>
                    <w:tr2bl w:val="nil"/>
                  </w:tcBorders>
                  <w:noWrap w:val="0"/>
                  <w:vAlign w:val="center"/>
                </w:tcPr>
                <w:p w14:paraId="73B701A4">
                  <w:pPr>
                    <w:pStyle w:val="314"/>
                    <w:keepNext w:val="0"/>
                    <w:keepLines w:val="0"/>
                    <w:pageBreakBefore w:val="0"/>
                    <w:widowControl/>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万m³</w:t>
                  </w:r>
                </w:p>
              </w:tc>
            </w:tr>
            <w:tr w14:paraId="49EE0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7354BB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660" w:type="dxa"/>
                  <w:tcBorders>
                    <w:tl2br w:val="nil"/>
                    <w:tr2bl w:val="nil"/>
                  </w:tcBorders>
                  <w:noWrap w:val="0"/>
                  <w:vAlign w:val="center"/>
                </w:tcPr>
                <w:p w14:paraId="65424E4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1.45</w:t>
                  </w:r>
                </w:p>
              </w:tc>
              <w:tc>
                <w:tcPr>
                  <w:tcW w:w="902" w:type="dxa"/>
                  <w:tcBorders>
                    <w:tl2br w:val="nil"/>
                    <w:tr2bl w:val="nil"/>
                  </w:tcBorders>
                  <w:noWrap w:val="0"/>
                  <w:vAlign w:val="center"/>
                </w:tcPr>
                <w:p w14:paraId="4DA0130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376.85</w:t>
                  </w:r>
                </w:p>
              </w:tc>
              <w:tc>
                <w:tcPr>
                  <w:tcW w:w="647" w:type="dxa"/>
                  <w:tcBorders>
                    <w:tl2br w:val="nil"/>
                    <w:tr2bl w:val="nil"/>
                  </w:tcBorders>
                  <w:noWrap w:val="0"/>
                  <w:vAlign w:val="center"/>
                </w:tcPr>
                <w:p w14:paraId="2E95778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7870F5C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588" w:type="dxa"/>
                  <w:tcBorders>
                    <w:tl2br w:val="nil"/>
                    <w:tr2bl w:val="nil"/>
                  </w:tcBorders>
                  <w:noWrap w:val="0"/>
                  <w:vAlign w:val="center"/>
                </w:tcPr>
                <w:p w14:paraId="0D6FC13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1.35</w:t>
                  </w:r>
                </w:p>
              </w:tc>
              <w:tc>
                <w:tcPr>
                  <w:tcW w:w="906" w:type="dxa"/>
                  <w:tcBorders>
                    <w:tl2br w:val="nil"/>
                    <w:tr2bl w:val="nil"/>
                  </w:tcBorders>
                  <w:noWrap w:val="0"/>
                  <w:vAlign w:val="center"/>
                </w:tcPr>
                <w:p w14:paraId="0047F83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350.64</w:t>
                  </w:r>
                </w:p>
              </w:tc>
              <w:tc>
                <w:tcPr>
                  <w:tcW w:w="722" w:type="dxa"/>
                  <w:tcBorders>
                    <w:tl2br w:val="nil"/>
                    <w:tr2bl w:val="nil"/>
                  </w:tcBorders>
                  <w:noWrap w:val="0"/>
                  <w:vAlign w:val="center"/>
                </w:tcPr>
                <w:p w14:paraId="0B4AC7E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711A1D8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64" w:type="dxa"/>
                  <w:tcBorders>
                    <w:tl2br w:val="nil"/>
                    <w:tr2bl w:val="nil"/>
                  </w:tcBorders>
                  <w:noWrap w:val="0"/>
                  <w:vAlign w:val="center"/>
                </w:tcPr>
                <w:p w14:paraId="00410FF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1.308 </w:t>
                  </w:r>
                </w:p>
              </w:tc>
              <w:tc>
                <w:tcPr>
                  <w:tcW w:w="905" w:type="dxa"/>
                  <w:tcBorders>
                    <w:tl2br w:val="nil"/>
                    <w:tr2bl w:val="nil"/>
                  </w:tcBorders>
                  <w:noWrap w:val="0"/>
                  <w:vAlign w:val="center"/>
                </w:tcPr>
                <w:p w14:paraId="2CEC793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339.75 </w:t>
                  </w:r>
                </w:p>
              </w:tc>
            </w:tr>
            <w:tr w14:paraId="77E4A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3D54F2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660" w:type="dxa"/>
                  <w:tcBorders>
                    <w:tl2br w:val="nil"/>
                    <w:tr2bl w:val="nil"/>
                  </w:tcBorders>
                  <w:noWrap w:val="0"/>
                  <w:vAlign w:val="center"/>
                </w:tcPr>
                <w:p w14:paraId="203325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w:t>
                  </w:r>
                </w:p>
              </w:tc>
              <w:tc>
                <w:tcPr>
                  <w:tcW w:w="902" w:type="dxa"/>
                  <w:tcBorders>
                    <w:tl2br w:val="nil"/>
                    <w:tr2bl w:val="nil"/>
                  </w:tcBorders>
                  <w:noWrap w:val="0"/>
                  <w:vAlign w:val="center"/>
                </w:tcPr>
                <w:p w14:paraId="341721B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462.24</w:t>
                  </w:r>
                </w:p>
              </w:tc>
              <w:tc>
                <w:tcPr>
                  <w:tcW w:w="647" w:type="dxa"/>
                  <w:tcBorders>
                    <w:tl2br w:val="nil"/>
                    <w:tr2bl w:val="nil"/>
                  </w:tcBorders>
                  <w:noWrap w:val="0"/>
                  <w:vAlign w:val="center"/>
                </w:tcPr>
                <w:p w14:paraId="00C06A6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5E12F6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588" w:type="dxa"/>
                  <w:tcBorders>
                    <w:tl2br w:val="nil"/>
                    <w:tr2bl w:val="nil"/>
                  </w:tcBorders>
                  <w:noWrap w:val="0"/>
                  <w:vAlign w:val="center"/>
                </w:tcPr>
                <w:p w14:paraId="153DA9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w:t>
                  </w:r>
                </w:p>
              </w:tc>
              <w:tc>
                <w:tcPr>
                  <w:tcW w:w="906" w:type="dxa"/>
                  <w:tcBorders>
                    <w:tl2br w:val="nil"/>
                    <w:tr2bl w:val="nil"/>
                  </w:tcBorders>
                  <w:noWrap w:val="0"/>
                  <w:vAlign w:val="center"/>
                </w:tcPr>
                <w:p w14:paraId="45CB50F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436.03</w:t>
                  </w:r>
                </w:p>
              </w:tc>
              <w:tc>
                <w:tcPr>
                  <w:tcW w:w="722" w:type="dxa"/>
                  <w:tcBorders>
                    <w:tl2br w:val="nil"/>
                    <w:tr2bl w:val="nil"/>
                  </w:tcBorders>
                  <w:noWrap w:val="0"/>
                  <w:vAlign w:val="center"/>
                </w:tcPr>
                <w:p w14:paraId="7288347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4298887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64" w:type="dxa"/>
                  <w:tcBorders>
                    <w:tl2br w:val="nil"/>
                    <w:tr2bl w:val="nil"/>
                  </w:tcBorders>
                  <w:noWrap w:val="0"/>
                  <w:vAlign w:val="center"/>
                </w:tcPr>
                <w:p w14:paraId="16C48CA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1.588 </w:t>
                  </w:r>
                </w:p>
              </w:tc>
              <w:tc>
                <w:tcPr>
                  <w:tcW w:w="905" w:type="dxa"/>
                  <w:tcBorders>
                    <w:tl2br w:val="nil"/>
                    <w:tr2bl w:val="nil"/>
                  </w:tcBorders>
                  <w:noWrap w:val="0"/>
                  <w:vAlign w:val="center"/>
                </w:tcPr>
                <w:p w14:paraId="3E7845D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424.78 </w:t>
                  </w:r>
                </w:p>
              </w:tc>
            </w:tr>
            <w:tr w14:paraId="30CC4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20D8956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660" w:type="dxa"/>
                  <w:tcBorders>
                    <w:tl2br w:val="nil"/>
                    <w:tr2bl w:val="nil"/>
                  </w:tcBorders>
                  <w:noWrap w:val="0"/>
                  <w:vAlign w:val="center"/>
                </w:tcPr>
                <w:p w14:paraId="454EDE9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1.28</w:t>
                  </w:r>
                </w:p>
              </w:tc>
              <w:tc>
                <w:tcPr>
                  <w:tcW w:w="902" w:type="dxa"/>
                  <w:tcBorders>
                    <w:tl2br w:val="nil"/>
                    <w:tr2bl w:val="nil"/>
                  </w:tcBorders>
                  <w:noWrap w:val="0"/>
                  <w:vAlign w:val="center"/>
                </w:tcPr>
                <w:p w14:paraId="335C049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342.61</w:t>
                  </w:r>
                </w:p>
              </w:tc>
              <w:tc>
                <w:tcPr>
                  <w:tcW w:w="647" w:type="dxa"/>
                  <w:tcBorders>
                    <w:tl2br w:val="nil"/>
                    <w:tr2bl w:val="nil"/>
                  </w:tcBorders>
                  <w:noWrap w:val="0"/>
                  <w:vAlign w:val="center"/>
                </w:tcPr>
                <w:p w14:paraId="489653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13A86D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588" w:type="dxa"/>
                  <w:tcBorders>
                    <w:tl2br w:val="nil"/>
                    <w:tr2bl w:val="nil"/>
                  </w:tcBorders>
                  <w:noWrap w:val="0"/>
                  <w:vAlign w:val="center"/>
                </w:tcPr>
                <w:p w14:paraId="1B0B900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1.18</w:t>
                  </w:r>
                </w:p>
              </w:tc>
              <w:tc>
                <w:tcPr>
                  <w:tcW w:w="906" w:type="dxa"/>
                  <w:tcBorders>
                    <w:tl2br w:val="nil"/>
                    <w:tr2bl w:val="nil"/>
                  </w:tcBorders>
                  <w:noWrap w:val="0"/>
                  <w:vAlign w:val="center"/>
                </w:tcPr>
                <w:p w14:paraId="221459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316.4</w:t>
                  </w:r>
                </w:p>
              </w:tc>
              <w:tc>
                <w:tcPr>
                  <w:tcW w:w="722" w:type="dxa"/>
                  <w:tcBorders>
                    <w:tl2br w:val="nil"/>
                    <w:tr2bl w:val="nil"/>
                  </w:tcBorders>
                  <w:noWrap w:val="0"/>
                  <w:vAlign w:val="center"/>
                </w:tcPr>
                <w:p w14:paraId="079F4E9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4C095B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64" w:type="dxa"/>
                  <w:tcBorders>
                    <w:tl2br w:val="nil"/>
                    <w:tr2bl w:val="nil"/>
                  </w:tcBorders>
                  <w:noWrap w:val="0"/>
                  <w:vAlign w:val="center"/>
                </w:tcPr>
                <w:p w14:paraId="0281960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1.138 </w:t>
                  </w:r>
                </w:p>
              </w:tc>
              <w:tc>
                <w:tcPr>
                  <w:tcW w:w="905" w:type="dxa"/>
                  <w:tcBorders>
                    <w:tl2br w:val="nil"/>
                    <w:tr2bl w:val="nil"/>
                  </w:tcBorders>
                  <w:noWrap w:val="0"/>
                  <w:vAlign w:val="center"/>
                </w:tcPr>
                <w:p w14:paraId="2F5C824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305.15 </w:t>
                  </w:r>
                </w:p>
              </w:tc>
            </w:tr>
            <w:tr w14:paraId="20CFF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0655F6D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660" w:type="dxa"/>
                  <w:tcBorders>
                    <w:tl2br w:val="nil"/>
                    <w:tr2bl w:val="nil"/>
                  </w:tcBorders>
                  <w:noWrap w:val="0"/>
                  <w:vAlign w:val="center"/>
                </w:tcPr>
                <w:p w14:paraId="352A0A6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w:t>
                  </w:r>
                </w:p>
              </w:tc>
              <w:tc>
                <w:tcPr>
                  <w:tcW w:w="902" w:type="dxa"/>
                  <w:tcBorders>
                    <w:tl2br w:val="nil"/>
                    <w:tr2bl w:val="nil"/>
                  </w:tcBorders>
                  <w:noWrap w:val="0"/>
                  <w:vAlign w:val="center"/>
                </w:tcPr>
                <w:p w14:paraId="1AB80ED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358.93</w:t>
                  </w:r>
                </w:p>
              </w:tc>
              <w:tc>
                <w:tcPr>
                  <w:tcW w:w="647" w:type="dxa"/>
                  <w:tcBorders>
                    <w:tl2br w:val="nil"/>
                    <w:tr2bl w:val="nil"/>
                  </w:tcBorders>
                  <w:noWrap w:val="0"/>
                  <w:vAlign w:val="center"/>
                </w:tcPr>
                <w:p w14:paraId="350C9B9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5C91E94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588" w:type="dxa"/>
                  <w:tcBorders>
                    <w:tl2br w:val="nil"/>
                    <w:tr2bl w:val="nil"/>
                  </w:tcBorders>
                  <w:noWrap w:val="0"/>
                  <w:vAlign w:val="center"/>
                </w:tcPr>
                <w:p w14:paraId="289DF5A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1.28</w:t>
                  </w:r>
                </w:p>
              </w:tc>
              <w:tc>
                <w:tcPr>
                  <w:tcW w:w="906" w:type="dxa"/>
                  <w:tcBorders>
                    <w:tl2br w:val="nil"/>
                    <w:tr2bl w:val="nil"/>
                  </w:tcBorders>
                  <w:noWrap w:val="0"/>
                  <w:vAlign w:val="center"/>
                </w:tcPr>
                <w:p w14:paraId="6CB1ABC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332.72</w:t>
                  </w:r>
                </w:p>
              </w:tc>
              <w:tc>
                <w:tcPr>
                  <w:tcW w:w="722" w:type="dxa"/>
                  <w:tcBorders>
                    <w:tl2br w:val="nil"/>
                    <w:tr2bl w:val="nil"/>
                  </w:tcBorders>
                  <w:noWrap w:val="0"/>
                  <w:vAlign w:val="center"/>
                </w:tcPr>
                <w:p w14:paraId="0F8506D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69D3345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64" w:type="dxa"/>
                  <w:tcBorders>
                    <w:tl2br w:val="nil"/>
                    <w:tr2bl w:val="nil"/>
                  </w:tcBorders>
                  <w:noWrap w:val="0"/>
                  <w:vAlign w:val="center"/>
                </w:tcPr>
                <w:p w14:paraId="54438F7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1.238 </w:t>
                  </w:r>
                </w:p>
              </w:tc>
              <w:tc>
                <w:tcPr>
                  <w:tcW w:w="905" w:type="dxa"/>
                  <w:tcBorders>
                    <w:tl2br w:val="nil"/>
                    <w:tr2bl w:val="nil"/>
                  </w:tcBorders>
                  <w:noWrap w:val="0"/>
                  <w:vAlign w:val="center"/>
                </w:tcPr>
                <w:p w14:paraId="5BD3BF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321.83 </w:t>
                  </w:r>
                </w:p>
              </w:tc>
            </w:tr>
            <w:tr w14:paraId="507A2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2281B1D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660" w:type="dxa"/>
                  <w:tcBorders>
                    <w:tl2br w:val="nil"/>
                    <w:tr2bl w:val="nil"/>
                  </w:tcBorders>
                  <w:noWrap w:val="0"/>
                  <w:vAlign w:val="center"/>
                </w:tcPr>
                <w:p w14:paraId="3DBD07A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w:t>
                  </w:r>
                </w:p>
              </w:tc>
              <w:tc>
                <w:tcPr>
                  <w:tcW w:w="902" w:type="dxa"/>
                  <w:tcBorders>
                    <w:tl2br w:val="nil"/>
                    <w:tr2bl w:val="nil"/>
                  </w:tcBorders>
                  <w:noWrap w:val="0"/>
                  <w:vAlign w:val="center"/>
                </w:tcPr>
                <w:p w14:paraId="72C9E13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275.54</w:t>
                  </w:r>
                </w:p>
              </w:tc>
              <w:tc>
                <w:tcPr>
                  <w:tcW w:w="647" w:type="dxa"/>
                  <w:tcBorders>
                    <w:tl2br w:val="nil"/>
                    <w:tr2bl w:val="nil"/>
                  </w:tcBorders>
                  <w:noWrap w:val="0"/>
                  <w:vAlign w:val="center"/>
                </w:tcPr>
                <w:p w14:paraId="4A098B4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23F1ED8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588" w:type="dxa"/>
                  <w:tcBorders>
                    <w:tl2br w:val="nil"/>
                    <w:tr2bl w:val="nil"/>
                  </w:tcBorders>
                  <w:noWrap w:val="0"/>
                  <w:vAlign w:val="center"/>
                </w:tcPr>
                <w:p w14:paraId="7EACDC4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0.93</w:t>
                  </w:r>
                </w:p>
              </w:tc>
              <w:tc>
                <w:tcPr>
                  <w:tcW w:w="906" w:type="dxa"/>
                  <w:tcBorders>
                    <w:tl2br w:val="nil"/>
                    <w:tr2bl w:val="nil"/>
                  </w:tcBorders>
                  <w:noWrap w:val="0"/>
                  <w:vAlign w:val="center"/>
                </w:tcPr>
                <w:p w14:paraId="11A8A5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249.33</w:t>
                  </w:r>
                </w:p>
              </w:tc>
              <w:tc>
                <w:tcPr>
                  <w:tcW w:w="722" w:type="dxa"/>
                  <w:tcBorders>
                    <w:tl2br w:val="nil"/>
                    <w:tr2bl w:val="nil"/>
                  </w:tcBorders>
                  <w:noWrap w:val="0"/>
                  <w:vAlign w:val="center"/>
                </w:tcPr>
                <w:p w14:paraId="2B5A501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311D527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64" w:type="dxa"/>
                  <w:tcBorders>
                    <w:tl2br w:val="nil"/>
                    <w:tr2bl w:val="nil"/>
                  </w:tcBorders>
                  <w:noWrap w:val="0"/>
                  <w:vAlign w:val="center"/>
                </w:tcPr>
                <w:p w14:paraId="530F876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0.888 </w:t>
                  </w:r>
                </w:p>
              </w:tc>
              <w:tc>
                <w:tcPr>
                  <w:tcW w:w="905" w:type="dxa"/>
                  <w:tcBorders>
                    <w:tl2br w:val="nil"/>
                    <w:tr2bl w:val="nil"/>
                  </w:tcBorders>
                  <w:noWrap w:val="0"/>
                  <w:vAlign w:val="center"/>
                </w:tcPr>
                <w:p w14:paraId="5B3818A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238.08 </w:t>
                  </w:r>
                </w:p>
              </w:tc>
            </w:tr>
            <w:tr w14:paraId="7892A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6AA9BE1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660" w:type="dxa"/>
                  <w:tcBorders>
                    <w:tl2br w:val="nil"/>
                    <w:tr2bl w:val="nil"/>
                  </w:tcBorders>
                  <w:noWrap w:val="0"/>
                  <w:vAlign w:val="center"/>
                </w:tcPr>
                <w:p w14:paraId="097B337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w:t>
                  </w:r>
                </w:p>
              </w:tc>
              <w:tc>
                <w:tcPr>
                  <w:tcW w:w="902" w:type="dxa"/>
                  <w:tcBorders>
                    <w:tl2br w:val="nil"/>
                    <w:tr2bl w:val="nil"/>
                  </w:tcBorders>
                  <w:noWrap w:val="0"/>
                  <w:vAlign w:val="center"/>
                </w:tcPr>
                <w:p w14:paraId="5772CA0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129.33</w:t>
                  </w:r>
                </w:p>
              </w:tc>
              <w:tc>
                <w:tcPr>
                  <w:tcW w:w="647" w:type="dxa"/>
                  <w:tcBorders>
                    <w:tl2br w:val="nil"/>
                    <w:tr2bl w:val="nil"/>
                  </w:tcBorders>
                  <w:noWrap w:val="0"/>
                  <w:vAlign w:val="center"/>
                </w:tcPr>
                <w:p w14:paraId="2802B6E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48A0F88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588" w:type="dxa"/>
                  <w:tcBorders>
                    <w:tl2br w:val="nil"/>
                    <w:tr2bl w:val="nil"/>
                  </w:tcBorders>
                  <w:noWrap w:val="0"/>
                  <w:vAlign w:val="center"/>
                </w:tcPr>
                <w:p w14:paraId="566F337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w:t>
                  </w:r>
                </w:p>
              </w:tc>
              <w:tc>
                <w:tcPr>
                  <w:tcW w:w="906" w:type="dxa"/>
                  <w:tcBorders>
                    <w:tl2br w:val="nil"/>
                    <w:tr2bl w:val="nil"/>
                  </w:tcBorders>
                  <w:noWrap w:val="0"/>
                  <w:vAlign w:val="center"/>
                </w:tcPr>
                <w:p w14:paraId="28B3AB2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103.12</w:t>
                  </w:r>
                </w:p>
              </w:tc>
              <w:tc>
                <w:tcPr>
                  <w:tcW w:w="722" w:type="dxa"/>
                  <w:tcBorders>
                    <w:tl2br w:val="nil"/>
                    <w:tr2bl w:val="nil"/>
                  </w:tcBorders>
                  <w:noWrap w:val="0"/>
                  <w:vAlign w:val="center"/>
                </w:tcPr>
                <w:p w14:paraId="6ADD906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53A9BD9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64" w:type="dxa"/>
                  <w:tcBorders>
                    <w:tl2br w:val="nil"/>
                    <w:tr2bl w:val="nil"/>
                  </w:tcBorders>
                  <w:noWrap w:val="0"/>
                  <w:vAlign w:val="center"/>
                </w:tcPr>
                <w:p w14:paraId="399AF3F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0.358 </w:t>
                  </w:r>
                </w:p>
              </w:tc>
              <w:tc>
                <w:tcPr>
                  <w:tcW w:w="905" w:type="dxa"/>
                  <w:tcBorders>
                    <w:tl2br w:val="nil"/>
                    <w:tr2bl w:val="nil"/>
                  </w:tcBorders>
                  <w:noWrap w:val="0"/>
                  <w:vAlign w:val="center"/>
                </w:tcPr>
                <w:p w14:paraId="57D28B7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92.23 </w:t>
                  </w:r>
                </w:p>
              </w:tc>
            </w:tr>
            <w:tr w14:paraId="51C9D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07D35A2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660" w:type="dxa"/>
                  <w:tcBorders>
                    <w:tl2br w:val="nil"/>
                    <w:tr2bl w:val="nil"/>
                  </w:tcBorders>
                  <w:noWrap w:val="0"/>
                  <w:vAlign w:val="center"/>
                </w:tcPr>
                <w:p w14:paraId="45329DA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0.31</w:t>
                  </w:r>
                </w:p>
              </w:tc>
              <w:tc>
                <w:tcPr>
                  <w:tcW w:w="902" w:type="dxa"/>
                  <w:tcBorders>
                    <w:tl2br w:val="nil"/>
                    <w:tr2bl w:val="nil"/>
                  </w:tcBorders>
                  <w:noWrap w:val="0"/>
                  <w:vAlign w:val="center"/>
                </w:tcPr>
                <w:p w14:paraId="3D4D8C3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83.34</w:t>
                  </w:r>
                </w:p>
              </w:tc>
              <w:tc>
                <w:tcPr>
                  <w:tcW w:w="647" w:type="dxa"/>
                  <w:tcBorders>
                    <w:tl2br w:val="nil"/>
                    <w:tr2bl w:val="nil"/>
                  </w:tcBorders>
                  <w:noWrap w:val="0"/>
                  <w:vAlign w:val="center"/>
                </w:tcPr>
                <w:p w14:paraId="18040C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3E5911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588" w:type="dxa"/>
                  <w:tcBorders>
                    <w:tl2br w:val="nil"/>
                    <w:tr2bl w:val="nil"/>
                  </w:tcBorders>
                  <w:noWrap w:val="0"/>
                  <w:vAlign w:val="center"/>
                </w:tcPr>
                <w:p w14:paraId="5270C94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0.21</w:t>
                  </w:r>
                </w:p>
              </w:tc>
              <w:tc>
                <w:tcPr>
                  <w:tcW w:w="906" w:type="dxa"/>
                  <w:tcBorders>
                    <w:tl2br w:val="nil"/>
                    <w:tr2bl w:val="nil"/>
                  </w:tcBorders>
                  <w:noWrap w:val="0"/>
                  <w:vAlign w:val="center"/>
                </w:tcPr>
                <w:p w14:paraId="1FEC44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57.13</w:t>
                  </w:r>
                </w:p>
              </w:tc>
              <w:tc>
                <w:tcPr>
                  <w:tcW w:w="722" w:type="dxa"/>
                  <w:tcBorders>
                    <w:tl2br w:val="nil"/>
                    <w:tr2bl w:val="nil"/>
                  </w:tcBorders>
                  <w:noWrap w:val="0"/>
                  <w:vAlign w:val="center"/>
                </w:tcPr>
                <w:p w14:paraId="2074A0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2896C86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64" w:type="dxa"/>
                  <w:tcBorders>
                    <w:tl2br w:val="nil"/>
                    <w:tr2bl w:val="nil"/>
                  </w:tcBorders>
                  <w:noWrap w:val="0"/>
                  <w:vAlign w:val="center"/>
                </w:tcPr>
                <w:p w14:paraId="7669A9C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0.168 </w:t>
                  </w:r>
                </w:p>
              </w:tc>
              <w:tc>
                <w:tcPr>
                  <w:tcW w:w="905" w:type="dxa"/>
                  <w:tcBorders>
                    <w:tl2br w:val="nil"/>
                    <w:tr2bl w:val="nil"/>
                  </w:tcBorders>
                  <w:noWrap w:val="0"/>
                  <w:vAlign w:val="center"/>
                </w:tcPr>
                <w:p w14:paraId="473628B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45.88 </w:t>
                  </w:r>
                </w:p>
              </w:tc>
            </w:tr>
            <w:tr w14:paraId="724AD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066E3D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60" w:type="dxa"/>
                  <w:tcBorders>
                    <w:tl2br w:val="nil"/>
                    <w:tr2bl w:val="nil"/>
                  </w:tcBorders>
                  <w:noWrap w:val="0"/>
                  <w:vAlign w:val="center"/>
                </w:tcPr>
                <w:p w14:paraId="67AFD1B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0.23</w:t>
                  </w:r>
                </w:p>
              </w:tc>
              <w:tc>
                <w:tcPr>
                  <w:tcW w:w="902" w:type="dxa"/>
                  <w:tcBorders>
                    <w:tl2br w:val="nil"/>
                    <w:tr2bl w:val="nil"/>
                  </w:tcBorders>
                  <w:noWrap w:val="0"/>
                  <w:vAlign w:val="center"/>
                </w:tcPr>
                <w:p w14:paraId="424944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60.81</w:t>
                  </w:r>
                </w:p>
              </w:tc>
              <w:tc>
                <w:tcPr>
                  <w:tcW w:w="647" w:type="dxa"/>
                  <w:tcBorders>
                    <w:tl2br w:val="nil"/>
                    <w:tr2bl w:val="nil"/>
                  </w:tcBorders>
                  <w:noWrap w:val="0"/>
                  <w:vAlign w:val="center"/>
                </w:tcPr>
                <w:p w14:paraId="1E46694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3199152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588" w:type="dxa"/>
                  <w:tcBorders>
                    <w:tl2br w:val="nil"/>
                    <w:tr2bl w:val="nil"/>
                  </w:tcBorders>
                  <w:noWrap w:val="0"/>
                  <w:vAlign w:val="center"/>
                </w:tcPr>
                <w:p w14:paraId="2E6B463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0.13</w:t>
                  </w:r>
                </w:p>
              </w:tc>
              <w:tc>
                <w:tcPr>
                  <w:tcW w:w="906" w:type="dxa"/>
                  <w:tcBorders>
                    <w:tl2br w:val="nil"/>
                    <w:tr2bl w:val="nil"/>
                  </w:tcBorders>
                  <w:noWrap w:val="0"/>
                  <w:vAlign w:val="center"/>
                </w:tcPr>
                <w:p w14:paraId="5338B5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34.6</w:t>
                  </w:r>
                </w:p>
              </w:tc>
              <w:tc>
                <w:tcPr>
                  <w:tcW w:w="722" w:type="dxa"/>
                  <w:tcBorders>
                    <w:tl2br w:val="nil"/>
                    <w:tr2bl w:val="nil"/>
                  </w:tcBorders>
                  <w:noWrap w:val="0"/>
                  <w:vAlign w:val="center"/>
                </w:tcPr>
                <w:p w14:paraId="4A5B91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714FE6B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64" w:type="dxa"/>
                  <w:tcBorders>
                    <w:tl2br w:val="nil"/>
                    <w:tr2bl w:val="nil"/>
                  </w:tcBorders>
                  <w:noWrap w:val="0"/>
                  <w:vAlign w:val="center"/>
                </w:tcPr>
                <w:p w14:paraId="2F915C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0.088 </w:t>
                  </w:r>
                </w:p>
              </w:tc>
              <w:tc>
                <w:tcPr>
                  <w:tcW w:w="905" w:type="dxa"/>
                  <w:tcBorders>
                    <w:tl2br w:val="nil"/>
                    <w:tr2bl w:val="nil"/>
                  </w:tcBorders>
                  <w:noWrap w:val="0"/>
                  <w:vAlign w:val="center"/>
                </w:tcPr>
                <w:p w14:paraId="5D44B93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23.35 </w:t>
                  </w:r>
                </w:p>
              </w:tc>
            </w:tr>
            <w:tr w14:paraId="72F19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2D2F8C6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660" w:type="dxa"/>
                  <w:tcBorders>
                    <w:tl2br w:val="nil"/>
                    <w:tr2bl w:val="nil"/>
                  </w:tcBorders>
                  <w:noWrap w:val="0"/>
                  <w:vAlign w:val="center"/>
                </w:tcPr>
                <w:p w14:paraId="15CE912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w:t>
                  </w:r>
                </w:p>
              </w:tc>
              <w:tc>
                <w:tcPr>
                  <w:tcW w:w="902" w:type="dxa"/>
                  <w:tcBorders>
                    <w:tl2br w:val="nil"/>
                    <w:tr2bl w:val="nil"/>
                  </w:tcBorders>
                  <w:noWrap w:val="0"/>
                  <w:vAlign w:val="center"/>
                </w:tcPr>
                <w:p w14:paraId="45FB46D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44.08</w:t>
                  </w:r>
                </w:p>
              </w:tc>
              <w:tc>
                <w:tcPr>
                  <w:tcW w:w="647" w:type="dxa"/>
                  <w:tcBorders>
                    <w:tl2br w:val="nil"/>
                    <w:tr2bl w:val="nil"/>
                  </w:tcBorders>
                  <w:noWrap w:val="0"/>
                  <w:vAlign w:val="center"/>
                </w:tcPr>
                <w:p w14:paraId="09A1A87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6C756C6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24.46</w:t>
                  </w:r>
                </w:p>
              </w:tc>
              <w:tc>
                <w:tcPr>
                  <w:tcW w:w="588" w:type="dxa"/>
                  <w:tcBorders>
                    <w:tl2br w:val="nil"/>
                    <w:tr2bl w:val="nil"/>
                  </w:tcBorders>
                  <w:noWrap w:val="0"/>
                  <w:vAlign w:val="center"/>
                </w:tcPr>
                <w:p w14:paraId="2A74ED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0.08</w:t>
                  </w:r>
                </w:p>
              </w:tc>
              <w:tc>
                <w:tcPr>
                  <w:tcW w:w="906" w:type="dxa"/>
                  <w:tcBorders>
                    <w:tl2br w:val="nil"/>
                    <w:tr2bl w:val="nil"/>
                  </w:tcBorders>
                  <w:noWrap w:val="0"/>
                  <w:vAlign w:val="center"/>
                </w:tcPr>
                <w:p w14:paraId="09582C9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17.87</w:t>
                  </w:r>
                </w:p>
              </w:tc>
              <w:tc>
                <w:tcPr>
                  <w:tcW w:w="722" w:type="dxa"/>
                  <w:tcBorders>
                    <w:tl2br w:val="nil"/>
                    <w:tr2bl w:val="nil"/>
                  </w:tcBorders>
                  <w:noWrap w:val="0"/>
                  <w:vAlign w:val="center"/>
                </w:tcPr>
                <w:p w14:paraId="7D6F0F6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30776B4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10.16 </w:t>
                  </w:r>
                </w:p>
              </w:tc>
              <w:tc>
                <w:tcPr>
                  <w:tcW w:w="664" w:type="dxa"/>
                  <w:tcBorders>
                    <w:tl2br w:val="nil"/>
                    <w:tr2bl w:val="nil"/>
                  </w:tcBorders>
                  <w:noWrap w:val="0"/>
                  <w:vAlign w:val="center"/>
                </w:tcPr>
                <w:p w14:paraId="2B44DD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0.038 </w:t>
                  </w:r>
                </w:p>
              </w:tc>
              <w:tc>
                <w:tcPr>
                  <w:tcW w:w="905" w:type="dxa"/>
                  <w:tcBorders>
                    <w:tl2br w:val="nil"/>
                    <w:tr2bl w:val="nil"/>
                  </w:tcBorders>
                  <w:noWrap w:val="0"/>
                  <w:vAlign w:val="center"/>
                </w:tcPr>
                <w:p w14:paraId="7393706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7.71 </w:t>
                  </w:r>
                </w:p>
              </w:tc>
            </w:tr>
            <w:tr w14:paraId="6F62C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4B9BC1B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660" w:type="dxa"/>
                  <w:tcBorders>
                    <w:tl2br w:val="nil"/>
                    <w:tr2bl w:val="nil"/>
                  </w:tcBorders>
                  <w:noWrap w:val="0"/>
                  <w:vAlign w:val="center"/>
                </w:tcPr>
                <w:p w14:paraId="7534BD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0.21</w:t>
                  </w:r>
                </w:p>
              </w:tc>
              <w:tc>
                <w:tcPr>
                  <w:tcW w:w="902" w:type="dxa"/>
                  <w:tcBorders>
                    <w:tl2br w:val="nil"/>
                    <w:tr2bl w:val="nil"/>
                  </w:tcBorders>
                  <w:noWrap w:val="0"/>
                  <w:vAlign w:val="center"/>
                </w:tcPr>
                <w:p w14:paraId="433A8F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56.56</w:t>
                  </w:r>
                </w:p>
              </w:tc>
              <w:tc>
                <w:tcPr>
                  <w:tcW w:w="647" w:type="dxa"/>
                  <w:tcBorders>
                    <w:tl2br w:val="nil"/>
                    <w:tr2bl w:val="nil"/>
                  </w:tcBorders>
                  <w:noWrap w:val="0"/>
                  <w:vAlign w:val="center"/>
                </w:tcPr>
                <w:p w14:paraId="31633E5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64E9E0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588" w:type="dxa"/>
                  <w:tcBorders>
                    <w:tl2br w:val="nil"/>
                    <w:tr2bl w:val="nil"/>
                  </w:tcBorders>
                  <w:noWrap w:val="0"/>
                  <w:vAlign w:val="center"/>
                </w:tcPr>
                <w:p w14:paraId="547CFC2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0.11</w:t>
                  </w:r>
                </w:p>
              </w:tc>
              <w:tc>
                <w:tcPr>
                  <w:tcW w:w="906" w:type="dxa"/>
                  <w:tcBorders>
                    <w:tl2br w:val="nil"/>
                    <w:tr2bl w:val="nil"/>
                  </w:tcBorders>
                  <w:noWrap w:val="0"/>
                  <w:vAlign w:val="center"/>
                </w:tcPr>
                <w:p w14:paraId="739252A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30.35</w:t>
                  </w:r>
                </w:p>
              </w:tc>
              <w:tc>
                <w:tcPr>
                  <w:tcW w:w="722" w:type="dxa"/>
                  <w:tcBorders>
                    <w:tl2br w:val="nil"/>
                    <w:tr2bl w:val="nil"/>
                  </w:tcBorders>
                  <w:noWrap w:val="0"/>
                  <w:vAlign w:val="center"/>
                </w:tcPr>
                <w:p w14:paraId="1283B06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72C44AE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64" w:type="dxa"/>
                  <w:tcBorders>
                    <w:tl2br w:val="nil"/>
                    <w:tr2bl w:val="nil"/>
                  </w:tcBorders>
                  <w:noWrap w:val="0"/>
                  <w:vAlign w:val="center"/>
                </w:tcPr>
                <w:p w14:paraId="3FCF9F6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0.068 </w:t>
                  </w:r>
                </w:p>
              </w:tc>
              <w:tc>
                <w:tcPr>
                  <w:tcW w:w="905" w:type="dxa"/>
                  <w:tcBorders>
                    <w:tl2br w:val="nil"/>
                    <w:tr2bl w:val="nil"/>
                  </w:tcBorders>
                  <w:noWrap w:val="0"/>
                  <w:vAlign w:val="center"/>
                </w:tcPr>
                <w:p w14:paraId="17301C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19.10 </w:t>
                  </w:r>
                </w:p>
              </w:tc>
            </w:tr>
            <w:tr w14:paraId="08F68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171091B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660" w:type="dxa"/>
                  <w:tcBorders>
                    <w:tl2br w:val="nil"/>
                    <w:tr2bl w:val="nil"/>
                  </w:tcBorders>
                  <w:noWrap w:val="0"/>
                  <w:vAlign w:val="center"/>
                </w:tcPr>
                <w:p w14:paraId="04172FC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0.32</w:t>
                  </w:r>
                </w:p>
              </w:tc>
              <w:tc>
                <w:tcPr>
                  <w:tcW w:w="902" w:type="dxa"/>
                  <w:tcBorders>
                    <w:tl2br w:val="nil"/>
                    <w:tr2bl w:val="nil"/>
                  </w:tcBorders>
                  <w:noWrap w:val="0"/>
                  <w:vAlign w:val="center"/>
                </w:tcPr>
                <w:p w14:paraId="36DBC6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82.1</w:t>
                  </w:r>
                </w:p>
              </w:tc>
              <w:tc>
                <w:tcPr>
                  <w:tcW w:w="647" w:type="dxa"/>
                  <w:tcBorders>
                    <w:tl2br w:val="nil"/>
                    <w:tr2bl w:val="nil"/>
                  </w:tcBorders>
                  <w:noWrap w:val="0"/>
                  <w:vAlign w:val="center"/>
                </w:tcPr>
                <w:p w14:paraId="5FE0FF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681EEF5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588" w:type="dxa"/>
                  <w:tcBorders>
                    <w:tl2br w:val="nil"/>
                    <w:tr2bl w:val="nil"/>
                  </w:tcBorders>
                  <w:noWrap w:val="0"/>
                  <w:vAlign w:val="center"/>
                </w:tcPr>
                <w:p w14:paraId="515DDB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0.22</w:t>
                  </w:r>
                </w:p>
              </w:tc>
              <w:tc>
                <w:tcPr>
                  <w:tcW w:w="906" w:type="dxa"/>
                  <w:tcBorders>
                    <w:tl2br w:val="nil"/>
                    <w:tr2bl w:val="nil"/>
                  </w:tcBorders>
                  <w:noWrap w:val="0"/>
                  <w:vAlign w:val="center"/>
                </w:tcPr>
                <w:p w14:paraId="4A14662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55.89</w:t>
                  </w:r>
                </w:p>
              </w:tc>
              <w:tc>
                <w:tcPr>
                  <w:tcW w:w="722" w:type="dxa"/>
                  <w:tcBorders>
                    <w:tl2br w:val="nil"/>
                    <w:tr2bl w:val="nil"/>
                  </w:tcBorders>
                  <w:noWrap w:val="0"/>
                  <w:vAlign w:val="center"/>
                </w:tcPr>
                <w:p w14:paraId="7AF7036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42247AB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64" w:type="dxa"/>
                  <w:tcBorders>
                    <w:tl2br w:val="nil"/>
                    <w:tr2bl w:val="nil"/>
                  </w:tcBorders>
                  <w:noWrap w:val="0"/>
                  <w:vAlign w:val="center"/>
                </w:tcPr>
                <w:p w14:paraId="5168DE6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0.178 </w:t>
                  </w:r>
                </w:p>
              </w:tc>
              <w:tc>
                <w:tcPr>
                  <w:tcW w:w="905" w:type="dxa"/>
                  <w:tcBorders>
                    <w:tl2br w:val="nil"/>
                    <w:tr2bl w:val="nil"/>
                  </w:tcBorders>
                  <w:noWrap w:val="0"/>
                  <w:vAlign w:val="center"/>
                </w:tcPr>
                <w:p w14:paraId="2EE8D0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45.00 </w:t>
                  </w:r>
                </w:p>
              </w:tc>
            </w:tr>
            <w:tr w14:paraId="0797D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627D85D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660" w:type="dxa"/>
                  <w:tcBorders>
                    <w:tl2br w:val="nil"/>
                    <w:tr2bl w:val="nil"/>
                  </w:tcBorders>
                  <w:noWrap w:val="0"/>
                  <w:vAlign w:val="center"/>
                </w:tcPr>
                <w:p w14:paraId="75CF340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0.72</w:t>
                  </w:r>
                </w:p>
              </w:tc>
              <w:tc>
                <w:tcPr>
                  <w:tcW w:w="902" w:type="dxa"/>
                  <w:tcBorders>
                    <w:tl2br w:val="nil"/>
                    <w:tr2bl w:val="nil"/>
                  </w:tcBorders>
                  <w:noWrap w:val="0"/>
                  <w:vAlign w:val="center"/>
                </w:tcPr>
                <w:p w14:paraId="3B63B5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193.95</w:t>
                  </w:r>
                </w:p>
              </w:tc>
              <w:tc>
                <w:tcPr>
                  <w:tcW w:w="647" w:type="dxa"/>
                  <w:tcBorders>
                    <w:tl2br w:val="nil"/>
                    <w:tr2bl w:val="nil"/>
                  </w:tcBorders>
                  <w:noWrap w:val="0"/>
                  <w:vAlign w:val="center"/>
                </w:tcPr>
                <w:p w14:paraId="48EF590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7B715B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588" w:type="dxa"/>
                  <w:tcBorders>
                    <w:tl2br w:val="nil"/>
                    <w:tr2bl w:val="nil"/>
                  </w:tcBorders>
                  <w:noWrap w:val="0"/>
                  <w:vAlign w:val="center"/>
                </w:tcPr>
                <w:p w14:paraId="1CA67F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0.62</w:t>
                  </w:r>
                </w:p>
              </w:tc>
              <w:tc>
                <w:tcPr>
                  <w:tcW w:w="906" w:type="dxa"/>
                  <w:tcBorders>
                    <w:tl2br w:val="nil"/>
                    <w:tr2bl w:val="nil"/>
                  </w:tcBorders>
                  <w:noWrap w:val="0"/>
                  <w:vAlign w:val="center"/>
                </w:tcPr>
                <w:p w14:paraId="5792106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167.74</w:t>
                  </w:r>
                </w:p>
              </w:tc>
              <w:tc>
                <w:tcPr>
                  <w:tcW w:w="722" w:type="dxa"/>
                  <w:tcBorders>
                    <w:tl2br w:val="nil"/>
                    <w:tr2bl w:val="nil"/>
                  </w:tcBorders>
                  <w:noWrap w:val="0"/>
                  <w:vAlign w:val="center"/>
                </w:tcPr>
                <w:p w14:paraId="74C1D9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64E022D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64" w:type="dxa"/>
                  <w:tcBorders>
                    <w:tl2br w:val="nil"/>
                    <w:tr2bl w:val="nil"/>
                  </w:tcBorders>
                  <w:noWrap w:val="0"/>
                  <w:vAlign w:val="center"/>
                </w:tcPr>
                <w:p w14:paraId="54B149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0.578 </w:t>
                  </w:r>
                </w:p>
              </w:tc>
              <w:tc>
                <w:tcPr>
                  <w:tcW w:w="905" w:type="dxa"/>
                  <w:tcBorders>
                    <w:tl2br w:val="nil"/>
                    <w:tr2bl w:val="nil"/>
                  </w:tcBorders>
                  <w:noWrap w:val="0"/>
                  <w:vAlign w:val="center"/>
                </w:tcPr>
                <w:p w14:paraId="2223DED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156.49 </w:t>
                  </w:r>
                </w:p>
              </w:tc>
            </w:tr>
            <w:tr w14:paraId="0B29D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95" w:type="pct"/>
                  <w:tcBorders>
                    <w:tl2br w:val="nil"/>
                    <w:tr2bl w:val="nil"/>
                  </w:tcBorders>
                  <w:noWrap w:val="0"/>
                  <w:vAlign w:val="center"/>
                </w:tcPr>
                <w:p w14:paraId="3151FA6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平均/合计</w:t>
                  </w:r>
                </w:p>
              </w:tc>
              <w:tc>
                <w:tcPr>
                  <w:tcW w:w="660" w:type="dxa"/>
                  <w:tcBorders>
                    <w:tl2br w:val="nil"/>
                    <w:tr2bl w:val="nil"/>
                  </w:tcBorders>
                  <w:noWrap w:val="0"/>
                  <w:vAlign w:val="center"/>
                </w:tcPr>
                <w:p w14:paraId="38A09DF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0.78</w:t>
                  </w:r>
                </w:p>
              </w:tc>
              <w:tc>
                <w:tcPr>
                  <w:tcW w:w="902" w:type="dxa"/>
                  <w:tcBorders>
                    <w:tl2br w:val="nil"/>
                    <w:tr2bl w:val="nil"/>
                  </w:tcBorders>
                  <w:noWrap w:val="0"/>
                  <w:vAlign w:val="center"/>
                </w:tcPr>
                <w:p w14:paraId="2022EF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2466.34</w:t>
                  </w:r>
                </w:p>
              </w:tc>
              <w:tc>
                <w:tcPr>
                  <w:tcW w:w="647" w:type="dxa"/>
                  <w:tcBorders>
                    <w:tl2br w:val="nil"/>
                    <w:tr2bl w:val="nil"/>
                  </w:tcBorders>
                  <w:noWrap w:val="0"/>
                  <w:vAlign w:val="center"/>
                </w:tcPr>
                <w:p w14:paraId="32291F8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872" w:type="dxa"/>
                  <w:tcBorders>
                    <w:tl2br w:val="nil"/>
                    <w:tr2bl w:val="nil"/>
                  </w:tcBorders>
                  <w:noWrap w:val="0"/>
                  <w:vAlign w:val="center"/>
                </w:tcPr>
                <w:p w14:paraId="2262A2E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318.90</w:t>
                  </w:r>
                </w:p>
              </w:tc>
              <w:tc>
                <w:tcPr>
                  <w:tcW w:w="588" w:type="dxa"/>
                  <w:tcBorders>
                    <w:tl2br w:val="nil"/>
                    <w:tr2bl w:val="nil"/>
                  </w:tcBorders>
                  <w:noWrap w:val="0"/>
                  <w:vAlign w:val="center"/>
                </w:tcPr>
                <w:p w14:paraId="0697B26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0.68</w:t>
                  </w:r>
                </w:p>
              </w:tc>
              <w:tc>
                <w:tcPr>
                  <w:tcW w:w="906" w:type="dxa"/>
                  <w:tcBorders>
                    <w:tl2br w:val="nil"/>
                    <w:tr2bl w:val="nil"/>
                  </w:tcBorders>
                  <w:noWrap w:val="0"/>
                  <w:vAlign w:val="center"/>
                </w:tcPr>
                <w:p w14:paraId="7077803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2151.81</w:t>
                  </w:r>
                </w:p>
              </w:tc>
              <w:tc>
                <w:tcPr>
                  <w:tcW w:w="722" w:type="dxa"/>
                  <w:tcBorders>
                    <w:tl2br w:val="nil"/>
                    <w:tr2bl w:val="nil"/>
                  </w:tcBorders>
                  <w:noWrap w:val="0"/>
                  <w:vAlign w:val="center"/>
                </w:tcPr>
                <w:p w14:paraId="053C271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813" w:type="dxa"/>
                  <w:tcBorders>
                    <w:tl2br w:val="nil"/>
                    <w:tr2bl w:val="nil"/>
                  </w:tcBorders>
                  <w:noWrap w:val="0"/>
                  <w:vAlign w:val="center"/>
                </w:tcPr>
                <w:p w14:paraId="22BF6C9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131.4</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664" w:type="dxa"/>
                  <w:tcBorders>
                    <w:tl2br w:val="nil"/>
                    <w:tr2bl w:val="nil"/>
                  </w:tcBorders>
                  <w:noWrap w:val="0"/>
                  <w:vAlign w:val="center"/>
                </w:tcPr>
                <w:p w14:paraId="338BC6A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0.638 </w:t>
                  </w:r>
                </w:p>
              </w:tc>
              <w:tc>
                <w:tcPr>
                  <w:tcW w:w="905" w:type="dxa"/>
                  <w:tcBorders>
                    <w:tl2br w:val="nil"/>
                    <w:tr2bl w:val="nil"/>
                  </w:tcBorders>
                  <w:noWrap w:val="0"/>
                  <w:vAlign w:val="center"/>
                </w:tcPr>
                <w:p w14:paraId="6FC4C71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2019.36 </w:t>
                  </w:r>
                </w:p>
              </w:tc>
            </w:tr>
          </w:tbl>
          <w:p w14:paraId="37054D20">
            <w:pPr>
              <w:pStyle w:val="165"/>
              <w:keepNext w:val="0"/>
              <w:keepLines w:val="0"/>
              <w:pageBreakBefore w:val="0"/>
              <w:numPr>
                <w:ilvl w:val="0"/>
                <w:numId w:val="21"/>
              </w:numPr>
              <w:kinsoku/>
              <w:wordWrap/>
              <w:overflowPunct/>
              <w:topLinePunct w:val="0"/>
              <w:autoSpaceDE/>
              <w:autoSpaceDN/>
              <w:bidi w:val="0"/>
              <w:adjustRightInd w:val="0"/>
              <w:snapToGrid w:val="0"/>
              <w:spacing w:line="240" w:lineRule="auto"/>
              <w:ind w:left="0" w:firstLine="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取水口P=</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50</w:t>
            </w:r>
            <w:r>
              <w:rPr>
                <w:rFonts w:hint="default" w:ascii="Times New Roman" w:hAnsi="Times New Roman" w:eastAsia="宋体" w:cs="Times New Roman"/>
                <w:b/>
                <w:bCs/>
                <w:color w:val="000000" w:themeColor="text1"/>
                <w:sz w:val="21"/>
                <w:szCs w:val="21"/>
                <w14:textFill>
                  <w14:solidFill>
                    <w14:schemeClr w14:val="tx1"/>
                  </w14:solidFill>
                </w14:textFill>
              </w:rPr>
              <w:t>%水量平衡表（五里沟）</w:t>
            </w:r>
          </w:p>
          <w:tbl>
            <w:tblPr>
              <w:tblStyle w:val="5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4"/>
              <w:gridCol w:w="584"/>
              <w:gridCol w:w="899"/>
              <w:gridCol w:w="689"/>
              <w:gridCol w:w="794"/>
              <w:gridCol w:w="689"/>
              <w:gridCol w:w="899"/>
              <w:gridCol w:w="689"/>
              <w:gridCol w:w="689"/>
              <w:gridCol w:w="689"/>
              <w:gridCol w:w="899"/>
            </w:tblGrid>
            <w:tr w14:paraId="251CE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70" w:type="pct"/>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6DEC142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月份</w:t>
                  </w:r>
                </w:p>
              </w:tc>
              <w:tc>
                <w:tcPr>
                  <w:tcW w:w="929" w:type="pct"/>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04232C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上游来水</w:t>
                  </w:r>
                </w:p>
              </w:tc>
              <w:tc>
                <w:tcPr>
                  <w:tcW w:w="869" w:type="pct"/>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15DDF2D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最小下泄流量生态用水下泄量</w:t>
                  </w:r>
                </w:p>
              </w:tc>
              <w:tc>
                <w:tcPr>
                  <w:tcW w:w="930" w:type="pct"/>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654759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可供水量</w:t>
                  </w:r>
                </w:p>
              </w:tc>
              <w:tc>
                <w:tcPr>
                  <w:tcW w:w="869" w:type="pct"/>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5B4B5B9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项目取水</w:t>
                  </w:r>
                </w:p>
              </w:tc>
              <w:tc>
                <w:tcPr>
                  <w:tcW w:w="930" w:type="pct"/>
                  <w:gridSpan w:val="2"/>
                  <w:tcBorders>
                    <w:top w:val="single" w:color="000000" w:sz="8" w:space="0"/>
                    <w:left w:val="single" w:color="000000" w:sz="4" w:space="0"/>
                    <w:bottom w:val="single" w:color="000000" w:sz="4" w:space="0"/>
                    <w:right w:val="single" w:color="000000" w:sz="8" w:space="0"/>
                  </w:tcBorders>
                  <w:shd w:val="clear" w:color="auto" w:fill="auto"/>
                  <w:vAlign w:val="center"/>
                </w:tcPr>
                <w:p w14:paraId="7FF5E6F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余水量</w:t>
                  </w:r>
                </w:p>
              </w:tc>
            </w:tr>
            <w:tr w14:paraId="1A29B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4DF792F0">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E85A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D6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A7AC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CC92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A2D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EE1C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822A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F2AF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7D0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525" w:type="pct"/>
                  <w:tcBorders>
                    <w:top w:val="single" w:color="000000" w:sz="4" w:space="0"/>
                    <w:left w:val="single" w:color="000000" w:sz="4" w:space="0"/>
                    <w:bottom w:val="single" w:color="000000" w:sz="4" w:space="0"/>
                    <w:right w:val="single" w:color="000000" w:sz="8" w:space="0"/>
                  </w:tcBorders>
                  <w:shd w:val="clear" w:color="auto" w:fill="auto"/>
                  <w:vAlign w:val="center"/>
                </w:tcPr>
                <w:p w14:paraId="42847A7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r>
            <w:tr w14:paraId="771A4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0395A7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731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1.59</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CD0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412.13</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387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F0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E45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1.489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9FF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385.92</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8D1A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1B0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9FB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1.447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05482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375.03 </w:t>
                  </w:r>
                </w:p>
              </w:tc>
            </w:tr>
            <w:tr w14:paraId="3977A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76EE63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4E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1.84</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EA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492.83</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75B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B92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5B6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1.739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27B1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465.74</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A3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AD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B09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1.697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047F33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454.49 </w:t>
                  </w:r>
                </w:p>
              </w:tc>
            </w:tr>
            <w:tr w14:paraId="1FB20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C41C37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1E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2.42</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85F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648.17</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AB1D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B76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2A02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94A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621.09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CB1D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8F0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20B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2.277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3C6BA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609.84 </w:t>
                  </w:r>
                </w:p>
              </w:tc>
            </w:tr>
            <w:tr w14:paraId="776FB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4A4AF7E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5CE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2.26</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03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585.79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696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E13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7FF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2.159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ED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559.58</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459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A8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957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2.117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300097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548.69 </w:t>
                  </w:r>
                </w:p>
              </w:tc>
            </w:tr>
            <w:tr w14:paraId="394D4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092999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A696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0.93</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FC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249.09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151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C0A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DB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0.829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AA1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222.01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4A1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37B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C86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0.787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B16C2C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210.76 </w:t>
                  </w:r>
                </w:p>
              </w:tc>
            </w:tr>
            <w:tr w14:paraId="42153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41789BE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D62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0.57</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52A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147.74</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91C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3FD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D5F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0.469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BF3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121.53</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33D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B56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61D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0.427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AF710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110.64 </w:t>
                  </w:r>
                </w:p>
              </w:tc>
            </w:tr>
            <w:tr w14:paraId="58FD8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239818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F20A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0.41</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BF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109.81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EDD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979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94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0.309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AA9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82.73</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08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46C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37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0.267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52ADDC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71.48 </w:t>
                  </w:r>
                </w:p>
              </w:tc>
            </w:tr>
            <w:tr w14:paraId="21107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333CAF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4C7B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0.38</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AC3C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101.78</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F7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49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E68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0.279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2B0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74.69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27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543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4A2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0.237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D6E07C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63.44 </w:t>
                  </w:r>
                </w:p>
              </w:tc>
            </w:tr>
            <w:tr w14:paraId="177FA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9A9D1D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BE0C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0.36</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2D8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C7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AEB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24.46</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AA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0.259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093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62.63</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A25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4A4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10.16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1E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0.217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6A905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52.47 </w:t>
                  </w:r>
                </w:p>
              </w:tc>
            </w:tr>
            <w:tr w14:paraId="18D0A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4D7488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2C2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0.37</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8A5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99.1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CC6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7D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559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0.269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E5B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72.02</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E6A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49C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1FC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0.227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A862E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60.77 </w:t>
                  </w:r>
                </w:p>
              </w:tc>
            </w:tr>
            <w:tr w14:paraId="7F899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3B256A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11E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0.38</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28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98.5</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4FF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D11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C74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0.279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B4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72.29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FFB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C263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61B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0.237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8C1326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61.40 </w:t>
                  </w:r>
                </w:p>
              </w:tc>
            </w:tr>
            <w:tr w14:paraId="1B980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A0B6AB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C74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0.52</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4D1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139.28</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B2E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80F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5DB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0.419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2E8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112.19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F0C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B9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CAC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0.377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8A65B1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100.94 </w:t>
                  </w:r>
                </w:p>
              </w:tc>
            </w:tr>
            <w:tr w14:paraId="6AA36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8" w:space="0"/>
                    <w:right w:val="single" w:color="000000" w:sz="4" w:space="0"/>
                  </w:tcBorders>
                  <w:shd w:val="clear" w:color="auto" w:fill="auto"/>
                  <w:vAlign w:val="center"/>
                </w:tcPr>
                <w:p w14:paraId="22AC164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平均/合计</w:t>
                  </w:r>
                </w:p>
              </w:tc>
              <w:tc>
                <w:tcPr>
                  <w:tcW w:w="673"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5A8698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.01</w:t>
                  </w:r>
                </w:p>
              </w:tc>
              <w:tc>
                <w:tcPr>
                  <w:tcW w:w="882"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FBBD82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3171.31</w:t>
                  </w:r>
                </w:p>
              </w:tc>
              <w:tc>
                <w:tcPr>
                  <w:tcW w:w="67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DB75E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A3B22F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318.90</w:t>
                  </w:r>
                </w:p>
              </w:tc>
              <w:tc>
                <w:tcPr>
                  <w:tcW w:w="67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BE87FD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0.899</w:t>
                  </w:r>
                </w:p>
              </w:tc>
              <w:tc>
                <w:tcPr>
                  <w:tcW w:w="881"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B0D642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2852.41</w:t>
                  </w:r>
                </w:p>
              </w:tc>
              <w:tc>
                <w:tcPr>
                  <w:tcW w:w="67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9D4C5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03A8DC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131.4</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678" w:type="dxa"/>
                  <w:tcBorders>
                    <w:top w:val="single" w:color="000000" w:sz="4" w:space="0"/>
                    <w:left w:val="single" w:color="000000" w:sz="4" w:space="0"/>
                    <w:bottom w:val="single" w:color="000000" w:sz="8" w:space="0"/>
                    <w:right w:val="single" w:color="000000" w:sz="4" w:space="0"/>
                  </w:tcBorders>
                  <w:shd w:val="clear" w:color="auto" w:fill="auto"/>
                  <w:vAlign w:val="center"/>
                </w:tcPr>
                <w:p w14:paraId="3528FDA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0.857 </w:t>
                  </w:r>
                </w:p>
              </w:tc>
              <w:tc>
                <w:tcPr>
                  <w:tcW w:w="879" w:type="dxa"/>
                  <w:tcBorders>
                    <w:top w:val="single" w:color="000000" w:sz="4" w:space="0"/>
                    <w:left w:val="single" w:color="000000" w:sz="4" w:space="0"/>
                    <w:bottom w:val="single" w:color="000000" w:sz="8" w:space="0"/>
                    <w:right w:val="single" w:color="000000" w:sz="8" w:space="0"/>
                  </w:tcBorders>
                  <w:shd w:val="clear" w:color="auto" w:fill="auto"/>
                  <w:vAlign w:val="center"/>
                </w:tcPr>
                <w:p w14:paraId="2E2059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2719.96 </w:t>
                  </w:r>
                </w:p>
              </w:tc>
            </w:tr>
          </w:tbl>
          <w:p w14:paraId="7A19898E">
            <w:pPr>
              <w:pStyle w:val="165"/>
              <w:keepNext w:val="0"/>
              <w:keepLines w:val="0"/>
              <w:pageBreakBefore w:val="0"/>
              <w:numPr>
                <w:ilvl w:val="0"/>
                <w:numId w:val="21"/>
              </w:numPr>
              <w:kinsoku/>
              <w:wordWrap/>
              <w:overflowPunct/>
              <w:topLinePunct w:val="0"/>
              <w:autoSpaceDE/>
              <w:autoSpaceDN/>
              <w:bidi w:val="0"/>
              <w:adjustRightInd w:val="0"/>
              <w:snapToGrid w:val="0"/>
              <w:spacing w:line="240" w:lineRule="auto"/>
              <w:ind w:left="0" w:firstLine="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取水口P=</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10</w:t>
            </w:r>
            <w:r>
              <w:rPr>
                <w:rFonts w:hint="default" w:ascii="Times New Roman" w:hAnsi="Times New Roman" w:eastAsia="宋体" w:cs="Times New Roman"/>
                <w:b/>
                <w:bCs/>
                <w:color w:val="000000" w:themeColor="text1"/>
                <w:sz w:val="21"/>
                <w:szCs w:val="21"/>
                <w14:textFill>
                  <w14:solidFill>
                    <w14:schemeClr w14:val="tx1"/>
                  </w14:solidFill>
                </w14:textFill>
              </w:rPr>
              <w:t>%水量平衡表（五里沟）</w:t>
            </w:r>
          </w:p>
          <w:tbl>
            <w:tblPr>
              <w:tblStyle w:val="5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4"/>
              <w:gridCol w:w="584"/>
              <w:gridCol w:w="899"/>
              <w:gridCol w:w="689"/>
              <w:gridCol w:w="794"/>
              <w:gridCol w:w="689"/>
              <w:gridCol w:w="899"/>
              <w:gridCol w:w="689"/>
              <w:gridCol w:w="689"/>
              <w:gridCol w:w="689"/>
              <w:gridCol w:w="899"/>
            </w:tblGrid>
            <w:tr w14:paraId="4BFBA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70" w:type="pct"/>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7399380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月份</w:t>
                  </w:r>
                </w:p>
              </w:tc>
              <w:tc>
                <w:tcPr>
                  <w:tcW w:w="929" w:type="pct"/>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601DBAA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上游来水</w:t>
                  </w:r>
                </w:p>
              </w:tc>
              <w:tc>
                <w:tcPr>
                  <w:tcW w:w="869" w:type="pct"/>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4A474FD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最小下泄流量生态用水下泄量</w:t>
                  </w:r>
                </w:p>
              </w:tc>
              <w:tc>
                <w:tcPr>
                  <w:tcW w:w="930" w:type="pct"/>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5D5C9A0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可供水量</w:t>
                  </w:r>
                </w:p>
              </w:tc>
              <w:tc>
                <w:tcPr>
                  <w:tcW w:w="869" w:type="pct"/>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6103675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项目取水</w:t>
                  </w:r>
                </w:p>
              </w:tc>
              <w:tc>
                <w:tcPr>
                  <w:tcW w:w="930" w:type="pct"/>
                  <w:gridSpan w:val="2"/>
                  <w:tcBorders>
                    <w:top w:val="single" w:color="000000" w:sz="8" w:space="0"/>
                    <w:left w:val="single" w:color="000000" w:sz="4" w:space="0"/>
                    <w:bottom w:val="single" w:color="000000" w:sz="4" w:space="0"/>
                    <w:right w:val="single" w:color="000000" w:sz="8" w:space="0"/>
                  </w:tcBorders>
                  <w:shd w:val="clear" w:color="auto" w:fill="auto"/>
                  <w:vAlign w:val="center"/>
                </w:tcPr>
                <w:p w14:paraId="55BA24E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余水量</w:t>
                  </w:r>
                </w:p>
              </w:tc>
            </w:tr>
            <w:tr w14:paraId="2C5C7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70" w:type="pct"/>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34C1AE0">
                  <w:pPr>
                    <w:keepNext w:val="0"/>
                    <w:keepLines w:val="0"/>
                    <w:pageBreakBefore w:val="0"/>
                    <w:widowControl/>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2B0C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6365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5301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C71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8748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503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5BB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2A1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922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m³/s</w:t>
                  </w:r>
                </w:p>
              </w:tc>
              <w:tc>
                <w:tcPr>
                  <w:tcW w:w="525" w:type="pct"/>
                  <w:tcBorders>
                    <w:top w:val="single" w:color="000000" w:sz="4" w:space="0"/>
                    <w:left w:val="single" w:color="000000" w:sz="4" w:space="0"/>
                    <w:bottom w:val="single" w:color="000000" w:sz="4" w:space="0"/>
                    <w:right w:val="single" w:color="000000" w:sz="8" w:space="0"/>
                  </w:tcBorders>
                  <w:shd w:val="clear" w:color="auto" w:fill="auto"/>
                  <w:vAlign w:val="center"/>
                </w:tcPr>
                <w:p w14:paraId="2A5CB68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万m³</w:t>
                  </w:r>
                </w:p>
              </w:tc>
            </w:tr>
            <w:tr w14:paraId="65BA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52F477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043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2.33</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9A4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603.94</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68B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5FB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440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2.229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3F7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577.73</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FF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A2C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24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2.187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85FF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566.84 </w:t>
                  </w:r>
                </w:p>
              </w:tc>
            </w:tr>
            <w:tr w14:paraId="3E1A8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493C396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75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07A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701.74</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B61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A4D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4CF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2.519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4D5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674.66</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EAC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1A9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701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2.477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8BE9A6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663.41 </w:t>
                  </w:r>
                </w:p>
              </w:tc>
            </w:tr>
            <w:tr w14:paraId="0CF90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2CA7D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EEF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2.04</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E20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546.39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B2B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C7D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F64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1.939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3A0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519.31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398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0194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807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1.897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5BBE29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508.06 </w:t>
                  </w:r>
                </w:p>
              </w:tc>
            </w:tr>
            <w:tr w14:paraId="580EC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44F5DE7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98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2.18</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E5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565.06</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14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462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4D5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2.079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386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538.85</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07D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FD6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5B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2.037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C494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527.96 </w:t>
                  </w:r>
                </w:p>
              </w:tc>
            </w:tr>
            <w:tr w14:paraId="1FFC5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8E75D2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CEC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924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428.54</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ADE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A33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DE6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1.499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5EA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401.46</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EA3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D7F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443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1.457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D8B7CE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390.21 </w:t>
                  </w:r>
                </w:p>
              </w:tc>
            </w:tr>
            <w:tr w14:paraId="03230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4754729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679F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0.73</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EE5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189.22</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A5A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71E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D7A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0.629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B4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163.01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2BB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B73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627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0.587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EF712F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152.12 </w:t>
                  </w:r>
                </w:p>
              </w:tc>
            </w:tr>
            <w:tr w14:paraId="1CC22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3DFDBE2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708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0.44</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B160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117.85</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C48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F82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CDA0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B55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90.76</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491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086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4A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0.297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B2FA0D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79.51 </w:t>
                  </w:r>
                </w:p>
              </w:tc>
            </w:tr>
            <w:tr w14:paraId="637C4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9D706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ED4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0.29</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55C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77.67</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52D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0B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B5A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452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50.59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B06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537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862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0.147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3C8410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39.34 </w:t>
                  </w:r>
                </w:p>
              </w:tc>
            </w:tr>
            <w:tr w14:paraId="5A9B0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343E5DF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42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0.29</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9EB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70.16</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D9C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A94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24.46</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F95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38E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45.69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359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209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10.16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0CC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0.147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BE93F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35.53 </w:t>
                  </w:r>
                </w:p>
              </w:tc>
            </w:tr>
            <w:tr w14:paraId="05D89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28AD78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0B3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0.29</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DD9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77.67</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E0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45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7D2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0.189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85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50.59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DC0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AA6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6A1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0.147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F12B5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39.34 </w:t>
                  </w:r>
                </w:p>
              </w:tc>
            </w:tr>
            <w:tr w14:paraId="5C04F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70CE4B0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5B2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0.44</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7E5D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114.05</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4C0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1AB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26.21</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65B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0.339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260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87.84</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5F9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95F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10.89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39E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0.297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0C4736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76.95 </w:t>
                  </w:r>
                </w:p>
              </w:tc>
            </w:tr>
            <w:tr w14:paraId="6FB3B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E84BA5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FF8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1.31</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C9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350.87</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3FBA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A2B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27.09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C9B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1.209</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B95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323.79</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EC5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527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11.25 </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44B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1.167 </w:t>
                  </w:r>
                </w:p>
              </w:tc>
              <w:tc>
                <w:tcPr>
                  <w:tcW w:w="87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B4F68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312.54 </w:t>
                  </w:r>
                </w:p>
              </w:tc>
            </w:tr>
            <w:tr w14:paraId="50DDC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0" w:type="pct"/>
                  <w:tcBorders>
                    <w:top w:val="single" w:color="000000" w:sz="4" w:space="0"/>
                    <w:left w:val="single" w:color="000000" w:sz="8" w:space="0"/>
                    <w:bottom w:val="single" w:color="000000" w:sz="8" w:space="0"/>
                    <w:right w:val="single" w:color="000000" w:sz="4" w:space="0"/>
                  </w:tcBorders>
                  <w:shd w:val="clear" w:color="auto" w:fill="auto"/>
                  <w:vAlign w:val="center"/>
                </w:tcPr>
                <w:p w14:paraId="6F6A523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平均/合计</w:t>
                  </w:r>
                </w:p>
              </w:tc>
              <w:tc>
                <w:tcPr>
                  <w:tcW w:w="673"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17776F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1.21</w:t>
                  </w:r>
                </w:p>
              </w:tc>
              <w:tc>
                <w:tcPr>
                  <w:tcW w:w="882" w:type="dxa"/>
                  <w:tcBorders>
                    <w:top w:val="single" w:color="000000" w:sz="4" w:space="0"/>
                    <w:left w:val="single" w:color="000000" w:sz="4" w:space="0"/>
                    <w:bottom w:val="single" w:color="000000" w:sz="8" w:space="0"/>
                    <w:right w:val="single" w:color="000000" w:sz="4" w:space="0"/>
                  </w:tcBorders>
                  <w:shd w:val="clear" w:color="auto" w:fill="auto"/>
                  <w:vAlign w:val="center"/>
                </w:tcPr>
                <w:p w14:paraId="38C3751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3843.16</w:t>
                  </w:r>
                </w:p>
              </w:tc>
              <w:tc>
                <w:tcPr>
                  <w:tcW w:w="67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3167C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0.101</w:t>
                  </w:r>
                </w:p>
              </w:tc>
              <w:tc>
                <w:tcPr>
                  <w:tcW w:w="779"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7486A9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318.90</w:t>
                  </w:r>
                </w:p>
              </w:tc>
              <w:tc>
                <w:tcPr>
                  <w:tcW w:w="67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D318C4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1.109</w:t>
                  </w:r>
                </w:p>
              </w:tc>
              <w:tc>
                <w:tcPr>
                  <w:tcW w:w="881"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AFBCF8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3524.26</w:t>
                  </w:r>
                </w:p>
              </w:tc>
              <w:tc>
                <w:tcPr>
                  <w:tcW w:w="67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9A7C58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0.042</w:t>
                  </w:r>
                </w:p>
              </w:tc>
              <w:tc>
                <w:tcPr>
                  <w:tcW w:w="779"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A99CEE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t>131.4</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678"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2F8342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1.067 </w:t>
                  </w:r>
                </w:p>
              </w:tc>
              <w:tc>
                <w:tcPr>
                  <w:tcW w:w="879" w:type="dxa"/>
                  <w:tcBorders>
                    <w:top w:val="single" w:color="000000" w:sz="4" w:space="0"/>
                    <w:left w:val="single" w:color="000000" w:sz="4" w:space="0"/>
                    <w:bottom w:val="single" w:color="000000" w:sz="8" w:space="0"/>
                    <w:right w:val="single" w:color="000000" w:sz="8" w:space="0"/>
                  </w:tcBorders>
                  <w:shd w:val="clear" w:color="auto" w:fill="auto"/>
                  <w:vAlign w:val="center"/>
                </w:tcPr>
                <w:p w14:paraId="3939C06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3391.81 </w:t>
                  </w:r>
                </w:p>
              </w:tc>
            </w:tr>
          </w:tbl>
          <w:p w14:paraId="09AD0E24">
            <w:pPr>
              <w:rPr>
                <w:rFonts w:hint="default" w:ascii="Times New Roman" w:hAnsi="Times New Roman" w:eastAsia="宋体" w:cs="Times New Roman"/>
                <w:color w:val="000000" w:themeColor="text1"/>
                <w:lang w:val="en-US" w:eastAsia="zh-CN"/>
                <w14:textFill>
                  <w14:solidFill>
                    <w14:schemeClr w14:val="tx1"/>
                  </w14:solidFill>
                </w14:textFill>
              </w:rPr>
            </w:pPr>
          </w:p>
          <w:p w14:paraId="4B6E1782">
            <w:pPr>
              <w:pStyle w:val="3"/>
              <w:keepNext w:val="0"/>
              <w:snapToGrid/>
              <w:spacing w:before="0" w:after="0" w:line="360" w:lineRule="auto"/>
              <w:ind w:left="0" w:leftChars="0" w:firstLine="0" w:firstLineChars="0"/>
              <w:rPr>
                <w:rFonts w:hint="default" w:ascii="Times New Roman" w:hAnsi="Times New Roman" w:eastAsia="宋体" w:cs="Times New Roman"/>
                <w:color w:val="000000" w:themeColor="text1"/>
                <w14:textFill>
                  <w14:solidFill>
                    <w14:schemeClr w14:val="tx1"/>
                  </w14:solidFill>
                </w14:textFill>
              </w:rPr>
            </w:pPr>
          </w:p>
          <w:p w14:paraId="0F237F54">
            <w:pPr>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4826000" cy="2743200"/>
                  <wp:effectExtent l="4445" t="4445" r="8255" b="14605"/>
                  <wp:docPr id="8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AC90BB0">
            <w:pPr>
              <w:jc w:val="center"/>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default" w:ascii="Times New Roman" w:hAnsi="Times New Roman" w:eastAsia="宋体" w:cs="Times New Roman"/>
                <w:b/>
                <w:bCs/>
                <w:color w:val="000000" w:themeColor="text1"/>
                <w:lang w:val="en-US" w:eastAsia="zh-CN"/>
                <w14:textFill>
                  <w14:solidFill>
                    <w14:schemeClr w14:val="tx1"/>
                  </w14:solidFill>
                </w14:textFill>
              </w:rPr>
              <w:t>图4-1下游流量变化图（</w:t>
            </w:r>
            <w:r>
              <w:rPr>
                <w:rFonts w:hint="eastAsia" w:ascii="Times New Roman" w:hAnsi="Times New Roman" w:cs="Times New Roman"/>
                <w:b/>
                <w:bCs/>
                <w:color w:val="000000" w:themeColor="text1"/>
                <w:lang w:val="en-US" w:eastAsia="zh-CN"/>
                <w14:textFill>
                  <w14:solidFill>
                    <w14:schemeClr w14:val="tx1"/>
                  </w14:solidFill>
                </w14:textFill>
              </w:rPr>
              <w:t>m</w:t>
            </w:r>
            <w:r>
              <w:rPr>
                <w:rFonts w:hint="eastAsia" w:ascii="Times New Roman" w:hAnsi="Times New Roman" w:cs="Times New Roman"/>
                <w:b/>
                <w:bCs/>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lang w:val="en-US" w:eastAsia="zh-CN"/>
                <w14:textFill>
                  <w14:solidFill>
                    <w14:schemeClr w14:val="tx1"/>
                  </w14:solidFill>
                </w14:textFill>
              </w:rPr>
              <w:t>/s)</w:t>
            </w:r>
          </w:p>
          <w:p w14:paraId="73114AA8">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本项目取水口位置在频率为95%条件下来水量为</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2466.34</w:t>
            </w:r>
            <w:r>
              <w:rPr>
                <w:rFonts w:hint="default" w:ascii="Times New Roman" w:hAnsi="Times New Roman" w:eastAsia="宋体" w:cs="Times New Roman"/>
                <w:b w:val="0"/>
                <w:color w:val="000000" w:themeColor="text1"/>
                <w:kern w:val="2"/>
                <w:sz w:val="24"/>
                <w:szCs w:val="24"/>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14:textFill>
                  <w14:solidFill>
                    <w14:schemeClr w14:val="tx1"/>
                  </w14:solidFill>
                </w14:textFill>
              </w:rPr>
              <w:t>/a，现状水平年条件下，项目取水口位置来水量在满足各类取用水户的用水需求后，剩余可供水量为</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2151.81</w:t>
            </w:r>
            <w:r>
              <w:rPr>
                <w:rFonts w:hint="default" w:ascii="Times New Roman" w:hAnsi="Times New Roman" w:eastAsia="宋体" w:cs="Times New Roman"/>
                <w:b w:val="0"/>
                <w:color w:val="000000" w:themeColor="text1"/>
                <w:kern w:val="2"/>
                <w:sz w:val="24"/>
                <w:szCs w:val="24"/>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14:textFill>
                  <w14:solidFill>
                    <w14:schemeClr w14:val="tx1"/>
                  </w14:solidFill>
                </w14:textFill>
              </w:rPr>
              <w:t>/a，完全能够满足本项目的取用水需求。根据用水、来水量计算，本项目取水口以上</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五里沟</w:t>
            </w:r>
            <w:r>
              <w:rPr>
                <w:rFonts w:hint="default" w:ascii="Times New Roman" w:hAnsi="Times New Roman" w:eastAsia="宋体" w:cs="Times New Roman"/>
                <w:b w:val="0"/>
                <w:color w:val="000000" w:themeColor="text1"/>
                <w:kern w:val="2"/>
                <w:sz w:val="24"/>
                <w:szCs w:val="24"/>
                <w14:textFill>
                  <w14:solidFill>
                    <w14:schemeClr w14:val="tx1"/>
                  </w14:solidFill>
                </w14:textFill>
              </w:rPr>
              <w:t>河段P=95%典型年来水量为</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2466.34</w:t>
            </w:r>
            <w:r>
              <w:rPr>
                <w:rFonts w:hint="default" w:ascii="Times New Roman" w:hAnsi="Times New Roman" w:eastAsia="宋体" w:cs="Times New Roman"/>
                <w:b w:val="0"/>
                <w:color w:val="000000" w:themeColor="text1"/>
                <w:kern w:val="2"/>
                <w:sz w:val="24"/>
                <w:szCs w:val="24"/>
                <w14:textFill>
                  <w14:solidFill>
                    <w14:schemeClr w14:val="tx1"/>
                  </w14:solidFill>
                </w14:textFill>
              </w:rPr>
              <w:t>万m³/a，本项目取水量为</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131.4</w:t>
            </w:r>
            <w:r>
              <w:rPr>
                <w:rFonts w:hint="default" w:ascii="Times New Roman" w:hAnsi="Times New Roman" w:eastAsia="宋体" w:cs="Times New Roman"/>
                <w:b w:val="0"/>
                <w:color w:val="000000" w:themeColor="text1"/>
                <w:kern w:val="2"/>
                <w:sz w:val="24"/>
                <w:szCs w:val="24"/>
                <w14:textFill>
                  <w14:solidFill>
                    <w14:schemeClr w14:val="tx1"/>
                  </w14:solidFill>
                </w14:textFill>
              </w:rPr>
              <w:t>万m³/a，本项目取水量占河道来水量的</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5.37</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w:t>
            </w:r>
            <w:r>
              <w:rPr>
                <w:rFonts w:hint="default" w:ascii="Times New Roman" w:hAnsi="Times New Roman" w:eastAsia="宋体" w:cs="Times New Roman"/>
                <w:b w:val="0"/>
                <w:color w:val="000000" w:themeColor="text1"/>
                <w:kern w:val="2"/>
                <w:sz w:val="24"/>
                <w:szCs w:val="24"/>
                <w14:textFill>
                  <w14:solidFill>
                    <w14:schemeClr w14:val="tx1"/>
                  </w14:solidFill>
                </w14:textFill>
              </w:rPr>
              <w:t>，本项目取水占来水量的比例很小，对区域水资源可利用量影响较小。根据前文对取水河段典型年径流调节计算成果可知，本项目取水不会减少取水影响论证范围内其他用水户的取用水量，因此，本项目取水不会改变区域水资源的配置方案。综上所述，本项目取水对区域水资源可利用量的影响较小，本项目取水可使得区域水资源的利用率和取水用水结构更加合理化，不会对区域水资源配置方案的合理性造成不利影响。因此，本项目取水对水功能区基本无不利影响。</w:t>
            </w:r>
          </w:p>
          <w:p w14:paraId="0E9B0A0A">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本项目取水口位置在频率为</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50</w:t>
            </w:r>
            <w:r>
              <w:rPr>
                <w:rFonts w:hint="default" w:ascii="Times New Roman" w:hAnsi="Times New Roman" w:eastAsia="宋体" w:cs="Times New Roman"/>
                <w:b w:val="0"/>
                <w:color w:val="000000" w:themeColor="text1"/>
                <w:kern w:val="2"/>
                <w:sz w:val="24"/>
                <w:szCs w:val="24"/>
                <w14:textFill>
                  <w14:solidFill>
                    <w14:schemeClr w14:val="tx1"/>
                  </w14:solidFill>
                </w14:textFill>
              </w:rPr>
              <w:t>%条件下来水量为</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3171.31</w:t>
            </w:r>
            <w:r>
              <w:rPr>
                <w:rFonts w:hint="default" w:ascii="Times New Roman" w:hAnsi="Times New Roman" w:eastAsia="宋体" w:cs="Times New Roman"/>
                <w:b w:val="0"/>
                <w:color w:val="000000" w:themeColor="text1"/>
                <w:kern w:val="2"/>
                <w:sz w:val="24"/>
                <w:szCs w:val="24"/>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14:textFill>
                  <w14:solidFill>
                    <w14:schemeClr w14:val="tx1"/>
                  </w14:solidFill>
                </w14:textFill>
              </w:rPr>
              <w:t>/a，现状水平年条件下，项目取水口位置来水量在满足各类取用水户的用水需求后，剩余可供水量为</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2852.41</w:t>
            </w:r>
            <w:r>
              <w:rPr>
                <w:rFonts w:hint="default" w:ascii="Times New Roman" w:hAnsi="Times New Roman" w:eastAsia="宋体" w:cs="Times New Roman"/>
                <w:b w:val="0"/>
                <w:color w:val="000000" w:themeColor="text1"/>
                <w:kern w:val="2"/>
                <w:sz w:val="24"/>
                <w:szCs w:val="24"/>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14:textFill>
                  <w14:solidFill>
                    <w14:schemeClr w14:val="tx1"/>
                  </w14:solidFill>
                </w14:textFill>
              </w:rPr>
              <w:t>/a，完全能够满足本项目的取用水需求。根据用水、来水量计算，本项目取水口以上</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五里沟</w:t>
            </w:r>
            <w:r>
              <w:rPr>
                <w:rFonts w:hint="default" w:ascii="Times New Roman" w:hAnsi="Times New Roman" w:eastAsia="宋体" w:cs="Times New Roman"/>
                <w:b w:val="0"/>
                <w:color w:val="000000" w:themeColor="text1"/>
                <w:kern w:val="2"/>
                <w:sz w:val="24"/>
                <w:szCs w:val="24"/>
                <w14:textFill>
                  <w14:solidFill>
                    <w14:schemeClr w14:val="tx1"/>
                  </w14:solidFill>
                </w14:textFill>
              </w:rPr>
              <w:t>河段P=</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50</w:t>
            </w:r>
            <w:r>
              <w:rPr>
                <w:rFonts w:hint="default" w:ascii="Times New Roman" w:hAnsi="Times New Roman" w:eastAsia="宋体" w:cs="Times New Roman"/>
                <w:b w:val="0"/>
                <w:color w:val="000000" w:themeColor="text1"/>
                <w:kern w:val="2"/>
                <w:sz w:val="24"/>
                <w:szCs w:val="24"/>
                <w14:textFill>
                  <w14:solidFill>
                    <w14:schemeClr w14:val="tx1"/>
                  </w14:solidFill>
                </w14:textFill>
              </w:rPr>
              <w:t>%典型年来水量为</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3171.31</w:t>
            </w:r>
            <w:r>
              <w:rPr>
                <w:rFonts w:hint="default" w:ascii="Times New Roman" w:hAnsi="Times New Roman" w:eastAsia="宋体" w:cs="Times New Roman"/>
                <w:b w:val="0"/>
                <w:color w:val="000000" w:themeColor="text1"/>
                <w:kern w:val="2"/>
                <w:sz w:val="24"/>
                <w:szCs w:val="24"/>
                <w14:textFill>
                  <w14:solidFill>
                    <w14:schemeClr w14:val="tx1"/>
                  </w14:solidFill>
                </w14:textFill>
              </w:rPr>
              <w:t>万m³/a，本项目取水量为</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131.4</w:t>
            </w:r>
            <w:r>
              <w:rPr>
                <w:rFonts w:hint="default" w:ascii="Times New Roman" w:hAnsi="Times New Roman" w:eastAsia="宋体" w:cs="Times New Roman"/>
                <w:b w:val="0"/>
                <w:color w:val="000000" w:themeColor="text1"/>
                <w:kern w:val="2"/>
                <w:sz w:val="24"/>
                <w:szCs w:val="24"/>
                <w14:textFill>
                  <w14:solidFill>
                    <w14:schemeClr w14:val="tx1"/>
                  </w14:solidFill>
                </w14:textFill>
              </w:rPr>
              <w:t>万m³/a，本项目取水量占河道来水量的</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4.18</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w:t>
            </w:r>
            <w:r>
              <w:rPr>
                <w:rFonts w:hint="default" w:ascii="Times New Roman" w:hAnsi="Times New Roman" w:eastAsia="宋体" w:cs="Times New Roman"/>
                <w:b w:val="0"/>
                <w:color w:val="000000" w:themeColor="text1"/>
                <w:kern w:val="2"/>
                <w:sz w:val="24"/>
                <w:szCs w:val="24"/>
                <w14:textFill>
                  <w14:solidFill>
                    <w14:schemeClr w14:val="tx1"/>
                  </w14:solidFill>
                </w14:textFill>
              </w:rPr>
              <w:t>，本项目取水占来水量的比例很小，对区域水资源可利用量影响较小。根据前文对取水河段典型年径流调节计算成果可知，本项目取水不会减少取水影响论证范围内其他用水户的取用水量，因此，本项目取水不会改变区域水资源的配置方案。综上所述，本项目取水对区域水资源可利用量的影响较小，本项目取水可使得区域水资源的利用率和取水用水结构更加合理化，不会对区域水资源配置方案的合理性造成不利影响。因此，本项目取水对水功能区基本无不利影响。</w:t>
            </w:r>
          </w:p>
          <w:p w14:paraId="173A62FD">
            <w:pPr>
              <w:pStyle w:val="3"/>
              <w:keepNext w:val="0"/>
              <w:snapToGrid/>
              <w:spacing w:before="0" w:after="0" w:line="360" w:lineRule="auto"/>
              <w:ind w:left="0" w:firstLine="480" w:firstLineChars="200"/>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本项目取水口位置在频率为</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10</w:t>
            </w:r>
            <w:r>
              <w:rPr>
                <w:rFonts w:hint="default" w:ascii="Times New Roman" w:hAnsi="Times New Roman" w:eastAsia="宋体" w:cs="Times New Roman"/>
                <w:b w:val="0"/>
                <w:color w:val="000000" w:themeColor="text1"/>
                <w:kern w:val="2"/>
                <w:sz w:val="24"/>
                <w:szCs w:val="24"/>
                <w14:textFill>
                  <w14:solidFill>
                    <w14:schemeClr w14:val="tx1"/>
                  </w14:solidFill>
                </w14:textFill>
              </w:rPr>
              <w:t>%条件下来水量为</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3843.16</w:t>
            </w:r>
            <w:r>
              <w:rPr>
                <w:rFonts w:hint="default" w:ascii="Times New Roman" w:hAnsi="Times New Roman" w:eastAsia="宋体" w:cs="Times New Roman"/>
                <w:b w:val="0"/>
                <w:color w:val="000000" w:themeColor="text1"/>
                <w:kern w:val="2"/>
                <w:sz w:val="24"/>
                <w:szCs w:val="24"/>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14:textFill>
                  <w14:solidFill>
                    <w14:schemeClr w14:val="tx1"/>
                  </w14:solidFill>
                </w14:textFill>
              </w:rPr>
              <w:t>/a，现状水平年条件下，项目取水口位置来水量在满足各类取用水户的用水需求后，剩余可供水量为</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3524.26</w:t>
            </w:r>
            <w:r>
              <w:rPr>
                <w:rFonts w:hint="default" w:ascii="Times New Roman" w:hAnsi="Times New Roman" w:eastAsia="宋体" w:cs="Times New Roman"/>
                <w:b w:val="0"/>
                <w:color w:val="000000" w:themeColor="text1"/>
                <w:kern w:val="2"/>
                <w:sz w:val="24"/>
                <w:szCs w:val="24"/>
                <w14:textFill>
                  <w14:solidFill>
                    <w14:schemeClr w14:val="tx1"/>
                  </w14:solidFill>
                </w14:textFill>
              </w:rPr>
              <w:t>万</w:t>
            </w:r>
            <w:r>
              <w:rPr>
                <w:rFonts w:hint="eastAsia" w:ascii="Times New Roman" w:hAnsi="Times New Roman" w:eastAsia="宋体" w:cs="Times New Roman"/>
                <w:b w:val="0"/>
                <w:color w:val="000000" w:themeColor="text1"/>
                <w:kern w:val="2"/>
                <w:sz w:val="24"/>
                <w:szCs w:val="24"/>
                <w:lang w:eastAsia="zh-CN"/>
                <w14:textFill>
                  <w14:solidFill>
                    <w14:schemeClr w14:val="tx1"/>
                  </w14:solidFill>
                </w14:textFill>
              </w:rPr>
              <w:t>m</w:t>
            </w:r>
            <w:r>
              <w:rPr>
                <w:rFonts w:hint="eastAsia" w:ascii="Times New Roman" w:hAnsi="Times New Roman" w:eastAsia="宋体" w:cs="Times New Roman"/>
                <w:b w:val="0"/>
                <w:color w:val="000000" w:themeColor="text1"/>
                <w:kern w:val="2"/>
                <w:sz w:val="24"/>
                <w:szCs w:val="24"/>
                <w:vertAlign w:val="superscript"/>
                <w:lang w:eastAsia="zh-CN"/>
                <w14:textFill>
                  <w14:solidFill>
                    <w14:schemeClr w14:val="tx1"/>
                  </w14:solidFill>
                </w14:textFill>
              </w:rPr>
              <w:t>3</w:t>
            </w:r>
            <w:r>
              <w:rPr>
                <w:rFonts w:hint="default" w:ascii="Times New Roman" w:hAnsi="Times New Roman" w:eastAsia="宋体" w:cs="Times New Roman"/>
                <w:b w:val="0"/>
                <w:color w:val="000000" w:themeColor="text1"/>
                <w:kern w:val="2"/>
                <w:sz w:val="24"/>
                <w:szCs w:val="24"/>
                <w14:textFill>
                  <w14:solidFill>
                    <w14:schemeClr w14:val="tx1"/>
                  </w14:solidFill>
                </w14:textFill>
              </w:rPr>
              <w:t>/a，完全能够满足本项目的取用水需求。根据用水、来水量计算，本项目取水口以上</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五里沟</w:t>
            </w:r>
            <w:r>
              <w:rPr>
                <w:rFonts w:hint="default" w:ascii="Times New Roman" w:hAnsi="Times New Roman" w:eastAsia="宋体" w:cs="Times New Roman"/>
                <w:b w:val="0"/>
                <w:color w:val="000000" w:themeColor="text1"/>
                <w:kern w:val="2"/>
                <w:sz w:val="24"/>
                <w:szCs w:val="24"/>
                <w14:textFill>
                  <w14:solidFill>
                    <w14:schemeClr w14:val="tx1"/>
                  </w14:solidFill>
                </w14:textFill>
              </w:rPr>
              <w:t>河段P=</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10</w:t>
            </w:r>
            <w:r>
              <w:rPr>
                <w:rFonts w:hint="default" w:ascii="Times New Roman" w:hAnsi="Times New Roman" w:eastAsia="宋体" w:cs="Times New Roman"/>
                <w:b w:val="0"/>
                <w:color w:val="000000" w:themeColor="text1"/>
                <w:kern w:val="2"/>
                <w:sz w:val="24"/>
                <w:szCs w:val="24"/>
                <w14:textFill>
                  <w14:solidFill>
                    <w14:schemeClr w14:val="tx1"/>
                  </w14:solidFill>
                </w14:textFill>
              </w:rPr>
              <w:t>%典型年来水量为</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3843.16</w:t>
            </w:r>
            <w:r>
              <w:rPr>
                <w:rFonts w:hint="default" w:ascii="Times New Roman" w:hAnsi="Times New Roman" w:eastAsia="宋体" w:cs="Times New Roman"/>
                <w:b w:val="0"/>
                <w:color w:val="000000" w:themeColor="text1"/>
                <w:kern w:val="2"/>
                <w:sz w:val="24"/>
                <w:szCs w:val="24"/>
                <w14:textFill>
                  <w14:solidFill>
                    <w14:schemeClr w14:val="tx1"/>
                  </w14:solidFill>
                </w14:textFill>
              </w:rPr>
              <w:t>万m³/a，本项目取水量为</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131.4</w:t>
            </w:r>
            <w:r>
              <w:rPr>
                <w:rFonts w:hint="default" w:ascii="Times New Roman" w:hAnsi="Times New Roman" w:eastAsia="宋体" w:cs="Times New Roman"/>
                <w:b w:val="0"/>
                <w:color w:val="000000" w:themeColor="text1"/>
                <w:kern w:val="2"/>
                <w:sz w:val="24"/>
                <w:szCs w:val="24"/>
                <w14:textFill>
                  <w14:solidFill>
                    <w14:schemeClr w14:val="tx1"/>
                  </w14:solidFill>
                </w14:textFill>
              </w:rPr>
              <w:t>万m³/a，本项目取水量占河道来水量的</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3.</w:t>
            </w:r>
            <w:r>
              <w:rPr>
                <w:rFonts w:hint="eastAsia" w:ascii="Times New Roman" w:hAnsi="Times New Roman" w:eastAsia="宋体" w:cs="Times New Roman"/>
                <w:b w:val="0"/>
                <w:color w:val="000000" w:themeColor="text1"/>
                <w:kern w:val="2"/>
                <w:sz w:val="24"/>
                <w:szCs w:val="24"/>
                <w:lang w:val="en-US" w:eastAsia="zh-CN"/>
                <w14:textFill>
                  <w14:solidFill>
                    <w14:schemeClr w14:val="tx1"/>
                  </w14:solidFill>
                </w14:textFill>
              </w:rPr>
              <w:t>4</w:t>
            </w:r>
            <w:r>
              <w:rPr>
                <w:rFonts w:hint="default" w:ascii="Times New Roman" w:hAnsi="Times New Roman" w:eastAsia="宋体" w:cs="Times New Roman"/>
                <w:b w:val="0"/>
                <w:color w:val="000000" w:themeColor="text1"/>
                <w:kern w:val="2"/>
                <w:sz w:val="24"/>
                <w:szCs w:val="24"/>
                <w:lang w:val="en-US" w:eastAsia="zh-CN"/>
                <w14:textFill>
                  <w14:solidFill>
                    <w14:schemeClr w14:val="tx1"/>
                  </w14:solidFill>
                </w14:textFill>
              </w:rPr>
              <w:t>5</w:t>
            </w:r>
            <w:r>
              <w:rPr>
                <w:rFonts w:hint="default" w:ascii="Times New Roman" w:hAnsi="Times New Roman" w:eastAsia="宋体" w:cs="Times New Roman"/>
                <w:b w:val="0"/>
                <w:color w:val="000000" w:themeColor="text1"/>
                <w:kern w:val="2"/>
                <w:sz w:val="24"/>
                <w:szCs w:val="24"/>
                <w:lang w:eastAsia="zh-CN"/>
                <w14:textFill>
                  <w14:solidFill>
                    <w14:schemeClr w14:val="tx1"/>
                  </w14:solidFill>
                </w14:textFill>
              </w:rPr>
              <w:t>%</w:t>
            </w:r>
            <w:r>
              <w:rPr>
                <w:rFonts w:hint="default" w:ascii="Times New Roman" w:hAnsi="Times New Roman" w:eastAsia="宋体" w:cs="Times New Roman"/>
                <w:b w:val="0"/>
                <w:color w:val="000000" w:themeColor="text1"/>
                <w:kern w:val="2"/>
                <w:sz w:val="24"/>
                <w:szCs w:val="24"/>
                <w14:textFill>
                  <w14:solidFill>
                    <w14:schemeClr w14:val="tx1"/>
                  </w14:solidFill>
                </w14:textFill>
              </w:rPr>
              <w:t>，本项目取水占来水量的比例很小，对区域水资源可利用量影响较小。根据前文对取水河段典型年径流调节计算成果可知，本项目取水不会减少取水影响论证范围内其他用水户的取用水量，因此，本项目取水不会改变区域水资源的配置方案。综上所述，本项目取水对区域水资源可利用量的影响较小，本项目取水可使得区域水资源的利用率和取水用水结构更加合理化，不会对区域水资源配置方案的合理性造成不利影响。因此，本项目取水对水功能区基本无不利影响。</w:t>
            </w:r>
          </w:p>
          <w:p w14:paraId="52515CB4">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本项目为底栏栅式取水工程，取水建筑物坝高1.5m，溢流堰总长度10.0m，仅占用小部分河道过水断面，无水库调节功能，属于无调节引水工程；沉砂池、消能池、输水管道等全部布置在十年一遇洪水位线以外，不改变河道整体行洪通道。工程运行期影响集中在取水口局部河段，主要体现在河道水量再分配、局部水位-流速变化、泥沙输移调整等方面，不会改变五里沟流域天然总来水量。</w:t>
            </w:r>
          </w:p>
          <w:p w14:paraId="6065C2F9">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受底栏栅坝阻水束流作用，坝前水流底栏栅坝坝体高度仅1.5m，行洪论证计算表明，在设计、校核洪水工况下，洪水可从溢流堰自由下泄。平水、枯水期坝前产生小幅壅水，回水长度仅约5m，壅水影响范围十分有限，不会造成大范围水位抬升；坝下游受束水作用局部流速出现小幅增大。发生洪水时，堰体几乎不阻碍行洪，洪水过坝后下游水位快速回归天然河道水位，整体河段洪水水位、行洪格局基本维持天然状态，不会改变河段原有洪水过程。</w:t>
            </w:r>
          </w:p>
          <w:p w14:paraId="7FC6C2D6">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流速降低，推移质泥沙易在坝前发生局部淤积；汛期大洪水来临时，水流挟沙能力增强，淤积泥沙可被洪水冲刷向下游输移，整体可以维持冲淤动态平衡。坝下游局部区域水流受坝体绕流影响，会产生轻微局部冲刷，本工程坝后设置护坦防冲设施，可控制冲刷深度；工程不会改变全河段整体泥沙输移规律，不会造成河道大规模淤积或冲刷问题。</w:t>
            </w:r>
          </w:p>
          <w:p w14:paraId="729A1EAC">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综合来看，运行期对水文情势的影响主要集中在取水口局部小范围河段：下游存在一定的水量减损；坝前存在有限范围的枯水期壅水，洪水工况下行洪基本不受干扰；坝址局部发生冲淤调整，但整体河道冲淤可以维持平衡。本工程对五里沟全流域水文情势影响程度有限。</w:t>
            </w:r>
          </w:p>
          <w:p w14:paraId="4EB552F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（2）对水环境影响分析</w:t>
            </w:r>
          </w:p>
          <w:p w14:paraId="5158FA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本项目为五里沟底栏栅式备用水源取水工程，属于无调节引水工程，坝高1.5m，沉砂池、消能池、输水管线等构筑物均布置在十年一遇洪水位线以外,工程本身不设置生产、生活水处理设施，无常驻值班人员，运行期本身不向外直接排放生产废水与生活污水。运行期水环境影响主要来源于取水引水造成的水文条件改变、沉砂池清淤作业、取水口局部水动力变化，影响集中在取水坝上下游局部河段。</w:t>
            </w:r>
          </w:p>
          <w:p w14:paraId="620B55B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工程运行从五里沟引取原水设计流量0.042m³/s，</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五里沟多年平均流量为1.01m</w:t>
            </w:r>
            <w:r>
              <w:rPr>
                <w:rFonts w:hint="eastAsia" w:ascii="Times New Roman" w:hAnsi="Times New Roman" w:cs="Times New Roman"/>
                <w:b w:val="0"/>
                <w:bCs w:val="0"/>
                <w:color w:val="000000" w:themeColor="text1"/>
                <w:sz w:val="24"/>
                <w:szCs w:val="24"/>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/s，</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按照要求稳定向下游下泄0.1</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01</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m³/s生态流量，保障下游河道基础水量。取水造成取水口下游河段径流量有所减少，河道水深、水面宽度、水体置换速率随之发生改变。虽然有生态流量保障，但枯水季节河道本底流量偏小，下游河段水体纳污能力会出现一定程度下降，对河道自净能力产生轻微削弱；上游河段水文、水环境基本不受取水干扰。</w:t>
            </w:r>
          </w:p>
          <w:p w14:paraId="59E4FE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坝址局部水动力条件改变会带来泥沙与水质方面的变化。枯水、平水期底栏栅坝前流速降低，推移质泥沙在坝前局部淤积；汛期洪水漫堰下泄，淤积泥沙被冲刷向下游输移，维持冲淤动态平衡。沉砂池会拦截原水中细颗粒泥沙，需要定期开展清淤作业。正常工况下，栏栅拦截大块卵石，悬移质泥沙随溢流下泄，不会造成水质持续性恶化。</w:t>
            </w:r>
          </w:p>
          <w:p w14:paraId="4AAFA6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本工程不存在大坝蓄水，无库区富营养化风险。但在枯水期下游水量减小的背景下，如果河段内面源污染物汇入，水体稀释能力下降，会增大局部河段水质超标的潜在风险。项目取水仅引取河道原水，不改变五里沟上游来水的本底水质；只要稳定足额下泄生态流量，维持下游河道水体流动性，可降低水质恶化风险。</w:t>
            </w:r>
          </w:p>
          <w:p w14:paraId="5232E25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本工程运行期无人员值守，不产生生活污水。输水管线全程为密闭压力管道，正常运行状态下不会发生污水外泄；仅在管道检修、阀井放空排水时会产生少量放空排水，检修排水需沉淀处理后排放，严禁直接直排河道，避免短时泥沙扰动河道水环境。</w:t>
            </w:r>
          </w:p>
          <w:p w14:paraId="4BC381C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（3）对浮游生物的影响分析</w:t>
            </w:r>
          </w:p>
          <w:p w14:paraId="4EF0D00F">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工程取水过程中，水流携带的浮游植物、浮游动物会随原水通过底栏栅栅缝进入取水廊道，被输送至水厂，造成取水口局部河段浮游生物个体被卷吸损失。取水口下游虽按照要求下泄0.1m³/s生态流量，但相较于天然状态，河道流量减小，水体交换速率下降、水体滞留时间有所延长，枯水期条件适宜时，存在浮游植物局部增殖的可能性。</w:t>
            </w:r>
          </w:p>
          <w:p w14:paraId="1A9DC4BF">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项目所在五里沟属于山区山溪型河流，水体流动性强，浮游生物本底丰度整体偏低，发生大规模水华的风险较低。进入汛期后，洪水漫坝下泄，水流扰动增强，水体交换加快，能够抑制浮游植物异常增殖；同时上游来流可不断补充浮游生物，群落可随水文条件实现自我调节。整体来看，仅取水口局部区域浮游生物种群数量受到一定扰动，不会造成流域尺度浮游生物群落的根本性改变。</w:t>
            </w:r>
          </w:p>
          <w:p w14:paraId="73F7A7A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（4）对着生藻类的影响分析</w:t>
            </w:r>
          </w:p>
          <w:p w14:paraId="75C46A62">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着生藻类依附于河床砾石、石块表面生长，其生物量受水流流速、基质稳定性、水体透明度的直接控制。枯平水期，坝前流速下降，泥沙沉降，水体悬浮物降低、透明度提升，有利于着生藻类在砾石表面附着定植，造成坝前局部区域着生藻类生物量升高。</w:t>
            </w:r>
          </w:p>
          <w:p w14:paraId="46C175F0">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取水口下游河段，受生态流量控制，水流冲刷扰动减弱，同样利于着生藻类生长；如若着生藻类过度增殖，会大面积覆盖砾石表面，挤占砾石缝隙空间，间接挤压底栖动物的栖息生存空间。</w:t>
            </w:r>
          </w:p>
          <w:p w14:paraId="74AD3667">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汛期高流速洪水的冲刷作用可以刮除砾石表面过量的着生藻类；坝前定期冲沙作业也会对局部着生藻类产生扰动，抑制其过度繁殖，使着生藻类群落维持动态平衡。工程不会造成全河段着生藻类的毁灭性衰退或异常爆发。</w:t>
            </w:r>
          </w:p>
          <w:p w14:paraId="086FB8C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（5）对底栖动物的影响分析</w:t>
            </w:r>
          </w:p>
          <w:p w14:paraId="7CEE5BC0">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底栖动物主要栖息在河床砾石、卵石缝隙之中，生存高度依赖河床基质、水流流速条件。枯水期、平水期底栏栅坝前流速降低，推移质泥沙发生局部淤积，淤积泥沙会覆盖砾石河床基质，掩埋底栖动物的栖息、避敌场所，造成坝前局部区域底栖动物种类、密度出现下降。取水口下游维持生态流量下泄，但流速、水深较天然状态有所降低，原有的急流生境弱化，喜好高流速的急流型底栖动物生存条件被改变，群落会发生物种更替，喜缓流环境的底栖类群占比会有所上升。汛期洪水漫坝过流，坝前淤积泥沙被洪水冲刷输移，河床砾石基质重新裸露，底栖动物栖息生境得到恢复；加之河道未被完全阻断，周边河段的底栖动物可以向受影响区域迁移补充，不会出现区域性底栖动物消亡现象。</w:t>
            </w:r>
          </w:p>
          <w:p w14:paraId="03727FF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（6）对鱼类的影响分析</w:t>
            </w:r>
          </w:p>
          <w:p w14:paraId="5F9D596C">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①对鱼类的多样性影响分析</w:t>
            </w:r>
          </w:p>
          <w:p w14:paraId="1BB45446">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工程底栏栅坝为1.5m低堰，洪水期可漫坝过流；但坝体栏栅存在卷吸鱼卵、仔稚鱼的可能；工程运营期，取水后坝下至下游已建工程2km河段流量缩减，但工程本底无鱼类资源或极少分布，工程运营期对鱼类多样性影响很小。评价河段下游2km处10m高差构筑物是制约河段鱼类多样性提升的主要因素，本工程不会造成现有鱼类物种多样性损失，但仍需保障生态流量，提供未来河段鱼类重新定居的生境条件，增强鱼类多样性恢复进程。</w:t>
            </w:r>
          </w:p>
          <w:p w14:paraId="61D89EC0">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②对鱼类早期资源的影响分析</w:t>
            </w:r>
          </w:p>
          <w:p w14:paraId="33F00933">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取水口工程项目运营过程中，一是取水栏栅存在卷吸风险，随水流漂移而来的鱼卵、仔稚鱼会被带入取水输水系统，造成早期资源个体损失；二是坝下2km区间流量受引水影响缩减，水体环境改变，即便有少量鱼卵仔鱼漂移至下游河段，适宜存活发育的水域条件被压缩。但受下游有硬质化渠道阻隔，鱼卵仔鱼只能单向随洪水向下漂移，无法逆向回迁，本河段不存在稳定产出的本土鱼卵、仔稚鱼，因此不存在对本地持续性鱼类早期资源的破坏，主要是对外部漂移输入的偶然早期资源产生损耗。</w:t>
            </w:r>
          </w:p>
          <w:p w14:paraId="6732A61C">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③对鱼类“三场”的影响分析</w:t>
            </w:r>
          </w:p>
          <w:p w14:paraId="57D00172">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现状评价河段受下游阻隔、河床渠化硬化、河道比降大等综合因素，无稳定、规模化的鱼类产卵场、索饵场、越冬场分布。</w:t>
            </w:r>
          </w:p>
          <w:p w14:paraId="3447ED36">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底栏栅坝本身不会新增三场破坏，但引水减水会降低坝下河段水深、流速；坝前局部泥沙淤积会覆盖砾石基质。如果枯水期生态流量下泄不足，坝下河段残存潜在的砾石生境进一步退化，会阻碍本河段未来发育形成鱼类产卵、索饵、越冬场所。需足额稳定下泄0.1m³/s生态流量，维持坝下河段基础水深与流态，就可以保留河段发育“三场”的潜在基底条件。</w:t>
            </w:r>
          </w:p>
          <w:p w14:paraId="18587D37">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综上所述，工程运行后，对鱼类影响较小。</w:t>
            </w:r>
          </w:p>
          <w:p w14:paraId="26A516B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（7）叠加影响分析</w:t>
            </w:r>
          </w:p>
          <w:p w14:paraId="6B482E81">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取水工程位于大渡河一级支流五里沟，五里沟评价河段上游无任何涉水建筑物，河道来水以雪山融水为主，同时叠加降雨补给；上游来水水质洁净，泥沙主要集中在汛期暴雨、融雪洪水期输出，枯水期融雪补给来水清澈、含沙量低，下游约2km存在已建工程造成河道形成约10m水位高差，河道局部渠化，已形成鱼类上溯的天然阻隔，现状条件下鱼类已无法完成该河段的上下游洄游沟通。本次新建底栏栅取水坝位于上游，两个工程共同对五里沟河段水生生态产生叠加效应。</w:t>
            </w:r>
          </w:p>
          <w:p w14:paraId="43DABC7A">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从鱼类迁移与生境片段化来看，下游已建工程形成的10m跌水高差以及局部河道水泥渠化改造，是本河段鱼类洄游阻隔的主控因素，已经彻底阻断该区间成鱼上下洄游通道。即便本项目底栏栅低坝在洪水期可以实现局部过鱼，也无法克服下游2km处的既有障碍，不能恢复河段长距离鱼类洄游交流，河段被分割成若干相对独立的生境片段。上游虽保持完整自然生境，受水流驱动，鱼卵、仔鱼可随雪山融水、降雨洪水向下漂移补充至坝下河段，但成鱼无法逆向回迁到上游河段，局域鱼类种群交流受限，受枯水、洪水扰动后种群自我恢复能力有所下降。</w:t>
            </w:r>
          </w:p>
          <w:p w14:paraId="6590EB2B">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从水文、泥沙叠加影响分析，上游无人工拦蓄工程，径流完全依靠雪山融水与降雨自然补给，枯水期融雪基流为本工程下泄生态流量提供稳定水源基础，但枯水期天然本底流量偏小。本工程运行引取原水后，坝址至下游已建工程的2km中间河段流量进一步缩减，同时下游已建构筑物会产生水位顶托作用，双重叠加下中间河段流速进一步降低。枯水期上游融雪来水含沙量低，坝前淤积速率相对平缓；汛期暴雨融雪洪水携带泥沙向下输移，受下游工程壅水顶托，泥沙易在2km区间河段落淤，叠加下游部分河道水泥渠化、天然砾石底质本就匮乏的现状，进一步压缩河床天然栖息基质。</w:t>
            </w:r>
          </w:p>
          <w:p w14:paraId="1C8B8C34">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从浮游生物、底栖动物、着生藻类水生生物叠加影响方面，上游自然河段的浮游生物、底栖动物幼体、藻类孢子，可随雪山融水及洪水向下输移，对坝下游水生生物起到自然种群补充作用。但在枯水期，受取水减水、下游工程壅水顶托共同作用，2km中间河段水体滞留时间增加；加之渠化河段缺少天然砾石栖息基底，会加剧局部着生藻类增殖风险，底栖动物适宜栖息空间被进一步压缩；浮游生物在中间河段滞留时间变长。汛期大流量融雪暴雨洪水可以冲刷局部淤积、抑制藻类过度生长，在一定程度上缓冲叠加不利影响，但无法消除下游渠化与高差带来的生境本底缺陷。</w:t>
            </w:r>
          </w:p>
          <w:p w14:paraId="021D400F">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综合评价：下游已建工程造成的高差阻隔、河道渠化是河段生态问题的主导因素；本工程属于叠加加重因素，不会新增全局性洄游阻断。上游完好的自然来水条件可为下游河段提供水源、泥沙调控以及水生生物饵料补充，但不能抵消下游既有工程造成的生境片段化影响。叠加影响主要集中在坝址至下游已建工程之间2km河段。</w:t>
            </w:r>
          </w:p>
          <w:p w14:paraId="2233E8CA">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5.2运营期生态保护措施</w:t>
            </w:r>
          </w:p>
          <w:p w14:paraId="4EF46F6C">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（1）安装在线监控</w:t>
            </w:r>
          </w:p>
          <w:p w14:paraId="783BB8B9">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为提高对工程影响河段内各种人为活动的监督水平，有效监控施工河道现状，监控河段非法捕捞现象，掌握河段鱼类环境变化情况，需要安装远程在线监控系统。根据本工程影响的五里沟特点及鱼类重要生境现状，建议在取水口处设置1个监控点位。监控摄像头（球机）要正对底栏栅取水口，能清晰观察到取水量及下泄流量的释放状况。监控设施安放在自来水厂内，采用视频服务器显。</w:t>
            </w:r>
          </w:p>
          <w:p w14:paraId="4222E0A2">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（2）下泄生态流量</w:t>
            </w:r>
          </w:p>
          <w:p w14:paraId="45D8B23E">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eastAsia="zh-CN"/>
                <w14:textFill>
                  <w14:solidFill>
                    <w14:schemeClr w14:val="tx1"/>
                  </w14:solidFill>
                </w14:textFill>
              </w:rPr>
              <w:t>根据资料</w:t>
            </w: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eastAsia="zh-CN"/>
                <w14:textFill>
                  <w14:solidFill>
                    <w14:schemeClr w14:val="tx1"/>
                  </w14:solidFill>
                </w14:textFill>
              </w:rPr>
              <w:t>在</w:t>
            </w:r>
            <w:r>
              <w:rPr>
                <w:rFonts w:hint="default" w:ascii="Times New Roman" w:hAnsi="Times New Roman" w:cs="Times New Roman"/>
                <w:color w:val="000000" w:themeColor="text1"/>
                <w:sz w:val="24"/>
                <w:szCs w:val="24"/>
                <w:lang w:val="en-US" w:eastAsia="zh-CN"/>
                <w14:textFill>
                  <w14:solidFill>
                    <w14:schemeClr w14:val="tx1"/>
                  </w14:solidFill>
                </w14:textFill>
              </w:rPr>
              <w:t>P=95%情况下</w:t>
            </w:r>
            <w:r>
              <w:rPr>
                <w:rFonts w:hint="default" w:ascii="Times New Roman" w:hAnsi="Times New Roman" w:cs="Times New Roman"/>
                <w:color w:val="000000" w:themeColor="text1"/>
                <w:sz w:val="24"/>
                <w:szCs w:val="24"/>
                <w14:textFill>
                  <w14:solidFill>
                    <w14:schemeClr w14:val="tx1"/>
                  </w14:solidFill>
                </w14:textFill>
              </w:rPr>
              <w:t>本项目取水口所在</w:t>
            </w:r>
            <w:r>
              <w:rPr>
                <w:rFonts w:hint="default" w:ascii="Times New Roman" w:hAnsi="Times New Roman" w:cs="Times New Roman"/>
                <w:color w:val="000000" w:themeColor="text1"/>
                <w:sz w:val="24"/>
                <w:szCs w:val="24"/>
                <w:lang w:val="en-US" w:eastAsia="zh-CN"/>
                <w14:textFill>
                  <w14:solidFill>
                    <w14:schemeClr w14:val="tx1"/>
                  </w14:solidFill>
                </w14:textFill>
              </w:rPr>
              <w:t>五里沟</w:t>
            </w:r>
            <w:r>
              <w:rPr>
                <w:rFonts w:hint="default" w:ascii="Times New Roman" w:hAnsi="Times New Roman" w:cs="Times New Roman"/>
                <w:color w:val="000000" w:themeColor="text1"/>
                <w:sz w:val="24"/>
                <w:szCs w:val="24"/>
                <w14:textFill>
                  <w14:solidFill>
                    <w14:schemeClr w14:val="tx1"/>
                  </w14:solidFill>
                </w14:textFill>
              </w:rPr>
              <w:t>的最枯期（</w:t>
            </w:r>
            <w:r>
              <w:rPr>
                <w:rFonts w:hint="default" w:ascii="Times New Roman" w:hAnsi="Times New Roman" w:cs="Times New Roman"/>
                <w:color w:val="000000" w:themeColor="text1"/>
                <w:sz w:val="24"/>
                <w:szCs w:val="24"/>
                <w:lang w:val="en-US" w:eastAsia="zh-CN"/>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月）月平均流量约为0.</w:t>
            </w:r>
            <w:r>
              <w:rPr>
                <w:rFonts w:hint="default" w:ascii="Times New Roman" w:hAnsi="Times New Roman" w:cs="Times New Roman"/>
                <w:color w:val="000000" w:themeColor="text1"/>
                <w:sz w:val="24"/>
                <w:szCs w:val="24"/>
                <w:lang w:val="en-US" w:eastAsia="zh-CN"/>
                <w14:textFill>
                  <w14:solidFill>
                    <w14:schemeClr w14:val="tx1"/>
                  </w14:solidFill>
                </w14:textFill>
              </w:rPr>
              <w:t>18</w:t>
            </w:r>
            <w:r>
              <w:rPr>
                <w:rFonts w:hint="default" w:ascii="Times New Roman" w:hAnsi="Times New Roman" w:cs="Times New Roman"/>
                <w:color w:val="000000" w:themeColor="text1"/>
                <w:sz w:val="24"/>
                <w:szCs w:val="24"/>
                <w14:textFill>
                  <w14:solidFill>
                    <w14:schemeClr w14:val="tx1"/>
                  </w14:solidFill>
                </w14:textFill>
              </w:rPr>
              <w:t>m</w:t>
            </w:r>
            <w:r>
              <w:rPr>
                <w:rFonts w:hint="default" w:ascii="Times New Roman" w:hAnsi="Times New Roman" w:cs="Times New Roman"/>
                <w:color w:val="000000" w:themeColor="text1"/>
                <w:sz w:val="24"/>
                <w:szCs w:val="24"/>
                <w:vertAlign w:val="super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/s，而本工程从</w:t>
            </w:r>
            <w:r>
              <w:rPr>
                <w:rFonts w:hint="default" w:ascii="Times New Roman" w:hAnsi="Times New Roman" w:cs="Times New Roman"/>
                <w:color w:val="000000" w:themeColor="text1"/>
                <w:sz w:val="24"/>
                <w:szCs w:val="24"/>
                <w:lang w:val="en-US" w:eastAsia="zh-CN"/>
                <w14:textFill>
                  <w14:solidFill>
                    <w14:schemeClr w14:val="tx1"/>
                  </w14:solidFill>
                </w14:textFill>
              </w:rPr>
              <w:t>五里沟</w:t>
            </w:r>
            <w:r>
              <w:rPr>
                <w:rFonts w:hint="default" w:ascii="Times New Roman" w:hAnsi="Times New Roman" w:cs="Times New Roman"/>
                <w:color w:val="000000" w:themeColor="text1"/>
                <w:sz w:val="24"/>
                <w:szCs w:val="24"/>
                <w14:textFill>
                  <w14:solidFill>
                    <w14:schemeClr w14:val="tx1"/>
                  </w14:solidFill>
                </w14:textFill>
              </w:rPr>
              <w:t>取水流量为0</w:t>
            </w:r>
            <w:r>
              <w:rPr>
                <w:rFonts w:hint="default" w:ascii="Times New Roman" w:hAnsi="Times New Roman" w:cs="Times New Roman"/>
                <w:color w:val="000000" w:themeColor="text1"/>
                <w:sz w:val="24"/>
                <w:szCs w:val="24"/>
                <w:lang w:val="en-US" w:eastAsia="zh-CN"/>
                <w14:textFill>
                  <w14:solidFill>
                    <w14:schemeClr w14:val="tx1"/>
                  </w14:solidFill>
                </w14:textFill>
              </w:rPr>
              <w:t>.042</w:t>
            </w:r>
            <w:r>
              <w:rPr>
                <w:rFonts w:hint="default" w:ascii="Times New Roman" w:hAnsi="Times New Roman" w:cs="Times New Roman"/>
                <w:color w:val="000000" w:themeColor="text1"/>
                <w:sz w:val="24"/>
                <w:szCs w:val="24"/>
                <w14:textFill>
                  <w14:solidFill>
                    <w14:schemeClr w14:val="tx1"/>
                  </w14:solidFill>
                </w14:textFill>
              </w:rPr>
              <w:t>m</w:t>
            </w:r>
            <w:r>
              <w:rPr>
                <w:rFonts w:hint="default" w:ascii="Times New Roman" w:hAnsi="Times New Roman" w:cs="Times New Roman"/>
                <w:color w:val="000000" w:themeColor="text1"/>
                <w:sz w:val="24"/>
                <w:szCs w:val="24"/>
                <w:vertAlign w:val="super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/s，最枯期生态下泄流量为0</w:t>
            </w: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14:textFill>
                  <w14:solidFill>
                    <w14:schemeClr w14:val="tx1"/>
                  </w14:solidFill>
                </w14:textFill>
              </w:rPr>
              <w:t>m</w:t>
            </w:r>
            <w:r>
              <w:rPr>
                <w:rFonts w:hint="default" w:ascii="Times New Roman" w:hAnsi="Times New Roman" w:cs="Times New Roman"/>
                <w:color w:val="000000" w:themeColor="text1"/>
                <w:sz w:val="24"/>
                <w:szCs w:val="24"/>
                <w:vertAlign w:val="super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/s，</w:t>
            </w:r>
            <w:r>
              <w:rPr>
                <w:rFonts w:hint="default" w:ascii="Times New Roman" w:hAnsi="Times New Roman" w:cs="Times New Roman"/>
                <w:color w:val="000000" w:themeColor="text1"/>
                <w:sz w:val="24"/>
                <w:szCs w:val="24"/>
                <w:lang w:val="en-US" w:eastAsia="zh-CN"/>
                <w14:textFill>
                  <w14:solidFill>
                    <w14:schemeClr w14:val="tx1"/>
                  </w14:solidFill>
                </w14:textFill>
              </w:rPr>
              <w:t>取水</w:t>
            </w:r>
            <w:r>
              <w:rPr>
                <w:rFonts w:hint="default" w:ascii="Times New Roman" w:hAnsi="Times New Roman" w:cs="Times New Roman"/>
                <w:color w:val="000000" w:themeColor="text1"/>
                <w:sz w:val="24"/>
                <w:szCs w:val="24"/>
                <w14:textFill>
                  <w14:solidFill>
                    <w14:schemeClr w14:val="tx1"/>
                  </w14:solidFill>
                </w14:textFill>
              </w:rPr>
              <w:t>生态流量占取水口平均流量的</w:t>
            </w:r>
            <w:r>
              <w:rPr>
                <w:rFonts w:hint="default" w:ascii="Times New Roman" w:hAnsi="Times New Roman" w:cs="Times New Roman"/>
                <w:color w:val="000000" w:themeColor="text1"/>
                <w:sz w:val="24"/>
                <w:szCs w:val="24"/>
                <w:lang w:val="en-US" w:eastAsia="zh-CN"/>
                <w14:textFill>
                  <w14:solidFill>
                    <w14:schemeClr w14:val="tx1"/>
                  </w14:solidFill>
                </w14:textFill>
              </w:rPr>
              <w:t>23.33</w:t>
            </w:r>
            <w:r>
              <w:rPr>
                <w:rFonts w:hint="default" w:ascii="Times New Roman" w:hAnsi="Times New Roman" w:cs="Times New Roman"/>
                <w:color w:val="000000" w:themeColor="text1"/>
                <w:sz w:val="24"/>
                <w:szCs w:val="24"/>
                <w14:textFill>
                  <w14:solidFill>
                    <w14:schemeClr w14:val="tx1"/>
                  </w14:solidFill>
                </w14:textFill>
              </w:rPr>
              <w:t>%，工程枯水期取水对</w:t>
            </w:r>
            <w:r>
              <w:rPr>
                <w:rFonts w:hint="default" w:ascii="Times New Roman" w:hAnsi="Times New Roman" w:cs="Times New Roman"/>
                <w:color w:val="000000" w:themeColor="text1"/>
                <w:sz w:val="24"/>
                <w:szCs w:val="24"/>
                <w:lang w:val="en-US" w:eastAsia="zh-CN"/>
                <w14:textFill>
                  <w14:solidFill>
                    <w14:schemeClr w14:val="tx1"/>
                  </w14:solidFill>
                </w14:textFill>
              </w:rPr>
              <w:t>五里沟</w:t>
            </w:r>
            <w:r>
              <w:rPr>
                <w:rFonts w:hint="default" w:ascii="Times New Roman" w:hAnsi="Times New Roman" w:cs="Times New Roman"/>
                <w:color w:val="000000" w:themeColor="text1"/>
                <w:sz w:val="24"/>
                <w:szCs w:val="24"/>
                <w14:textFill>
                  <w14:solidFill>
                    <w14:schemeClr w14:val="tx1"/>
                  </w14:solidFill>
                </w14:textFill>
              </w:rPr>
              <w:t>的水文情势</w:t>
            </w:r>
            <w:r>
              <w:rPr>
                <w:rFonts w:hint="default" w:ascii="Times New Roman" w:hAnsi="Times New Roman" w:cs="Times New Roman"/>
                <w:color w:val="000000" w:themeColor="text1"/>
                <w:sz w:val="24"/>
                <w:szCs w:val="24"/>
                <w:lang w:val="en-US" w:eastAsia="zh-CN"/>
                <w14:textFill>
                  <w14:solidFill>
                    <w14:schemeClr w14:val="tx1"/>
                  </w14:solidFill>
                </w14:textFill>
              </w:rPr>
              <w:t>产生了一定的影响</w:t>
            </w:r>
            <w:r>
              <w:rPr>
                <w:rFonts w:hint="default" w:ascii="Times New Roman" w:hAnsi="Times New Roman" w:cs="Times New Roman"/>
                <w:color w:val="000000" w:themeColor="text1"/>
                <w:sz w:val="24"/>
                <w:szCs w:val="24"/>
                <w14:textFill>
                  <w14:solidFill>
                    <w14:schemeClr w14:val="tx1"/>
                  </w14:solidFill>
                </w14:textFill>
              </w:rPr>
              <w:t>。因此为避免工程枯水期（12月~4月）取水对取水口下游水生生态产生较大影响，本报告建议联合原有的羊圈沟水源地，合理分配两水源地枯水期取水量，并在工程底格栏栅下设置生态流量泄放管、底孔或旁通管，确保在枯水期能稳定下泄生态流量。</w:t>
            </w:r>
          </w:p>
          <w:p w14:paraId="20A849C2">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生态基流0.1m³/s采用DN250有压生态放水管下泄，管材选用Q235B钢管，设计管内流速约2.04m/s。生态放水管进口底板高程控制在</w:t>
            </w:r>
            <w:r>
              <w:rPr>
                <w:rFonts w:hint="eastAsia" w:cs="Times New Roman"/>
                <w:color w:val="000000" w:themeColor="text1"/>
                <w:sz w:val="24"/>
                <w:szCs w:val="24"/>
                <w:lang w:val="en-US" w:eastAsia="zh-CN"/>
                <w14:textFill>
                  <w14:solidFill>
                    <w14:schemeClr w14:val="tx1"/>
                  </w14:solidFill>
                </w14:textFill>
              </w:rPr>
              <w:t>底格拦栅坝</w:t>
            </w:r>
            <w:r>
              <w:rPr>
                <w:rFonts w:hint="default" w:ascii="Times New Roman" w:hAnsi="Times New Roman" w:cs="Times New Roman"/>
                <w:color w:val="000000" w:themeColor="text1"/>
                <w:sz w:val="24"/>
                <w:szCs w:val="24"/>
                <w14:textFill>
                  <w14:solidFill>
                    <w14:schemeClr w14:val="tx1"/>
                  </w14:solidFill>
                </w14:textFill>
              </w:rPr>
              <w:t>死水位以下，管道纵坡不小于 0.003，出口为自由出流，配套消能防冲设施。采用活塞式调流调压阀作为主控制设备，具备就地手动及远程电动调节功能；管段配套电磁流量计、水位监测装置，保障稳定下泄不小于 0.1m³/s 生态流量。</w:t>
            </w:r>
          </w:p>
          <w:p w14:paraId="387EDAC9">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同时建议业主制定生态流量调度方案，明确不同季节、不同来水条件下的下泄流量标准，纳入取水工程日常运行管理规程。</w:t>
            </w:r>
          </w:p>
          <w:p w14:paraId="04A84864">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（3）加强鱼类保护宣传</w:t>
            </w:r>
          </w:p>
          <w:p w14:paraId="5DD74643">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lang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生物多样性的保护工作若缺乏公众的广泛支持与积极参与，其顺利推进将面临重大挑战。鉴于此，在项目运行阶段，必须采取有效策略，通过编纂并分发宣传资料的方式，深入向居民普及《中华人民共和国野生动物保护法》、《中华人民共和国渔业法》等相关法律法规，以及保护珍稀水生野生动物所承载的重大生态与科学价值。同时，在涉水工程项目现场应设置标识牌与告示板，采用图文并茂的形式，详尽阐述受影响河段的鱼类分布特征、国家重点保护物种的基本概况，以及项目运行期间所采取的具体保护措施。此举旨在提升公众的生态意识，促进社会各界对生物多样性保护工作的理解与支持，为项目的可持续实施奠定坚实的民众基础</w:t>
            </w:r>
            <w:r>
              <w:rPr>
                <w:rFonts w:hint="default" w:ascii="Times New Roman" w:hAnsi="Times New Roman" w:cs="Times New Roman"/>
                <w:color w:val="000000" w:themeColor="text1"/>
                <w:sz w:val="24"/>
                <w:szCs w:val="24"/>
                <w:lang w:eastAsia="zh-CN"/>
                <w14:textFill>
                  <w14:solidFill>
                    <w14:schemeClr w14:val="tx1"/>
                  </w14:solidFill>
                </w14:textFill>
              </w:rPr>
              <w:t>。</w:t>
            </w:r>
          </w:p>
          <w:p w14:paraId="36C2B210">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b/>
                <w:bCs/>
                <w:color w:val="000000" w:themeColor="text1"/>
                <w:spacing w:val="-3"/>
                <w:sz w:val="24"/>
                <w:szCs w:val="24"/>
                <w14:textFill>
                  <w14:solidFill>
                    <w14:schemeClr w14:val="tx1"/>
                  </w14:solidFill>
                </w14:textFill>
              </w:rPr>
              <w:t>巡护队伍能力提升</w:t>
            </w:r>
          </w:p>
          <w:p w14:paraId="3B0ED481">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为提高对取水工程影响的河沟各种人为活动的监督和管理效率，协助开展执法巡查、保护巡护、法规宣传等工作，及时发现、报告和制止各种非法捕捞及其他破坏水生生物和渔业水域生态的违法行为。建议泸定县农牧农村和科技局聘请一批有条件、有意愿的退伍军人或退捕渔民作为“护鱼队员”，提升地方护渔巡护队伍力量。鉴于上述情况，</w:t>
            </w:r>
            <w:r>
              <w:rPr>
                <w:rFonts w:hint="default" w:ascii="Times New Roman" w:hAnsi="Times New Roman" w:cs="Times New Roman"/>
                <w:color w:val="000000" w:themeColor="text1"/>
                <w:sz w:val="24"/>
                <w:szCs w:val="24"/>
                <w:lang w:val="en-US" w:eastAsia="zh-CN"/>
                <w14:textFill>
                  <w14:solidFill>
                    <w14:schemeClr w14:val="tx1"/>
                  </w14:solidFill>
                </w14:textFill>
              </w:rPr>
              <w:t>业主需提供一定的经费</w:t>
            </w:r>
            <w:r>
              <w:rPr>
                <w:rFonts w:hint="default" w:ascii="Times New Roman" w:hAnsi="Times New Roman" w:cs="Times New Roman"/>
                <w:color w:val="000000" w:themeColor="text1"/>
                <w:sz w:val="24"/>
                <w:szCs w:val="24"/>
                <w14:textFill>
                  <w14:solidFill>
                    <w14:schemeClr w14:val="tx1"/>
                  </w14:solidFill>
                </w14:textFill>
              </w:rPr>
              <w:t>，用于“护鱼队员”补贴发放、购买巡护装备、渔政巡护工作经费等，以加强渔政护渔队伍综合能力建设，进而提高对</w:t>
            </w:r>
            <w:r>
              <w:rPr>
                <w:rFonts w:hint="default" w:ascii="Times New Roman" w:hAnsi="Times New Roman" w:cs="Times New Roman"/>
                <w:color w:val="000000" w:themeColor="text1"/>
                <w:sz w:val="24"/>
                <w:szCs w:val="24"/>
                <w:lang w:eastAsia="zh-CN"/>
                <w14:textFill>
                  <w14:solidFill>
                    <w14:schemeClr w14:val="tx1"/>
                  </w14:solidFill>
                </w14:textFill>
              </w:rPr>
              <w:t>五里沟</w:t>
            </w:r>
            <w:r>
              <w:rPr>
                <w:rFonts w:hint="default" w:ascii="Times New Roman" w:hAnsi="Times New Roman" w:cs="Times New Roman"/>
                <w:color w:val="000000" w:themeColor="text1"/>
                <w:sz w:val="24"/>
                <w:szCs w:val="24"/>
                <w14:textFill>
                  <w14:solidFill>
                    <w14:schemeClr w14:val="tx1"/>
                  </w14:solidFill>
                </w14:textFill>
              </w:rPr>
              <w:t>的监督能力。</w:t>
            </w:r>
          </w:p>
          <w:p w14:paraId="7A8A933E">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000000" w:themeColor="text1"/>
                <w:spacing w:val="-3"/>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（5）</w:t>
            </w:r>
            <w:r>
              <w:rPr>
                <w:rFonts w:hint="default" w:ascii="Times New Roman" w:hAnsi="Times New Roman" w:cs="Times New Roman"/>
                <w:b/>
                <w:bCs/>
                <w:color w:val="000000" w:themeColor="text1"/>
                <w:spacing w:val="-3"/>
                <w:sz w:val="24"/>
                <w:szCs w:val="24"/>
                <w:lang w:val="en-US" w:eastAsia="zh-CN"/>
                <w14:textFill>
                  <w14:solidFill>
                    <w14:schemeClr w14:val="tx1"/>
                  </w14:solidFill>
                </w14:textFill>
              </w:rPr>
              <w:t>运营期生态</w:t>
            </w:r>
            <w:r>
              <w:rPr>
                <w:color w:val="000000" w:themeColor="text1"/>
                <w:sz w:val="24"/>
                <w:szCs w:val="24"/>
                <w14:textFill>
                  <w14:solidFill>
                    <w14:schemeClr w14:val="tx1"/>
                  </w14:solidFill>
                </w14:textFill>
              </w:rPr>
              <w:commentReference w:id="6"/>
            </w:r>
            <w:r>
              <w:rPr>
                <w:rFonts w:hint="default" w:ascii="Times New Roman" w:hAnsi="Times New Roman" w:cs="Times New Roman"/>
                <w:b/>
                <w:bCs/>
                <w:color w:val="000000" w:themeColor="text1"/>
                <w:spacing w:val="-3"/>
                <w:sz w:val="24"/>
                <w:szCs w:val="24"/>
                <w:lang w:val="en-US" w:eastAsia="zh-CN"/>
                <w14:textFill>
                  <w14:solidFill>
                    <w14:schemeClr w14:val="tx1"/>
                  </w14:solidFill>
                </w14:textFill>
              </w:rPr>
              <w:t>监测</w:t>
            </w:r>
          </w:p>
          <w:p w14:paraId="14CA37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olor w:val="000000" w:themeColor="text1"/>
                <w:sz w:val="24"/>
                <w:szCs w:val="24"/>
                <w:lang w:val="en-US" w:eastAsia="zh-CN"/>
                <w14:textFill>
                  <w14:solidFill>
                    <w14:schemeClr w14:val="tx1"/>
                  </w14:solidFill>
                </w14:textFill>
              </w:rPr>
              <w:t>结合《泸定县林业利和草原局关于同意泸定县城区自来水厂备用水源取水工程新建项目进人四川大熊猫栖息地世界自然遗产缓冲区的审核意见》（泸林护审字〔2025〕02号），</w:t>
            </w:r>
            <w:r>
              <w:rPr>
                <w:rFonts w:hint="default" w:ascii="Times New Roman" w:hAnsi="Times New Roman" w:cs="Times New Roman"/>
                <w:color w:val="000000" w:themeColor="text1"/>
                <w:sz w:val="24"/>
                <w:szCs w:val="24"/>
                <w14:textFill>
                  <w14:solidFill>
                    <w14:schemeClr w14:val="tx1"/>
                  </w14:solidFill>
                </w14:textFill>
              </w:rPr>
              <w:t>为保证项目的有效管理，建设单位必须在项目运营期间加大生态监测与监理力度，并建设一定的生态监测管理设施。坚持定期对项目区域进行监测，特别是加强项目工程区及其附近区域的监测工作，以便根据监测结果对生态管理工作提供科学参考。建立项目对野生动植物影响生态监测体系和制度，明确监测任务、监测人员、监测时间及频次等。</w:t>
            </w:r>
          </w:p>
          <w:p w14:paraId="072F0D5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iCs/>
                <w:color w:val="000000" w:themeColor="text1"/>
                <w:sz w:val="24"/>
                <w:szCs w:val="24"/>
                <w14:textFill>
                  <w14:solidFill>
                    <w14:schemeClr w14:val="tx1"/>
                  </w14:solidFill>
                </w14:textFill>
              </w:rPr>
            </w:pPr>
            <w:r>
              <w:rPr>
                <w:rFonts w:hint="default" w:ascii="Times New Roman" w:hAnsi="Times New Roman" w:cs="Times New Roman"/>
                <w:b/>
                <w:bCs/>
                <w:iCs/>
                <w:color w:val="000000" w:themeColor="text1"/>
                <w:sz w:val="24"/>
                <w:szCs w:val="24"/>
                <w:lang w:val="en-US" w:eastAsia="zh-CN"/>
                <w14:textFill>
                  <w14:solidFill>
                    <w14:schemeClr w14:val="tx1"/>
                  </w14:solidFill>
                </w14:textFill>
              </w:rPr>
              <w:t>①</w:t>
            </w:r>
            <w:r>
              <w:rPr>
                <w:rFonts w:hint="default" w:ascii="Times New Roman" w:hAnsi="Times New Roman" w:cs="Times New Roman"/>
                <w:b/>
                <w:bCs/>
                <w:color w:val="000000" w:themeColor="text1"/>
                <w:sz w:val="24"/>
                <w:szCs w:val="24"/>
                <w14:textFill>
                  <w14:solidFill>
                    <w14:schemeClr w14:val="tx1"/>
                  </w14:solidFill>
                </w14:textFill>
              </w:rPr>
              <w:t>生态监测内容</w:t>
            </w:r>
          </w:p>
          <w:p w14:paraId="03B83A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本项目</w:t>
            </w:r>
            <w:r>
              <w:rPr>
                <w:rFonts w:hint="default" w:ascii="Times New Roman" w:hAnsi="Times New Roman" w:cs="Times New Roman"/>
                <w:color w:val="000000" w:themeColor="text1"/>
                <w:sz w:val="24"/>
                <w:szCs w:val="24"/>
                <w:lang w:val="en-US" w:eastAsia="zh-CN"/>
                <w14:textFill>
                  <w14:solidFill>
                    <w14:schemeClr w14:val="tx1"/>
                  </w14:solidFill>
                </w14:textFill>
              </w:rPr>
              <w:t>陆生</w:t>
            </w:r>
            <w:r>
              <w:rPr>
                <w:rFonts w:hint="default" w:ascii="Times New Roman" w:hAnsi="Times New Roman" w:cs="Times New Roman"/>
                <w:color w:val="000000" w:themeColor="text1"/>
                <w:sz w:val="24"/>
                <w:szCs w:val="24"/>
                <w14:textFill>
                  <w14:solidFill>
                    <w14:schemeClr w14:val="tx1"/>
                  </w14:solidFill>
                </w14:textFill>
              </w:rPr>
              <w:t>监测内容</w:t>
            </w:r>
            <w:r>
              <w:rPr>
                <w:rFonts w:hint="default" w:ascii="Times New Roman" w:hAnsi="Times New Roman" w:cs="Times New Roman"/>
                <w:color w:val="000000" w:themeColor="text1"/>
                <w:sz w:val="24"/>
                <w:szCs w:val="24"/>
                <w:lang w:val="en-US" w:eastAsia="zh-CN"/>
                <w14:textFill>
                  <w14:solidFill>
                    <w14:schemeClr w14:val="tx1"/>
                  </w14:solidFill>
                </w14:textFill>
              </w:rPr>
              <w:t>包括占地及评价区植物种类及数量，群落结构多样性，</w:t>
            </w:r>
            <w:r>
              <w:rPr>
                <w:rFonts w:hint="default" w:ascii="Times New Roman" w:hAnsi="Times New Roman" w:cs="Times New Roman"/>
                <w:color w:val="000000" w:themeColor="text1"/>
                <w:sz w:val="24"/>
                <w:szCs w:val="24"/>
                <w14:textFill>
                  <w14:solidFill>
                    <w14:schemeClr w14:val="tx1"/>
                  </w14:solidFill>
                </w14:textFill>
              </w:rPr>
              <w:t>区域环境野生动植物种类、数量、种群密度、受威胁情况、栖息地恢复状况等。</w:t>
            </w:r>
            <w:r>
              <w:rPr>
                <w:rFonts w:hint="default" w:ascii="Times New Roman" w:hAnsi="Times New Roman" w:eastAsia="宋体" w:cs="Times New Roman"/>
                <w:color w:val="000000" w:themeColor="text1"/>
                <w:sz w:val="24"/>
                <w:szCs w:val="24"/>
                <w14:textFill>
                  <w14:solidFill>
                    <w14:schemeClr w14:val="tx1"/>
                  </w14:solidFill>
                </w14:textFill>
              </w:rPr>
              <w:t>水生生态环境主要调查和监测浮游植物、浮游动物种群数量、密度、生物量</w:t>
            </w:r>
            <w:r>
              <w:rPr>
                <w:rFonts w:hint="default" w:ascii="Times New Roman" w:hAnsi="Times New Roman" w:eastAsia="宋体" w:cs="Times New Roman"/>
                <w:color w:val="000000" w:themeColor="text1"/>
                <w:sz w:val="24"/>
                <w:szCs w:val="24"/>
                <w:lang w:eastAsia="zh-CN"/>
                <w14:textFill>
                  <w14:solidFill>
                    <w14:schemeClr w14:val="tx1"/>
                  </w14:solidFill>
                </w14:textFill>
              </w:rPr>
              <w:t>的</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变化情况</w:t>
            </w:r>
            <w:r>
              <w:rPr>
                <w:rFonts w:hint="default" w:ascii="Times New Roman" w:hAnsi="Times New Roman" w:cs="Times New Roman"/>
                <w:color w:val="000000" w:themeColor="text1"/>
                <w:sz w:val="24"/>
                <w:szCs w:val="24"/>
                <w:lang w:val="en-US" w:eastAsia="zh-CN"/>
                <w14:textFill>
                  <w14:solidFill>
                    <w14:schemeClr w14:val="tx1"/>
                  </w14:solidFill>
                </w14:textFill>
              </w:rPr>
              <w:t>、鱼类“三场”变化情况、鱼类早期资源量</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4E8458F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iCs/>
                <w:color w:val="000000" w:themeColor="text1"/>
                <w:sz w:val="24"/>
                <w:szCs w:val="24"/>
                <w14:textFill>
                  <w14:solidFill>
                    <w14:schemeClr w14:val="tx1"/>
                  </w14:solidFill>
                </w14:textFill>
              </w:rPr>
            </w:pPr>
            <w:r>
              <w:rPr>
                <w:rFonts w:hint="default" w:ascii="Times New Roman" w:hAnsi="Times New Roman" w:cs="Times New Roman"/>
                <w:b/>
                <w:bCs/>
                <w:iCs/>
                <w:color w:val="000000" w:themeColor="text1"/>
                <w:sz w:val="24"/>
                <w:szCs w:val="24"/>
                <w:lang w:val="en-US" w:eastAsia="zh-CN"/>
                <w14:textFill>
                  <w14:solidFill>
                    <w14:schemeClr w14:val="tx1"/>
                  </w14:solidFill>
                </w14:textFill>
              </w:rPr>
              <w:t>②</w:t>
            </w:r>
            <w:r>
              <w:rPr>
                <w:rFonts w:hint="default" w:ascii="Times New Roman" w:hAnsi="Times New Roman" w:cs="Times New Roman"/>
                <w:b/>
                <w:bCs/>
                <w:iCs/>
                <w:color w:val="000000" w:themeColor="text1"/>
                <w:sz w:val="24"/>
                <w:szCs w:val="24"/>
                <w14:textFill>
                  <w14:solidFill>
                    <w14:schemeClr w14:val="tx1"/>
                  </w14:solidFill>
                </w14:textFill>
              </w:rPr>
              <w:t>检测方法</w:t>
            </w:r>
          </w:p>
          <w:p w14:paraId="263B70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植物监测以固定样方进行监测；鸟类、爬行类、两栖类设置调查样线进行观察记录（记录种类、数量、距离、活动痕迹、粪便、时间等调查参数）；小兽类在项目占地及周边区域随机选择样地以“铗夜法”记录各类生境中的小兽类数量、种类等。</w:t>
            </w:r>
            <w:r>
              <w:rPr>
                <w:rFonts w:hint="default" w:ascii="Times New Roman" w:hAnsi="Times New Roman" w:cs="Times New Roman"/>
                <w:color w:val="000000" w:themeColor="text1"/>
                <w:sz w:val="24"/>
                <w:szCs w:val="24"/>
                <w:lang w:val="en-US" w:eastAsia="zh-CN"/>
                <w14:textFill>
                  <w14:solidFill>
                    <w14:schemeClr w14:val="tx1"/>
                  </w14:solidFill>
                </w14:textFill>
              </w:rPr>
              <w:t>水生植物、浮游植物、浮游动物、底栖动物通过设置采样断面进行监测，鱼类主要通过捕捞的方式进行调查。鱼类“三场”主要通过</w:t>
            </w:r>
            <w:r>
              <w:rPr>
                <w:rFonts w:hint="default" w:ascii="Times New Roman" w:hAnsi="Times New Roman" w:eastAsia="宋体" w:cs="Times New Roman"/>
                <w:color w:val="000000" w:themeColor="text1"/>
                <w:sz w:val="24"/>
                <w:szCs w:val="24"/>
                <w14:textFill>
                  <w14:solidFill>
                    <w14:schemeClr w14:val="tx1"/>
                  </w14:solidFill>
                </w14:textFill>
              </w:rPr>
              <w:t>走访当地捕鱼爱好者和沿河居民，了解鱼类主要集中地和鱼类繁殖情况，结合鱼类生物学特性、调查河段的河流形态和水文学特征分析评价范围内鱼类“三场”分布</w:t>
            </w:r>
            <w:r>
              <w:rPr>
                <w:rFonts w:hint="default" w:ascii="Times New Roman" w:hAnsi="Times New Roman" w:cs="Times New Roman"/>
                <w:color w:val="000000" w:themeColor="text1"/>
                <w:sz w:val="24"/>
                <w:szCs w:val="24"/>
                <w:lang w:val="en-US" w:eastAsia="zh-CN"/>
                <w14:textFill>
                  <w14:solidFill>
                    <w14:schemeClr w14:val="tx1"/>
                  </w14:solidFill>
                </w14:textFill>
              </w:rPr>
              <w:t>变化情况</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鱼类早期资源监测主要设置在</w:t>
            </w:r>
            <w:r>
              <w:rPr>
                <w:rFonts w:hint="default" w:ascii="Times New Roman" w:hAnsi="Times New Roman" w:eastAsia="宋体" w:cs="Times New Roman"/>
                <w:color w:val="000000" w:themeColor="text1"/>
                <w:spacing w:val="-3"/>
                <w:sz w:val="24"/>
                <w:szCs w:val="24"/>
                <w14:textFill>
                  <w14:solidFill>
                    <w14:schemeClr w14:val="tx1"/>
                  </w14:solidFill>
                </w14:textFill>
              </w:rPr>
              <w:t>本工程的取水</w:t>
            </w:r>
            <w:r>
              <w:rPr>
                <w:rFonts w:hint="default" w:ascii="Times New Roman" w:hAnsi="Times New Roman" w:eastAsia="宋体" w:cs="Times New Roman"/>
                <w:color w:val="000000" w:themeColor="text1"/>
                <w:spacing w:val="-1"/>
                <w:sz w:val="24"/>
                <w:szCs w:val="24"/>
                <w14:textFill>
                  <w14:solidFill>
                    <w14:schemeClr w14:val="tx1"/>
                  </w14:solidFill>
                </w14:textFill>
              </w:rPr>
              <w:t>口、沉砂池</w:t>
            </w:r>
            <w:r>
              <w:rPr>
                <w:rFonts w:hint="default" w:ascii="Times New Roman" w:hAnsi="Times New Roman" w:eastAsia="宋体" w:cs="Times New Roman"/>
                <w:color w:val="000000" w:themeColor="text1"/>
                <w:spacing w:val="-1"/>
                <w:sz w:val="24"/>
                <w:szCs w:val="24"/>
                <w:lang w:val="en-US" w:eastAsia="zh-CN"/>
                <w14:textFill>
                  <w14:solidFill>
                    <w14:schemeClr w14:val="tx1"/>
                  </w14:solidFill>
                </w14:textFill>
              </w:rPr>
              <w:t>内，通过每日定时定量采集进行检测。</w:t>
            </w:r>
          </w:p>
          <w:p w14:paraId="6679818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iCs/>
                <w:color w:val="000000" w:themeColor="text1"/>
                <w:sz w:val="24"/>
                <w:szCs w:val="24"/>
                <w:highlight w:val="none"/>
                <w14:textFill>
                  <w14:solidFill>
                    <w14:schemeClr w14:val="tx1"/>
                  </w14:solidFill>
                </w14:textFill>
              </w:rPr>
            </w:pPr>
            <w:r>
              <w:rPr>
                <w:rFonts w:hint="default" w:ascii="Times New Roman" w:hAnsi="Times New Roman" w:cs="Times New Roman"/>
                <w:b/>
                <w:bCs/>
                <w:iCs/>
                <w:color w:val="000000" w:themeColor="text1"/>
                <w:sz w:val="24"/>
                <w:szCs w:val="24"/>
                <w:highlight w:val="none"/>
                <w:lang w:val="en-US" w:eastAsia="zh-CN"/>
                <w14:textFill>
                  <w14:solidFill>
                    <w14:schemeClr w14:val="tx1"/>
                  </w14:solidFill>
                </w14:textFill>
              </w:rPr>
              <w:t>③</w:t>
            </w:r>
            <w:r>
              <w:rPr>
                <w:rFonts w:hint="default" w:ascii="Times New Roman" w:hAnsi="Times New Roman" w:cs="Times New Roman"/>
                <w:b/>
                <w:bCs/>
                <w:iCs/>
                <w:color w:val="000000" w:themeColor="text1"/>
                <w:sz w:val="24"/>
                <w:szCs w:val="24"/>
                <w:highlight w:val="none"/>
                <w14:textFill>
                  <w14:solidFill>
                    <w14:schemeClr w14:val="tx1"/>
                  </w14:solidFill>
                </w14:textFill>
              </w:rPr>
              <w:t>生态监测</w:t>
            </w:r>
            <w:r>
              <w:rPr>
                <w:rFonts w:hint="default" w:ascii="Times New Roman" w:hAnsi="Times New Roman" w:cs="Times New Roman"/>
                <w:b/>
                <w:bCs/>
                <w:iCs/>
                <w:color w:val="000000" w:themeColor="text1"/>
                <w:sz w:val="24"/>
                <w:szCs w:val="24"/>
                <w:highlight w:val="none"/>
                <w:lang w:val="en-US" w:eastAsia="zh-CN"/>
                <w14:textFill>
                  <w14:solidFill>
                    <w14:schemeClr w14:val="tx1"/>
                  </w14:solidFill>
                </w14:textFill>
              </w:rPr>
              <w:t>点</w:t>
            </w:r>
            <w:r>
              <w:rPr>
                <w:rFonts w:hint="default" w:ascii="Times New Roman" w:hAnsi="Times New Roman" w:cs="Times New Roman"/>
                <w:b/>
                <w:bCs/>
                <w:iCs/>
                <w:color w:val="000000" w:themeColor="text1"/>
                <w:sz w:val="24"/>
                <w:szCs w:val="24"/>
                <w:highlight w:val="none"/>
                <w14:textFill>
                  <w14:solidFill>
                    <w14:schemeClr w14:val="tx1"/>
                  </w14:solidFill>
                </w14:textFill>
              </w:rPr>
              <w:t>的选择</w:t>
            </w:r>
          </w:p>
          <w:p w14:paraId="78F0980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陆生调查：</w:t>
            </w:r>
            <w:r>
              <w:rPr>
                <w:rFonts w:hint="default" w:ascii="Times New Roman" w:hAnsi="Times New Roman" w:cs="Times New Roman"/>
                <w:color w:val="000000" w:themeColor="text1"/>
                <w:kern w:val="0"/>
                <w:sz w:val="24"/>
                <w:szCs w:val="24"/>
                <w:highlight w:val="none"/>
                <w14:textFill>
                  <w14:solidFill>
                    <w14:schemeClr w14:val="tx1"/>
                  </w14:solidFill>
                </w14:textFill>
              </w:rPr>
              <w:t>样地的设置遵循以下原则。第一，设置在靠近工程长期占地区的各类生态植被中；第二，植被较好地段及湿地周边；第三，动物的潜在栖息地。一方面，用以监测森林、灌丛等植物群落组成、覆盖率、生物量等变化情况</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；另</w:t>
            </w:r>
            <w:r>
              <w:rPr>
                <w:rFonts w:hint="default" w:ascii="Times New Roman" w:hAnsi="Times New Roman" w:cs="Times New Roman"/>
                <w:color w:val="000000" w:themeColor="text1"/>
                <w:kern w:val="0"/>
                <w:sz w:val="24"/>
                <w:szCs w:val="24"/>
                <w:highlight w:val="none"/>
                <w14:textFill>
                  <w14:solidFill>
                    <w14:schemeClr w14:val="tx1"/>
                  </w14:solidFill>
                </w14:textFill>
              </w:rPr>
              <w:t>一方面，用于监测工程的建成是否会对遗产地内的动物潜在栖息地造成较大影响。</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本次沿着工程沿线周边影响范围内设置9条生态监测样线，15个陆生生态监测样方。</w:t>
            </w:r>
          </w:p>
          <w:p w14:paraId="69A2F783">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kern w:val="0"/>
                <w:sz w:val="24"/>
                <w:szCs w:val="24"/>
                <w:highlight w:val="none"/>
                <w:lang w:val="en-US" w:eastAsia="zh-CN"/>
                <w14:textFill>
                  <w14:solidFill>
                    <w14:schemeClr w14:val="tx1"/>
                  </w14:solidFill>
                </w14:textFill>
              </w:rPr>
              <w:t>水生调查：</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本项目在水生生态评价范围内设置3个水生生态采样点</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，同时在</w:t>
            </w:r>
            <w:r>
              <w:rPr>
                <w:rFonts w:hint="default" w:ascii="Times New Roman" w:hAnsi="Times New Roman" w:eastAsia="宋体" w:cs="Times New Roman"/>
                <w:color w:val="000000" w:themeColor="text1"/>
                <w:spacing w:val="-3"/>
                <w:sz w:val="24"/>
                <w:szCs w:val="24"/>
                <w:highlight w:val="none"/>
                <w14:textFill>
                  <w14:solidFill>
                    <w14:schemeClr w14:val="tx1"/>
                  </w14:solidFill>
                </w14:textFill>
              </w:rPr>
              <w:t>取水</w:t>
            </w:r>
            <w:r>
              <w:rPr>
                <w:rFonts w:hint="default" w:ascii="Times New Roman" w:hAnsi="Times New Roman" w:eastAsia="宋体" w:cs="Times New Roman"/>
                <w:color w:val="000000" w:themeColor="text1"/>
                <w:spacing w:val="-1"/>
                <w:sz w:val="24"/>
                <w:szCs w:val="24"/>
                <w:highlight w:val="none"/>
                <w14:textFill>
                  <w14:solidFill>
                    <w14:schemeClr w14:val="tx1"/>
                  </w14:solidFill>
                </w14:textFill>
              </w:rPr>
              <w:t>口、沉砂池</w:t>
            </w:r>
            <w:r>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t>内</w:t>
            </w: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设置鱼类早期资源监测点，</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进行水生生态调查和监测。</w:t>
            </w:r>
          </w:p>
          <w:p w14:paraId="38E9904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④</w:t>
            </w:r>
            <w:r>
              <w:rPr>
                <w:rFonts w:hint="default" w:ascii="Times New Roman" w:hAnsi="Times New Roman" w:cs="Times New Roman"/>
                <w:color w:val="000000" w:themeColor="text1"/>
                <w:sz w:val="24"/>
                <w:szCs w:val="24"/>
                <w14:textFill>
                  <w14:solidFill>
                    <w14:schemeClr w14:val="tx1"/>
                  </w14:solidFill>
                </w14:textFill>
              </w:rPr>
              <w:t>生态监测项目及指标</w:t>
            </w:r>
          </w:p>
          <w:p w14:paraId="3B48DEC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pacing w:val="-3"/>
                <w:sz w:val="24"/>
                <w:szCs w:val="24"/>
                <w:lang w:eastAsia="zh-CN"/>
                <w14:textFill>
                  <w14:solidFill>
                    <w14:schemeClr w14:val="tx1"/>
                  </w14:solidFill>
                </w14:textFill>
              </w:rPr>
            </w:pPr>
            <w:r>
              <w:rPr>
                <w:rFonts w:hint="default" w:ascii="Times New Roman" w:hAnsi="Times New Roman" w:cs="Times New Roman"/>
                <w:bCs/>
                <w:color w:val="000000" w:themeColor="text1"/>
                <w:kern w:val="0"/>
                <w:sz w:val="24"/>
                <w:szCs w:val="24"/>
                <w14:textFill>
                  <w14:solidFill>
                    <w14:schemeClr w14:val="tx1"/>
                  </w14:solidFill>
                </w14:textFill>
              </w:rPr>
              <w:t>为了实时掌握项目实施对</w:t>
            </w:r>
            <w:r>
              <w:rPr>
                <w:rFonts w:hint="default" w:ascii="Times New Roman" w:hAnsi="Times New Roman" w:cs="Times New Roman"/>
                <w:bCs/>
                <w:color w:val="000000" w:themeColor="text1"/>
                <w:kern w:val="0"/>
                <w:sz w:val="24"/>
                <w:szCs w:val="24"/>
                <w:lang w:val="en-US" w:eastAsia="zh-CN"/>
                <w14:textFill>
                  <w14:solidFill>
                    <w14:schemeClr w14:val="tx1"/>
                  </w14:solidFill>
                </w14:textFill>
              </w:rPr>
              <w:t>区域陆生</w:t>
            </w:r>
            <w:r>
              <w:rPr>
                <w:rFonts w:hint="default" w:ascii="Times New Roman" w:hAnsi="Times New Roman" w:cs="Times New Roman"/>
                <w:bCs/>
                <w:color w:val="000000" w:themeColor="text1"/>
                <w:kern w:val="0"/>
                <w:sz w:val="24"/>
                <w:szCs w:val="24"/>
                <w14:textFill>
                  <w14:solidFill>
                    <w14:schemeClr w14:val="tx1"/>
                  </w14:solidFill>
                </w14:textFill>
              </w:rPr>
              <w:t>动植物物种多样性的影响，本项目</w:t>
            </w:r>
            <w:r>
              <w:rPr>
                <w:rFonts w:hint="default" w:ascii="Times New Roman" w:hAnsi="Times New Roman" w:cs="Times New Roman"/>
                <w:color w:val="000000" w:themeColor="text1"/>
                <w:kern w:val="0"/>
                <w:sz w:val="24"/>
                <w:szCs w:val="24"/>
                <w14:textFill>
                  <w14:solidFill>
                    <w14:schemeClr w14:val="tx1"/>
                  </w14:solidFill>
                </w14:textFill>
              </w:rPr>
              <w:t>在评价区设</w:t>
            </w:r>
            <w:r>
              <w:rPr>
                <w:rFonts w:hint="default" w:ascii="Times New Roman" w:hAnsi="Times New Roman" w:cs="Times New Roman"/>
                <w:color w:val="000000" w:themeColor="text1"/>
                <w:kern w:val="0"/>
                <w:sz w:val="24"/>
                <w:szCs w:val="24"/>
                <w:highlight w:val="none"/>
                <w14:textFill>
                  <w14:solidFill>
                    <w14:schemeClr w14:val="tx1"/>
                  </w14:solidFill>
                </w14:textFill>
              </w:rPr>
              <w:t>置</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9</w:t>
            </w:r>
            <w:r>
              <w:rPr>
                <w:rFonts w:hint="default" w:ascii="Times New Roman" w:hAnsi="Times New Roman" w:cs="Times New Roman"/>
                <w:color w:val="000000" w:themeColor="text1"/>
                <w:kern w:val="0"/>
                <w:sz w:val="24"/>
                <w:szCs w:val="24"/>
                <w:highlight w:val="none"/>
                <w14:textFill>
                  <w14:solidFill>
                    <w14:schemeClr w14:val="tx1"/>
                  </w14:solidFill>
                </w14:textFill>
              </w:rPr>
              <w:t>条监测样线和</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15</w:t>
            </w:r>
            <w:r>
              <w:rPr>
                <w:rFonts w:hint="default" w:ascii="Times New Roman" w:hAnsi="Times New Roman" w:cs="Times New Roman"/>
                <w:color w:val="000000" w:themeColor="text1"/>
                <w:kern w:val="0"/>
                <w:sz w:val="24"/>
                <w:szCs w:val="24"/>
                <w:highlight w:val="none"/>
                <w14:textFill>
                  <w14:solidFill>
                    <w14:schemeClr w14:val="tx1"/>
                  </w14:solidFill>
                </w14:textFill>
              </w:rPr>
              <w:t>个监测样</w:t>
            </w:r>
            <w:r>
              <w:rPr>
                <w:rFonts w:hint="default" w:ascii="Times New Roman" w:hAnsi="Times New Roman" w:cs="Times New Roman"/>
                <w:color w:val="000000" w:themeColor="text1"/>
                <w:kern w:val="0"/>
                <w:sz w:val="24"/>
                <w:szCs w:val="24"/>
                <w14:textFill>
                  <w14:solidFill>
                    <w14:schemeClr w14:val="tx1"/>
                  </w14:solidFill>
                </w14:textFill>
              </w:rPr>
              <w:t>方，</w:t>
            </w:r>
            <w:r>
              <w:rPr>
                <w:rFonts w:hint="default" w:ascii="Times New Roman" w:hAnsi="Times New Roman" w:cs="Times New Roman"/>
                <w:bCs/>
                <w:color w:val="000000" w:themeColor="text1"/>
                <w:kern w:val="0"/>
                <w:sz w:val="24"/>
                <w:szCs w:val="24"/>
                <w14:textFill>
                  <w14:solidFill>
                    <w14:schemeClr w14:val="tx1"/>
                  </w14:solidFill>
                </w14:textFill>
              </w:rPr>
              <w:t>主要监测动植物多样性的变化情况，根据监测变化状况制定相应的保护措施。</w:t>
            </w:r>
            <w:r>
              <w:rPr>
                <w:rFonts w:hint="default" w:ascii="Times New Roman" w:hAnsi="Times New Roman" w:cs="Times New Roman"/>
                <w:bCs/>
                <w:color w:val="000000" w:themeColor="text1"/>
                <w:kern w:val="0"/>
                <w:sz w:val="24"/>
                <w:szCs w:val="24"/>
                <w:lang w:val="en-US" w:eastAsia="zh-CN"/>
                <w14:textFill>
                  <w14:solidFill>
                    <w14:schemeClr w14:val="tx1"/>
                  </w14:solidFill>
                </w14:textFill>
              </w:rPr>
              <w:t>陆生</w:t>
            </w:r>
            <w:r>
              <w:rPr>
                <w:rFonts w:hint="default" w:ascii="Times New Roman" w:hAnsi="Times New Roman" w:cs="Times New Roman"/>
                <w:bCs/>
                <w:color w:val="000000" w:themeColor="text1"/>
                <w:kern w:val="0"/>
                <w:sz w:val="24"/>
                <w:szCs w:val="24"/>
                <w14:textFill>
                  <w14:solidFill>
                    <w14:schemeClr w14:val="tx1"/>
                  </w14:solidFill>
                </w14:textFill>
              </w:rPr>
              <w:t>监测</w:t>
            </w:r>
            <w:r>
              <w:rPr>
                <w:rFonts w:hint="default" w:ascii="Times New Roman" w:hAnsi="Times New Roman" w:cs="Times New Roman"/>
                <w:color w:val="000000" w:themeColor="text1"/>
                <w:sz w:val="24"/>
                <w:szCs w:val="24"/>
                <w14:textFill>
                  <w14:solidFill>
                    <w14:schemeClr w14:val="tx1"/>
                  </w14:solidFill>
                </w14:textFill>
              </w:rPr>
              <w:t>工程运行期第1、2年每年监测1次</w:t>
            </w:r>
            <w:r>
              <w:rPr>
                <w:rFonts w:hint="default" w:ascii="Times New Roman" w:hAnsi="Times New Roman" w:cs="Times New Roman"/>
                <w:bCs/>
                <w:color w:val="000000" w:themeColor="text1"/>
                <w:kern w:val="0"/>
                <w:sz w:val="24"/>
                <w:szCs w:val="24"/>
                <w14:textFill>
                  <w14:solidFill>
                    <w14:schemeClr w14:val="tx1"/>
                  </w14:solidFill>
                </w14:textFill>
              </w:rPr>
              <w:t>。</w:t>
            </w:r>
            <w:r>
              <w:rPr>
                <w:rFonts w:hint="default" w:ascii="Times New Roman" w:hAnsi="Times New Roman" w:cs="Times New Roman"/>
                <w:bCs/>
                <w:color w:val="000000" w:themeColor="text1"/>
                <w:kern w:val="0"/>
                <w:sz w:val="24"/>
                <w:szCs w:val="24"/>
                <w:lang w:val="en-US" w:eastAsia="zh-CN"/>
                <w14:textFill>
                  <w14:solidFill>
                    <w14:schemeClr w14:val="tx1"/>
                  </w14:solidFill>
                </w14:textFill>
              </w:rPr>
              <w:t>水生监测频次为</w:t>
            </w:r>
            <w:r>
              <w:rPr>
                <w:rFonts w:hint="default" w:ascii="Times New Roman" w:hAnsi="Times New Roman" w:cs="Times New Roman"/>
                <w:color w:val="000000" w:themeColor="text1"/>
                <w:sz w:val="24"/>
                <w:szCs w:val="24"/>
                <w:lang w:val="en-US" w:eastAsia="zh-CN"/>
                <w14:textFill>
                  <w14:solidFill>
                    <w14:schemeClr w14:val="tx1"/>
                  </w14:solidFill>
                </w14:textFill>
              </w:rPr>
              <w:t>运营期第1年、2年的3-6月监测一次。同时，</w:t>
            </w:r>
            <w:r>
              <w:rPr>
                <w:rFonts w:hint="default" w:ascii="Times New Roman" w:hAnsi="Times New Roman" w:eastAsia="宋体" w:cs="Times New Roman"/>
                <w:color w:val="000000" w:themeColor="text1"/>
                <w:spacing w:val="-1"/>
                <w:sz w:val="24"/>
                <w:szCs w:val="24"/>
                <w14:textFill>
                  <w14:solidFill>
                    <w14:schemeClr w14:val="tx1"/>
                  </w14:solidFill>
                </w14:textFill>
              </w:rPr>
              <w:t>运营期第</w:t>
            </w:r>
            <w:r>
              <w:rPr>
                <w:rFonts w:hint="default" w:ascii="Times New Roman" w:hAnsi="Times New Roman" w:eastAsia="宋体" w:cs="Times New Roman"/>
                <w:color w:val="000000" w:themeColor="text1"/>
                <w:spacing w:val="-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pacing w:val="-1"/>
                <w:sz w:val="24"/>
                <w:szCs w:val="24"/>
                <w14:textFill>
                  <w14:solidFill>
                    <w14:schemeClr w14:val="tx1"/>
                  </w14:solidFill>
                </w14:textFill>
              </w:rPr>
              <w:t>年和第</w:t>
            </w:r>
            <w:r>
              <w:rPr>
                <w:rFonts w:hint="default" w:ascii="Times New Roman" w:hAnsi="Times New Roman" w:eastAsia="宋体" w:cs="Times New Roman"/>
                <w:color w:val="000000" w:themeColor="text1"/>
                <w:spacing w:val="-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pacing w:val="-1"/>
                <w:sz w:val="24"/>
                <w:szCs w:val="24"/>
                <w14:textFill>
                  <w14:solidFill>
                    <w14:schemeClr w14:val="tx1"/>
                  </w14:solidFill>
                </w14:textFill>
              </w:rPr>
              <w:t>年的鱼类繁殖期（</w:t>
            </w:r>
            <w:r>
              <w:rPr>
                <w:rFonts w:hint="default" w:ascii="Times New Roman" w:hAnsi="Times New Roman" w:eastAsia="Times New Roman" w:cs="Times New Roman"/>
                <w:color w:val="000000" w:themeColor="text1"/>
                <w:spacing w:val="-1"/>
                <w:sz w:val="24"/>
                <w:szCs w:val="24"/>
                <w14:textFill>
                  <w14:solidFill>
                    <w14:schemeClr w14:val="tx1"/>
                  </w14:solidFill>
                </w14:textFill>
              </w:rPr>
              <w:t>3-6</w:t>
            </w:r>
            <w:r>
              <w:rPr>
                <w:rFonts w:hint="default" w:ascii="Times New Roman" w:hAnsi="Times New Roman" w:eastAsia="宋体" w:cs="Times New Roman"/>
                <w:color w:val="000000" w:themeColor="text1"/>
                <w:spacing w:val="-1"/>
                <w:sz w:val="24"/>
                <w:szCs w:val="24"/>
                <w14:textFill>
                  <w14:solidFill>
                    <w14:schemeClr w14:val="tx1"/>
                  </w14:solidFill>
                </w14:textFill>
              </w:rPr>
              <w:t>月）进行</w:t>
            </w:r>
            <w:r>
              <w:rPr>
                <w:rFonts w:hint="default" w:ascii="Times New Roman" w:hAnsi="Times New Roman" w:eastAsia="宋体" w:cs="Times New Roman"/>
                <w:color w:val="000000" w:themeColor="text1"/>
                <w:spacing w:val="-6"/>
                <w:sz w:val="24"/>
                <w:szCs w:val="24"/>
                <w14:textFill>
                  <w14:solidFill>
                    <w14:schemeClr w14:val="tx1"/>
                  </w14:solidFill>
                </w14:textFill>
              </w:rPr>
              <w:t>鱼类早期资源监测，监测频率设定为每月</w:t>
            </w:r>
            <w:r>
              <w:rPr>
                <w:rFonts w:hint="default" w:ascii="Times New Roman" w:hAnsi="Times New Roman" w:eastAsia="Times New Roman" w:cs="Times New Roman"/>
                <w:color w:val="000000" w:themeColor="text1"/>
                <w:spacing w:val="-6"/>
                <w:sz w:val="24"/>
                <w:szCs w:val="24"/>
                <w14:textFill>
                  <w14:solidFill>
                    <w14:schemeClr w14:val="tx1"/>
                  </w14:solidFill>
                </w14:textFill>
              </w:rPr>
              <w:t>1</w:t>
            </w:r>
            <w:r>
              <w:rPr>
                <w:rFonts w:hint="default" w:ascii="Times New Roman" w:hAnsi="Times New Roman" w:eastAsia="宋体" w:cs="Times New Roman"/>
                <w:color w:val="000000" w:themeColor="text1"/>
                <w:spacing w:val="-6"/>
                <w:sz w:val="24"/>
                <w:szCs w:val="24"/>
                <w14:textFill>
                  <w14:solidFill>
                    <w14:schemeClr w14:val="tx1"/>
                  </w14:solidFill>
                </w14:textFill>
              </w:rPr>
              <w:t>次，每次监测持续时间应不少于</w:t>
            </w:r>
            <w:r>
              <w:rPr>
                <w:rFonts w:hint="default" w:ascii="Times New Roman" w:hAnsi="Times New Roman" w:eastAsia="Times New Roman" w:cs="Times New Roman"/>
                <w:color w:val="000000" w:themeColor="text1"/>
                <w:spacing w:val="-6"/>
                <w:sz w:val="24"/>
                <w:szCs w:val="24"/>
                <w14:textFill>
                  <w14:solidFill>
                    <w14:schemeClr w14:val="tx1"/>
                  </w14:solidFill>
                </w14:textFill>
              </w:rPr>
              <w:t>7</w:t>
            </w:r>
            <w:r>
              <w:rPr>
                <w:rFonts w:hint="default" w:ascii="Times New Roman" w:hAnsi="Times New Roman" w:eastAsia="宋体" w:cs="Times New Roman"/>
                <w:color w:val="000000" w:themeColor="text1"/>
                <w:spacing w:val="-6"/>
                <w:sz w:val="24"/>
                <w:szCs w:val="24"/>
                <w14:textFill>
                  <w14:solidFill>
                    <w14:schemeClr w14:val="tx1"/>
                  </w14:solidFill>
                </w14:textFill>
              </w:rPr>
              <w:t>日</w:t>
            </w:r>
            <w:r>
              <w:rPr>
                <w:rFonts w:hint="default" w:ascii="Times New Roman" w:hAnsi="Times New Roman" w:eastAsia="宋体" w:cs="Times New Roman"/>
                <w:color w:val="000000" w:themeColor="text1"/>
                <w:spacing w:val="-3"/>
                <w:sz w:val="24"/>
                <w:szCs w:val="24"/>
                <w14:textFill>
                  <w14:solidFill>
                    <w14:schemeClr w14:val="tx1"/>
                  </w14:solidFill>
                </w14:textFill>
              </w:rPr>
              <w:t>（可采取连续监测或随机抽样的方式进行）</w:t>
            </w:r>
            <w:r>
              <w:rPr>
                <w:rFonts w:hint="default" w:ascii="Times New Roman" w:hAnsi="Times New Roman" w:eastAsia="宋体" w:cs="Times New Roman"/>
                <w:color w:val="000000" w:themeColor="text1"/>
                <w:spacing w:val="-3"/>
                <w:sz w:val="24"/>
                <w:szCs w:val="24"/>
                <w:lang w:eastAsia="zh-CN"/>
                <w14:textFill>
                  <w14:solidFill>
                    <w14:schemeClr w14:val="tx1"/>
                  </w14:solidFill>
                </w14:textFill>
              </w:rPr>
              <w:t>。</w:t>
            </w:r>
          </w:p>
          <w:p w14:paraId="46497F10">
            <w:pPr>
              <w:pStyle w:val="1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在鱼类早期资源监测完成后，根据监测结果实时调整相应的保护措施。若鱼类早期资源监测结果发现有较多卵苗流入本工程，则建议在取水口前端安装合适的拦鱼装置，如旋转滤网（通过旋转将卵苗导流回原水体）、栅格拦鱼网（网目大小根据目标卵苗尺寸设计，通常小于0.5mm，既能拦卵苗又不影响取水），并在拦鱼设施后方设置集卵槽，收集被拦截的卵苗，通过管道或水泵将其回流至水体的缓流区域，提高卵苗存活率。</w:t>
            </w:r>
          </w:p>
          <w:p w14:paraId="55FB17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建设单位生态监测内容及时间见下表：</w:t>
            </w:r>
          </w:p>
          <w:p w14:paraId="2948FBFA">
            <w:pPr>
              <w:pStyle w:val="165"/>
              <w:keepNext w:val="0"/>
              <w:keepLines w:val="0"/>
              <w:pageBreakBefore w:val="0"/>
              <w:widowControl w:val="0"/>
              <w:numPr>
                <w:ilvl w:val="0"/>
                <w:numId w:val="21"/>
              </w:numPr>
              <w:kinsoku/>
              <w:wordWrap/>
              <w:overflowPunct/>
              <w:topLinePunct w:val="0"/>
              <w:autoSpaceDE/>
              <w:autoSpaceDN/>
              <w:bidi w:val="0"/>
              <w:adjustRightInd w:val="0"/>
              <w:snapToGrid w:val="0"/>
              <w:spacing w:line="240" w:lineRule="auto"/>
              <w:ind w:left="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本项目运营期生态监测计划</w:t>
            </w:r>
          </w:p>
          <w:tbl>
            <w:tblPr>
              <w:tblStyle w:val="55"/>
              <w:tblW w:w="81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283"/>
              <w:gridCol w:w="2137"/>
              <w:gridCol w:w="2472"/>
              <w:gridCol w:w="1473"/>
            </w:tblGrid>
            <w:tr w14:paraId="2841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463" w:type="pct"/>
                  <w:vAlign w:val="center"/>
                </w:tcPr>
                <w:p w14:paraId="6E7094EE">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监测内容</w:t>
                  </w:r>
                </w:p>
              </w:tc>
              <w:tc>
                <w:tcPr>
                  <w:tcW w:w="790" w:type="pct"/>
                  <w:vAlign w:val="center"/>
                </w:tcPr>
                <w:p w14:paraId="481C62E8">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位置</w:t>
                  </w:r>
                </w:p>
              </w:tc>
              <w:tc>
                <w:tcPr>
                  <w:tcW w:w="1316" w:type="pct"/>
                  <w:vAlign w:val="center"/>
                </w:tcPr>
                <w:p w14:paraId="5A0C8B1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目的</w:t>
                  </w:r>
                </w:p>
              </w:tc>
              <w:tc>
                <w:tcPr>
                  <w:tcW w:w="1522" w:type="pct"/>
                  <w:vAlign w:val="center"/>
                </w:tcPr>
                <w:p w14:paraId="3E4C152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指标</w:t>
                  </w:r>
                </w:p>
              </w:tc>
              <w:tc>
                <w:tcPr>
                  <w:tcW w:w="907" w:type="pct"/>
                  <w:vAlign w:val="center"/>
                </w:tcPr>
                <w:p w14:paraId="23C18B72">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频次</w:t>
                  </w:r>
                </w:p>
              </w:tc>
            </w:tr>
            <w:tr w14:paraId="7BFC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463" w:type="pct"/>
                  <w:vAlign w:val="center"/>
                </w:tcPr>
                <w:p w14:paraId="0A5C534B">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植物植被和固定样地</w:t>
                  </w:r>
                </w:p>
              </w:tc>
              <w:tc>
                <w:tcPr>
                  <w:tcW w:w="790" w:type="pct"/>
                  <w:vAlign w:val="center"/>
                </w:tcPr>
                <w:p w14:paraId="0E9EBAE5">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沿管线两侧布设样线</w:t>
                  </w:r>
                </w:p>
              </w:tc>
              <w:tc>
                <w:tcPr>
                  <w:tcW w:w="1316" w:type="pct"/>
                  <w:vAlign w:val="center"/>
                </w:tcPr>
                <w:p w14:paraId="13F6F84B">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了解项目建设前中后期植物物种组成变化、外来物种入侵、群落结构的变化，植被覆盖率的变化</w:t>
                  </w:r>
                </w:p>
              </w:tc>
              <w:tc>
                <w:tcPr>
                  <w:tcW w:w="1522" w:type="pct"/>
                  <w:vAlign w:val="center"/>
                </w:tcPr>
                <w:p w14:paraId="7704CDBC">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植物种类及数量，群落结构多样性、植被覆盖率</w:t>
                  </w:r>
                </w:p>
              </w:tc>
              <w:tc>
                <w:tcPr>
                  <w:tcW w:w="907" w:type="pct"/>
                  <w:vAlign w:val="center"/>
                </w:tcPr>
                <w:p w14:paraId="45414548">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运行期第1、2年每年监测1次</w:t>
                  </w:r>
                </w:p>
              </w:tc>
            </w:tr>
            <w:tr w14:paraId="3FAE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463" w:type="pct"/>
                  <w:vAlign w:val="center"/>
                </w:tcPr>
                <w:p w14:paraId="0D74313B">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两栖爬行类</w:t>
                  </w:r>
                </w:p>
              </w:tc>
              <w:tc>
                <w:tcPr>
                  <w:tcW w:w="790" w:type="pct"/>
                  <w:vAlign w:val="center"/>
                </w:tcPr>
                <w:p w14:paraId="61EA8A0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沿管线两侧布设样线</w:t>
                  </w:r>
                </w:p>
              </w:tc>
              <w:tc>
                <w:tcPr>
                  <w:tcW w:w="1316" w:type="pct"/>
                  <w:vAlign w:val="center"/>
                </w:tcPr>
                <w:p w14:paraId="06C0F760">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了解项目建设前中后期管道沿线两栖爬行类种类、数量的变化</w:t>
                  </w:r>
                </w:p>
              </w:tc>
              <w:tc>
                <w:tcPr>
                  <w:tcW w:w="1522" w:type="pct"/>
                  <w:vAlign w:val="center"/>
                </w:tcPr>
                <w:p w14:paraId="03C929B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两栖爬行类数量、种类及多样性</w:t>
                  </w:r>
                </w:p>
              </w:tc>
              <w:tc>
                <w:tcPr>
                  <w:tcW w:w="907" w:type="pct"/>
                  <w:vAlign w:val="center"/>
                </w:tcPr>
                <w:p w14:paraId="440463AE">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运行期第1、2年每年监测1次</w:t>
                  </w:r>
                </w:p>
              </w:tc>
            </w:tr>
            <w:tr w14:paraId="7DF2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463" w:type="pct"/>
                  <w:vAlign w:val="center"/>
                </w:tcPr>
                <w:p w14:paraId="647CAEB6">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鸟类和兽类</w:t>
                  </w:r>
                </w:p>
              </w:tc>
              <w:tc>
                <w:tcPr>
                  <w:tcW w:w="790" w:type="pct"/>
                  <w:vAlign w:val="center"/>
                </w:tcPr>
                <w:p w14:paraId="1D89BD5B">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沿管线两侧布设样线</w:t>
                  </w:r>
                </w:p>
              </w:tc>
              <w:tc>
                <w:tcPr>
                  <w:tcW w:w="1316" w:type="pct"/>
                  <w:vAlign w:val="center"/>
                </w:tcPr>
                <w:p w14:paraId="3DA4D2B8">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了解项目建设前中后期管道沿线鸟类兽类种类、数量的变化</w:t>
                  </w:r>
                </w:p>
              </w:tc>
              <w:tc>
                <w:tcPr>
                  <w:tcW w:w="1522" w:type="pct"/>
                  <w:vAlign w:val="center"/>
                </w:tcPr>
                <w:p w14:paraId="1D613993">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鸟类和兽类种类、数量</w:t>
                  </w:r>
                </w:p>
                <w:p w14:paraId="302C8AEF">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及多样性</w:t>
                  </w:r>
                </w:p>
              </w:tc>
              <w:tc>
                <w:tcPr>
                  <w:tcW w:w="907" w:type="pct"/>
                  <w:vAlign w:val="center"/>
                </w:tcPr>
                <w:p w14:paraId="6441891F">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运行期第1、2年每年监测1次</w:t>
                  </w:r>
                </w:p>
              </w:tc>
            </w:tr>
            <w:tr w14:paraId="4A8C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463" w:type="pct"/>
                  <w:vAlign w:val="center"/>
                </w:tcPr>
                <w:p w14:paraId="6DF9E5EC">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大熊猫世界自然遗产地</w:t>
                  </w:r>
                </w:p>
              </w:tc>
              <w:tc>
                <w:tcPr>
                  <w:tcW w:w="790" w:type="pct"/>
                  <w:vAlign w:val="center"/>
                </w:tcPr>
                <w:p w14:paraId="2F1EA938">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在本项目大熊猫世界自然遗产地缓冲区内设置监测样线，沿线观测</w:t>
                  </w:r>
                </w:p>
              </w:tc>
              <w:tc>
                <w:tcPr>
                  <w:tcW w:w="1316" w:type="pct"/>
                  <w:vAlign w:val="center"/>
                </w:tcPr>
                <w:p w14:paraId="1FB4D7AC">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了解项目运行对大熊猫栖息地产生的影响</w:t>
                  </w:r>
                </w:p>
              </w:tc>
              <w:tc>
                <w:tcPr>
                  <w:tcW w:w="1522" w:type="pct"/>
                  <w:vAlign w:val="center"/>
                </w:tcPr>
                <w:p w14:paraId="4899B3E1">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自然遗产地内珍稀濒危野生动植物</w:t>
                  </w: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种类及数量，群落结构多样性</w:t>
                  </w:r>
                  <w:r>
                    <w:rPr>
                      <w:rFonts w:hint="eastAsia" w:ascii="Times New Roman" w:hAnsi="Times New Roman" w:cs="Times New Roman"/>
                      <w:color w:val="000000" w:themeColor="text1"/>
                      <w:kern w:val="2"/>
                      <w:sz w:val="21"/>
                      <w:szCs w:val="21"/>
                      <w:lang w:val="en-US" w:eastAsia="zh-CN" w:bidi="ar-SA"/>
                      <w14:textFill>
                        <w14:solidFill>
                          <w14:schemeClr w14:val="tx1"/>
                        </w14:solidFill>
                      </w14:textFill>
                    </w:rPr>
                    <w:t>、自然生态系统、自然景观、世界遗产突出普遍价值</w:t>
                  </w:r>
                </w:p>
              </w:tc>
              <w:tc>
                <w:tcPr>
                  <w:tcW w:w="907" w:type="pct"/>
                  <w:vAlign w:val="center"/>
                </w:tcPr>
                <w:p w14:paraId="7DD46E6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运行期第1、2年每年监测1次</w:t>
                  </w:r>
                </w:p>
              </w:tc>
            </w:tr>
            <w:tr w14:paraId="5536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463" w:type="pct"/>
                  <w:vMerge w:val="restart"/>
                  <w:vAlign w:val="center"/>
                </w:tcPr>
                <w:p w14:paraId="5DF7C9CF">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水生生物监测</w:t>
                  </w:r>
                </w:p>
              </w:tc>
              <w:tc>
                <w:tcPr>
                  <w:tcW w:w="790" w:type="pct"/>
                  <w:vAlign w:val="center"/>
                </w:tcPr>
                <w:p w14:paraId="75D627AB">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评价范围内的</w:t>
                  </w: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五里沟</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流域</w:t>
                  </w:r>
                </w:p>
              </w:tc>
              <w:tc>
                <w:tcPr>
                  <w:tcW w:w="1316" w:type="pct"/>
                  <w:vAlign w:val="center"/>
                </w:tcPr>
                <w:p w14:paraId="61790233">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t>浮游动植物、底栖动物、大型水生植物、</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鱼类以及重要鱼类等水生生物资源现状及其动态变化情况，鱼类“三场”变化情况</w:t>
                  </w:r>
                </w:p>
              </w:tc>
              <w:tc>
                <w:tcPr>
                  <w:tcW w:w="1522" w:type="pct"/>
                  <w:vAlign w:val="center"/>
                </w:tcPr>
                <w:p w14:paraId="7C006F6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鱼类：鱼类资源量、鱼类种类组成、鱼类空间分布和鱼类“三场”；结合渔获物调查数据，重点研究和分析五里沟内重要保护鱼类的空间分布、资源量等现状。</w:t>
                  </w:r>
                </w:p>
                <w:p w14:paraId="3209BD38">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水生生物：浮游植物、浮游动物、底栖动物和水生维管束植物的密度及生物量</w:t>
                  </w: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w:t>
                  </w:r>
                </w:p>
              </w:tc>
              <w:tc>
                <w:tcPr>
                  <w:tcW w:w="907" w:type="pct"/>
                  <w:vAlign w:val="center"/>
                </w:tcPr>
                <w:p w14:paraId="0DADCE92">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运营期第1年、</w:t>
                  </w: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年的 3-6月监测一次</w:t>
                  </w:r>
                </w:p>
              </w:tc>
            </w:tr>
            <w:tr w14:paraId="4CFA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463" w:type="pct"/>
                  <w:vMerge w:val="continue"/>
                  <w:vAlign w:val="center"/>
                </w:tcPr>
                <w:p w14:paraId="663B5D4D">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p>
              </w:tc>
              <w:tc>
                <w:tcPr>
                  <w:tcW w:w="790" w:type="pct"/>
                  <w:vAlign w:val="center"/>
                </w:tcPr>
                <w:p w14:paraId="23A4B8EC">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取水口、沉砂池</w:t>
                  </w:r>
                </w:p>
              </w:tc>
              <w:tc>
                <w:tcPr>
                  <w:tcW w:w="1316" w:type="pct"/>
                  <w:vAlign w:val="center"/>
                </w:tcPr>
                <w:p w14:paraId="42E23BD7">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cente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4"/>
                      <w:lang w:val="en-US" w:eastAsia="zh-CN" w:bidi="ar-SA"/>
                      <w14:textFill>
                        <w14:solidFill>
                          <w14:schemeClr w14:val="tx1"/>
                        </w14:solidFill>
                      </w14:textFill>
                    </w:rPr>
                    <w:t>鱼类早期资源，包括鱼卵和鱼苗</w:t>
                  </w:r>
                </w:p>
              </w:tc>
              <w:tc>
                <w:tcPr>
                  <w:tcW w:w="1522" w:type="pct"/>
                  <w:vAlign w:val="center"/>
                </w:tcPr>
                <w:p w14:paraId="38103143">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left"/>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4"/>
                      <w:lang w:val="en-US" w:eastAsia="zh-CN" w:bidi="ar-SA"/>
                      <w14:textFill>
                        <w14:solidFill>
                          <w14:schemeClr w14:val="tx1"/>
                        </w14:solidFill>
                      </w14:textFill>
                    </w:rPr>
                    <w:t>鱼卵和鱼苗数量</w:t>
                  </w:r>
                </w:p>
              </w:tc>
              <w:tc>
                <w:tcPr>
                  <w:tcW w:w="907" w:type="pct"/>
                  <w:vAlign w:val="center"/>
                </w:tcPr>
                <w:p w14:paraId="45414AF2">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napToGrid w:val="0"/>
                    <w:jc w:val="both"/>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运营期第1年、</w:t>
                  </w: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年的 3-6月</w:t>
                  </w:r>
                  <w:r>
                    <w:rPr>
                      <w:rFonts w:hint="default" w:ascii="Times New Roman" w:hAnsi="Times New Roman" w:cs="Times New Roman"/>
                      <w:color w:val="000000" w:themeColor="text1"/>
                      <w:kern w:val="2"/>
                      <w:sz w:val="21"/>
                      <w:szCs w:val="21"/>
                      <w:lang w:val="en-US" w:eastAsia="zh-CN" w:bidi="ar-SA"/>
                      <w14:textFill>
                        <w14:solidFill>
                          <w14:schemeClr w14:val="tx1"/>
                        </w14:solidFill>
                      </w14:textFill>
                    </w:rPr>
                    <w:t>进行检测，每月1次，每次监测持续时间应不少于7日</w:t>
                  </w:r>
                </w:p>
              </w:tc>
            </w:tr>
          </w:tbl>
          <w:p w14:paraId="00102C2B">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outlineLvl w:val="9"/>
              <w:rPr>
                <w:rFonts w:hint="default" w:ascii="Times New Roman" w:hAnsi="Times New Roman" w:eastAsia="宋体" w:cs="Times New Roman"/>
                <w:b/>
                <w:bCs/>
                <w:color w:val="000000" w:themeColor="text1"/>
                <w:sz w:val="24"/>
                <w:lang w:val="en-US" w:eastAsia="zh-CN"/>
                <w14:textFill>
                  <w14:solidFill>
                    <w14:schemeClr w14:val="tx1"/>
                  </w14:solidFill>
                </w14:textFill>
              </w:rPr>
            </w:pPr>
            <w:r>
              <w:rPr>
                <w:rFonts w:hint="default" w:ascii="Times New Roman" w:hAnsi="Times New Roman" w:eastAsia="宋体" w:cs="Times New Roman"/>
                <w:b/>
                <w:bCs/>
                <w:color w:val="000000" w:themeColor="text1"/>
                <w:sz w:val="24"/>
                <w:lang w:val="en-US" w:eastAsia="zh-CN"/>
                <w14:textFill>
                  <w14:solidFill>
                    <w14:schemeClr w14:val="tx1"/>
                  </w14:solidFill>
                </w14:textFill>
              </w:rPr>
              <w:t>2、污染防治措施</w:t>
            </w:r>
          </w:p>
          <w:p w14:paraId="5F7860F1">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2" w:firstLineChars="200"/>
              <w:jc w:val="both"/>
              <w:textAlignment w:val="auto"/>
              <w:outlineLvl w:val="9"/>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lang w:eastAsia="zh-CN"/>
                <w14:textFill>
                  <w14:solidFill>
                    <w14:schemeClr w14:val="tx1"/>
                  </w14:solidFill>
                </w14:textFill>
              </w:rPr>
              <w:t>（</w:t>
            </w:r>
            <w:r>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4"/>
                <w14:textFill>
                  <w14:solidFill>
                    <w14:schemeClr w14:val="tx1"/>
                  </w14:solidFill>
                </w14:textFill>
              </w:rPr>
              <w:t>水源地保护范围划分方案</w:t>
            </w:r>
          </w:p>
          <w:p w14:paraId="25E28593">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后续将按照《饮用水水源保护区划分技术规范》（HJ338-2018）相关要求划定为</w:t>
            </w:r>
            <w:r>
              <w:rPr>
                <w:rFonts w:hint="default" w:ascii="Times New Roman" w:hAnsi="Times New Roman" w:eastAsia="宋体" w:cs="Times New Roman"/>
                <w:color w:val="000000" w:themeColor="text1"/>
                <w:szCs w:val="24"/>
                <w14:textFill>
                  <w14:solidFill>
                    <w14:schemeClr w14:val="tx1"/>
                  </w14:solidFill>
                </w14:textFill>
              </w:rPr>
              <w:t>饮用水水源保护区，具体划定要求如下。</w:t>
            </w:r>
          </w:p>
          <w:p w14:paraId="0F7B394A">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A、水源地类型判定</w:t>
            </w:r>
          </w:p>
          <w:p w14:paraId="43E5BA01">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属于河流型水源地</w:t>
            </w:r>
            <w:r>
              <w:rPr>
                <w:rFonts w:hint="default" w:ascii="Times New Roman" w:hAnsi="Times New Roman" w:eastAsia="宋体" w:cs="Times New Roman"/>
                <w:color w:val="000000" w:themeColor="text1"/>
                <w14:textFill>
                  <w14:solidFill>
                    <w14:schemeClr w14:val="tx1"/>
                  </w14:solidFill>
                </w14:textFill>
              </w:rPr>
              <w:t>。</w:t>
            </w:r>
          </w:p>
          <w:p w14:paraId="1D39DB4F">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B、一级保护区划定</w:t>
            </w:r>
          </w:p>
          <w:p w14:paraId="5DBAABE6">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①水域范围：</w:t>
            </w:r>
          </w:p>
          <w:p w14:paraId="65AB2681">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一般河流水源地，一级保护区水域长度为取水口上游不小于1000m，下游不小于100m范围内的河道水域。</w:t>
            </w:r>
          </w:p>
          <w:p w14:paraId="4D0860DE">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一级保护区水域宽度，为多年平均水位对应的高程线下的水域。枯水期水面宽度不小于500m的通航河道，水域宽度为取水口侧的航道边界线到岸边的范围;枯水期水面宽度小于500m的通航河道，一级保护区水域为除航道外的整个河道范围;非通航河道为整个河道范围。</w:t>
            </w:r>
          </w:p>
          <w:p w14:paraId="14FBF992">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②陆域范围</w:t>
            </w:r>
          </w:p>
          <w:p w14:paraId="445EBB13">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陆域沿岸长度不小于相应的一级保护区水域长度。</w:t>
            </w:r>
          </w:p>
          <w:p w14:paraId="459782DD">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陆域沿岸纵深与一级保护区水域边界的距离一般不小于50m，但不超过流域分水岭范围。</w:t>
            </w:r>
          </w:p>
          <w:p w14:paraId="01BA0C3B">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对于有防洪堤坝的，可以防洪堤坝为边界;并要采取措施，防止污染物进入保护区内。</w:t>
            </w:r>
          </w:p>
          <w:p w14:paraId="44A0C651">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C、</w:t>
            </w:r>
            <w:r>
              <w:rPr>
                <w:rFonts w:hint="default" w:ascii="Times New Roman" w:hAnsi="Times New Roman" w:eastAsia="宋体" w:cs="Times New Roman"/>
                <w:color w:val="000000" w:themeColor="text1"/>
                <w:lang w:eastAsia="zh-CN"/>
                <w14:textFill>
                  <w14:solidFill>
                    <w14:schemeClr w14:val="tx1"/>
                  </w14:solidFill>
                </w14:textFill>
              </w:rPr>
              <w:t>二级保护区</w:t>
            </w:r>
          </w:p>
          <w:p w14:paraId="0F6080D3">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①</w:t>
            </w:r>
            <w:r>
              <w:rPr>
                <w:rFonts w:hint="default" w:ascii="Times New Roman" w:hAnsi="Times New Roman" w:eastAsia="宋体" w:cs="Times New Roman"/>
                <w:color w:val="000000" w:themeColor="text1"/>
                <w:lang w:eastAsia="zh-CN"/>
                <w14:textFill>
                  <w14:solidFill>
                    <w14:schemeClr w14:val="tx1"/>
                  </w14:solidFill>
                </w14:textFill>
              </w:rPr>
              <w:t>水域范围</w:t>
            </w:r>
          </w:p>
          <w:p w14:paraId="23470AFC">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二级保护区长度从一级保护区的上游边界向上游(包括汇入的上游支流)延伸不小于2000m，下游侧的外边界距一级保护区边界不小于200m。</w:t>
            </w:r>
          </w:p>
          <w:p w14:paraId="54939527">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二级保护区水域宽度为多年平均水位对应的高程线下的水域。有防洪堤的河段，二级保护区的水域宽度为防洪堤内的水域。枯水期水面宽度不小于500m的通航河道，水域宽度为取水口侧航道边界线到岸边的水域范围;枯水期水面宽度小于500m的通航河道，二级保护区水域为除航道外的整个河道范围;非通航河道为整个河道范围。</w:t>
            </w:r>
          </w:p>
          <w:p w14:paraId="45103F12">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②</w:t>
            </w:r>
            <w:r>
              <w:rPr>
                <w:rFonts w:hint="default" w:ascii="Times New Roman" w:hAnsi="Times New Roman" w:eastAsia="宋体" w:cs="Times New Roman"/>
                <w:color w:val="000000" w:themeColor="text1"/>
                <w:lang w:eastAsia="zh-CN"/>
                <w14:textFill>
                  <w14:solidFill>
                    <w14:schemeClr w14:val="tx1"/>
                  </w14:solidFill>
                </w14:textFill>
              </w:rPr>
              <w:t>陆域范围</w:t>
            </w:r>
          </w:p>
          <w:p w14:paraId="47A73D3F">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t>以确保水源保护区水域水质为目标，可视情采用地形边界法、类比经验法和缓冲区法确定二级保护区陆域范围。</w:t>
            </w:r>
          </w:p>
          <w:p w14:paraId="1FB913F1">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二级保护区陆域沿岸长度不小于二级保护区水域长度。</w:t>
            </w:r>
          </w:p>
          <w:p w14:paraId="06F6846A">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二级保护区陆域沿岸纵深范围一般不小于1000m，但不超过流域分水岭范围。对于流域面积小于100km</w:t>
            </w:r>
            <w:r>
              <w:rPr>
                <w:rFonts w:hint="default" w:ascii="Times New Roman" w:hAnsi="Times New Roman" w:eastAsia="宋体" w:cs="Times New Roman"/>
                <w:color w:val="000000" w:themeColor="text1"/>
                <w:szCs w:val="24"/>
                <w:vertAlign w:val="superscript"/>
                <w14:textFill>
                  <w14:solidFill>
                    <w14:schemeClr w14:val="tx1"/>
                  </w14:solidFill>
                </w14:textFill>
              </w:rPr>
              <w:t>2</w:t>
            </w:r>
            <w:r>
              <w:rPr>
                <w:rFonts w:hint="default" w:ascii="Times New Roman" w:hAnsi="Times New Roman" w:eastAsia="宋体" w:cs="Times New Roman"/>
                <w:color w:val="000000" w:themeColor="text1"/>
                <w:szCs w:val="24"/>
                <w14:textFill>
                  <w14:solidFill>
                    <w14:schemeClr w14:val="tx1"/>
                  </w14:solidFill>
                </w14:textFill>
              </w:rPr>
              <w:t>的小型流域，二级保护区可以是整个集水范围。具体可依据自然地理、环境特征和环境管理需要确定。对于有防洪堤坝的，可以防洪堤坝为边界;并要采取措施，防止污染物进入保护区内。</w:t>
            </w:r>
          </w:p>
          <w:p w14:paraId="3B993042">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当面污染源为主要水质影响因素时，二级保护区沿岸纵深范围，主要依据自然地理、环境特征和环境管理的需要，通过分析地形、植被、土地利用、地面径流的集水汇流特性、集水域范围等确定。</w:t>
            </w:r>
          </w:p>
          <w:p w14:paraId="3374ED73">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lang w:val="en-US" w:eastAsia="zh-CN"/>
                <w14:textFill>
                  <w14:solidFill>
                    <w14:schemeClr w14:val="tx1"/>
                  </w14:solidFill>
                </w14:textFill>
              </w:rPr>
              <w:t>D、</w:t>
            </w:r>
            <w:r>
              <w:rPr>
                <w:rFonts w:hint="default" w:ascii="Times New Roman" w:hAnsi="Times New Roman" w:eastAsia="宋体" w:cs="Times New Roman"/>
                <w:color w:val="000000" w:themeColor="text1"/>
                <w:szCs w:val="24"/>
                <w14:textFill>
                  <w14:solidFill>
                    <w14:schemeClr w14:val="tx1"/>
                  </w14:solidFill>
                </w14:textFill>
              </w:rPr>
              <w:t>准保护区</w:t>
            </w:r>
          </w:p>
          <w:p w14:paraId="258D4E31">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参照二级保护区的划分方法确定准保护区范围。</w:t>
            </w:r>
          </w:p>
          <w:p w14:paraId="15E2C7C2">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E、饮用水水源保护区的水质要求</w:t>
            </w:r>
          </w:p>
          <w:p w14:paraId="167D7444">
            <w:pPr>
              <w:pStyle w:val="311"/>
              <w:keepNext w:val="0"/>
              <w:keepLines w:val="0"/>
              <w:pageBreakBefore w:val="0"/>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地表水饮用水水源保护区及准保护区水质要求地表水饮用水水源一级保护区的水质基本项目限值不得超过GB3838的相关要求。地表水饮用水水源二级保护区的水质基本项目限值不得超过GB3838的相关要求，并保证流入一级保护区的水质满足一级保护区水质标准的要求（不超过GB3838的相关要求）。地表水饮用水水源准保护区的水质应保证流入二级保护区的水质满足二级保护区水质的要求。</w:t>
            </w:r>
          </w:p>
          <w:p w14:paraId="0F5A2862">
            <w:pPr>
              <w:pStyle w:val="311"/>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firstLine="482" w:firstLineChars="200"/>
              <w:jc w:val="both"/>
              <w:textAlignment w:val="auto"/>
              <w:outlineLvl w:val="9"/>
              <w:rPr>
                <w:rFonts w:hint="default" w:ascii="Times New Roman" w:hAnsi="Times New Roman" w:eastAsia="宋体" w:cs="Times New Roman"/>
                <w:b/>
                <w:bCs/>
                <w:color w:val="000000" w:themeColor="text1"/>
                <w:szCs w:val="24"/>
                <w:lang w:eastAsia="zh-CN"/>
                <w14:textFill>
                  <w14:solidFill>
                    <w14:schemeClr w14:val="tx1"/>
                  </w14:solidFill>
                </w14:textFill>
              </w:rPr>
            </w:pPr>
            <w:r>
              <w:rPr>
                <w:rFonts w:hint="default" w:ascii="Times New Roman" w:hAnsi="Times New Roman" w:eastAsia="宋体" w:cs="Times New Roman"/>
                <w:b/>
                <w:bCs/>
                <w:color w:val="000000" w:themeColor="text1"/>
                <w:szCs w:val="24"/>
                <w:lang w:eastAsia="zh-CN"/>
                <w14:textFill>
                  <w14:solidFill>
                    <w14:schemeClr w14:val="tx1"/>
                  </w14:solidFill>
                </w14:textFill>
              </w:rPr>
              <w:t>（</w:t>
            </w:r>
            <w:r>
              <w:rPr>
                <w:rFonts w:hint="default" w:ascii="Times New Roman" w:hAnsi="Times New Roman" w:eastAsia="宋体" w:cs="Times New Roman"/>
                <w:b/>
                <w:bCs/>
                <w:color w:val="000000" w:themeColor="text1"/>
                <w:szCs w:val="24"/>
                <w:lang w:val="en-US" w:eastAsia="zh-CN"/>
                <w14:textFill>
                  <w14:solidFill>
                    <w14:schemeClr w14:val="tx1"/>
                  </w14:solidFill>
                </w14:textFill>
              </w:rPr>
              <w:t>2）</w:t>
            </w:r>
            <w:r>
              <w:rPr>
                <w:rFonts w:hint="default" w:ascii="Times New Roman" w:hAnsi="Times New Roman" w:eastAsia="宋体" w:cs="Times New Roman"/>
                <w:b/>
                <w:bCs/>
                <w:color w:val="000000" w:themeColor="text1"/>
                <w:szCs w:val="24"/>
                <w14:textFill>
                  <w14:solidFill>
                    <w14:schemeClr w14:val="tx1"/>
                  </w14:solidFill>
                </w14:textFill>
              </w:rPr>
              <w:t>水源保护区标志、隔离网设置</w:t>
            </w:r>
          </w:p>
          <w:p w14:paraId="061851E9">
            <w:pPr>
              <w:pStyle w:val="311"/>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根据《中华人民共和国水法》、《中华人民共和国水污染防治法》及《饮用水水源保护区污染防治管理规定》、《集中式饮用水水源环境保护指南（试行）》等的相关规定，标志、隔离网设置要求如下：</w:t>
            </w:r>
          </w:p>
          <w:p w14:paraId="7059EAAF">
            <w:pPr>
              <w:pStyle w:val="311"/>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360" w:lineRule="auto"/>
              <w:ind w:left="0" w:leftChars="0"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lang w:val="en-US" w:eastAsia="zh-CN"/>
                <w14:textFill>
                  <w14:solidFill>
                    <w14:schemeClr w14:val="tx1"/>
                  </w14:solidFill>
                </w14:textFill>
              </w:rPr>
              <w:t>A、</w:t>
            </w:r>
            <w:r>
              <w:rPr>
                <w:rFonts w:hint="default" w:ascii="Times New Roman" w:hAnsi="Times New Roman" w:eastAsia="宋体" w:cs="Times New Roman"/>
                <w:color w:val="000000" w:themeColor="text1"/>
                <w:szCs w:val="24"/>
                <w14:textFill>
                  <w14:solidFill>
                    <w14:schemeClr w14:val="tx1"/>
                  </w14:solidFill>
                </w14:textFill>
              </w:rPr>
              <w:t>饮用水水源保护区标志包括饮用水水源保护区界标、饮用水水源保护区交通警示牌和饮用水水源保护区宣传牌。</w:t>
            </w:r>
          </w:p>
          <w:p w14:paraId="77BEACD7">
            <w:pPr>
              <w:pStyle w:val="311"/>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360" w:lineRule="auto"/>
              <w:ind w:left="0" w:leftChars="0"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lang w:val="en-US" w:eastAsia="zh-CN"/>
                <w14:textFill>
                  <w14:solidFill>
                    <w14:schemeClr w14:val="tx1"/>
                  </w14:solidFill>
                </w14:textFill>
              </w:rPr>
              <w:t>B、</w:t>
            </w:r>
            <w:r>
              <w:rPr>
                <w:rFonts w:hint="default" w:ascii="Times New Roman" w:hAnsi="Times New Roman" w:eastAsia="宋体" w:cs="Times New Roman"/>
                <w:color w:val="000000" w:themeColor="text1"/>
                <w:szCs w:val="24"/>
                <w14:textFill>
                  <w14:solidFill>
                    <w14:schemeClr w14:val="tx1"/>
                  </w14:solidFill>
                </w14:textFill>
              </w:rPr>
              <w:t>隔离设施通常包括隔离网、隔离墙和绿化隔离带、推荐采用隔离网，鉴于隔离墙对生态环境的不利影响，不推荐采用，绿化隔离带的设置，必须具备一定的宽度和高度，能起到阻隔人群活动的作用。</w:t>
            </w:r>
          </w:p>
          <w:p w14:paraId="039D1F3F">
            <w:pPr>
              <w:pStyle w:val="311"/>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360" w:lineRule="auto"/>
              <w:ind w:left="0" w:leftChars="0"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lang w:val="en-US" w:eastAsia="zh-CN"/>
                <w14:textFill>
                  <w14:solidFill>
                    <w14:schemeClr w14:val="tx1"/>
                  </w14:solidFill>
                </w14:textFill>
              </w:rPr>
              <w:t>C、</w:t>
            </w:r>
            <w:r>
              <w:rPr>
                <w:rFonts w:hint="default" w:ascii="Times New Roman" w:hAnsi="Times New Roman" w:eastAsia="宋体" w:cs="Times New Roman"/>
                <w:color w:val="000000" w:themeColor="text1"/>
                <w:szCs w:val="24"/>
                <w14:textFill>
                  <w14:solidFill>
                    <w14:schemeClr w14:val="tx1"/>
                  </w14:solidFill>
                </w14:textFill>
              </w:rPr>
              <w:t>饮用水水源保护区标志、隔离网设置的具体方案依据</w:t>
            </w:r>
            <w:r>
              <w:rPr>
                <w:rFonts w:hint="default" w:ascii="Times New Roman" w:hAnsi="Times New Roman" w:eastAsia="宋体" w:cs="Times New Roman"/>
                <w:color w:val="000000" w:themeColor="text1"/>
                <w:szCs w:val="24"/>
                <w:lang w:val="en-US" w:eastAsia="zh-CN"/>
                <w14:textFill>
                  <w14:solidFill>
                    <w14:schemeClr w14:val="tx1"/>
                  </w14:solidFill>
                </w14:textFill>
              </w:rPr>
              <w:t>今后批准的</w:t>
            </w:r>
            <w:r>
              <w:rPr>
                <w:rFonts w:hint="default" w:ascii="Times New Roman" w:hAnsi="Times New Roman" w:eastAsia="宋体" w:cs="Times New Roman"/>
                <w:color w:val="000000" w:themeColor="text1"/>
                <w:szCs w:val="24"/>
                <w14:textFill>
                  <w14:solidFill>
                    <w14:schemeClr w14:val="tx1"/>
                  </w14:solidFill>
                </w14:textFill>
              </w:rPr>
              <w:t>水源地保护区划分方案中的具体要求。</w:t>
            </w:r>
          </w:p>
          <w:p w14:paraId="0193B8AF">
            <w:pPr>
              <w:pStyle w:val="311"/>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360" w:lineRule="auto"/>
              <w:ind w:firstLine="482" w:firstLineChars="200"/>
              <w:jc w:val="both"/>
              <w:textAlignment w:val="auto"/>
              <w:outlineLvl w:val="9"/>
              <w:rPr>
                <w:rFonts w:hint="default" w:ascii="Times New Roman" w:hAnsi="Times New Roman" w:eastAsia="宋体" w:cs="Times New Roman"/>
                <w:b/>
                <w:bCs/>
                <w:color w:val="000000" w:themeColor="text1"/>
                <w:szCs w:val="24"/>
                <w14:textFill>
                  <w14:solidFill>
                    <w14:schemeClr w14:val="tx1"/>
                  </w14:solidFill>
                </w14:textFill>
              </w:rPr>
            </w:pPr>
            <w:r>
              <w:rPr>
                <w:rFonts w:hint="default" w:ascii="Times New Roman" w:hAnsi="Times New Roman" w:eastAsia="宋体" w:cs="Times New Roman"/>
                <w:b/>
                <w:bCs/>
                <w:color w:val="000000" w:themeColor="text1"/>
                <w:szCs w:val="24"/>
                <w:lang w:eastAsia="zh-CN"/>
                <w14:textFill>
                  <w14:solidFill>
                    <w14:schemeClr w14:val="tx1"/>
                  </w14:solidFill>
                </w14:textFill>
              </w:rPr>
              <w:t>（</w:t>
            </w:r>
            <w:r>
              <w:rPr>
                <w:rFonts w:hint="default" w:ascii="Times New Roman" w:hAnsi="Times New Roman" w:eastAsia="宋体" w:cs="Times New Roman"/>
                <w:b/>
                <w:bCs/>
                <w:color w:val="000000" w:themeColor="text1"/>
                <w:szCs w:val="24"/>
                <w:lang w:val="en-US" w:eastAsia="zh-CN"/>
                <w14:textFill>
                  <w14:solidFill>
                    <w14:schemeClr w14:val="tx1"/>
                  </w14:solidFill>
                </w14:textFill>
              </w:rPr>
              <w:t>3）</w:t>
            </w:r>
            <w:r>
              <w:rPr>
                <w:rFonts w:hint="default" w:ascii="Times New Roman" w:hAnsi="Times New Roman" w:eastAsia="宋体" w:cs="Times New Roman"/>
                <w:b/>
                <w:bCs/>
                <w:color w:val="000000" w:themeColor="text1"/>
                <w:szCs w:val="24"/>
                <w14:textFill>
                  <w14:solidFill>
                    <w14:schemeClr w14:val="tx1"/>
                  </w14:solidFill>
                </w14:textFill>
              </w:rPr>
              <w:t>水源保护区监督管理要求</w:t>
            </w:r>
          </w:p>
          <w:p w14:paraId="15B83161">
            <w:pPr>
              <w:pStyle w:val="311"/>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饮用水源地建立后，进一步完善饮用水源地管理的有关政策和保护要求，全面加强监管，禁止各类不符合国家法律法规和有关规范政策要求的行为。严格遵守《饮用水水源保护区污染防治管理规定》及《集中式饮用水水源地规范化建设环境保护技术要求》等相关要求，饮用水水源地环境管理监督要求如下。</w:t>
            </w:r>
          </w:p>
          <w:p w14:paraId="4459207E">
            <w:pPr>
              <w:pStyle w:val="311"/>
              <w:keepNext w:val="0"/>
              <w:keepLines w:val="0"/>
              <w:pageBreakBefore w:val="0"/>
              <w:widowControl/>
              <w:numPr>
                <w:ilvl w:val="0"/>
                <w:numId w:val="0"/>
              </w:numPr>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一级保护区一级保护区内应满足以下要求：保护区内不存在与供水设施和保护水源无关的建设项目，保护区划定前已有的建设项目拆除或关闭，并视情进行生态修复。保护区内无工业、生活排污口。保护区划定前已有的工业排污口拆除或关闭，生活排污口关闭或迁出。保护区内无畜禽养殖、网箱养殖、旅游、游泳、垂钓或者其他可能污染水源的活动。保护区划定前已有的畜禽养殖、网箱养殖和旅游设施拆除或关闭。保护区内无新增农业种植和经济林。保护区划定前已有的农业种植和经济林，严格控制化肥、农药等非点源污染，并逐步退出。</w:t>
            </w:r>
          </w:p>
          <w:p w14:paraId="14526B9F">
            <w:pPr>
              <w:pStyle w:val="311"/>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二级保护区二级保护区还应满足以下要求：</w:t>
            </w:r>
          </w:p>
          <w:p w14:paraId="77C00F15">
            <w:pPr>
              <w:pStyle w:val="311"/>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①点源控制保护区内无新建、改建、扩建排放污染物的建设项目。保护区划定前已建成排放污染物的建设项目拆除或关闭，并视情进行生态修复。保护区内无工业和生活排污口。保护区内城镇生活污水经收集后引到保护区外处理排放，或全部收集到污水处理厂（设施），处理后引到保护区下游排放。保护区内城镇生活垃圾全部集中收集并在保护区外进行无害化处置。保护区内无易溶性、有毒有害废弃物暂存或转运站；无化工原料、危险化学品、矿物油类及有毒有害矿产品的堆放场所；生活垃圾转运站采取防渗漏措施。保护区内无规模化畜禽养殖场（小区），保护区划定前已有的规模化畜禽养殖场（小区）全部关闭。</w:t>
            </w:r>
          </w:p>
          <w:p w14:paraId="43BF6738">
            <w:pPr>
              <w:pStyle w:val="311"/>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②非点源控制保护区内实行科学种植和非点源污染防治。保护区内分散式畜禽养殖废物全部资源化利用。保护区水域实施生态养殖，逐步减少网箱养殖总量。农村生活垃圾全部集中收集并进行无害化处置。居住人口大于或等于1000人的区域，农村生活污水实行管网统一收集、集中处理；不足1000人的，采用因地制宜的技术和工艺处理处置。</w:t>
            </w:r>
          </w:p>
          <w:p w14:paraId="338066E9">
            <w:pPr>
              <w:pStyle w:val="311"/>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③流动源控制保护区内无从事危险化学品或煤炭、矿砂、水泥等装卸作业的货运码头。无水上加油站。保护区内危险化学品运输管理制度健全。保护区内有道路、桥梁穿越的，危险化学品运输采取限制运载重量和物资种类、限定行驶线路等管理措施，并完善应急处置设施。保护区内运输危险化学品车辆及其他穿越保护区的流动源，利用全球定位系统等设备实时监控。</w:t>
            </w:r>
          </w:p>
          <w:p w14:paraId="5912B238">
            <w:pPr>
              <w:pStyle w:val="311"/>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准保护区准保护区还应满足以下要求：</w:t>
            </w:r>
          </w:p>
          <w:p w14:paraId="17FD6A53">
            <w:pPr>
              <w:pStyle w:val="311"/>
              <w:keepNext w:val="0"/>
              <w:keepLines w:val="0"/>
              <w:pageBreakBefore w:val="0"/>
              <w:numPr>
                <w:ilvl w:val="0"/>
                <w:numId w:val="0"/>
              </w:numPr>
              <w:kinsoku/>
              <w:wordWrap/>
              <w:overflowPunct/>
              <w:topLinePunct w:val="0"/>
              <w:autoSpaceDE/>
              <w:autoSpaceDN/>
              <w:bidi w:val="0"/>
              <w:adjustRightInd w:val="0"/>
              <w:snapToGrid w:val="0"/>
              <w:spacing w:before="0" w:beforeLines="0" w:after="0" w:afterLines="0" w:line="360" w:lineRule="auto"/>
              <w:ind w:firstLine="480" w:firstLineChars="200"/>
              <w:jc w:val="both"/>
              <w:textAlignment w:val="auto"/>
              <w:outlineLvl w:val="9"/>
              <w:rPr>
                <w:rFonts w:hint="default" w:ascii="Times New Roman" w:hAnsi="Times New Roman" w:eastAsia="宋体" w:cs="Times New Roman"/>
                <w:color w:val="000000" w:themeColor="text1"/>
                <w:szCs w:val="24"/>
                <w14:textFill>
                  <w14:solidFill>
                    <w14:schemeClr w14:val="tx1"/>
                  </w14:solidFill>
                </w14:textFill>
              </w:rPr>
            </w:pPr>
            <w:r>
              <w:rPr>
                <w:rFonts w:hint="default" w:ascii="Times New Roman" w:hAnsi="Times New Roman" w:eastAsia="宋体" w:cs="Times New Roman"/>
                <w:color w:val="000000" w:themeColor="text1"/>
                <w:szCs w:val="24"/>
                <w14:textFill>
                  <w14:solidFill>
                    <w14:schemeClr w14:val="tx1"/>
                  </w14:solidFill>
                </w14:textFill>
              </w:rPr>
              <w:t>准保护区内无新建、扩建制药、化工、造纸、制革、印染、染料、炼焦、炼硫、炼砷、炼油、电镀、农药等对水体污染严重的建设项目；保护区划定前已有的上述建设项目不得增加排污量并逐步搬出。准保护区内无易溶性、有毒有害废弃物暂存和转运站，并严格控制采矿、采砂等活动。不能满足水质要求的地表水饮用水水源，准保护区或汇水区域采取水污染物容量总量控制措施，限期达标。准保护区无毁林开荒行为，水源涵养林建设满足GB/T26903要求。</w:t>
            </w:r>
          </w:p>
          <w:p w14:paraId="08A1984E">
            <w:pPr>
              <w:keepNext w:val="0"/>
              <w:keepLines w:val="0"/>
              <w:pageBreakBefore w:val="0"/>
              <w:kinsoku/>
              <w:wordWrap/>
              <w:overflowPunct/>
              <w:topLinePunct w:val="0"/>
              <w:autoSpaceDE/>
              <w:autoSpaceDN/>
              <w:bidi w:val="0"/>
              <w:adjustRightInd w:val="0"/>
              <w:snapToGrid w:val="0"/>
              <w:spacing w:line="360" w:lineRule="auto"/>
              <w:ind w:left="0" w:firstLine="482" w:firstLineChars="200"/>
              <w:textAlignment w:val="auto"/>
              <w:outlineLvl w:val="9"/>
              <w:rPr>
                <w:rFonts w:hint="default" w:ascii="Times New Roman" w:hAnsi="Times New Roman" w:eastAsia="宋体" w:cs="Times New Roman"/>
                <w:b/>
                <w:bCs/>
                <w:color w:val="000000" w:themeColor="text1"/>
                <w:kern w:val="2"/>
                <w:sz w:val="24"/>
                <w:szCs w:val="24"/>
                <w:lang w:val="en-US" w:eastAsia="zh-CN"/>
                <w14:textFill>
                  <w14:solidFill>
                    <w14:schemeClr w14:val="tx1"/>
                  </w14:solidFill>
                </w14:textFill>
              </w:rPr>
            </w:pPr>
            <w:r>
              <w:rPr>
                <w:rFonts w:hint="default" w:ascii="Times New Roman" w:hAnsi="Times New Roman" w:eastAsia="宋体" w:cs="Times New Roman"/>
                <w:b/>
                <w:bCs/>
                <w:color w:val="000000" w:themeColor="text1"/>
                <w:kern w:val="2"/>
                <w:sz w:val="24"/>
                <w:szCs w:val="24"/>
                <w:lang w:val="en-US" w:eastAsia="zh-CN"/>
                <w14:textFill>
                  <w14:solidFill>
                    <w14:schemeClr w14:val="tx1"/>
                  </w14:solidFill>
                </w14:textFill>
              </w:rPr>
              <w:t>四川省的相关规定</w:t>
            </w:r>
          </w:p>
          <w:p w14:paraId="4BEF0F28">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outlineLvl w:val="9"/>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建设单位认真贯彻落实《四川省饮用水水源保护管理条例（2019修正）》等法律法规要求，采取积极的水源保护措施，突出重点，加强监督与管理。饮用水地表水源保护区内要求如下：</w:t>
            </w:r>
          </w:p>
          <w:p w14:paraId="51AC908F">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outlineLvl w:val="9"/>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（1）在地表水饮用水水源保护区内，禁止设置排污口.</w:t>
            </w:r>
          </w:p>
          <w:p w14:paraId="2F4CFCDD">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outlineLvl w:val="9"/>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（2）地表水饮用水水源准保护区内，应当遵守下列规定：</w:t>
            </w:r>
          </w:p>
          <w:p w14:paraId="14C2DC10">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outlineLvl w:val="9"/>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一）禁止新建、扩建对水体污染严重的建设项目；改建建设项目，不得增加排污量；（二）禁止向水体排放油类、酸液、碱液或者有毒废液；（三）禁止在水体清洗装贮过油类或者有毒污染物的车辆和容器；（四）禁止向水体排放、倾倒废水、含病原体的污水、放射性固体废物；（五）禁止向水体排放、倾倒工业废渣、城镇垃圾和医疗垃圾等其他废弃物；（六）禁止将含有汞、镉、砷、铬、铅、氰化物、黄磷等的可溶性剧毒废渣向水体排放、倾倒或者直接埋入地下；（七）禁止船舶向水体倾倒垃圾或者排放含油污水、生活污水；（八）禁止设置易溶性、有毒有害废弃物和危险废物的暂存和转运场所；禁止设置生活垃圾和工业固体废物的处置场所，生活垃圾转运站和工业固体废物暂存场所应当设置防护设施；（九）禁止通行装载剧毒化学品或者危险废物的船舶、车辆。装载其他危险品的船舶、车辆确需驶入饮用水水源保护区内的，应当在驶入该区域的二十四小时前向当地海事管理机构或者公安机关交通管理部门报告，配备防止污染物散落、溢流、渗漏的设施设备，指定专人保障危险品运输安全；（十）禁止进行可能严重影响饮用水水源水质的矿产勘查、开采等活动；（十一）禁止非更新性、非抚育性采伐和破坏饮用水水源涵养林、护岸林和其他植被。</w:t>
            </w:r>
          </w:p>
          <w:p w14:paraId="496EE42E">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outlineLvl w:val="9"/>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（3）地表水饮用水水源二级保护区内，除遵守地表水饮用水水源准保护区规定外，还应当遵守下列规定：</w:t>
            </w:r>
          </w:p>
          <w:p w14:paraId="4EC273C3">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outlineLvl w:val="9"/>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一）禁止新建、改建、扩建排放污染物的建设项目；已建成的排放污染物的建设项目，由县级以上地方人民政府责令拆除或者关闭；（二）禁止从事经营性取土和采石（砂）等活动；（三）禁止围水造田；（四）禁止使用农药；禁止丢弃农药、农药包装物或者清洗施药器械；限制使用化肥；（五）禁止修建墓地；（六）禁止丢弃及掩埋动物尸体；（七）禁止从事网箱养殖、施肥养鱼和超标准养殖等污染饮用水水体的活动；（八）从事旅游等活动的，应当按照规定采取措施，防止污染饮用水水体；（九）道路、桥梁、码头及其他可能威胁饮用水水源安全的设施或者装置，应当设置独立的污染物收集、排放和处理系统及隔离设施。</w:t>
            </w:r>
          </w:p>
          <w:p w14:paraId="000412A0">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outlineLvl w:val="9"/>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（4）地表水饮用水水源一级保护区内，除遵守地表水饮用水水源准保护区和地表水饮用水水源二级保护区规定外，还应当遵守下列规定：</w:t>
            </w:r>
          </w:p>
          <w:p w14:paraId="2F3E1EEE">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outlineLvl w:val="9"/>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一）禁止新建、改建、扩建与供水设施和保护水源无关的建设项目；已建成的与供水设施和保护水源无关的建设项目，由县级以上地方人民政府责令拆除或者关闭；（二）禁止使用化肥；（三）禁止设置畜禽养殖场；（四）禁止与保护水源无关的船舶停靠、装卸；（五）禁止在水体清洗机动车辆；（六）禁止从事旅游、游泳、垂钓或者其他污染饮用水水体的活动。</w:t>
            </w:r>
          </w:p>
          <w:p w14:paraId="73A20275">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outlineLvl w:val="9"/>
              <w:rPr>
                <w:rFonts w:hint="default" w:ascii="Times New Roman" w:hAnsi="Times New Roman" w:eastAsia="宋体" w:cs="Times New Roman"/>
                <w:b w:val="0"/>
                <w:color w:val="000000" w:themeColor="text1"/>
                <w:kern w:val="2"/>
                <w:sz w:val="24"/>
                <w:szCs w:val="24"/>
                <w14:textFill>
                  <w14:solidFill>
                    <w14:schemeClr w14:val="tx1"/>
                  </w14:solidFill>
                </w14:textFill>
              </w:rPr>
            </w:pPr>
            <w:r>
              <w:rPr>
                <w:rFonts w:hint="default" w:ascii="Times New Roman" w:hAnsi="Times New Roman" w:eastAsia="宋体" w:cs="Times New Roman"/>
                <w:b w:val="0"/>
                <w:color w:val="000000" w:themeColor="text1"/>
                <w:kern w:val="2"/>
                <w:sz w:val="24"/>
                <w:szCs w:val="24"/>
                <w14:textFill>
                  <w14:solidFill>
                    <w14:schemeClr w14:val="tx1"/>
                  </w14:solidFill>
                </w14:textFill>
              </w:rPr>
              <w:t>综上，项目建成后建设单位按照《四川省饮用水水源保护管理条例》规定划定饮用水水源保护区范围，切实加强日常监督管理，扎实做好饮用水水源地保护工作，确保饮用水水源水质达标。</w:t>
            </w:r>
          </w:p>
          <w:p w14:paraId="33D6E11D">
            <w:pPr>
              <w:keepNext w:val="0"/>
              <w:keepLines w:val="0"/>
              <w:pageBreakBefore w:val="0"/>
              <w:widowControl w:val="0"/>
              <w:kinsoku/>
              <w:wordWrap/>
              <w:overflowPunct/>
              <w:topLinePunct w:val="0"/>
              <w:bidi w:val="0"/>
              <w:adjustRightInd w:val="0"/>
              <w:snapToGrid w:val="0"/>
              <w:spacing w:line="360" w:lineRule="auto"/>
              <w:ind w:firstLine="470" w:firstLineChars="200"/>
              <w:textAlignment w:val="auto"/>
              <w:rPr>
                <w:rFonts w:hint="default" w:ascii="Times New Roman" w:hAnsi="Times New Roman" w:eastAsia="宋体" w:cs="Times New Roman"/>
                <w:b/>
                <w:bCs/>
                <w:color w:val="000000" w:themeColor="text1"/>
                <w:spacing w:val="-3"/>
                <w:sz w:val="24"/>
                <w:szCs w:val="20"/>
                <w14:textFill>
                  <w14:solidFill>
                    <w14:schemeClr w14:val="tx1"/>
                  </w14:solidFill>
                </w14:textFill>
              </w:rPr>
            </w:pPr>
            <w:r>
              <w:rPr>
                <w:rFonts w:hint="default" w:ascii="Times New Roman" w:hAnsi="Times New Roman" w:eastAsia="宋体" w:cs="Times New Roman"/>
                <w:b/>
                <w:bCs/>
                <w:color w:val="000000" w:themeColor="text1"/>
                <w:spacing w:val="-3"/>
                <w:sz w:val="24"/>
                <w:szCs w:val="20"/>
                <w:lang w:val="en-US" w:eastAsia="zh-CN"/>
                <w14:textFill>
                  <w14:solidFill>
                    <w14:schemeClr w14:val="tx1"/>
                  </w14:solidFill>
                </w14:textFill>
              </w:rPr>
              <w:t>二</w:t>
            </w:r>
            <w:r>
              <w:rPr>
                <w:rFonts w:hint="default" w:ascii="Times New Roman" w:hAnsi="Times New Roman" w:eastAsia="宋体" w:cs="Times New Roman"/>
                <w:b/>
                <w:bCs/>
                <w:color w:val="000000" w:themeColor="text1"/>
                <w:spacing w:val="-3"/>
                <w:sz w:val="24"/>
                <w:szCs w:val="20"/>
                <w14:textFill>
                  <w14:solidFill>
                    <w14:schemeClr w14:val="tx1"/>
                  </w14:solidFill>
                </w14:textFill>
              </w:rPr>
              <w:t>、</w:t>
            </w:r>
            <w:r>
              <w:rPr>
                <w:rFonts w:hint="default" w:ascii="Times New Roman" w:hAnsi="Times New Roman" w:eastAsia="宋体" w:cs="Times New Roman"/>
                <w:b/>
                <w:bCs/>
                <w:color w:val="000000" w:themeColor="text1"/>
                <w:spacing w:val="-3"/>
                <w:sz w:val="24"/>
                <w:szCs w:val="20"/>
                <w:lang w:eastAsia="zh-CN"/>
                <w14:textFill>
                  <w14:solidFill>
                    <w14:schemeClr w14:val="tx1"/>
                  </w14:solidFill>
                </w14:textFill>
              </w:rPr>
              <w:t>运营期</w:t>
            </w:r>
            <w:r>
              <w:rPr>
                <w:rFonts w:hint="default" w:ascii="Times New Roman" w:hAnsi="Times New Roman" w:eastAsia="宋体" w:cs="Times New Roman"/>
                <w:b/>
                <w:bCs/>
                <w:color w:val="000000" w:themeColor="text1"/>
                <w:spacing w:val="-3"/>
                <w:sz w:val="24"/>
                <w:szCs w:val="20"/>
                <w14:textFill>
                  <w14:solidFill>
                    <w14:schemeClr w14:val="tx1"/>
                  </w14:solidFill>
                </w14:textFill>
              </w:rPr>
              <w:t>固废影响和保护措施</w:t>
            </w:r>
          </w:p>
          <w:p w14:paraId="3F18E0A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本项目不新增劳动定员，</w:t>
            </w:r>
            <w:r>
              <w:rPr>
                <w:rFonts w:hint="eastAsia" w:ascii="Times New Roman" w:hAnsi="Times New Roman" w:cs="Times New Roman"/>
                <w:color w:val="000000" w:themeColor="text1"/>
                <w:sz w:val="24"/>
                <w:lang w:val="en-US" w:eastAsia="zh-CN"/>
                <w14:textFill>
                  <w14:solidFill>
                    <w14:schemeClr w14:val="tx1"/>
                  </w14:solidFill>
                </w14:textFill>
              </w:rPr>
              <w:t>不设置巡检人员，因此</w:t>
            </w:r>
            <w:r>
              <w:rPr>
                <w:rFonts w:hint="default" w:ascii="Times New Roman" w:hAnsi="Times New Roman" w:eastAsia="宋体" w:cs="Times New Roman"/>
                <w:color w:val="000000" w:themeColor="text1"/>
                <w:sz w:val="24"/>
                <w:lang w:val="en-US" w:eastAsia="zh-CN"/>
                <w14:textFill>
                  <w14:solidFill>
                    <w14:schemeClr w14:val="tx1"/>
                  </w14:solidFill>
                </w14:textFill>
              </w:rPr>
              <w:t>运营期无生活垃圾产生</w:t>
            </w:r>
            <w:r>
              <w:rPr>
                <w:rFonts w:hint="default" w:ascii="Times New Roman" w:hAnsi="Times New Roman" w:eastAsia="宋体" w:cs="Times New Roman"/>
                <w:color w:val="000000" w:themeColor="text1"/>
                <w:sz w:val="24"/>
                <w14:textFill>
                  <w14:solidFill>
                    <w14:schemeClr w14:val="tx1"/>
                  </w14:solidFill>
                </w14:textFill>
              </w:rPr>
              <w:t>。</w:t>
            </w:r>
          </w:p>
          <w:p w14:paraId="3082EE3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原水输水管道高点设置排气阀，采用自动排气，正常运行无废水排放</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也没有固体废物产生</w:t>
            </w:r>
            <w:r>
              <w:rPr>
                <w:rFonts w:ascii="宋体" w:hAnsi="宋体" w:eastAsia="宋体" w:cs="宋体"/>
                <w:color w:val="000000" w:themeColor="text1"/>
                <w:sz w:val="24"/>
                <w:szCs w:val="24"/>
                <w14:textFill>
                  <w14:solidFill>
                    <w14:schemeClr w14:val="tx1"/>
                  </w14:solidFill>
                </w14:textFill>
              </w:rPr>
              <w:t>；管道低点配套排泥井，采取间歇定期排泥</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排泥井清掏、排泥水沉淀</w:t>
            </w:r>
            <w:r>
              <w:rPr>
                <w:rFonts w:hint="eastAsia" w:ascii="宋体" w:hAnsi="宋体" w:eastAsia="宋体" w:cs="宋体"/>
                <w:color w:val="000000" w:themeColor="text1"/>
                <w:sz w:val="24"/>
                <w:szCs w:val="24"/>
                <w:lang w:val="en-US" w:eastAsia="zh-CN"/>
                <w14:textFill>
                  <w14:solidFill>
                    <w14:schemeClr w14:val="tx1"/>
                  </w14:solidFill>
                </w14:textFill>
              </w:rPr>
              <w:t>会产生污泥</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以</w:t>
            </w:r>
            <w:r>
              <w:rPr>
                <w:rFonts w:hint="eastAsia" w:ascii="宋体" w:hAnsi="宋体" w:eastAsia="宋体" w:cs="宋体"/>
                <w:color w:val="000000" w:themeColor="text1"/>
                <w:sz w:val="24"/>
                <w:szCs w:val="24"/>
                <w14:textFill>
                  <w14:solidFill>
                    <w14:schemeClr w14:val="tx1"/>
                  </w14:solidFill>
                </w14:textFill>
              </w:rPr>
              <w:t>无机泥沙为主，属于一般固体废物；</w:t>
            </w:r>
            <w:r>
              <w:rPr>
                <w:rFonts w:ascii="宋体" w:hAnsi="宋体" w:eastAsia="宋体" w:cs="宋体"/>
                <w:color w:val="000000" w:themeColor="text1"/>
                <w:sz w:val="24"/>
                <w:szCs w:val="24"/>
                <w14:textFill>
                  <w14:solidFill>
                    <w14:schemeClr w14:val="tx1"/>
                  </w14:solidFill>
                </w14:textFill>
              </w:rPr>
              <w:t>排泥作业短时产生水流噪声，无明显废气污染物。</w:t>
            </w:r>
          </w:p>
          <w:p w14:paraId="2387B62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根据</w:t>
            </w:r>
            <w:r>
              <w:rPr>
                <w:rFonts w:hint="default" w:ascii="Times New Roman" w:hAnsi="Times New Roman" w:eastAsia="宋体" w:cs="Times New Roman"/>
                <w:color w:val="000000" w:themeColor="text1"/>
                <w:sz w:val="24"/>
                <w:lang w:val="en-US" w:eastAsia="zh-CN"/>
                <w14:textFill>
                  <w14:solidFill>
                    <w14:schemeClr w14:val="tx1"/>
                  </w14:solidFill>
                </w14:textFill>
              </w:rPr>
              <w:t>泸定县</w:t>
            </w:r>
            <w:r>
              <w:rPr>
                <w:rFonts w:hint="default" w:ascii="Times New Roman" w:hAnsi="Times New Roman" w:eastAsia="宋体" w:cs="Times New Roman"/>
                <w:color w:val="000000" w:themeColor="text1"/>
                <w:sz w:val="24"/>
                <w14:textFill>
                  <w14:solidFill>
                    <w14:schemeClr w14:val="tx1"/>
                  </w14:solidFill>
                </w14:textFill>
              </w:rPr>
              <w:t>取水口项目运行经验数据类比，</w:t>
            </w:r>
            <w:r>
              <w:rPr>
                <w:rFonts w:hint="default" w:ascii="Times New Roman" w:hAnsi="Times New Roman" w:eastAsia="宋体" w:cs="Times New Roman"/>
                <w:color w:val="000000" w:themeColor="text1"/>
                <w:sz w:val="24"/>
                <w:lang w:val="en-US" w:eastAsia="zh-CN"/>
                <w14:textFill>
                  <w14:solidFill>
                    <w14:schemeClr w14:val="tx1"/>
                  </w14:solidFill>
                </w14:textFill>
              </w:rPr>
              <w:t>五里沟</w:t>
            </w:r>
            <w:r>
              <w:rPr>
                <w:rFonts w:hint="default" w:ascii="Times New Roman" w:hAnsi="Times New Roman" w:eastAsia="宋体" w:cs="Times New Roman"/>
                <w:color w:val="000000" w:themeColor="text1"/>
                <w:sz w:val="24"/>
                <w14:textFill>
                  <w14:solidFill>
                    <w14:schemeClr w14:val="tx1"/>
                  </w14:solidFill>
                </w14:textFill>
              </w:rPr>
              <w:t>取水口原水水质较好，</w:t>
            </w:r>
            <w:r>
              <w:rPr>
                <w:rFonts w:hint="default" w:ascii="Times New Roman" w:hAnsi="Times New Roman" w:eastAsia="宋体" w:cs="Times New Roman"/>
                <w:color w:val="000000" w:themeColor="text1"/>
                <w:sz w:val="24"/>
                <w:lang w:val="en-US" w:eastAsia="zh-CN"/>
                <w14:textFill>
                  <w14:solidFill>
                    <w14:schemeClr w14:val="tx1"/>
                  </w14:solidFill>
                </w14:textFill>
              </w:rPr>
              <w:t>原水中SS较少</w:t>
            </w:r>
            <w:r>
              <w:rPr>
                <w:rFonts w:hint="default" w:ascii="Times New Roman" w:hAnsi="Times New Roman" w:eastAsia="宋体"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拦截的废渣、排泥井</w:t>
            </w:r>
            <w:r>
              <w:rPr>
                <w:rFonts w:hint="eastAsia" w:ascii="Times New Roman" w:hAnsi="Times New Roman" w:cs="Times New Roman"/>
                <w:color w:val="000000" w:themeColor="text1"/>
                <w:sz w:val="24"/>
                <w:lang w:val="en-US" w:eastAsia="zh-CN"/>
                <w14:textFill>
                  <w14:solidFill>
                    <w14:schemeClr w14:val="tx1"/>
                  </w14:solidFill>
                </w14:textFill>
              </w:rPr>
              <w:t>固废</w:t>
            </w:r>
            <w:r>
              <w:rPr>
                <w:rFonts w:hint="default" w:ascii="Times New Roman" w:hAnsi="Times New Roman" w:eastAsia="宋体" w:cs="Times New Roman"/>
                <w:color w:val="000000" w:themeColor="text1"/>
                <w:sz w:val="24"/>
                <w14:textFill>
                  <w14:solidFill>
                    <w14:schemeClr w14:val="tx1"/>
                  </w14:solidFill>
                </w14:textFill>
              </w:rPr>
              <w:t>产生量约0.0</w:t>
            </w:r>
            <w:r>
              <w:rPr>
                <w:rFonts w:hint="default" w:ascii="Times New Roman" w:hAnsi="Times New Roman" w:eastAsia="宋体" w:cs="Times New Roman"/>
                <w:color w:val="000000" w:themeColor="text1"/>
                <w:sz w:val="24"/>
                <w:lang w:val="en-US" w:eastAsia="zh-CN"/>
                <w14:textFill>
                  <w14:solidFill>
                    <w14:schemeClr w14:val="tx1"/>
                  </w14:solidFill>
                </w14:textFill>
              </w:rPr>
              <w:t>6</w:t>
            </w:r>
            <w:r>
              <w:rPr>
                <w:rFonts w:hint="default" w:ascii="Times New Roman" w:hAnsi="Times New Roman" w:eastAsia="宋体" w:cs="Times New Roman"/>
                <w:color w:val="000000" w:themeColor="text1"/>
                <w:sz w:val="24"/>
                <w14:textFill>
                  <w14:solidFill>
                    <w14:schemeClr w14:val="tx1"/>
                  </w14:solidFill>
                </w14:textFill>
              </w:rPr>
              <w:t>t/a，主要物质为原水中较大粒径过滤物、漂浮物等</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lang w:val="en-US" w:eastAsia="zh-CN"/>
                <w14:textFill>
                  <w14:solidFill>
                    <w14:schemeClr w14:val="tx1"/>
                  </w14:solidFill>
                </w14:textFill>
              </w:rPr>
              <w:t>属于一般工业固体废物</w:t>
            </w:r>
            <w:r>
              <w:rPr>
                <w:rFonts w:hint="default" w:ascii="Times New Roman" w:hAnsi="Times New Roman" w:eastAsia="宋体" w:cs="Times New Roman"/>
                <w:color w:val="000000" w:themeColor="text1"/>
                <w:sz w:val="24"/>
                <w14:textFill>
                  <w14:solidFill>
                    <w14:schemeClr w14:val="tx1"/>
                  </w14:solidFill>
                </w14:textFill>
              </w:rPr>
              <w:t>。</w:t>
            </w:r>
          </w:p>
          <w:p w14:paraId="0CDC8A1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针对本项目产生本项目运营期产生的固废</w:t>
            </w:r>
            <w:r>
              <w:rPr>
                <w:rFonts w:hint="default" w:ascii="Times New Roman" w:hAnsi="Times New Roman" w:eastAsia="宋体" w:cs="Times New Roman"/>
                <w:color w:val="000000" w:themeColor="text1"/>
                <w:sz w:val="24"/>
                <w:lang w:val="en-US" w:eastAsia="zh-CN"/>
                <w14:textFill>
                  <w14:solidFill>
                    <w14:schemeClr w14:val="tx1"/>
                  </w14:solidFill>
                </w14:textFill>
              </w:rPr>
              <w:t>取水口拦截的废渣、排泥井产生固废</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本环评提出以下要求：</w:t>
            </w:r>
          </w:p>
          <w:p w14:paraId="5F211F0E">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本项目产生的</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废渣</w:t>
            </w:r>
            <w:r>
              <w:rPr>
                <w:rFonts w:hint="default" w:ascii="Times New Roman" w:hAnsi="Times New Roman" w:eastAsia="宋体" w:cs="Times New Roman"/>
                <w:color w:val="000000" w:themeColor="text1"/>
                <w:sz w:val="24"/>
                <w:szCs w:val="24"/>
                <w14:textFill>
                  <w14:solidFill>
                    <w14:schemeClr w14:val="tx1"/>
                  </w14:solidFill>
                </w14:textFill>
              </w:rPr>
              <w:t>按照一般固废处置。一般工业固废按照《一般工业固体废物贮存和填埋污染控制标准》（GB18599-2020）要求进行贮存</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于自来水厂，最终委托其他单位处置或者资源化利用</w:t>
            </w:r>
            <w:r>
              <w:rPr>
                <w:rFonts w:hint="default" w:ascii="Times New Roman" w:hAnsi="Times New Roman" w:eastAsia="宋体" w:cs="Times New Roman"/>
                <w:color w:val="000000" w:themeColor="text1"/>
                <w:sz w:val="24"/>
                <w:szCs w:val="24"/>
                <w14:textFill>
                  <w14:solidFill>
                    <w14:schemeClr w14:val="tx1"/>
                  </w14:solidFill>
                </w14:textFill>
              </w:rPr>
              <w:t>。</w:t>
            </w:r>
          </w:p>
          <w:p w14:paraId="6AEA76C1">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本项目强化废物产生、收集、贮运各环节的管理，杜绝固废在厂区内的散失、渗漏。做好固体废物在厂区内的收集和储存相关防护工作，收集后进行有效处置。建立完善的规章制度，以降低危险固体废物散落对周围环境的影响。因此，本项目根据一般固体废物产生环节、废物主要成分、性状采取相应的综合利用方式，优先综合利用，不可利用的进行妥善安全处置，对周围环境影响较小。</w:t>
            </w:r>
            <w:r>
              <w:rPr>
                <w:rFonts w:hint="default" w:ascii="Times New Roman" w:hAnsi="Times New Roman" w:eastAsia="宋体" w:cs="Times New Roman"/>
                <w:color w:val="000000" w:themeColor="text1"/>
                <w:sz w:val="24"/>
                <w:szCs w:val="22"/>
                <w14:textFill>
                  <w14:solidFill>
                    <w14:schemeClr w14:val="tx1"/>
                  </w14:solidFill>
                </w14:textFill>
              </w:rPr>
              <w:t>通过采取措施后，一般工业固体废弃物处理措施和处置方案满足</w:t>
            </w:r>
            <w:r>
              <w:rPr>
                <w:rFonts w:hint="default" w:ascii="Times New Roman" w:hAnsi="Times New Roman" w:eastAsia="宋体" w:cs="Times New Roman"/>
                <w:color w:val="000000" w:themeColor="text1"/>
                <w:sz w:val="24"/>
                <w14:textFill>
                  <w14:solidFill>
                    <w14:schemeClr w14:val="tx1"/>
                  </w14:solidFill>
                </w14:textFill>
              </w:rPr>
              <w:t>《中华人民共和国固体废物污染环境防治法》、《排污许可证申请与核发技术规范工业固体废物（试行）》（HJ1200-2021）的工业固体废物管理条款</w:t>
            </w:r>
            <w:r>
              <w:rPr>
                <w:rFonts w:hint="default" w:ascii="Times New Roman" w:hAnsi="Times New Roman" w:eastAsia="宋体" w:cs="Times New Roman"/>
                <w:color w:val="000000" w:themeColor="text1"/>
                <w:sz w:val="24"/>
                <w:lang w:eastAsia="zh-CN"/>
                <w14:textFill>
                  <w14:solidFill>
                    <w14:schemeClr w14:val="tx1"/>
                  </w14:solidFill>
                </w14:textFill>
              </w:rPr>
              <w:t>。</w:t>
            </w:r>
          </w:p>
          <w:p w14:paraId="68934BDA">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项目对固体废物处置采用综合利用，最大限度地合理使用资源，尽可能减少固体废物的最终产生量，并对固体废物进行安全、合理、卫生地处理和处置，有效减少二次污染，不会对周围环境产生不利影响。</w:t>
            </w:r>
          </w:p>
          <w:p w14:paraId="4B10D114">
            <w:pPr>
              <w:keepNext w:val="0"/>
              <w:keepLines w:val="0"/>
              <w:pageBreakBefore w:val="0"/>
              <w:widowControl w:val="0"/>
              <w:kinsoku/>
              <w:wordWrap/>
              <w:overflowPunct/>
              <w:topLinePunct w:val="0"/>
              <w:bidi w:val="0"/>
              <w:adjustRightInd w:val="0"/>
              <w:snapToGrid w:val="0"/>
              <w:spacing w:line="360" w:lineRule="auto"/>
              <w:ind w:left="0" w:firstLine="470" w:firstLineChars="200"/>
              <w:textAlignment w:val="auto"/>
              <w:rPr>
                <w:rFonts w:hint="default" w:ascii="Times New Roman" w:hAnsi="Times New Roman" w:eastAsia="宋体" w:cs="Times New Roman"/>
                <w:b/>
                <w:bCs/>
                <w:color w:val="000000" w:themeColor="text1"/>
                <w:spacing w:val="-3"/>
                <w:sz w:val="24"/>
                <w:szCs w:val="20"/>
                <w14:textFill>
                  <w14:solidFill>
                    <w14:schemeClr w14:val="tx1"/>
                  </w14:solidFill>
                </w14:textFill>
              </w:rPr>
            </w:pPr>
            <w:r>
              <w:rPr>
                <w:rFonts w:hint="default" w:ascii="Times New Roman" w:hAnsi="Times New Roman" w:eastAsia="宋体" w:cs="Times New Roman"/>
                <w:b/>
                <w:bCs/>
                <w:color w:val="000000" w:themeColor="text1"/>
                <w:spacing w:val="-3"/>
                <w:sz w:val="24"/>
                <w:szCs w:val="20"/>
                <w:lang w:val="en-US" w:eastAsia="zh-CN"/>
                <w14:textFill>
                  <w14:solidFill>
                    <w14:schemeClr w14:val="tx1"/>
                  </w14:solidFill>
                </w14:textFill>
              </w:rPr>
              <w:t>三</w:t>
            </w:r>
            <w:r>
              <w:rPr>
                <w:rFonts w:hint="default" w:ascii="Times New Roman" w:hAnsi="Times New Roman" w:eastAsia="宋体" w:cs="Times New Roman"/>
                <w:b/>
                <w:bCs/>
                <w:color w:val="000000" w:themeColor="text1"/>
                <w:spacing w:val="-3"/>
                <w:sz w:val="24"/>
                <w:szCs w:val="20"/>
                <w14:textFill>
                  <w14:solidFill>
                    <w14:schemeClr w14:val="tx1"/>
                  </w14:solidFill>
                </w14:textFill>
              </w:rPr>
              <w:t>、</w:t>
            </w:r>
            <w:r>
              <w:rPr>
                <w:rFonts w:hint="default" w:ascii="Times New Roman" w:hAnsi="Times New Roman" w:eastAsia="宋体" w:cs="Times New Roman"/>
                <w:b/>
                <w:bCs/>
                <w:color w:val="000000" w:themeColor="text1"/>
                <w:spacing w:val="-3"/>
                <w:sz w:val="24"/>
                <w:szCs w:val="20"/>
                <w:lang w:eastAsia="zh-CN"/>
                <w14:textFill>
                  <w14:solidFill>
                    <w14:schemeClr w14:val="tx1"/>
                  </w14:solidFill>
                </w14:textFill>
              </w:rPr>
              <w:t>运营期</w:t>
            </w:r>
            <w:r>
              <w:rPr>
                <w:rFonts w:hint="default" w:ascii="Times New Roman" w:hAnsi="Times New Roman" w:eastAsia="宋体" w:cs="Times New Roman"/>
                <w:b/>
                <w:bCs/>
                <w:color w:val="000000" w:themeColor="text1"/>
                <w:spacing w:val="-3"/>
                <w:sz w:val="24"/>
                <w:szCs w:val="20"/>
                <w14:textFill>
                  <w14:solidFill>
                    <w14:schemeClr w14:val="tx1"/>
                  </w14:solidFill>
                </w14:textFill>
              </w:rPr>
              <w:t>地下水影响和保护措施</w:t>
            </w:r>
          </w:p>
          <w:p w14:paraId="1E5971A8">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w:t>
            </w:r>
            <w:r>
              <w:rPr>
                <w:rFonts w:hint="default" w:ascii="Times New Roman" w:hAnsi="Times New Roman" w:eastAsia="宋体" w:cs="Times New Roman"/>
                <w:bCs/>
                <w:color w:val="000000" w:themeColor="text1"/>
                <w:sz w:val="24"/>
                <w14:textFill>
                  <w14:solidFill>
                    <w14:schemeClr w14:val="tx1"/>
                  </w14:solidFill>
                </w14:textFill>
              </w:rPr>
              <w:t>不使用地下水，不与地下水之间发生直接接触。</w:t>
            </w:r>
            <w:r>
              <w:rPr>
                <w:rFonts w:hint="default" w:ascii="Times New Roman" w:hAnsi="Times New Roman" w:eastAsia="宋体" w:cs="Times New Roman"/>
                <w:color w:val="000000" w:themeColor="text1"/>
                <w:sz w:val="24"/>
                <w:lang w:val="en-US" w:eastAsia="zh-CN"/>
                <w14:textFill>
                  <w14:solidFill>
                    <w14:schemeClr w14:val="tx1"/>
                  </w14:solidFill>
                </w14:textFill>
              </w:rPr>
              <w:t>本项目运营期间无废水、废气污染物排放，不存在对地下水环境产生污染的途径，故本项目运营期基本不对地下水环境产生影响。</w:t>
            </w:r>
          </w:p>
          <w:p w14:paraId="54211318">
            <w:pPr>
              <w:keepNext w:val="0"/>
              <w:keepLines w:val="0"/>
              <w:pageBreakBefore w:val="0"/>
              <w:widowControl w:val="0"/>
              <w:kinsoku/>
              <w:wordWrap/>
              <w:overflowPunct/>
              <w:topLinePunct w:val="0"/>
              <w:bidi w:val="0"/>
              <w:adjustRightInd w:val="0"/>
              <w:snapToGrid w:val="0"/>
              <w:spacing w:line="360" w:lineRule="auto"/>
              <w:ind w:left="0" w:firstLine="482" w:firstLineChars="200"/>
              <w:textAlignment w:val="auto"/>
              <w:rPr>
                <w:rFonts w:hint="default" w:ascii="Times New Roman" w:hAnsi="Times New Roman" w:eastAsia="宋体" w:cs="Times New Roman"/>
                <w:b/>
                <w:bCs/>
                <w:color w:val="000000" w:themeColor="text1"/>
                <w:spacing w:val="-3"/>
                <w:sz w:val="24"/>
                <w:szCs w:val="20"/>
                <w14:textFill>
                  <w14:solidFill>
                    <w14:schemeClr w14:val="tx1"/>
                  </w14:solidFill>
                </w14:textFill>
              </w:rPr>
            </w:pPr>
            <w:r>
              <w:rPr>
                <w:rFonts w:hint="default" w:ascii="Times New Roman" w:hAnsi="Times New Roman" w:eastAsia="宋体" w:cs="Times New Roman"/>
                <w:b/>
                <w:bCs/>
                <w:color w:val="000000" w:themeColor="text1"/>
                <w:sz w:val="24"/>
                <w:lang w:val="en-US" w:eastAsia="zh-CN"/>
                <w14:textFill>
                  <w14:solidFill>
                    <w14:schemeClr w14:val="tx1"/>
                  </w14:solidFill>
                </w14:textFill>
              </w:rPr>
              <w:t>四</w:t>
            </w:r>
            <w:r>
              <w:rPr>
                <w:rFonts w:hint="default" w:ascii="Times New Roman" w:hAnsi="Times New Roman" w:eastAsia="宋体" w:cs="Times New Roman"/>
                <w:b/>
                <w:bCs/>
                <w:color w:val="000000" w:themeColor="text1"/>
                <w:spacing w:val="-3"/>
                <w:sz w:val="24"/>
                <w:szCs w:val="20"/>
                <w:lang w:val="en-US" w:eastAsia="zh-CN"/>
                <w14:textFill>
                  <w14:solidFill>
                    <w14:schemeClr w14:val="tx1"/>
                  </w14:solidFill>
                </w14:textFill>
              </w:rPr>
              <w:t>、土壤环境影响</w:t>
            </w:r>
            <w:r>
              <w:rPr>
                <w:rFonts w:hint="default" w:ascii="Times New Roman" w:hAnsi="Times New Roman" w:eastAsia="宋体" w:cs="Times New Roman"/>
                <w:b/>
                <w:bCs/>
                <w:color w:val="000000" w:themeColor="text1"/>
                <w:spacing w:val="-3"/>
                <w:sz w:val="24"/>
                <w:szCs w:val="20"/>
                <w14:textFill>
                  <w14:solidFill>
                    <w14:schemeClr w14:val="tx1"/>
                  </w14:solidFill>
                </w14:textFill>
              </w:rPr>
              <w:t>和保护措施</w:t>
            </w:r>
          </w:p>
          <w:p w14:paraId="73011AE0">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本项目运营期间无废水、废气污染物排放，不存在对土壤环境产生污染的</w:t>
            </w:r>
          </w:p>
          <w:p w14:paraId="1E2E8513">
            <w:pPr>
              <w:keepNext w:val="0"/>
              <w:keepLines w:val="0"/>
              <w:pageBreakBefore w:val="0"/>
              <w:widowControl w:val="0"/>
              <w:kinsoku/>
              <w:wordWrap/>
              <w:overflowPunct/>
              <w:topLinePunct w:val="0"/>
              <w:bidi w:val="0"/>
              <w:adjustRightInd w:val="0"/>
              <w:snapToGrid w:val="0"/>
              <w:spacing w:line="360" w:lineRule="auto"/>
              <w:ind w:left="0"/>
              <w:textAlignment w:val="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途径，故本项目运营期基本不对土壤环境产生影响。</w:t>
            </w:r>
          </w:p>
          <w:p w14:paraId="60E82BDD">
            <w:pPr>
              <w:keepNext w:val="0"/>
              <w:keepLines w:val="0"/>
              <w:pageBreakBefore w:val="0"/>
              <w:widowControl w:val="0"/>
              <w:kinsoku/>
              <w:wordWrap/>
              <w:overflowPunct/>
              <w:topLinePunct w:val="0"/>
              <w:bidi w:val="0"/>
              <w:adjustRightInd w:val="0"/>
              <w:snapToGrid w:val="0"/>
              <w:spacing w:line="360" w:lineRule="auto"/>
              <w:ind w:left="0" w:firstLine="482" w:firstLineChars="200"/>
              <w:textAlignment w:val="auto"/>
              <w:rPr>
                <w:rFonts w:hint="default" w:ascii="Times New Roman" w:hAnsi="Times New Roman" w:eastAsia="宋体" w:cs="Times New Roman"/>
                <w:b/>
                <w:bCs/>
                <w:color w:val="000000" w:themeColor="text1"/>
                <w:sz w:val="24"/>
                <w:szCs w:val="22"/>
                <w14:textFill>
                  <w14:solidFill>
                    <w14:schemeClr w14:val="tx1"/>
                  </w14:solidFill>
                </w14:textFill>
              </w:rPr>
            </w:pPr>
            <w:r>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t>五、</w:t>
            </w:r>
            <w:r>
              <w:rPr>
                <w:rFonts w:hint="default" w:ascii="Times New Roman" w:hAnsi="Times New Roman" w:eastAsia="宋体" w:cs="Times New Roman"/>
                <w:b/>
                <w:bCs/>
                <w:color w:val="000000" w:themeColor="text1"/>
                <w:sz w:val="24"/>
                <w:szCs w:val="22"/>
                <w14:textFill>
                  <w14:solidFill>
                    <w14:schemeClr w14:val="tx1"/>
                  </w14:solidFill>
                </w14:textFill>
              </w:rPr>
              <w:t>环境风险分析</w:t>
            </w:r>
          </w:p>
          <w:p w14:paraId="46744AC2">
            <w:pPr>
              <w:keepNext w:val="0"/>
              <w:keepLines w:val="0"/>
              <w:pageBreakBefore w:val="0"/>
              <w:widowControl w:val="0"/>
              <w:kinsoku/>
              <w:wordWrap/>
              <w:overflowPunct/>
              <w:topLinePunct w:val="0"/>
              <w:bidi w:val="0"/>
              <w:adjustRightInd w:val="0"/>
              <w:snapToGrid w:val="0"/>
              <w:spacing w:line="360" w:lineRule="auto"/>
              <w:ind w:left="0" w:firstLine="482" w:firstLineChars="200"/>
              <w:textAlignment w:val="auto"/>
              <w:rPr>
                <w:rFonts w:hint="default" w:ascii="Times New Roman" w:hAnsi="Times New Roman" w:eastAsia="宋体" w:cs="Times New Roman"/>
                <w:b/>
                <w:bCs/>
                <w:color w:val="000000" w:themeColor="text1"/>
                <w:sz w:val="24"/>
                <w:szCs w:val="22"/>
                <w14:textFill>
                  <w14:solidFill>
                    <w14:schemeClr w14:val="tx1"/>
                  </w14:solidFill>
                </w14:textFill>
              </w:rPr>
            </w:pPr>
            <w:r>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t>1、</w:t>
            </w:r>
            <w:r>
              <w:rPr>
                <w:rFonts w:hint="default" w:ascii="Times New Roman" w:hAnsi="Times New Roman" w:eastAsia="宋体" w:cs="Times New Roman"/>
                <w:b/>
                <w:bCs/>
                <w:color w:val="000000" w:themeColor="text1"/>
                <w:sz w:val="24"/>
                <w:szCs w:val="22"/>
                <w14:textFill>
                  <w14:solidFill>
                    <w14:schemeClr w14:val="tx1"/>
                  </w14:solidFill>
                </w14:textFill>
              </w:rPr>
              <w:t>风险类型</w:t>
            </w:r>
          </w:p>
          <w:p w14:paraId="3D748079">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施工期油料利用地方加油站解决，施工区不设置油库，不存在大气重大危险源。施工期危险物质影响环境的途径主要为地表水环境，主要风险物质为施工</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机械漏油导致的</w:t>
            </w:r>
            <w:r>
              <w:rPr>
                <w:rFonts w:hint="default" w:ascii="Times New Roman" w:hAnsi="Times New Roman" w:eastAsia="宋体" w:cs="Times New Roman"/>
                <w:color w:val="000000" w:themeColor="text1"/>
                <w:sz w:val="24"/>
                <w:szCs w:val="22"/>
                <w14:textFill>
                  <w14:solidFill>
                    <w14:schemeClr w14:val="tx1"/>
                  </w14:solidFill>
                </w14:textFill>
              </w:rPr>
              <w:t>溢油风险。由于管理疏忽、操作违反规程或失误等原因引起石油类跑、冒、滴、漏事故的可能性相对较小，但</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是发生事故后</w:t>
            </w:r>
            <w:r>
              <w:rPr>
                <w:rFonts w:hint="default" w:ascii="Times New Roman" w:hAnsi="Times New Roman" w:eastAsia="宋体" w:cs="Times New Roman"/>
                <w:color w:val="000000" w:themeColor="text1"/>
                <w:sz w:val="24"/>
                <w:szCs w:val="22"/>
                <w14:textFill>
                  <w14:solidFill>
                    <w14:schemeClr w14:val="tx1"/>
                  </w14:solidFill>
                </w14:textFill>
              </w:rPr>
              <w:t>会对水域造成油污染。</w:t>
            </w:r>
          </w:p>
          <w:p w14:paraId="71CE1BBD">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lang w:val="en-US" w:eastAsia="zh-CN"/>
                <w14:textFill>
                  <w14:solidFill>
                    <w14:schemeClr w14:val="tx1"/>
                  </w14:solidFill>
                </w14:textFill>
              </w:rPr>
            </w:pPr>
            <w:r>
              <w:rPr>
                <w:rFonts w:hint="eastAsia" w:ascii="Times New Roman" w:hAnsi="Times New Roman" w:eastAsia="宋体" w:cs="Times New Roman"/>
                <w:color w:val="000000" w:themeColor="text1"/>
                <w:sz w:val="24"/>
                <w:szCs w:val="22"/>
                <w:lang w:val="en-US" w:eastAsia="zh-CN"/>
                <w14:textFill>
                  <w14:solidFill>
                    <w14:schemeClr w14:val="tx1"/>
                  </w14:solidFill>
                </w14:textFill>
              </w:rPr>
              <w:t>运营期</w:t>
            </w:r>
            <w:r>
              <w:rPr>
                <w:rFonts w:hint="default" w:ascii="Times New Roman" w:hAnsi="Times New Roman" w:eastAsia="宋体" w:cs="Times New Roman"/>
                <w:color w:val="000000" w:themeColor="text1"/>
                <w:sz w:val="24"/>
                <w:szCs w:val="22"/>
                <w14:textFill>
                  <w14:solidFill>
                    <w14:schemeClr w14:val="tx1"/>
                  </w14:solidFill>
                </w14:textFill>
              </w:rPr>
              <w:t>：农田化肥农药流失</w:t>
            </w:r>
            <w:r>
              <w:rPr>
                <w:rFonts w:hint="eastAsia" w:ascii="Times New Roman" w:hAnsi="Times New Roman"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14:textFill>
                  <w14:solidFill>
                    <w14:schemeClr w14:val="tx1"/>
                  </w14:solidFill>
                </w14:textFill>
              </w:rPr>
              <w:t>畜禽散养粪污随降雨径流汇入水源地</w:t>
            </w:r>
            <w:r>
              <w:rPr>
                <w:rFonts w:hint="eastAsia" w:ascii="Times New Roman" w:hAnsi="Times New Roman"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14:textFill>
                  <w14:solidFill>
                    <w14:schemeClr w14:val="tx1"/>
                  </w14:solidFill>
                </w14:textFill>
              </w:rPr>
              <w:t>周边居民生活排污</w:t>
            </w:r>
            <w:r>
              <w:rPr>
                <w:rFonts w:hint="eastAsia" w:ascii="Times New Roman" w:hAnsi="Times New Roman" w:cs="Times New Roman"/>
                <w:color w:val="000000" w:themeColor="text1"/>
                <w:sz w:val="24"/>
                <w:szCs w:val="22"/>
                <w:lang w:val="en-US" w:eastAsia="zh-CN"/>
                <w14:textFill>
                  <w14:solidFill>
                    <w14:schemeClr w14:val="tx1"/>
                  </w14:solidFill>
                </w14:textFill>
              </w:rPr>
              <w:t>进行河流等造成水质污染</w:t>
            </w:r>
            <w:r>
              <w:rPr>
                <w:rFonts w:hint="default" w:ascii="Times New Roman" w:hAnsi="Times New Roman" w:eastAsia="宋体" w:cs="Times New Roman"/>
                <w:color w:val="000000" w:themeColor="text1"/>
                <w:sz w:val="24"/>
                <w:szCs w:val="22"/>
                <w14:textFill>
                  <w14:solidFill>
                    <w14:schemeClr w14:val="tx1"/>
                  </w14:solidFill>
                </w14:textFill>
              </w:rPr>
              <w:t>。</w:t>
            </w:r>
          </w:p>
          <w:p w14:paraId="5CEC3AE8">
            <w:pPr>
              <w:keepNext w:val="0"/>
              <w:keepLines w:val="0"/>
              <w:pageBreakBefore w:val="0"/>
              <w:widowControl w:val="0"/>
              <w:kinsoku/>
              <w:wordWrap/>
              <w:overflowPunct/>
              <w:topLinePunct w:val="0"/>
              <w:bidi w:val="0"/>
              <w:adjustRightInd w:val="0"/>
              <w:snapToGrid w:val="0"/>
              <w:spacing w:line="360" w:lineRule="auto"/>
              <w:ind w:left="0" w:firstLine="482" w:firstLineChars="200"/>
              <w:textAlignment w:val="auto"/>
              <w:rPr>
                <w:rFonts w:hint="default" w:ascii="Times New Roman" w:hAnsi="Times New Roman" w:eastAsia="宋体" w:cs="Times New Roman"/>
                <w:b/>
                <w:bCs/>
                <w:color w:val="000000" w:themeColor="text1"/>
                <w:sz w:val="24"/>
                <w:szCs w:val="22"/>
                <w14:textFill>
                  <w14:solidFill>
                    <w14:schemeClr w14:val="tx1"/>
                  </w14:solidFill>
                </w14:textFill>
              </w:rPr>
            </w:pPr>
            <w:r>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22"/>
                <w14:textFill>
                  <w14:solidFill>
                    <w14:schemeClr w14:val="tx1"/>
                  </w14:solidFill>
                </w14:textFill>
              </w:rPr>
              <w:t>环境风险源识别</w:t>
            </w:r>
          </w:p>
          <w:p w14:paraId="2A2C3ED6">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本项目</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运营期不涉及储存</w:t>
            </w:r>
            <w:r>
              <w:rPr>
                <w:rFonts w:hint="default" w:ascii="Times New Roman" w:hAnsi="Times New Roman" w:eastAsia="宋体" w:cs="Times New Roman"/>
                <w:color w:val="000000" w:themeColor="text1"/>
                <w:sz w:val="24"/>
                <w:szCs w:val="22"/>
                <w14:textFill>
                  <w14:solidFill>
                    <w14:schemeClr w14:val="tx1"/>
                  </w14:solidFill>
                </w14:textFill>
              </w:rPr>
              <w:t>易燃易爆、有毒有害物质</w:t>
            </w:r>
            <w:r>
              <w:rPr>
                <w:rFonts w:hint="default" w:ascii="Times New Roman" w:hAnsi="Times New Roman" w:eastAsia="宋体"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Q=0</w:t>
            </w:r>
            <w:r>
              <w:rPr>
                <w:rFonts w:hint="default" w:ascii="Times New Roman" w:hAnsi="Times New Roman" w:eastAsia="宋体" w:cs="Times New Roman"/>
                <w:color w:val="000000" w:themeColor="text1"/>
                <w:sz w:val="24"/>
                <w:szCs w:val="22"/>
                <w14:textFill>
                  <w14:solidFill>
                    <w14:schemeClr w14:val="tx1"/>
                  </w14:solidFill>
                </w14:textFill>
              </w:rPr>
              <w:t>。</w:t>
            </w:r>
            <w:r>
              <w:rPr>
                <w:rFonts w:hint="eastAsia" w:ascii="Times New Roman" w:hAnsi="Times New Roman" w:cs="Times New Roman"/>
                <w:color w:val="000000" w:themeColor="text1"/>
                <w:sz w:val="24"/>
                <w:szCs w:val="22"/>
                <w:lang w:val="en-US" w:eastAsia="zh-CN"/>
                <w14:textFill>
                  <w14:solidFill>
                    <w14:schemeClr w14:val="tx1"/>
                  </w14:solidFill>
                </w14:textFill>
              </w:rPr>
              <w:t>因此，</w:t>
            </w:r>
            <w:r>
              <w:rPr>
                <w:rFonts w:hint="default" w:ascii="Times New Roman" w:hAnsi="Times New Roman" w:eastAsia="宋体" w:cs="Times New Roman"/>
                <w:color w:val="000000" w:themeColor="text1"/>
                <w:sz w:val="24"/>
                <w:szCs w:val="22"/>
                <w14:textFill>
                  <w14:solidFill>
                    <w14:schemeClr w14:val="tx1"/>
                  </w14:solidFill>
                </w14:textFill>
              </w:rPr>
              <w:t>本工程的事故风险主要来源为突发性事故溢油引起水质污染。因此，本工程风险物质为柴油。柴油属于易燃性物质，同时又有易蒸发的特点，挥发后与空气形成可燃性混合物，当混合物浓度达到一定比例时，遇到火种就可能燃烧和爆炸。</w:t>
            </w:r>
          </w:p>
          <w:p w14:paraId="26CAAB1E">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b w:val="0"/>
                <w:bCs w:val="0"/>
                <w:color w:val="000000" w:themeColor="text1"/>
                <w:sz w:val="24"/>
                <w:szCs w:val="22"/>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2"/>
                <w:lang w:val="en-US" w:eastAsia="zh-CN"/>
                <w14:textFill>
                  <w14:solidFill>
                    <w14:schemeClr w14:val="tx1"/>
                  </w14:solidFill>
                </w14:textFill>
              </w:rPr>
              <w:t>根据现场调查，取水口上游为大熊猫栖息地不存在工业污染源和生活污染源、下游100m范围内居民（1户）已无人居住（已是危房，现在无人居住），也不存在工业污染源和生活污染源，</w:t>
            </w:r>
            <w:r>
              <w:rPr>
                <w:rFonts w:hint="eastAsia" w:ascii="Times New Roman" w:hAnsi="Times New Roman" w:cs="Times New Roman"/>
                <w:b w:val="0"/>
                <w:bCs w:val="0"/>
                <w:color w:val="000000" w:themeColor="text1"/>
                <w:sz w:val="24"/>
                <w:szCs w:val="22"/>
                <w:lang w:val="en-US" w:eastAsia="zh-CN"/>
                <w14:textFill>
                  <w14:solidFill>
                    <w14:schemeClr w14:val="tx1"/>
                  </w14:solidFill>
                </w14:textFill>
              </w:rPr>
              <w:t>在合理划定饮用水源保护区的情况下，存在水质的污染突发环境风险事件概率很小</w:t>
            </w:r>
            <w:r>
              <w:rPr>
                <w:rFonts w:hint="default" w:ascii="Times New Roman" w:hAnsi="Times New Roman" w:eastAsia="宋体" w:cs="Times New Roman"/>
                <w:b w:val="0"/>
                <w:bCs w:val="0"/>
                <w:color w:val="000000" w:themeColor="text1"/>
                <w:sz w:val="24"/>
                <w:szCs w:val="22"/>
                <w:lang w:val="en-US" w:eastAsia="zh-CN"/>
                <w14:textFill>
                  <w14:solidFill>
                    <w14:schemeClr w14:val="tx1"/>
                  </w14:solidFill>
                </w14:textFill>
              </w:rPr>
              <w:t>。</w:t>
            </w:r>
          </w:p>
          <w:p w14:paraId="58803348">
            <w:pPr>
              <w:keepNext w:val="0"/>
              <w:keepLines w:val="0"/>
              <w:pageBreakBefore w:val="0"/>
              <w:widowControl w:val="0"/>
              <w:kinsoku/>
              <w:wordWrap/>
              <w:overflowPunct/>
              <w:topLinePunct w:val="0"/>
              <w:bidi w:val="0"/>
              <w:adjustRightInd w:val="0"/>
              <w:snapToGrid w:val="0"/>
              <w:spacing w:line="360" w:lineRule="auto"/>
              <w:ind w:left="0" w:firstLine="482" w:firstLineChars="200"/>
              <w:textAlignment w:val="auto"/>
              <w:rPr>
                <w:rFonts w:hint="default" w:ascii="Times New Roman" w:hAnsi="Times New Roman" w:eastAsia="宋体" w:cs="Times New Roman"/>
                <w:b/>
                <w:bCs/>
                <w:color w:val="000000" w:themeColor="text1"/>
                <w:sz w:val="24"/>
                <w:szCs w:val="22"/>
                <w:lang w:eastAsia="zh-CN"/>
                <w14:textFill>
                  <w14:solidFill>
                    <w14:schemeClr w14:val="tx1"/>
                  </w14:solidFill>
                </w14:textFill>
              </w:rPr>
            </w:pPr>
            <w:r>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t>3、</w:t>
            </w:r>
            <w:r>
              <w:rPr>
                <w:rFonts w:hint="default" w:ascii="Times New Roman" w:hAnsi="Times New Roman" w:eastAsia="宋体" w:cs="Times New Roman"/>
                <w:b/>
                <w:bCs/>
                <w:color w:val="000000" w:themeColor="text1"/>
                <w:sz w:val="24"/>
                <w:szCs w:val="22"/>
                <w14:textFill>
                  <w14:solidFill>
                    <w14:schemeClr w14:val="tx1"/>
                  </w14:solidFill>
                </w14:textFill>
              </w:rPr>
              <w:t>环境风险影响分析</w:t>
            </w:r>
          </w:p>
          <w:p w14:paraId="7C0E6C3D">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柴油沸点高于储存温度，故泄出物不存在闪蒸和热量蒸发，而是通过质量蒸发进入空气。在常温常压下均不稳定，受热或遇明火易燃烧甚至爆炸，燃烧产物主要为CO和烟尘。不完全燃烧状态产生一氧化碳甚至是碳颗粒，一氧化碳是有毒气体，不仅污染环境，甚至危害人体健康。发生火灾爆炸事故时，建设单位采用泡沫混合液灭火过程中将产生一定量的消防废水，该类废水中的主要物质为石油类，当项目未能对消防废水落实相应有效的收集措施时，废水通过雨水沟进入</w:t>
            </w:r>
            <w:r>
              <w:rPr>
                <w:rFonts w:hint="eastAsia" w:ascii="Times New Roman" w:hAnsi="Times New Roman" w:cs="Times New Roman"/>
                <w:color w:val="000000" w:themeColor="text1"/>
                <w:sz w:val="24"/>
                <w:szCs w:val="22"/>
                <w:lang w:val="en-US" w:eastAsia="zh-CN"/>
                <w14:textFill>
                  <w14:solidFill>
                    <w14:schemeClr w14:val="tx1"/>
                  </w14:solidFill>
                </w14:textFill>
              </w:rPr>
              <w:t>河道</w:t>
            </w:r>
            <w:r>
              <w:rPr>
                <w:rFonts w:hint="default" w:ascii="Times New Roman" w:hAnsi="Times New Roman" w:eastAsia="宋体" w:cs="Times New Roman"/>
                <w:color w:val="000000" w:themeColor="text1"/>
                <w:sz w:val="24"/>
                <w:szCs w:val="22"/>
                <w14:textFill>
                  <w14:solidFill>
                    <w14:schemeClr w14:val="tx1"/>
                  </w14:solidFill>
                </w14:textFill>
              </w:rPr>
              <w:t>。另外，作业机械油箱滴漏导致柴油滴落进入土壤，土壤中柴油通过地表雨水进入河流或地下水，导致地表水和地下水污染。</w:t>
            </w:r>
          </w:p>
          <w:p w14:paraId="74A9F4F4">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eastAsia" w:ascii="Times New Roman" w:hAnsi="Times New Roman" w:cs="Times New Roman"/>
                <w:color w:val="000000" w:themeColor="text1"/>
                <w:sz w:val="24"/>
                <w:szCs w:val="22"/>
                <w:lang w:val="en-US" w:eastAsia="zh-CN"/>
                <w14:textFill>
                  <w14:solidFill>
                    <w14:schemeClr w14:val="tx1"/>
                  </w14:solidFill>
                </w14:textFill>
              </w:rPr>
              <w:t>在</w:t>
            </w:r>
            <w:r>
              <w:rPr>
                <w:rFonts w:hint="default" w:ascii="Times New Roman" w:hAnsi="Times New Roman" w:eastAsia="宋体" w:cs="Times New Roman"/>
                <w:color w:val="000000" w:themeColor="text1"/>
                <w:sz w:val="24"/>
                <w:szCs w:val="22"/>
                <w14:textFill>
                  <w14:solidFill>
                    <w14:schemeClr w14:val="tx1"/>
                  </w14:solidFill>
                </w14:textFill>
              </w:rPr>
              <w:t>强降雨</w:t>
            </w:r>
            <w:r>
              <w:rPr>
                <w:rFonts w:hint="eastAsia" w:ascii="Times New Roman" w:hAnsi="Times New Roman" w:cs="Times New Roman"/>
                <w:color w:val="000000" w:themeColor="text1"/>
                <w:sz w:val="24"/>
                <w:szCs w:val="22"/>
                <w:lang w:val="en-US" w:eastAsia="zh-CN"/>
                <w14:textFill>
                  <w14:solidFill>
                    <w14:schemeClr w14:val="tx1"/>
                  </w14:solidFill>
                </w14:textFill>
              </w:rPr>
              <w:t>情况下</w:t>
            </w:r>
            <w:r>
              <w:rPr>
                <w:rFonts w:hint="default" w:ascii="Times New Roman" w:hAnsi="Times New Roman" w:eastAsia="宋体" w:cs="Times New Roman"/>
                <w:color w:val="000000" w:themeColor="text1"/>
                <w:sz w:val="24"/>
                <w:szCs w:val="22"/>
                <w14:textFill>
                  <w14:solidFill>
                    <w14:schemeClr w14:val="tx1"/>
                  </w14:solidFill>
                </w14:textFill>
              </w:rPr>
              <w:t>，降雨径流携带氮磷、农药、悬浮物进入水源。</w:t>
            </w:r>
            <w:r>
              <w:rPr>
                <w:rFonts w:hint="eastAsia" w:ascii="Times New Roman" w:hAnsi="Times New Roman" w:cs="Times New Roman"/>
                <w:color w:val="000000" w:themeColor="text1"/>
                <w:sz w:val="24"/>
                <w:szCs w:val="22"/>
                <w:lang w:val="en-US" w:eastAsia="zh-CN"/>
                <w14:textFill>
                  <w14:solidFill>
                    <w14:schemeClr w14:val="tx1"/>
                  </w14:solidFill>
                </w14:textFill>
              </w:rPr>
              <w:t>五里沟水源地</w:t>
            </w:r>
            <w:r>
              <w:rPr>
                <w:rFonts w:hint="default" w:ascii="Times New Roman" w:hAnsi="Times New Roman" w:eastAsia="宋体" w:cs="Times New Roman"/>
                <w:color w:val="000000" w:themeColor="text1"/>
                <w:sz w:val="24"/>
                <w:szCs w:val="22"/>
                <w14:textFill>
                  <w14:solidFill>
                    <w14:schemeClr w14:val="tx1"/>
                  </w14:solidFill>
                </w14:textFill>
              </w:rPr>
              <w:t>SS、总磷、总氮升高，</w:t>
            </w:r>
            <w:r>
              <w:rPr>
                <w:rFonts w:hint="eastAsia" w:ascii="Times New Roman" w:hAnsi="Times New Roman" w:cs="Times New Roman"/>
                <w:color w:val="000000" w:themeColor="text1"/>
                <w:sz w:val="24"/>
                <w:szCs w:val="22"/>
                <w:lang w:val="en-US" w:eastAsia="zh-CN"/>
                <w14:textFill>
                  <w14:solidFill>
                    <w14:schemeClr w14:val="tx1"/>
                  </w14:solidFill>
                </w14:textFill>
              </w:rPr>
              <w:t>甚至水质超标，不满足供水需求</w:t>
            </w:r>
            <w:r>
              <w:rPr>
                <w:rFonts w:hint="default" w:ascii="Times New Roman" w:hAnsi="Times New Roman" w:eastAsia="宋体" w:cs="Times New Roman"/>
                <w:color w:val="000000" w:themeColor="text1"/>
                <w:sz w:val="24"/>
                <w:szCs w:val="22"/>
                <w14:textFill>
                  <w14:solidFill>
                    <w14:schemeClr w14:val="tx1"/>
                  </w14:solidFill>
                </w14:textFill>
              </w:rPr>
              <w:t>。</w:t>
            </w:r>
            <w:r>
              <w:rPr>
                <w:rFonts w:hint="default" w:ascii="Times New Roman" w:hAnsi="Times New Roman" w:eastAsia="宋体" w:cs="Times New Roman"/>
                <w:b w:val="0"/>
                <w:bCs w:val="0"/>
                <w:color w:val="000000" w:themeColor="text1"/>
                <w:sz w:val="24"/>
                <w:szCs w:val="22"/>
                <w:lang w:val="en-US" w:eastAsia="zh-CN"/>
                <w14:textFill>
                  <w14:solidFill>
                    <w14:schemeClr w14:val="tx1"/>
                  </w14:solidFill>
                </w14:textFill>
              </w:rPr>
              <w:t>根据现场调查，取水口上游为大熊猫栖息地不存在工业污染源和生活污染源、下游100m范围内居民（1户）已无人居住（已是危房，现在无人居住），也不存在工业污染源和生活污染源，</w:t>
            </w:r>
            <w:r>
              <w:rPr>
                <w:rFonts w:hint="eastAsia" w:ascii="Times New Roman" w:hAnsi="Times New Roman" w:cs="Times New Roman"/>
                <w:b w:val="0"/>
                <w:bCs w:val="0"/>
                <w:color w:val="000000" w:themeColor="text1"/>
                <w:sz w:val="24"/>
                <w:szCs w:val="22"/>
                <w:lang w:val="en-US" w:eastAsia="zh-CN"/>
                <w14:textFill>
                  <w14:solidFill>
                    <w14:schemeClr w14:val="tx1"/>
                  </w14:solidFill>
                </w14:textFill>
              </w:rPr>
              <w:t>在合理划定饮用水源保护区的情况下，存在水质的污染突发环境风险事件概率很小</w:t>
            </w:r>
            <w:r>
              <w:rPr>
                <w:rFonts w:hint="default" w:ascii="Times New Roman" w:hAnsi="Times New Roman" w:eastAsia="宋体" w:cs="Times New Roman"/>
                <w:b w:val="0"/>
                <w:bCs w:val="0"/>
                <w:color w:val="000000" w:themeColor="text1"/>
                <w:sz w:val="24"/>
                <w:szCs w:val="22"/>
                <w:lang w:val="en-US" w:eastAsia="zh-CN"/>
                <w14:textFill>
                  <w14:solidFill>
                    <w14:schemeClr w14:val="tx1"/>
                  </w14:solidFill>
                </w14:textFill>
              </w:rPr>
              <w:t>。</w:t>
            </w:r>
          </w:p>
          <w:p w14:paraId="5ADF0711">
            <w:pPr>
              <w:keepNext w:val="0"/>
              <w:keepLines w:val="0"/>
              <w:pageBreakBefore w:val="0"/>
              <w:widowControl w:val="0"/>
              <w:kinsoku/>
              <w:wordWrap/>
              <w:overflowPunct/>
              <w:topLinePunct w:val="0"/>
              <w:bidi w:val="0"/>
              <w:adjustRightInd w:val="0"/>
              <w:snapToGrid w:val="0"/>
              <w:spacing w:line="360" w:lineRule="auto"/>
              <w:ind w:left="0" w:firstLine="482" w:firstLineChars="200"/>
              <w:textAlignment w:val="auto"/>
              <w:rPr>
                <w:rFonts w:hint="default" w:ascii="Times New Roman" w:hAnsi="Times New Roman" w:eastAsia="宋体" w:cs="Times New Roman"/>
                <w:b/>
                <w:bCs/>
                <w:color w:val="000000" w:themeColor="text1"/>
                <w:sz w:val="24"/>
                <w:szCs w:val="22"/>
                <w14:textFill>
                  <w14:solidFill>
                    <w14:schemeClr w14:val="tx1"/>
                  </w14:solidFill>
                </w14:textFill>
              </w:rPr>
            </w:pPr>
            <w:r>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t>4、</w:t>
            </w:r>
            <w:r>
              <w:rPr>
                <w:rFonts w:hint="default" w:ascii="Times New Roman" w:hAnsi="Times New Roman" w:eastAsia="宋体" w:cs="Times New Roman"/>
                <w:b/>
                <w:bCs/>
                <w:color w:val="000000" w:themeColor="text1"/>
                <w:sz w:val="24"/>
                <w:szCs w:val="22"/>
                <w14:textFill>
                  <w14:solidFill>
                    <w14:schemeClr w14:val="tx1"/>
                  </w14:solidFill>
                </w14:textFill>
              </w:rPr>
              <w:t>风险防范措施</w:t>
            </w:r>
          </w:p>
          <w:p w14:paraId="5E29647C">
            <w:pPr>
              <w:keepNext w:val="0"/>
              <w:keepLines w:val="0"/>
              <w:pageBreakBefore w:val="0"/>
              <w:widowControl w:val="0"/>
              <w:numPr>
                <w:ilvl w:val="0"/>
                <w:numId w:val="25"/>
              </w:numPr>
              <w:kinsoku/>
              <w:wordWrap/>
              <w:overflowPunct/>
              <w:topLinePunct w:val="0"/>
              <w:bidi w:val="0"/>
              <w:adjustRightInd w:val="0"/>
              <w:snapToGrid w:val="0"/>
              <w:spacing w:line="360" w:lineRule="auto"/>
              <w:ind w:left="0" w:leftChars="0" w:firstLine="480" w:firstLineChars="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配备灭火装置，降低发生火灾后发生连锁效应的可能性。</w:t>
            </w:r>
          </w:p>
          <w:p w14:paraId="26110C7F">
            <w:pPr>
              <w:keepNext w:val="0"/>
              <w:keepLines w:val="0"/>
              <w:pageBreakBefore w:val="0"/>
              <w:widowControl w:val="0"/>
              <w:numPr>
                <w:ilvl w:val="0"/>
                <w:numId w:val="25"/>
              </w:numPr>
              <w:kinsoku/>
              <w:wordWrap/>
              <w:overflowPunct/>
              <w:topLinePunct w:val="0"/>
              <w:bidi w:val="0"/>
              <w:adjustRightInd w:val="0"/>
              <w:snapToGrid w:val="0"/>
              <w:spacing w:line="360" w:lineRule="auto"/>
              <w:ind w:left="0" w:leftChars="0" w:firstLine="480" w:firstLineChars="0"/>
              <w:textAlignment w:val="auto"/>
              <w:rPr>
                <w:rFonts w:hint="default" w:ascii="Times New Roman" w:hAnsi="Times New Roman" w:eastAsia="宋体" w:cs="Times New Roman"/>
                <w:b w:val="0"/>
                <w:bCs w:val="0"/>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设立明显标志，禁止明火。</w:t>
            </w:r>
          </w:p>
          <w:p w14:paraId="64BF9926">
            <w:pPr>
              <w:keepNext w:val="0"/>
              <w:keepLines w:val="0"/>
              <w:pageBreakBefore w:val="0"/>
              <w:widowControl w:val="0"/>
              <w:numPr>
                <w:ilvl w:val="0"/>
                <w:numId w:val="25"/>
              </w:numPr>
              <w:kinsoku/>
              <w:wordWrap/>
              <w:overflowPunct/>
              <w:topLinePunct w:val="0"/>
              <w:bidi w:val="0"/>
              <w:adjustRightInd w:val="0"/>
              <w:snapToGrid w:val="0"/>
              <w:spacing w:line="360" w:lineRule="auto"/>
              <w:ind w:left="0" w:leftChars="0" w:firstLine="480" w:firstLineChars="0"/>
              <w:textAlignment w:val="auto"/>
              <w:rPr>
                <w:rFonts w:hint="default" w:ascii="Times New Roman" w:hAnsi="Times New Roman" w:eastAsia="宋体" w:cs="Times New Roman"/>
                <w:b w:val="0"/>
                <w:bCs w:val="0"/>
                <w:color w:val="000000" w:themeColor="text1"/>
                <w:sz w:val="24"/>
                <w:szCs w:val="22"/>
                <w14:textFill>
                  <w14:solidFill>
                    <w14:schemeClr w14:val="tx1"/>
                  </w14:solidFill>
                </w14:textFill>
              </w:rPr>
            </w:pPr>
            <w:r>
              <w:rPr>
                <w:rFonts w:hint="default" w:ascii="Times New Roman" w:hAnsi="Times New Roman" w:eastAsia="宋体" w:cs="Times New Roman"/>
                <w:b w:val="0"/>
                <w:bCs w:val="0"/>
                <w:color w:val="000000" w:themeColor="text1"/>
                <w:sz w:val="24"/>
                <w:szCs w:val="22"/>
                <w14:textFill>
                  <w14:solidFill>
                    <w14:schemeClr w14:val="tx1"/>
                  </w14:solidFill>
                </w14:textFill>
              </w:rPr>
              <w:t>根据相关的环境管理要求，结合具体情况，制定该项目的各项安全生产管理制度、严格的生产操作规则和完善的事故应急计划及相应的应急处理手段和设施，同时加强安全教育，以提高职工的安全意识和安全防范能力。</w:t>
            </w:r>
          </w:p>
          <w:p w14:paraId="75B59928">
            <w:pPr>
              <w:keepNext w:val="0"/>
              <w:keepLines w:val="0"/>
              <w:pageBreakBefore w:val="0"/>
              <w:widowControl w:val="0"/>
              <w:numPr>
                <w:ilvl w:val="0"/>
                <w:numId w:val="25"/>
              </w:numPr>
              <w:kinsoku/>
              <w:wordWrap/>
              <w:overflowPunct/>
              <w:topLinePunct w:val="0"/>
              <w:bidi w:val="0"/>
              <w:adjustRightInd w:val="0"/>
              <w:snapToGrid w:val="0"/>
              <w:spacing w:line="360" w:lineRule="auto"/>
              <w:ind w:left="0" w:leftChars="0" w:firstLine="480" w:firstLineChars="0"/>
              <w:textAlignment w:val="auto"/>
              <w:rPr>
                <w:rFonts w:hint="eastAsia" w:ascii="Times New Roman" w:hAnsi="Times New Roman" w:cs="Times New Roman"/>
                <w:b w:val="0"/>
                <w:bCs w:val="0"/>
                <w:color w:val="000000" w:themeColor="text1"/>
                <w:sz w:val="24"/>
                <w:szCs w:val="22"/>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2"/>
                <w:lang w:val="en-US" w:eastAsia="zh-CN"/>
                <w14:textFill>
                  <w14:solidFill>
                    <w14:schemeClr w14:val="tx1"/>
                  </w14:solidFill>
                </w14:textFill>
              </w:rPr>
              <w:t>加强取水口处水质监测和巡查，加强水源保护区巡查制度，定期排查风险源；</w:t>
            </w:r>
          </w:p>
          <w:p w14:paraId="049340F6">
            <w:pPr>
              <w:keepNext w:val="0"/>
              <w:keepLines w:val="0"/>
              <w:pageBreakBefore w:val="0"/>
              <w:widowControl w:val="0"/>
              <w:numPr>
                <w:ilvl w:val="0"/>
                <w:numId w:val="25"/>
              </w:numPr>
              <w:kinsoku/>
              <w:wordWrap/>
              <w:overflowPunct/>
              <w:topLinePunct w:val="0"/>
              <w:bidi w:val="0"/>
              <w:adjustRightInd w:val="0"/>
              <w:snapToGrid w:val="0"/>
              <w:spacing w:line="360" w:lineRule="auto"/>
              <w:ind w:left="0" w:leftChars="0" w:firstLine="480" w:firstLineChars="0"/>
              <w:textAlignment w:val="auto"/>
              <w:rPr>
                <w:rFonts w:hint="eastAsia" w:ascii="Times New Roman" w:hAnsi="Times New Roman" w:cs="Times New Roman"/>
                <w:b w:val="0"/>
                <w:bCs w:val="0"/>
                <w:color w:val="000000" w:themeColor="text1"/>
                <w:sz w:val="24"/>
                <w:szCs w:val="22"/>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2"/>
                <w:lang w:val="en-US" w:eastAsia="zh-CN"/>
                <w14:textFill>
                  <w14:solidFill>
                    <w14:schemeClr w14:val="tx1"/>
                  </w14:solidFill>
                </w14:textFill>
              </w:rPr>
              <w:t>定期对水质进行检测；</w:t>
            </w:r>
          </w:p>
          <w:p w14:paraId="268E7064">
            <w:pPr>
              <w:keepNext w:val="0"/>
              <w:keepLines w:val="0"/>
              <w:pageBreakBefore w:val="0"/>
              <w:widowControl w:val="0"/>
              <w:numPr>
                <w:ilvl w:val="0"/>
                <w:numId w:val="25"/>
              </w:numPr>
              <w:kinsoku/>
              <w:wordWrap/>
              <w:overflowPunct/>
              <w:topLinePunct w:val="0"/>
              <w:bidi w:val="0"/>
              <w:adjustRightInd w:val="0"/>
              <w:snapToGrid w:val="0"/>
              <w:spacing w:line="360" w:lineRule="auto"/>
              <w:ind w:left="0" w:leftChars="0" w:firstLine="480" w:firstLineChars="0"/>
              <w:textAlignment w:val="auto"/>
              <w:rPr>
                <w:rFonts w:hint="default" w:ascii="Times New Roman" w:hAnsi="Times New Roman" w:eastAsia="宋体" w:cs="Times New Roman"/>
                <w:b w:val="0"/>
                <w:bCs w:val="0"/>
                <w:color w:val="000000" w:themeColor="text1"/>
                <w:sz w:val="24"/>
                <w:szCs w:val="22"/>
                <w14:textFill>
                  <w14:solidFill>
                    <w14:schemeClr w14:val="tx1"/>
                  </w14:solidFill>
                </w14:textFill>
              </w:rPr>
            </w:pPr>
            <w:r>
              <w:rPr>
                <w:rFonts w:hint="eastAsia" w:ascii="Times New Roman" w:hAnsi="Times New Roman" w:cs="Times New Roman"/>
                <w:b w:val="0"/>
                <w:bCs w:val="0"/>
                <w:color w:val="000000" w:themeColor="text1"/>
                <w:sz w:val="24"/>
                <w:szCs w:val="22"/>
                <w:lang w:val="en-US" w:eastAsia="zh-CN"/>
                <w14:textFill>
                  <w14:solidFill>
                    <w14:schemeClr w14:val="tx1"/>
                  </w14:solidFill>
                </w14:textFill>
              </w:rPr>
              <w:t>按照《四川省饮用水水源保护管理条例（2019修正）》及相关要求，划定饮用水源保护区，并严格执行；</w:t>
            </w:r>
          </w:p>
          <w:p w14:paraId="415005ED">
            <w:pPr>
              <w:keepNext w:val="0"/>
              <w:keepLines w:val="0"/>
              <w:pageBreakBefore w:val="0"/>
              <w:widowControl w:val="0"/>
              <w:numPr>
                <w:ilvl w:val="0"/>
                <w:numId w:val="25"/>
              </w:numPr>
              <w:kinsoku/>
              <w:wordWrap/>
              <w:overflowPunct/>
              <w:topLinePunct w:val="0"/>
              <w:bidi w:val="0"/>
              <w:adjustRightInd w:val="0"/>
              <w:snapToGrid w:val="0"/>
              <w:spacing w:line="360" w:lineRule="auto"/>
              <w:ind w:left="0" w:leftChars="0" w:firstLine="480" w:firstLineChars="0"/>
              <w:textAlignment w:val="auto"/>
              <w:rPr>
                <w:rFonts w:hint="default" w:ascii="Times New Roman" w:hAnsi="Times New Roman" w:eastAsia="宋体" w:cs="Times New Roman"/>
                <w:b w:val="0"/>
                <w:bCs w:val="0"/>
                <w:color w:val="000000" w:themeColor="text1"/>
                <w:sz w:val="24"/>
                <w:szCs w:val="22"/>
                <w14:textFill>
                  <w14:solidFill>
                    <w14:schemeClr w14:val="tx1"/>
                  </w14:solidFill>
                </w14:textFill>
              </w:rPr>
            </w:pPr>
            <w:r>
              <w:rPr>
                <w:rFonts w:hint="eastAsia" w:ascii="Times New Roman" w:hAnsi="Times New Roman" w:cs="Times New Roman"/>
                <w:b w:val="0"/>
                <w:bCs w:val="0"/>
                <w:color w:val="000000" w:themeColor="text1"/>
                <w:sz w:val="24"/>
                <w:szCs w:val="22"/>
                <w:lang w:val="en-US" w:eastAsia="zh-CN"/>
                <w14:textFill>
                  <w14:solidFill>
                    <w14:schemeClr w14:val="tx1"/>
                  </w14:solidFill>
                </w14:textFill>
              </w:rPr>
              <w:t>制定取水口应急关停、供水切换方案。</w:t>
            </w:r>
          </w:p>
          <w:p w14:paraId="5128C24F">
            <w:pPr>
              <w:keepNext w:val="0"/>
              <w:keepLines w:val="0"/>
              <w:pageBreakBefore w:val="0"/>
              <w:widowControl w:val="0"/>
              <w:kinsoku/>
              <w:wordWrap/>
              <w:overflowPunct/>
              <w:topLinePunct w:val="0"/>
              <w:bidi w:val="0"/>
              <w:adjustRightInd w:val="0"/>
              <w:snapToGrid w:val="0"/>
              <w:spacing w:line="360" w:lineRule="auto"/>
              <w:ind w:left="0" w:firstLine="482" w:firstLineChars="200"/>
              <w:textAlignment w:val="auto"/>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t>5、应急预案</w:t>
            </w:r>
          </w:p>
          <w:p w14:paraId="7F1F0B29">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本项目行业类别为D4610自来水生产和供应，对照四川省生态环境厅关于印发《四川省突发环境事件应急预案备案行业名录（2022年版）》的通知（川环规〔2022〕5号），属于纳入“名录”中的行业。本次评价要求：企业应当制定符合自身实际的突发环境事件应急预案，按照《企业事业单位突发环境事件应急预案备案管理办法（试行）》（环发〔2015〕4号）要求，将相关备案材料报所在地县级生态环境主管部门，并按预案要求落实各项风险防范措施。</w:t>
            </w:r>
          </w:p>
          <w:p w14:paraId="41FF1BF4">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（1）应急组织</w:t>
            </w:r>
          </w:p>
          <w:p w14:paraId="56ED466E">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①人员组织。在人员组织方面，企业应对于可能出现的风险成立专门的应急处理小组，进行详细的人员分工，职责分明。对新上岗的工作人员、实习人员进行岗前安全、环保知识培训，重点部门人员定期进行轮训。</w:t>
            </w:r>
          </w:p>
          <w:p w14:paraId="4099BDB6">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②物料器材配备。贮存一定量的应急设备，以备应急时使用；配备个人防护用品，以备应急时使用。</w:t>
            </w:r>
          </w:p>
          <w:p w14:paraId="2AA24FA4">
            <w:pPr>
              <w:keepNext w:val="0"/>
              <w:keepLines w:val="0"/>
              <w:pageBreakBefore w:val="0"/>
              <w:widowControl w:val="0"/>
              <w:kinsoku/>
              <w:wordWrap/>
              <w:overflowPunct/>
              <w:topLinePunct w:val="0"/>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③职责：制订消防、火灾等事故应急预案；建立企业应急管理、报警体系；负责人员、资源配置、应急队伍的调动；确定现场指挥人员；协调事故现场有关工作；批准预案的启动与终止；事故状态下各级人员的职责；环境污染事故信息的上报工作；接受政府的指令和调动；组织应急预案的演练；负责保护事故现场及相关数据。</w:t>
            </w:r>
          </w:p>
          <w:p w14:paraId="6F2A3BCD">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（2）应急保护目标</w:t>
            </w:r>
          </w:p>
          <w:p w14:paraId="751DB8DA">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根据发生事故大小，确立应急保护目标，当发生火灾、泄漏事故后，拟建项目周围的办公楼、工作人员、厂房等均应为应急保护目标。</w:t>
            </w:r>
          </w:p>
          <w:p w14:paraId="7F712FF6">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2"/>
                <w14:textFill>
                  <w14:solidFill>
                    <w14:schemeClr w14:val="tx1"/>
                  </w14:solidFill>
                </w14:textFill>
              </w:rPr>
              <w:t>应急响应</w:t>
            </w:r>
          </w:p>
          <w:p w14:paraId="3D30BA76">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事故报警的及时与正确是能否及时实施应急救援的关键。当发生突发性事故时事故单位或现场人员，除了积极组织自救外，必须及时将事故向有关部门报告。突发环境污染事故现场人员应作为第一责任人立即向应急值班人员或有关负责人报警，其它获知该信息人员也有责任立即报警。应急值班人员接到报警后应立即向本单位应急指挥负责人及政府环保部门报告。单位应急指挥负责人根据报警信息，启动相应应急预案。</w:t>
            </w:r>
          </w:p>
          <w:p w14:paraId="30826C77">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2"/>
                <w14:textFill>
                  <w14:solidFill>
                    <w14:schemeClr w14:val="tx1"/>
                  </w14:solidFill>
                </w14:textFill>
              </w:rPr>
              <w:t>应急撤离</w:t>
            </w:r>
          </w:p>
          <w:p w14:paraId="10D3F7C6">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根据事故情况，建立警戒区域，并迅速将警戒区内与事故处理无关人员撤离。</w:t>
            </w:r>
          </w:p>
          <w:p w14:paraId="5EBDC178">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应急撤离应注意以下几点：</w:t>
            </w:r>
          </w:p>
          <w:p w14:paraId="30E9BB53">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①警戒区域的边界应设警示标志并有专人警戒；</w:t>
            </w:r>
          </w:p>
          <w:p w14:paraId="1088C099">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②除消防及应急处理人员外，其他人员禁止进入警戒区；</w:t>
            </w:r>
          </w:p>
          <w:p w14:paraId="617796D6">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③应向上风向转移；明确专人引导和护送疏散人员到安全区；</w:t>
            </w:r>
          </w:p>
          <w:p w14:paraId="0095008B">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④不要在低洼处滞留；</w:t>
            </w:r>
          </w:p>
          <w:p w14:paraId="187121A2">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⑤要查清是否有人留在污染区与着火区；</w:t>
            </w:r>
          </w:p>
          <w:p w14:paraId="68EC9BE7">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⑥为使疏散工作顺利进行，设置畅通无阻的紧急出口，并有明显标志。</w:t>
            </w:r>
          </w:p>
          <w:p w14:paraId="014C6C10">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2"/>
                <w14:textFill>
                  <w14:solidFill>
                    <w14:schemeClr w14:val="tx1"/>
                  </w14:solidFill>
                </w14:textFill>
              </w:rPr>
              <w:t>应急设施、设备与器材</w:t>
            </w:r>
          </w:p>
          <w:p w14:paraId="1DF3AEFC">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①配备一定的防护面具和防护服；</w:t>
            </w:r>
          </w:p>
          <w:p w14:paraId="227A8B8F">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②应规定应急状态下的报警通讯方式和通知方式；</w:t>
            </w:r>
          </w:p>
          <w:p w14:paraId="0EBB7D4C">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③配备一定的消防器材，如泡沫、二氧化碳灭火器等；</w:t>
            </w:r>
          </w:p>
          <w:p w14:paraId="041CF4B0">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2"/>
                <w14:textFill>
                  <w14:solidFill>
                    <w14:schemeClr w14:val="tx1"/>
                  </w14:solidFill>
                </w14:textFill>
              </w:rPr>
              <w:t>应急救护组织</w:t>
            </w:r>
          </w:p>
          <w:p w14:paraId="3B02B62D">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负责事故现场、受事故影响的临近区域人员及公众对相关污染物应急剂量控制规定，撤离组织计划及救护。积极抢救受伤和被困人员，限制燃烧范围。毒害物、火灾易造成人员伤亡，灭火人员在采取防护措施后，应立即投入寻找和抢救受伤、被困人员的工作。</w:t>
            </w:r>
          </w:p>
          <w:p w14:paraId="74BDED9B">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7）</w:t>
            </w:r>
            <w:r>
              <w:rPr>
                <w:rFonts w:hint="default" w:ascii="Times New Roman" w:hAnsi="Times New Roman" w:eastAsia="宋体" w:cs="Times New Roman"/>
                <w:color w:val="000000" w:themeColor="text1"/>
                <w:sz w:val="24"/>
                <w:szCs w:val="22"/>
                <w14:textFill>
                  <w14:solidFill>
                    <w14:schemeClr w14:val="tx1"/>
                  </w14:solidFill>
                </w14:textFill>
              </w:rPr>
              <w:t>应急环境监测及事故后评估</w:t>
            </w:r>
          </w:p>
          <w:p w14:paraId="3D627FF9">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配备专业队伍负责对事故现场进行侦察监测，配备一定现场事故监测设备，及时准确发现事故灾害，对事故性质、参数预测后果进行评估，为指挥部门提供决策依据。</w:t>
            </w:r>
          </w:p>
          <w:p w14:paraId="1FE7953D">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lang w:eastAsia="zh-CN"/>
                <w14:textFill>
                  <w14:solidFill>
                    <w14:schemeClr w14:val="tx1"/>
                  </w14:solidFill>
                </w14:textFill>
              </w:rPr>
              <w:t>（</w:t>
            </w:r>
            <w:r>
              <w:rPr>
                <w:rFonts w:hint="default" w:ascii="Times New Roman" w:hAnsi="Times New Roman" w:eastAsia="宋体" w:cs="Times New Roman"/>
                <w:color w:val="000000" w:themeColor="text1"/>
                <w:sz w:val="24"/>
                <w:szCs w:val="22"/>
                <w:lang w:val="en-US" w:eastAsia="zh-CN"/>
                <w14:textFill>
                  <w14:solidFill>
                    <w14:schemeClr w14:val="tx1"/>
                  </w14:solidFill>
                </w14:textFill>
              </w:rPr>
              <w:t>8）</w:t>
            </w:r>
            <w:r>
              <w:rPr>
                <w:rFonts w:hint="default" w:ascii="Times New Roman" w:hAnsi="Times New Roman" w:eastAsia="宋体" w:cs="Times New Roman"/>
                <w:color w:val="000000" w:themeColor="text1"/>
                <w:sz w:val="24"/>
                <w:szCs w:val="22"/>
                <w14:textFill>
                  <w14:solidFill>
                    <w14:schemeClr w14:val="tx1"/>
                  </w14:solidFill>
                </w14:textFill>
              </w:rPr>
              <w:t>应急状态终止与恢复措施</w:t>
            </w:r>
          </w:p>
          <w:p w14:paraId="558D1102">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规定应急状态终止程序，事故现场善后处理，恢复措施邻近区域解除事故警戒及善后恢复措施。现场善后处理是应急预案的重要组成部分。善后计划关系到防止污染的扩大和防止事故的进一步引发，应予以重视。善后计划应包括对事故现场作进一步的安全检查，尤其是由于事故或抢救过程中留下的隐患，是否可能进一步引起新的事故。善后计划包括对事故原因分析、教训的吸取，改进措施及总结，写事故报告，报告有关部门。</w:t>
            </w:r>
          </w:p>
          <w:p w14:paraId="7FBA041D">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本项目应采取的应急预案的主要内容见下表。</w:t>
            </w:r>
          </w:p>
          <w:p w14:paraId="50D43D0C">
            <w:pPr>
              <w:pStyle w:val="165"/>
              <w:keepNext w:val="0"/>
              <w:keepLines w:val="0"/>
              <w:pageBreakBefore w:val="0"/>
              <w:widowControl w:val="0"/>
              <w:numPr>
                <w:ilvl w:val="0"/>
                <w:numId w:val="21"/>
              </w:numPr>
              <w:kinsoku/>
              <w:wordWrap/>
              <w:overflowPunct/>
              <w:topLinePunct w:val="0"/>
              <w:autoSpaceDE/>
              <w:autoSpaceDN/>
              <w:bidi w:val="0"/>
              <w:adjustRightInd w:val="0"/>
              <w:snapToGrid w:val="0"/>
              <w:spacing w:line="240" w:lineRule="auto"/>
              <w:ind w:left="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应急预案基本内容</w:t>
            </w:r>
          </w:p>
          <w:tbl>
            <w:tblPr>
              <w:tblStyle w:val="5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596"/>
              <w:gridCol w:w="1947"/>
              <w:gridCol w:w="5634"/>
            </w:tblGrid>
            <w:tr w14:paraId="075C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7" w:hRule="atLeast"/>
                <w:jc w:val="center"/>
              </w:trPr>
              <w:tc>
                <w:tcPr>
                  <w:tcW w:w="364" w:type="pct"/>
                  <w:vAlign w:val="center"/>
                </w:tcPr>
                <w:p w14:paraId="47D8A8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序号</w:t>
                  </w:r>
                </w:p>
              </w:tc>
              <w:tc>
                <w:tcPr>
                  <w:tcW w:w="1190" w:type="pct"/>
                  <w:vAlign w:val="center"/>
                </w:tcPr>
                <w:p w14:paraId="7E38CF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w:t>
                  </w:r>
                </w:p>
              </w:tc>
              <w:tc>
                <w:tcPr>
                  <w:tcW w:w="3444" w:type="pct"/>
                  <w:vAlign w:val="center"/>
                </w:tcPr>
                <w:p w14:paraId="76473D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内容及要求</w:t>
                  </w:r>
                </w:p>
              </w:tc>
            </w:tr>
            <w:tr w14:paraId="2B36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7" w:hRule="atLeast"/>
                <w:jc w:val="center"/>
              </w:trPr>
              <w:tc>
                <w:tcPr>
                  <w:tcW w:w="364" w:type="pct"/>
                  <w:vAlign w:val="center"/>
                </w:tcPr>
                <w:p w14:paraId="51CF99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1190" w:type="pct"/>
                  <w:vAlign w:val="center"/>
                </w:tcPr>
                <w:p w14:paraId="3F9211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应急计划区</w:t>
                  </w:r>
                </w:p>
              </w:tc>
              <w:tc>
                <w:tcPr>
                  <w:tcW w:w="3444" w:type="pct"/>
                  <w:vAlign w:val="center"/>
                </w:tcPr>
                <w:p w14:paraId="592A61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危险地段：标志、保护目标</w:t>
                  </w:r>
                </w:p>
              </w:tc>
            </w:tr>
            <w:tr w14:paraId="5061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2" w:hRule="atLeast"/>
                <w:jc w:val="center"/>
              </w:trPr>
              <w:tc>
                <w:tcPr>
                  <w:tcW w:w="364" w:type="pct"/>
                  <w:vAlign w:val="center"/>
                </w:tcPr>
                <w:p w14:paraId="2D79D3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1190" w:type="pct"/>
                  <w:vAlign w:val="center"/>
                </w:tcPr>
                <w:p w14:paraId="647BAF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应急组织机构、人员</w:t>
                  </w:r>
                </w:p>
              </w:tc>
              <w:tc>
                <w:tcPr>
                  <w:tcW w:w="3444" w:type="pct"/>
                  <w:vAlign w:val="center"/>
                </w:tcPr>
                <w:p w14:paraId="54D964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场区、地区应急组织机构、人员。</w:t>
                  </w:r>
                </w:p>
              </w:tc>
            </w:tr>
            <w:tr w14:paraId="166D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2" w:hRule="atLeast"/>
                <w:jc w:val="center"/>
              </w:trPr>
              <w:tc>
                <w:tcPr>
                  <w:tcW w:w="364" w:type="pct"/>
                  <w:vAlign w:val="center"/>
                </w:tcPr>
                <w:p w14:paraId="415DF7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1190" w:type="pct"/>
                  <w:vAlign w:val="center"/>
                </w:tcPr>
                <w:p w14:paraId="7544BC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预案分级影响条件</w:t>
                  </w:r>
                </w:p>
              </w:tc>
              <w:tc>
                <w:tcPr>
                  <w:tcW w:w="3444" w:type="pct"/>
                  <w:vAlign w:val="center"/>
                </w:tcPr>
                <w:p w14:paraId="16951F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规定预案的级别和分级影响程序</w:t>
                  </w:r>
                </w:p>
              </w:tc>
            </w:tr>
            <w:tr w14:paraId="3121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2" w:hRule="atLeast"/>
                <w:jc w:val="center"/>
              </w:trPr>
              <w:tc>
                <w:tcPr>
                  <w:tcW w:w="364" w:type="pct"/>
                  <w:vAlign w:val="center"/>
                </w:tcPr>
                <w:p w14:paraId="12F7B8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1190" w:type="pct"/>
                  <w:vAlign w:val="center"/>
                </w:tcPr>
                <w:p w14:paraId="2B32F4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应急救援保障</w:t>
                  </w:r>
                </w:p>
              </w:tc>
              <w:tc>
                <w:tcPr>
                  <w:tcW w:w="3444" w:type="pct"/>
                  <w:vAlign w:val="center"/>
                </w:tcPr>
                <w:p w14:paraId="270F8B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应急设施，设备与器材等</w:t>
                  </w:r>
                </w:p>
              </w:tc>
            </w:tr>
            <w:tr w14:paraId="0146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2" w:hRule="atLeast"/>
                <w:jc w:val="center"/>
              </w:trPr>
              <w:tc>
                <w:tcPr>
                  <w:tcW w:w="364" w:type="pct"/>
                  <w:vAlign w:val="center"/>
                </w:tcPr>
                <w:p w14:paraId="26D26D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1190" w:type="pct"/>
                  <w:vAlign w:val="center"/>
                </w:tcPr>
                <w:p w14:paraId="2CA0F4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报警、通讯联络方式</w:t>
                  </w:r>
                </w:p>
              </w:tc>
              <w:tc>
                <w:tcPr>
                  <w:tcW w:w="3444" w:type="pct"/>
                  <w:vAlign w:val="center"/>
                </w:tcPr>
                <w:p w14:paraId="331446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规定应急状态下的报警通讯方式、通知方式和交通保障、管制</w:t>
                  </w:r>
                </w:p>
              </w:tc>
            </w:tr>
            <w:tr w14:paraId="569E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66" w:hRule="atLeast"/>
                <w:jc w:val="center"/>
              </w:trPr>
              <w:tc>
                <w:tcPr>
                  <w:tcW w:w="364" w:type="pct"/>
                  <w:vAlign w:val="center"/>
                </w:tcPr>
                <w:p w14:paraId="7B9F98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1190" w:type="pct"/>
                  <w:vAlign w:val="center"/>
                </w:tcPr>
                <w:p w14:paraId="47CD96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应急环境监测、抢救、救援及控制措施</w:t>
                  </w:r>
                </w:p>
              </w:tc>
              <w:tc>
                <w:tcPr>
                  <w:tcW w:w="3444" w:type="pct"/>
                  <w:vAlign w:val="center"/>
                </w:tcPr>
                <w:p w14:paraId="436A6C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由专业队伍负责对事故现场进行侦察监测，对事故性质、参数后果进行评估，为指挥部门提供决策依据</w:t>
                  </w:r>
                </w:p>
              </w:tc>
            </w:tr>
            <w:tr w14:paraId="12B9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36" w:hRule="atLeast"/>
                <w:jc w:val="center"/>
              </w:trPr>
              <w:tc>
                <w:tcPr>
                  <w:tcW w:w="364" w:type="pct"/>
                  <w:vAlign w:val="center"/>
                </w:tcPr>
                <w:p w14:paraId="23EC5E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w:t>
                  </w:r>
                </w:p>
              </w:tc>
              <w:tc>
                <w:tcPr>
                  <w:tcW w:w="1190" w:type="pct"/>
                  <w:vAlign w:val="center"/>
                </w:tcPr>
                <w:p w14:paraId="15E5FA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应急监测、抢救、救援及控制措施</w:t>
                  </w:r>
                </w:p>
              </w:tc>
              <w:tc>
                <w:tcPr>
                  <w:tcW w:w="3444" w:type="pct"/>
                  <w:vAlign w:val="center"/>
                </w:tcPr>
                <w:p w14:paraId="17AB7AE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事故现场、邻近区域、控制和清除污染措施及相应设备。</w:t>
                  </w:r>
                </w:p>
              </w:tc>
            </w:tr>
            <w:tr w14:paraId="595A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42" w:hRule="atLeast"/>
                <w:jc w:val="center"/>
              </w:trPr>
              <w:tc>
                <w:tcPr>
                  <w:tcW w:w="364" w:type="pct"/>
                  <w:vAlign w:val="center"/>
                </w:tcPr>
                <w:p w14:paraId="27526E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8</w:t>
                  </w:r>
                </w:p>
              </w:tc>
              <w:tc>
                <w:tcPr>
                  <w:tcW w:w="1190" w:type="pct"/>
                  <w:vAlign w:val="center"/>
                </w:tcPr>
                <w:p w14:paraId="54306B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人员救助、交通疏散</w:t>
                  </w:r>
                </w:p>
              </w:tc>
              <w:tc>
                <w:tcPr>
                  <w:tcW w:w="3444" w:type="pct"/>
                  <w:vAlign w:val="center"/>
                </w:tcPr>
                <w:p w14:paraId="0F3627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事故现场、受事故影响的区域人员救护，医疗救护，受影响交通的临时疏导</w:t>
                  </w:r>
                </w:p>
              </w:tc>
            </w:tr>
            <w:tr w14:paraId="2D2BF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2" w:hRule="atLeast"/>
                <w:jc w:val="center"/>
              </w:trPr>
              <w:tc>
                <w:tcPr>
                  <w:tcW w:w="364" w:type="pct"/>
                  <w:vAlign w:val="center"/>
                </w:tcPr>
                <w:p w14:paraId="1FE19E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w:t>
                  </w:r>
                </w:p>
              </w:tc>
              <w:tc>
                <w:tcPr>
                  <w:tcW w:w="1190" w:type="pct"/>
                  <w:vAlign w:val="center"/>
                </w:tcPr>
                <w:p w14:paraId="0040C2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应急培训计划</w:t>
                  </w:r>
                </w:p>
              </w:tc>
              <w:tc>
                <w:tcPr>
                  <w:tcW w:w="3444" w:type="pct"/>
                  <w:vAlign w:val="center"/>
                </w:tcPr>
                <w:p w14:paraId="324732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应急计划制定后，平时安排人员培训与演练</w:t>
                  </w:r>
                </w:p>
              </w:tc>
            </w:tr>
            <w:tr w14:paraId="0C42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2" w:hRule="atLeast"/>
                <w:jc w:val="center"/>
              </w:trPr>
              <w:tc>
                <w:tcPr>
                  <w:tcW w:w="364" w:type="pct"/>
                  <w:vAlign w:val="center"/>
                </w:tcPr>
                <w:p w14:paraId="3451A3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w:t>
                  </w:r>
                </w:p>
              </w:tc>
              <w:tc>
                <w:tcPr>
                  <w:tcW w:w="1190" w:type="pct"/>
                  <w:vAlign w:val="center"/>
                </w:tcPr>
                <w:p w14:paraId="1A9299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公众教育和信息</w:t>
                  </w:r>
                </w:p>
              </w:tc>
              <w:tc>
                <w:tcPr>
                  <w:tcW w:w="3444" w:type="pct"/>
                  <w:vAlign w:val="center"/>
                </w:tcPr>
                <w:p w14:paraId="281A9F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邻近地区开展公众教育、培训和发布有关信息</w:t>
                  </w:r>
                </w:p>
              </w:tc>
            </w:tr>
          </w:tbl>
          <w:p w14:paraId="53FA1F91">
            <w:pPr>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r>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szCs w:val="22"/>
                <w14:textFill>
                  <w14:solidFill>
                    <w14:schemeClr w14:val="tx1"/>
                  </w14:solidFill>
                </w14:textFill>
              </w:rPr>
              <w:t>环境风险评价结论</w:t>
            </w:r>
          </w:p>
          <w:p w14:paraId="29FFBAA0">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本项目</w:t>
            </w:r>
            <w:r>
              <w:rPr>
                <w:rFonts w:hint="default" w:ascii="Times New Roman" w:hAnsi="Times New Roman" w:eastAsia="宋体" w:cs="Times New Roman"/>
                <w:color w:val="000000" w:themeColor="text1"/>
                <w:sz w:val="24"/>
                <w:szCs w:val="22"/>
                <w:lang w:eastAsia="zh-CN"/>
                <w14:textFill>
                  <w14:solidFill>
                    <w14:schemeClr w14:val="tx1"/>
                  </w14:solidFill>
                </w14:textFill>
              </w:rPr>
              <w:t>运营期</w:t>
            </w:r>
            <w:r>
              <w:rPr>
                <w:rFonts w:hint="default" w:ascii="Times New Roman" w:hAnsi="Times New Roman" w:eastAsia="宋体" w:cs="Times New Roman"/>
                <w:color w:val="000000" w:themeColor="text1"/>
                <w:sz w:val="24"/>
                <w:szCs w:val="22"/>
                <w14:textFill>
                  <w14:solidFill>
                    <w14:schemeClr w14:val="tx1"/>
                  </w14:solidFill>
                </w14:textFill>
              </w:rPr>
              <w:t>可能产生一定的风险影响，采取本环评提出的环境风险防范措施后，风险事故发生概率很低，对环境的影响可得到有效控制，对环境影响较小。</w:t>
            </w:r>
          </w:p>
          <w:p w14:paraId="35FAB926">
            <w:pPr>
              <w:spacing w:line="360" w:lineRule="auto"/>
              <w:ind w:firstLine="480" w:firstLineChars="200"/>
              <w:rPr>
                <w:rFonts w:hint="default" w:ascii="Times New Roman" w:hAnsi="Times New Roman" w:eastAsia="宋体" w:cs="Times New Roman"/>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14:textFill>
                  <w14:solidFill>
                    <w14:schemeClr w14:val="tx1"/>
                  </w14:solidFill>
                </w14:textFill>
              </w:rPr>
              <w:t>因此，本项目风险水平是可以接受的。</w:t>
            </w:r>
          </w:p>
          <w:p w14:paraId="11947B52">
            <w:pPr>
              <w:spacing w:line="360" w:lineRule="auto"/>
              <w:ind w:firstLine="480" w:firstLineChars="200"/>
              <w:rPr>
                <w:rFonts w:hint="default" w:ascii="Times New Roman" w:hAnsi="Times New Roman" w:eastAsia="宋体" w:cs="Times New Roman"/>
                <w:b/>
                <w:bCs/>
                <w:color w:val="000000" w:themeColor="text1"/>
                <w:sz w:val="24"/>
                <w:szCs w:val="22"/>
                <w14:textFill>
                  <w14:solidFill>
                    <w14:schemeClr w14:val="tx1"/>
                  </w14:solidFill>
                </w14:textFill>
              </w:rPr>
            </w:pPr>
            <w:r>
              <w:rPr>
                <w:rFonts w:hint="default" w:ascii="Times New Roman" w:hAnsi="Times New Roman" w:eastAsia="宋体" w:cs="Times New Roman"/>
                <w:color w:val="000000" w:themeColor="text1"/>
                <w:sz w:val="24"/>
                <w:szCs w:val="22"/>
                <w:lang w:val="en-US" w:eastAsia="zh-CN"/>
                <w14:textFill>
                  <w14:solidFill>
                    <w14:schemeClr w14:val="tx1"/>
                  </w14:solidFill>
                </w14:textFill>
              </w:rPr>
              <w:t>六</w:t>
            </w:r>
            <w:r>
              <w:rPr>
                <w:rFonts w:hint="default" w:ascii="Times New Roman" w:hAnsi="Times New Roman" w:eastAsia="宋体" w:cs="Times New Roman"/>
                <w:b/>
                <w:color w:val="000000" w:themeColor="text1"/>
                <w:sz w:val="24"/>
                <w14:textFill>
                  <w14:solidFill>
                    <w14:schemeClr w14:val="tx1"/>
                  </w14:solidFill>
                </w14:textFill>
              </w:rPr>
              <w:t>、</w:t>
            </w:r>
            <w:r>
              <w:rPr>
                <w:rFonts w:hint="default" w:ascii="Times New Roman" w:hAnsi="Times New Roman" w:eastAsia="宋体" w:cs="Times New Roman"/>
                <w:b/>
                <w:bCs/>
                <w:color w:val="000000" w:themeColor="text1"/>
                <w:sz w:val="24"/>
                <w:szCs w:val="22"/>
                <w14:textFill>
                  <w14:solidFill>
                    <w14:schemeClr w14:val="tx1"/>
                  </w14:solidFill>
                </w14:textFill>
              </w:rPr>
              <w:t>项目环保措施及投资估算</w:t>
            </w:r>
          </w:p>
          <w:p w14:paraId="67119F15">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本项目总投资</w:t>
            </w:r>
            <w:r>
              <w:rPr>
                <w:rFonts w:hint="default" w:ascii="Times New Roman" w:hAnsi="Times New Roman" w:eastAsia="宋体" w:cs="Times New Roman"/>
                <w:color w:val="000000" w:themeColor="text1"/>
                <w:sz w:val="24"/>
                <w:lang w:eastAsia="zh-CN"/>
                <w14:textFill>
                  <w14:solidFill>
                    <w14:schemeClr w14:val="tx1"/>
                  </w14:solidFill>
                </w14:textFill>
              </w:rPr>
              <w:t>178</w:t>
            </w:r>
            <w:r>
              <w:rPr>
                <w:rFonts w:hint="eastAsia" w:ascii="Times New Roman" w:hAnsi="Times New Roman" w:cs="Times New Roman"/>
                <w:color w:val="000000" w:themeColor="text1"/>
                <w:sz w:val="24"/>
                <w:lang w:val="en-US" w:eastAsia="zh-CN"/>
                <w14:textFill>
                  <w14:solidFill>
                    <w14:schemeClr w14:val="tx1"/>
                  </w14:solidFill>
                </w14:textFill>
              </w:rPr>
              <w:t>7.64</w:t>
            </w:r>
            <w:r>
              <w:rPr>
                <w:rFonts w:hint="default" w:ascii="Times New Roman" w:hAnsi="Times New Roman" w:eastAsia="宋体" w:cs="Times New Roman"/>
                <w:color w:val="000000" w:themeColor="text1"/>
                <w:sz w:val="24"/>
                <w14:textFill>
                  <w14:solidFill>
                    <w14:schemeClr w14:val="tx1"/>
                  </w14:solidFill>
                </w14:textFill>
              </w:rPr>
              <w:t>万元，其中环保投资</w:t>
            </w:r>
            <w:r>
              <w:rPr>
                <w:rFonts w:hint="eastAsia" w:ascii="Times New Roman" w:hAnsi="Times New Roman" w:cs="Times New Roman"/>
                <w:color w:val="000000" w:themeColor="text1"/>
                <w:sz w:val="24"/>
                <w:lang w:val="en-US" w:eastAsia="zh-CN"/>
                <w14:textFill>
                  <w14:solidFill>
                    <w14:schemeClr w14:val="tx1"/>
                  </w14:solidFill>
                </w14:textFill>
              </w:rPr>
              <w:t>67</w:t>
            </w:r>
            <w:r>
              <w:rPr>
                <w:rFonts w:hint="eastAsia" w:ascii="Times New Roman" w:hAnsi="Times New Roman" w:cs="Times New Roman"/>
                <w:color w:val="000000" w:themeColor="text1"/>
                <w:sz w:val="24"/>
                <w:lang w:eastAsia="zh-CN"/>
                <w14:textFill>
                  <w14:solidFill>
                    <w14:schemeClr w14:val="tx1"/>
                  </w14:solidFill>
                </w14:textFill>
              </w:rPr>
              <w:t>万元</w:t>
            </w:r>
            <w:r>
              <w:rPr>
                <w:rFonts w:hint="default" w:ascii="Times New Roman" w:hAnsi="Times New Roman" w:eastAsia="宋体" w:cs="Times New Roman"/>
                <w:color w:val="000000" w:themeColor="text1"/>
                <w:sz w:val="24"/>
                <w14:textFill>
                  <w14:solidFill>
                    <w14:schemeClr w14:val="tx1"/>
                  </w14:solidFill>
                </w14:textFill>
              </w:rPr>
              <w:t>，占总投资</w:t>
            </w:r>
            <w:r>
              <w:rPr>
                <w:rFonts w:hint="eastAsia" w:ascii="Times New Roman" w:hAnsi="Times New Roman" w:cs="Times New Roman"/>
                <w:color w:val="000000" w:themeColor="text1"/>
                <w:sz w:val="24"/>
                <w:lang w:eastAsia="zh-CN"/>
                <w14:textFill>
                  <w14:solidFill>
                    <w14:schemeClr w14:val="tx1"/>
                  </w14:solidFill>
                </w14:textFill>
              </w:rPr>
              <w:t>5.31</w:t>
            </w:r>
            <w:r>
              <w:rPr>
                <w:rFonts w:hint="default" w:ascii="Times New Roman" w:hAnsi="Times New Roman" w:eastAsia="宋体"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。环保投资分为施工期及</w:t>
            </w:r>
            <w:r>
              <w:rPr>
                <w:rFonts w:hint="default" w:ascii="Times New Roman" w:hAnsi="Times New Roman" w:eastAsia="宋体" w:cs="Times New Roman"/>
                <w:color w:val="000000" w:themeColor="text1"/>
                <w:sz w:val="24"/>
                <w:lang w:eastAsia="zh-CN"/>
                <w14:textFill>
                  <w14:solidFill>
                    <w14:schemeClr w14:val="tx1"/>
                  </w14:solidFill>
                </w14:textFill>
              </w:rPr>
              <w:t>运营期</w:t>
            </w:r>
            <w:r>
              <w:rPr>
                <w:rFonts w:hint="default" w:ascii="Times New Roman" w:hAnsi="Times New Roman" w:eastAsia="宋体" w:cs="Times New Roman"/>
                <w:color w:val="000000" w:themeColor="text1"/>
                <w:sz w:val="24"/>
                <w14:textFill>
                  <w14:solidFill>
                    <w14:schemeClr w14:val="tx1"/>
                  </w14:solidFill>
                </w14:textFill>
              </w:rPr>
              <w:t>环保投资。</w:t>
            </w:r>
          </w:p>
          <w:p w14:paraId="217AB1E9">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项目环保投资及其建设内容见下表。</w:t>
            </w:r>
          </w:p>
          <w:p w14:paraId="432C8F07">
            <w:pPr>
              <w:pStyle w:val="165"/>
              <w:keepNext w:val="0"/>
              <w:keepLines w:val="0"/>
              <w:pageBreakBefore w:val="0"/>
              <w:widowControl w:val="0"/>
              <w:numPr>
                <w:ilvl w:val="0"/>
                <w:numId w:val="21"/>
              </w:numPr>
              <w:kinsoku/>
              <w:wordWrap/>
              <w:overflowPunct/>
              <w:topLinePunct w:val="0"/>
              <w:autoSpaceDE/>
              <w:autoSpaceDN/>
              <w:bidi w:val="0"/>
              <w:adjustRightInd w:val="0"/>
              <w:snapToGrid w:val="0"/>
              <w:spacing w:line="240" w:lineRule="auto"/>
              <w:ind w:left="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工程环保设施（措施）及投资估算一览表单位：万元</w:t>
            </w:r>
          </w:p>
          <w:tbl>
            <w:tblPr>
              <w:tblStyle w:val="5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90"/>
              <w:gridCol w:w="1419"/>
              <w:gridCol w:w="4813"/>
              <w:gridCol w:w="575"/>
              <w:gridCol w:w="577"/>
            </w:tblGrid>
            <w:tr w14:paraId="2E8F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Align w:val="center"/>
                </w:tcPr>
                <w:p w14:paraId="3677FF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项目</w:t>
                  </w:r>
                </w:p>
              </w:tc>
              <w:tc>
                <w:tcPr>
                  <w:tcW w:w="867" w:type="pct"/>
                  <w:vAlign w:val="center"/>
                </w:tcPr>
                <w:p w14:paraId="1F82E9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排放源</w:t>
                  </w:r>
                </w:p>
              </w:tc>
              <w:tc>
                <w:tcPr>
                  <w:tcW w:w="2944" w:type="pct"/>
                  <w:vAlign w:val="center"/>
                </w:tcPr>
                <w:p w14:paraId="01F0D7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内容</w:t>
                  </w:r>
                </w:p>
              </w:tc>
              <w:tc>
                <w:tcPr>
                  <w:tcW w:w="352" w:type="pct"/>
                  <w:vAlign w:val="center"/>
                </w:tcPr>
                <w:p w14:paraId="4FA1B2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投资</w:t>
                  </w:r>
                </w:p>
              </w:tc>
              <w:tc>
                <w:tcPr>
                  <w:tcW w:w="351" w:type="pct"/>
                  <w:vAlign w:val="center"/>
                </w:tcPr>
                <w:p w14:paraId="7AA4B2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备注</w:t>
                  </w:r>
                </w:p>
              </w:tc>
            </w:tr>
            <w:tr w14:paraId="1663B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5000" w:type="pct"/>
                  <w:gridSpan w:val="5"/>
                  <w:vAlign w:val="center"/>
                </w:tcPr>
                <w:p w14:paraId="566FF9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b/>
                      <w:color w:val="000000" w:themeColor="text1"/>
                      <w:sz w:val="21"/>
                      <w:szCs w:val="21"/>
                      <w14:textFill>
                        <w14:solidFill>
                          <w14:schemeClr w14:val="tx1"/>
                        </w14:solidFill>
                      </w14:textFill>
                    </w:rPr>
                    <w:t>施工期</w:t>
                  </w:r>
                </w:p>
              </w:tc>
            </w:tr>
            <w:tr w14:paraId="2F52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restart"/>
                  <w:vAlign w:val="center"/>
                </w:tcPr>
                <w:p w14:paraId="0E5815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废气治理</w:t>
                  </w:r>
                </w:p>
              </w:tc>
              <w:tc>
                <w:tcPr>
                  <w:tcW w:w="867" w:type="pct"/>
                  <w:vAlign w:val="center"/>
                </w:tcPr>
                <w:p w14:paraId="5008C1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施工扬尘</w:t>
                  </w:r>
                </w:p>
              </w:tc>
              <w:tc>
                <w:tcPr>
                  <w:tcW w:w="2944" w:type="pct"/>
                  <w:vAlign w:val="center"/>
                </w:tcPr>
                <w:p w14:paraId="232BA4AC">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施工现场围挡遮蔽、施工作业面临时存放的土方覆盖防尘网；采取洒水抑尘、及时清理路面、运输车辆密闭或遮盖、裸露地表和堆场加盖防雨布或防尘网等措施。</w:t>
                  </w:r>
                </w:p>
              </w:tc>
              <w:tc>
                <w:tcPr>
                  <w:tcW w:w="352" w:type="pct"/>
                  <w:vAlign w:val="center"/>
                </w:tcPr>
                <w:p w14:paraId="3CB4D0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bCs/>
                      <w:color w:val="000000" w:themeColor="text1"/>
                      <w:sz w:val="21"/>
                      <w:szCs w:val="21"/>
                      <w14:textFill>
                        <w14:solidFill>
                          <w14:schemeClr w14:val="tx1"/>
                        </w14:solidFill>
                      </w14:textFill>
                    </w:rPr>
                    <w:t>.0</w:t>
                  </w:r>
                </w:p>
              </w:tc>
              <w:tc>
                <w:tcPr>
                  <w:tcW w:w="351" w:type="pct"/>
                  <w:vAlign w:val="center"/>
                </w:tcPr>
                <w:p w14:paraId="1F88DF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56094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continue"/>
                  <w:vAlign w:val="center"/>
                </w:tcPr>
                <w:p w14:paraId="5DAAD4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867" w:type="pct"/>
                  <w:vAlign w:val="center"/>
                </w:tcPr>
                <w:p w14:paraId="3DFCE9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车辆运输扬尘</w:t>
                  </w:r>
                </w:p>
              </w:tc>
              <w:tc>
                <w:tcPr>
                  <w:tcW w:w="2944" w:type="pct"/>
                  <w:vAlign w:val="center"/>
                </w:tcPr>
                <w:p w14:paraId="5FF3082D">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硬化运输道路路面，定期对路面进行清扫和洒水降尘。运输车辆加盖篷布，要求控制车速，在出入口设置洗车台对车辆冲洗。</w:t>
                  </w:r>
                </w:p>
              </w:tc>
              <w:tc>
                <w:tcPr>
                  <w:tcW w:w="352" w:type="pct"/>
                  <w:vAlign w:val="center"/>
                </w:tcPr>
                <w:p w14:paraId="59EE85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bCs/>
                      <w:color w:val="000000" w:themeColor="text1"/>
                      <w:sz w:val="21"/>
                      <w:szCs w:val="21"/>
                      <w14:textFill>
                        <w14:solidFill>
                          <w14:schemeClr w14:val="tx1"/>
                        </w14:solidFill>
                      </w14:textFill>
                    </w:rPr>
                    <w:t>.0</w:t>
                  </w:r>
                </w:p>
              </w:tc>
              <w:tc>
                <w:tcPr>
                  <w:tcW w:w="351" w:type="pct"/>
                  <w:vAlign w:val="center"/>
                </w:tcPr>
                <w:p w14:paraId="6E4A11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01AC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continue"/>
                  <w:vAlign w:val="center"/>
                </w:tcPr>
                <w:p w14:paraId="5ED054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867" w:type="pct"/>
                  <w:vAlign w:val="center"/>
                </w:tcPr>
                <w:p w14:paraId="51921B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焊接烟尘</w:t>
                  </w:r>
                </w:p>
              </w:tc>
              <w:tc>
                <w:tcPr>
                  <w:tcW w:w="2944" w:type="pct"/>
                  <w:vAlign w:val="center"/>
                </w:tcPr>
                <w:p w14:paraId="7A901459">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施工场地分散，排放量小、间断分散。</w:t>
                  </w:r>
                </w:p>
              </w:tc>
              <w:tc>
                <w:tcPr>
                  <w:tcW w:w="352" w:type="pct"/>
                  <w:vAlign w:val="center"/>
                </w:tcPr>
                <w:p w14:paraId="1E00E2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51" w:type="pct"/>
                  <w:vAlign w:val="center"/>
                </w:tcPr>
                <w:p w14:paraId="4D85FF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299C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continue"/>
                  <w:vAlign w:val="center"/>
                </w:tcPr>
                <w:p w14:paraId="699F9B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867" w:type="pct"/>
                  <w:vAlign w:val="center"/>
                </w:tcPr>
                <w:p w14:paraId="15F3C9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燃油废气</w:t>
                  </w:r>
                </w:p>
              </w:tc>
              <w:tc>
                <w:tcPr>
                  <w:tcW w:w="2944" w:type="pct"/>
                  <w:vAlign w:val="center"/>
                </w:tcPr>
                <w:p w14:paraId="0756A126">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选用的低硫优质柴油作燃料</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352" w:type="pct"/>
                  <w:vAlign w:val="center"/>
                </w:tcPr>
                <w:p w14:paraId="73C5E5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Cs/>
                      <w:color w:val="000000" w:themeColor="text1"/>
                      <w:sz w:val="21"/>
                      <w:szCs w:val="21"/>
                      <w:lang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w:t>
                  </w:r>
                </w:p>
              </w:tc>
              <w:tc>
                <w:tcPr>
                  <w:tcW w:w="351" w:type="pct"/>
                  <w:vAlign w:val="center"/>
                </w:tcPr>
                <w:p w14:paraId="26F583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6886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continue"/>
                  <w:vAlign w:val="center"/>
                </w:tcPr>
                <w:p w14:paraId="0F466E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867" w:type="pct"/>
                  <w:vAlign w:val="center"/>
                </w:tcPr>
                <w:p w14:paraId="147424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汽车尾气</w:t>
                  </w:r>
                </w:p>
              </w:tc>
              <w:tc>
                <w:tcPr>
                  <w:tcW w:w="2944" w:type="pct"/>
                  <w:vAlign w:val="center"/>
                </w:tcPr>
                <w:p w14:paraId="1323B0D5">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减少怠速行驶，降低尾气排放。</w:t>
                  </w:r>
                </w:p>
              </w:tc>
              <w:tc>
                <w:tcPr>
                  <w:tcW w:w="352" w:type="pct"/>
                  <w:vAlign w:val="center"/>
                </w:tcPr>
                <w:p w14:paraId="046157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51" w:type="pct"/>
                  <w:vAlign w:val="center"/>
                </w:tcPr>
                <w:p w14:paraId="3AB4D6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1A55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restart"/>
                  <w:vAlign w:val="center"/>
                </w:tcPr>
                <w:p w14:paraId="152E55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废水治理</w:t>
                  </w:r>
                </w:p>
              </w:tc>
              <w:tc>
                <w:tcPr>
                  <w:tcW w:w="867" w:type="pct"/>
                  <w:vAlign w:val="center"/>
                </w:tcPr>
                <w:p w14:paraId="4D56EE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施工废水</w:t>
                  </w:r>
                </w:p>
              </w:tc>
              <w:tc>
                <w:tcPr>
                  <w:tcW w:w="2944" w:type="pct"/>
                  <w:vAlign w:val="center"/>
                </w:tcPr>
                <w:p w14:paraId="41656148">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施工工区设置</w:t>
                  </w:r>
                  <w:r>
                    <w:rPr>
                      <w:rFonts w:hint="eastAsia" w:cs="Times New Roman"/>
                      <w:bCs/>
                      <w:color w:val="000000" w:themeColor="text1"/>
                      <w:sz w:val="21"/>
                      <w:szCs w:val="21"/>
                      <w:lang w:eastAsia="zh-CN"/>
                      <w14:textFill>
                        <w14:solidFill>
                          <w14:schemeClr w14:val="tx1"/>
                        </w14:solidFill>
                      </w14:textFill>
                    </w:rPr>
                    <w:t>5m</w:t>
                  </w:r>
                  <w:r>
                    <w:rPr>
                      <w:rFonts w:hint="eastAsia" w:cs="Times New Roman"/>
                      <w:bCs/>
                      <w:color w:val="000000" w:themeColor="text1"/>
                      <w:sz w:val="21"/>
                      <w:szCs w:val="21"/>
                      <w:vertAlign w:val="superscript"/>
                      <w:lang w:eastAsia="zh-CN"/>
                      <w14:textFill>
                        <w14:solidFill>
                          <w14:schemeClr w14:val="tx1"/>
                        </w14:solidFill>
                      </w14:textFill>
                    </w:rPr>
                    <w:t>3</w:t>
                  </w:r>
                  <w:r>
                    <w:rPr>
                      <w:rFonts w:hint="eastAsia" w:cs="Times New Roman"/>
                      <w:bCs/>
                      <w:color w:val="000000" w:themeColor="text1"/>
                      <w:sz w:val="21"/>
                      <w:szCs w:val="21"/>
                      <w:lang w:eastAsia="zh-CN"/>
                      <w14:textFill>
                        <w14:solidFill>
                          <w14:schemeClr w14:val="tx1"/>
                        </w14:solidFill>
                      </w14:textFill>
                    </w:rPr>
                    <w:t>隔油沉淀池</w:t>
                  </w:r>
                  <w:r>
                    <w:rPr>
                      <w:rFonts w:hint="default" w:ascii="Times New Roman" w:hAnsi="Times New Roman" w:eastAsia="宋体" w:cs="Times New Roman"/>
                      <w:bCs/>
                      <w:color w:val="000000" w:themeColor="text1"/>
                      <w:sz w:val="21"/>
                      <w:szCs w:val="21"/>
                      <w14:textFill>
                        <w14:solidFill>
                          <w14:schemeClr w14:val="tx1"/>
                        </w14:solidFill>
                      </w14:textFill>
                    </w:rPr>
                    <w:t>进行处理，施工机械和车辆冲洗冲洗废水通过隔油沉淀之后的废水回用于冲洗，不外排。</w:t>
                  </w:r>
                </w:p>
              </w:tc>
              <w:tc>
                <w:tcPr>
                  <w:tcW w:w="352" w:type="pct"/>
                  <w:vAlign w:val="center"/>
                </w:tcPr>
                <w:p w14:paraId="4C5F68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bCs/>
                      <w:color w:val="000000" w:themeColor="text1"/>
                      <w:sz w:val="21"/>
                      <w:szCs w:val="21"/>
                      <w14:textFill>
                        <w14:solidFill>
                          <w14:schemeClr w14:val="tx1"/>
                        </w14:solidFill>
                      </w14:textFill>
                    </w:rPr>
                    <w:t>.0</w:t>
                  </w:r>
                </w:p>
              </w:tc>
              <w:tc>
                <w:tcPr>
                  <w:tcW w:w="351" w:type="pct"/>
                  <w:vAlign w:val="center"/>
                </w:tcPr>
                <w:p w14:paraId="51558E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377F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continue"/>
                  <w:vAlign w:val="center"/>
                </w:tcPr>
                <w:p w14:paraId="74830C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867" w:type="pct"/>
                  <w:vAlign w:val="center"/>
                </w:tcPr>
                <w:p w14:paraId="41E2EE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管道试压废水</w:t>
                  </w:r>
                </w:p>
              </w:tc>
              <w:tc>
                <w:tcPr>
                  <w:tcW w:w="2944" w:type="pct"/>
                  <w:vAlign w:val="center"/>
                </w:tcPr>
                <w:p w14:paraId="2B9F8D28">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收集沉淀后，回用于除尘。</w:t>
                  </w:r>
                </w:p>
              </w:tc>
              <w:tc>
                <w:tcPr>
                  <w:tcW w:w="352" w:type="pct"/>
                  <w:vAlign w:val="center"/>
                </w:tcPr>
                <w:p w14:paraId="42D25A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w:t>
                  </w:r>
                </w:p>
              </w:tc>
              <w:tc>
                <w:tcPr>
                  <w:tcW w:w="351" w:type="pct"/>
                  <w:vAlign w:val="center"/>
                </w:tcPr>
                <w:p w14:paraId="20A989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0927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continue"/>
                  <w:vAlign w:val="center"/>
                </w:tcPr>
                <w:p w14:paraId="4F8970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867" w:type="pct"/>
                  <w:vAlign w:val="center"/>
                </w:tcPr>
                <w:p w14:paraId="7CBFD3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生活污水</w:t>
                  </w:r>
                </w:p>
              </w:tc>
              <w:tc>
                <w:tcPr>
                  <w:tcW w:w="2944" w:type="pct"/>
                  <w:vAlign w:val="center"/>
                </w:tcPr>
                <w:p w14:paraId="43B9B5CE">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依托租用周边民房现有污水处理设施（化粪池）收集处理后用作农肥，不外排。</w:t>
                  </w:r>
                </w:p>
              </w:tc>
              <w:tc>
                <w:tcPr>
                  <w:tcW w:w="352" w:type="pct"/>
                  <w:vAlign w:val="center"/>
                </w:tcPr>
                <w:p w14:paraId="5A1155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w:t>
                  </w:r>
                </w:p>
              </w:tc>
              <w:tc>
                <w:tcPr>
                  <w:tcW w:w="351" w:type="pct"/>
                  <w:vAlign w:val="center"/>
                </w:tcPr>
                <w:p w14:paraId="77CF81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6388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351" w:type="pct"/>
                  <w:gridSpan w:val="2"/>
                  <w:vAlign w:val="center"/>
                </w:tcPr>
                <w:p w14:paraId="4A8CB7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噪声治理</w:t>
                  </w:r>
                </w:p>
              </w:tc>
              <w:tc>
                <w:tcPr>
                  <w:tcW w:w="2944" w:type="pct"/>
                  <w:vAlign w:val="center"/>
                </w:tcPr>
                <w:p w14:paraId="04813D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加强施工管理；合理进行施工平面布置，选用低噪声设备，基础减震降噪；合理安排施工时间，禁止夜间施工，制定合理运输路线，靠近敏感目标处采取控制车速和禁鸣笛等措施，定期检修和维护机械设备；对于场内施工人员，配备个人防护措施；对于周边敏感点根据实际情况设置声障及围挡等。</w:t>
                  </w:r>
                </w:p>
              </w:tc>
              <w:tc>
                <w:tcPr>
                  <w:tcW w:w="352" w:type="pct"/>
                  <w:vAlign w:val="center"/>
                </w:tcPr>
                <w:p w14:paraId="7C9B82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val="en-US"/>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1.0</w:t>
                  </w:r>
                </w:p>
              </w:tc>
              <w:tc>
                <w:tcPr>
                  <w:tcW w:w="351" w:type="pct"/>
                  <w:vAlign w:val="center"/>
                </w:tcPr>
                <w:p w14:paraId="04071C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4D94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restart"/>
                  <w:vAlign w:val="center"/>
                </w:tcPr>
                <w:p w14:paraId="77AFF0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固废处置</w:t>
                  </w:r>
                </w:p>
              </w:tc>
              <w:tc>
                <w:tcPr>
                  <w:tcW w:w="867" w:type="pct"/>
                  <w:vAlign w:val="center"/>
                </w:tcPr>
                <w:p w14:paraId="3A97D1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土石方</w:t>
                  </w:r>
                </w:p>
              </w:tc>
              <w:tc>
                <w:tcPr>
                  <w:tcW w:w="2944" w:type="pct"/>
                  <w:vAlign w:val="center"/>
                </w:tcPr>
                <w:p w14:paraId="25682A5C">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color w:val="000000" w:themeColor="text1"/>
                      <w:sz w:val="21"/>
                      <w:szCs w:val="21"/>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项目自身不设置弃渣场</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弃方运至其他项目综合利用</w:t>
                  </w:r>
                  <w:r>
                    <w:rPr>
                      <w:rFonts w:hint="eastAsia" w:cs="Times New Roman"/>
                      <w:color w:val="000000" w:themeColor="text1"/>
                      <w:sz w:val="21"/>
                      <w:szCs w:val="21"/>
                      <w:lang w:val="en-US" w:eastAsia="zh-CN"/>
                      <w14:textFill>
                        <w14:solidFill>
                          <w14:schemeClr w14:val="tx1"/>
                        </w14:solidFill>
                      </w14:textFill>
                    </w:rPr>
                    <w:t>,如其他市政项目或者道路综合利用。</w:t>
                  </w:r>
                </w:p>
              </w:tc>
              <w:tc>
                <w:tcPr>
                  <w:tcW w:w="352" w:type="pct"/>
                  <w:vAlign w:val="center"/>
                </w:tcPr>
                <w:p w14:paraId="106C5E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7</w:t>
                  </w:r>
                  <w:r>
                    <w:rPr>
                      <w:rFonts w:hint="eastAsia" w:ascii="Times New Roman" w:hAnsi="Times New Roman" w:cs="Times New Roman"/>
                      <w:bCs/>
                      <w:color w:val="000000" w:themeColor="text1"/>
                      <w:sz w:val="21"/>
                      <w:szCs w:val="21"/>
                      <w:lang w:val="en-US" w:eastAsia="zh-CN"/>
                      <w14:textFill>
                        <w14:solidFill>
                          <w14:schemeClr w14:val="tx1"/>
                        </w14:solidFill>
                      </w14:textFill>
                    </w:rPr>
                    <w:t>.0</w:t>
                  </w:r>
                </w:p>
              </w:tc>
              <w:tc>
                <w:tcPr>
                  <w:tcW w:w="351" w:type="pct"/>
                  <w:vAlign w:val="center"/>
                </w:tcPr>
                <w:p w14:paraId="4F43CB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423E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continue"/>
                  <w:vAlign w:val="center"/>
                </w:tcPr>
                <w:p w14:paraId="333901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867" w:type="pct"/>
                  <w:vAlign w:val="center"/>
                </w:tcPr>
                <w:p w14:paraId="58F9D2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建筑垃圾</w:t>
                  </w:r>
                </w:p>
              </w:tc>
              <w:tc>
                <w:tcPr>
                  <w:tcW w:w="2944" w:type="pct"/>
                  <w:vAlign w:val="center"/>
                </w:tcPr>
                <w:p w14:paraId="06168F3C">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对能够回收利用的建筑垃圾进行分类回收利用，不能回收利用的由建筑垃圾转运至政府指定的建筑垃圾堆放场。</w:t>
                  </w:r>
                </w:p>
              </w:tc>
              <w:tc>
                <w:tcPr>
                  <w:tcW w:w="352" w:type="pct"/>
                  <w:vAlign w:val="center"/>
                </w:tcPr>
                <w:p w14:paraId="3B44CE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5</w:t>
                  </w:r>
                  <w:r>
                    <w:rPr>
                      <w:rFonts w:hint="default" w:ascii="Times New Roman" w:hAnsi="Times New Roman" w:eastAsia="宋体" w:cs="Times New Roman"/>
                      <w:bCs/>
                      <w:color w:val="000000" w:themeColor="text1"/>
                      <w:sz w:val="21"/>
                      <w:szCs w:val="21"/>
                      <w14:textFill>
                        <w14:solidFill>
                          <w14:schemeClr w14:val="tx1"/>
                        </w14:solidFill>
                      </w14:textFill>
                    </w:rPr>
                    <w:t>.0</w:t>
                  </w:r>
                </w:p>
              </w:tc>
              <w:tc>
                <w:tcPr>
                  <w:tcW w:w="351" w:type="pct"/>
                  <w:vAlign w:val="center"/>
                </w:tcPr>
                <w:p w14:paraId="18C93A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7CAF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83" w:type="pct"/>
                  <w:vMerge w:val="continue"/>
                  <w:vAlign w:val="center"/>
                </w:tcPr>
                <w:p w14:paraId="217D06A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867" w:type="pct"/>
                  <w:vAlign w:val="center"/>
                </w:tcPr>
                <w:p w14:paraId="29BFAC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生活垃圾</w:t>
                  </w:r>
                </w:p>
              </w:tc>
              <w:tc>
                <w:tcPr>
                  <w:tcW w:w="2944" w:type="pct"/>
                  <w:vAlign w:val="center"/>
                </w:tcPr>
                <w:p w14:paraId="4B1AA498">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收集后交由环卫部门统一清运。</w:t>
                  </w:r>
                </w:p>
              </w:tc>
              <w:tc>
                <w:tcPr>
                  <w:tcW w:w="352" w:type="pct"/>
                  <w:vAlign w:val="center"/>
                </w:tcPr>
                <w:p w14:paraId="5659C7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bCs/>
                      <w:color w:val="000000" w:themeColor="text1"/>
                      <w:sz w:val="21"/>
                      <w:szCs w:val="21"/>
                      <w14:textFill>
                        <w14:solidFill>
                          <w14:schemeClr w14:val="tx1"/>
                        </w14:solidFill>
                      </w14:textFill>
                    </w:rPr>
                    <w:t>.0</w:t>
                  </w:r>
                </w:p>
              </w:tc>
              <w:tc>
                <w:tcPr>
                  <w:tcW w:w="351" w:type="pct"/>
                  <w:vAlign w:val="center"/>
                </w:tcPr>
                <w:p w14:paraId="6E7362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52020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5000" w:type="pct"/>
                  <w:gridSpan w:val="5"/>
                  <w:vAlign w:val="center"/>
                </w:tcPr>
                <w:p w14:paraId="24406D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cs="Times New Roman"/>
                      <w:b/>
                      <w:color w:val="000000" w:themeColor="text1"/>
                      <w:sz w:val="21"/>
                      <w:szCs w:val="21"/>
                      <w:lang w:val="en-US" w:eastAsia="zh-CN"/>
                      <w14:textFill>
                        <w14:solidFill>
                          <w14:schemeClr w14:val="tx1"/>
                        </w14:solidFill>
                      </w14:textFill>
                    </w:rPr>
                    <w:t>运营期</w:t>
                  </w:r>
                </w:p>
              </w:tc>
            </w:tr>
            <w:tr w14:paraId="3C7E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351" w:type="pct"/>
                  <w:gridSpan w:val="2"/>
                  <w:vAlign w:val="center"/>
                </w:tcPr>
                <w:p w14:paraId="34B966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排泥、沉渣</w:t>
                  </w:r>
                </w:p>
              </w:tc>
              <w:tc>
                <w:tcPr>
                  <w:tcW w:w="2944" w:type="pct"/>
                  <w:vAlign w:val="center"/>
                </w:tcPr>
                <w:p w14:paraId="3C886C0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352" w:type="pct"/>
                  <w:vAlign w:val="center"/>
                </w:tcPr>
                <w:p w14:paraId="1AA3C0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eastAsia" w:ascii="Times New Roman" w:hAnsi="Times New Roman" w:cs="Times New Roman"/>
                      <w:b w:val="0"/>
                      <w:bCs/>
                      <w:color w:val="000000" w:themeColor="text1"/>
                      <w:sz w:val="21"/>
                      <w:szCs w:val="21"/>
                      <w:lang w:val="en-US" w:eastAsia="zh-CN"/>
                      <w14:textFill>
                        <w14:solidFill>
                          <w14:schemeClr w14:val="tx1"/>
                        </w14:solidFill>
                      </w14:textFill>
                    </w:rPr>
                    <w:t>/</w:t>
                  </w:r>
                </w:p>
              </w:tc>
              <w:tc>
                <w:tcPr>
                  <w:tcW w:w="351" w:type="pct"/>
                  <w:vAlign w:val="center"/>
                </w:tcPr>
                <w:p w14:paraId="445D94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r>
            <w:tr w14:paraId="3C94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2209" w:type="dxa"/>
                  <w:gridSpan w:val="2"/>
                  <w:vAlign w:val="center"/>
                </w:tcPr>
                <w:p w14:paraId="66E4D4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生态保护</w:t>
                  </w:r>
                </w:p>
              </w:tc>
              <w:tc>
                <w:tcPr>
                  <w:tcW w:w="4813" w:type="dxa"/>
                  <w:vAlign w:val="center"/>
                </w:tcPr>
                <w:p w14:paraId="7C98C4AD">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对植被的保护措施：</w:t>
                  </w:r>
                  <w:r>
                    <w:rPr>
                      <w:rFonts w:hint="default" w:ascii="Times New Roman" w:hAnsi="Times New Roman" w:eastAsia="宋体" w:cs="Times New Roman"/>
                      <w:color w:val="000000" w:themeColor="text1"/>
                      <w:sz w:val="21"/>
                      <w:szCs w:val="21"/>
                      <w14:textFill>
                        <w14:solidFill>
                          <w14:schemeClr w14:val="tx1"/>
                        </w14:solidFill>
                      </w14:textFill>
                    </w:rPr>
                    <w:t>提严禁烟火、警示保护。少占禁伐。迹地恢复，种植植物。</w:t>
                  </w:r>
                </w:p>
                <w:p w14:paraId="10593E0F">
                  <w:pPr>
                    <w:pStyle w:val="111"/>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对动物的保护措施：</w:t>
                  </w:r>
                  <w:r>
                    <w:rPr>
                      <w:rFonts w:hint="default" w:ascii="Times New Roman" w:hAnsi="Times New Roman" w:eastAsia="宋体" w:cs="Times New Roman"/>
                      <w:color w:val="000000" w:themeColor="text1"/>
                      <w:sz w:val="21"/>
                      <w:szCs w:val="21"/>
                      <w14:textFill>
                        <w14:solidFill>
                          <w14:schemeClr w14:val="tx1"/>
                        </w14:solidFill>
                      </w14:textFill>
                    </w:rPr>
                    <w:t>严控施工作业范围；提高意识、禁止狩猎。施工安排少惊扰。落实环境保护措施。防止外来物种迁入。</w:t>
                  </w:r>
                </w:p>
                <w:p w14:paraId="3A56238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水土流失保持：</w:t>
                  </w:r>
                  <w:r>
                    <w:rPr>
                      <w:rFonts w:hint="default" w:ascii="Times New Roman" w:hAnsi="Times New Roman" w:eastAsia="宋体" w:cs="Times New Roman"/>
                      <w:color w:val="000000" w:themeColor="text1"/>
                      <w:sz w:val="21"/>
                      <w:szCs w:val="21"/>
                      <w14:textFill>
                        <w14:solidFill>
                          <w14:schemeClr w14:val="tx1"/>
                        </w14:solidFill>
                      </w14:textFill>
                    </w:rPr>
                    <w:t>施工区设置拦挡、</w:t>
                  </w:r>
                  <w:r>
                    <w:rPr>
                      <w:rFonts w:hint="eastAsia" w:ascii="Times New Roman" w:hAnsi="Times New Roman" w:cs="Times New Roman"/>
                      <w:color w:val="000000" w:themeColor="text1"/>
                      <w:sz w:val="21"/>
                      <w:szCs w:val="21"/>
                      <w:lang w:eastAsia="zh-CN"/>
                      <w14:textFill>
                        <w14:solidFill>
                          <w14:schemeClr w14:val="tx1"/>
                        </w14:solidFill>
                      </w14:textFill>
                    </w:rPr>
                    <w:t>截流</w:t>
                  </w:r>
                  <w:r>
                    <w:rPr>
                      <w:rFonts w:hint="default" w:ascii="Times New Roman" w:hAnsi="Times New Roman" w:eastAsia="宋体" w:cs="Times New Roman"/>
                      <w:color w:val="000000" w:themeColor="text1"/>
                      <w:sz w:val="21"/>
                      <w:szCs w:val="21"/>
                      <w14:textFill>
                        <w14:solidFill>
                          <w14:schemeClr w14:val="tx1"/>
                        </w14:solidFill>
                      </w14:textFill>
                    </w:rPr>
                    <w:t>沟、沉淀池等；原料堆场、临时堆土场设置防水薄膜覆盖等措施；合理安排施工时间，及时覆土绿化；减少施工周期等措施。</w:t>
                  </w:r>
                </w:p>
                <w:p w14:paraId="6A8F1E3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生态监测：</w:t>
                  </w:r>
                  <w:r>
                    <w:rPr>
                      <w:rFonts w:ascii="Times New Roman" w:hAnsi="Times New Roman"/>
                      <w:color w:val="000000" w:themeColor="text1"/>
                      <w:kern w:val="0"/>
                      <w:sz w:val="21"/>
                      <w:szCs w:val="21"/>
                      <w:highlight w:val="none"/>
                      <w14:textFill>
                        <w14:solidFill>
                          <w14:schemeClr w14:val="tx1"/>
                        </w14:solidFill>
                      </w14:textFill>
                    </w:rPr>
                    <w:t>在评价区设置</w:t>
                  </w:r>
                  <w:r>
                    <w:rPr>
                      <w:rFonts w:hint="eastAsia" w:ascii="Times New Roman" w:hAnsi="Times New Roman"/>
                      <w:color w:val="000000" w:themeColor="text1"/>
                      <w:kern w:val="0"/>
                      <w:sz w:val="21"/>
                      <w:szCs w:val="21"/>
                      <w:highlight w:val="none"/>
                      <w:lang w:val="en-US" w:eastAsia="zh-CN"/>
                      <w14:textFill>
                        <w14:solidFill>
                          <w14:schemeClr w14:val="tx1"/>
                        </w14:solidFill>
                      </w14:textFill>
                    </w:rPr>
                    <w:t>9</w:t>
                  </w:r>
                  <w:r>
                    <w:rPr>
                      <w:rFonts w:hint="eastAsia" w:ascii="Times New Roman" w:hAnsi="Times New Roman"/>
                      <w:color w:val="000000" w:themeColor="text1"/>
                      <w:kern w:val="0"/>
                      <w:sz w:val="21"/>
                      <w:szCs w:val="21"/>
                      <w:highlight w:val="none"/>
                      <w14:textFill>
                        <w14:solidFill>
                          <w14:schemeClr w14:val="tx1"/>
                        </w14:solidFill>
                      </w14:textFill>
                    </w:rPr>
                    <w:t>条监测样线和</w:t>
                  </w:r>
                  <w:r>
                    <w:rPr>
                      <w:rFonts w:hint="eastAsia" w:ascii="Times New Roman" w:hAnsi="Times New Roman"/>
                      <w:color w:val="000000" w:themeColor="text1"/>
                      <w:kern w:val="0"/>
                      <w:sz w:val="21"/>
                      <w:szCs w:val="21"/>
                      <w:highlight w:val="none"/>
                      <w:lang w:val="en-US" w:eastAsia="zh-CN"/>
                      <w14:textFill>
                        <w14:solidFill>
                          <w14:schemeClr w14:val="tx1"/>
                        </w14:solidFill>
                      </w14:textFill>
                    </w:rPr>
                    <w:t>15</w:t>
                  </w:r>
                  <w:r>
                    <w:rPr>
                      <w:rFonts w:hint="eastAsia" w:ascii="Times New Roman" w:hAnsi="Times New Roman"/>
                      <w:color w:val="000000" w:themeColor="text1"/>
                      <w:kern w:val="0"/>
                      <w:sz w:val="21"/>
                      <w:szCs w:val="21"/>
                      <w:highlight w:val="none"/>
                      <w14:textFill>
                        <w14:solidFill>
                          <w14:schemeClr w14:val="tx1"/>
                        </w14:solidFill>
                      </w14:textFill>
                    </w:rPr>
                    <w:t>个监测样方，</w:t>
                  </w:r>
                  <w:r>
                    <w:rPr>
                      <w:rFonts w:ascii="Times New Roman" w:hAnsi="Times New Roman"/>
                      <w:bCs/>
                      <w:color w:val="000000" w:themeColor="text1"/>
                      <w:kern w:val="0"/>
                      <w:sz w:val="21"/>
                      <w:szCs w:val="21"/>
                      <w:highlight w:val="none"/>
                      <w14:textFill>
                        <w14:solidFill>
                          <w14:schemeClr w14:val="tx1"/>
                        </w14:solidFill>
                      </w14:textFill>
                    </w:rPr>
                    <w:t>主要监测动植物多样性的变化情况，根据监测变化状况制定相应的保护</w:t>
                  </w:r>
                  <w:r>
                    <w:rPr>
                      <w:rFonts w:ascii="Times New Roman" w:hAnsi="Times New Roman"/>
                      <w:bCs/>
                      <w:color w:val="000000" w:themeColor="text1"/>
                      <w:kern w:val="0"/>
                      <w:sz w:val="21"/>
                      <w:szCs w:val="21"/>
                      <w14:textFill>
                        <w14:solidFill>
                          <w14:schemeClr w14:val="tx1"/>
                        </w14:solidFill>
                      </w14:textFill>
                    </w:rPr>
                    <w:t>措施。</w:t>
                  </w:r>
                  <w:r>
                    <w:rPr>
                      <w:rFonts w:hint="eastAsia" w:ascii="Times New Roman" w:hAnsi="Times New Roman"/>
                      <w:bCs/>
                      <w:color w:val="000000" w:themeColor="text1"/>
                      <w:kern w:val="0"/>
                      <w:sz w:val="21"/>
                      <w:szCs w:val="21"/>
                      <w:lang w:val="en-US" w:eastAsia="zh-CN"/>
                      <w14:textFill>
                        <w14:solidFill>
                          <w14:schemeClr w14:val="tx1"/>
                        </w14:solidFill>
                      </w14:textFill>
                    </w:rPr>
                    <w:t>陆生</w:t>
                  </w:r>
                  <w:r>
                    <w:rPr>
                      <w:rFonts w:ascii="Times New Roman" w:hAnsi="Times New Roman"/>
                      <w:bCs/>
                      <w:color w:val="000000" w:themeColor="text1"/>
                      <w:kern w:val="0"/>
                      <w:sz w:val="21"/>
                      <w:szCs w:val="21"/>
                      <w14:textFill>
                        <w14:solidFill>
                          <w14:schemeClr w14:val="tx1"/>
                        </w14:solidFill>
                      </w14:textFill>
                    </w:rPr>
                    <w:t>监测次数</w:t>
                  </w:r>
                  <w:r>
                    <w:rPr>
                      <w:rFonts w:hint="eastAsia" w:ascii="Times New Roman" w:hAnsi="Times New Roman"/>
                      <w:bCs/>
                      <w:color w:val="000000" w:themeColor="text1"/>
                      <w:kern w:val="0"/>
                      <w:sz w:val="21"/>
                      <w:szCs w:val="21"/>
                      <w14:textFill>
                        <w14:solidFill>
                          <w14:schemeClr w14:val="tx1"/>
                        </w14:solidFill>
                      </w14:textFill>
                    </w:rPr>
                    <w:t>施工期</w:t>
                  </w:r>
                  <w:r>
                    <w:rPr>
                      <w:rFonts w:ascii="Times New Roman" w:hAnsi="Times New Roman"/>
                      <w:bCs/>
                      <w:color w:val="000000" w:themeColor="text1"/>
                      <w:kern w:val="0"/>
                      <w:sz w:val="21"/>
                      <w:szCs w:val="21"/>
                      <w14:textFill>
                        <w14:solidFill>
                          <w14:schemeClr w14:val="tx1"/>
                        </w14:solidFill>
                      </w14:textFill>
                    </w:rPr>
                    <w:t>暂定为1次。</w:t>
                  </w:r>
                  <w:r>
                    <w:rPr>
                      <w:rFonts w:hint="eastAsia" w:ascii="Times New Roman" w:hAnsi="Times New Roman"/>
                      <w:bCs/>
                      <w:color w:val="000000" w:themeColor="text1"/>
                      <w:kern w:val="0"/>
                      <w:sz w:val="21"/>
                      <w:szCs w:val="21"/>
                      <w:lang w:val="en-US" w:eastAsia="zh-CN"/>
                      <w14:textFill>
                        <w14:solidFill>
                          <w14:schemeClr w14:val="tx1"/>
                        </w14:solidFill>
                      </w14:textFill>
                    </w:rPr>
                    <w:t>水生监测频次为</w:t>
                  </w:r>
                  <w:r>
                    <w:rPr>
                      <w:rFonts w:hint="eastAsia" w:ascii="Times New Roman" w:hAnsi="Times New Roman"/>
                      <w:color w:val="000000" w:themeColor="text1"/>
                      <w:sz w:val="21"/>
                      <w:szCs w:val="21"/>
                      <w:lang w:val="en-US" w:eastAsia="zh-CN"/>
                      <w14:textFill>
                        <w14:solidFill>
                          <w14:schemeClr w14:val="tx1"/>
                        </w14:solidFill>
                      </w14:textFill>
                    </w:rPr>
                    <w:t>施工期间每年3-6月监测一次</w:t>
                  </w: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575" w:type="dxa"/>
                  <w:vAlign w:val="center"/>
                </w:tcPr>
                <w:p w14:paraId="416DBF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20.0</w:t>
                  </w:r>
                </w:p>
              </w:tc>
              <w:tc>
                <w:tcPr>
                  <w:tcW w:w="351" w:type="pct"/>
                  <w:vAlign w:val="center"/>
                </w:tcPr>
                <w:p w14:paraId="0375DE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20BC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351" w:type="pct"/>
                  <w:gridSpan w:val="2"/>
                  <w:vAlign w:val="center"/>
                </w:tcPr>
                <w:p w14:paraId="39B0B0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环境风险</w:t>
                  </w:r>
                </w:p>
              </w:tc>
              <w:tc>
                <w:tcPr>
                  <w:tcW w:w="2944" w:type="pct"/>
                  <w:vAlign w:val="center"/>
                </w:tcPr>
                <w:p w14:paraId="48D762F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（1）对水源地保护区内违法建设项目和环境风险源进行排查；</w:t>
                  </w:r>
                </w:p>
                <w:p w14:paraId="663CCCC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（2）委托有资质的单位对水质进行检测，并在政府网站统一向社会公布水厂水质监测（检测、抽测）结果，为饮水安全管理工作提供科学依据；</w:t>
                  </w:r>
                </w:p>
                <w:p w14:paraId="729E7DB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val="0"/>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14:textFill>
                        <w14:solidFill>
                          <w14:schemeClr w14:val="tx1"/>
                        </w14:solidFill>
                      </w14:textFill>
                    </w:rPr>
                    <w:t>（3）水源保护区标志、隔离网设置；</w:t>
                  </w:r>
                </w:p>
                <w:p w14:paraId="365857A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sz w:val="21"/>
                      <w:szCs w:val="21"/>
                      <w14:textFill>
                        <w14:solidFill>
                          <w14:schemeClr w14:val="tx1"/>
                        </w14:solidFill>
                      </w14:textFill>
                    </w:rPr>
                    <w:t>编制应急预案，并进行演练。</w:t>
                  </w:r>
                </w:p>
              </w:tc>
              <w:tc>
                <w:tcPr>
                  <w:tcW w:w="352" w:type="pct"/>
                  <w:vAlign w:val="center"/>
                </w:tcPr>
                <w:p w14:paraId="63EE2B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1</w:t>
                  </w:r>
                  <w:r>
                    <w:rPr>
                      <w:rFonts w:hint="default" w:ascii="Times New Roman" w:hAnsi="Times New Roman" w:eastAsia="宋体" w:cs="Times New Roman"/>
                      <w:bCs/>
                      <w:color w:val="000000" w:themeColor="text1"/>
                      <w:sz w:val="21"/>
                      <w:szCs w:val="21"/>
                      <w:lang w:val="en-US" w:eastAsia="zh-CN"/>
                      <w14:textFill>
                        <w14:solidFill>
                          <w14:schemeClr w14:val="tx1"/>
                        </w14:solidFill>
                      </w14:textFill>
                    </w:rPr>
                    <w:t>0.0</w:t>
                  </w:r>
                </w:p>
              </w:tc>
              <w:tc>
                <w:tcPr>
                  <w:tcW w:w="351" w:type="pct"/>
                  <w:vAlign w:val="center"/>
                </w:tcPr>
                <w:p w14:paraId="1EBA19B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r w14:paraId="5409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351" w:type="pct"/>
                  <w:gridSpan w:val="2"/>
                  <w:vAlign w:val="center"/>
                </w:tcPr>
                <w:p w14:paraId="048AA1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合计</w:t>
                  </w:r>
                </w:p>
              </w:tc>
              <w:tc>
                <w:tcPr>
                  <w:tcW w:w="2944" w:type="pct"/>
                  <w:vAlign w:val="center"/>
                </w:tcPr>
                <w:p w14:paraId="0D34DBF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c>
                <w:tcPr>
                  <w:tcW w:w="352" w:type="pct"/>
                  <w:vAlign w:val="center"/>
                </w:tcPr>
                <w:p w14:paraId="6DE3F6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ascii="Times New Roman" w:hAnsi="Times New Roman" w:cs="Times New Roman"/>
                      <w:bCs/>
                      <w:color w:val="000000" w:themeColor="text1"/>
                      <w:sz w:val="21"/>
                      <w:szCs w:val="21"/>
                      <w:lang w:val="en-US" w:eastAsia="zh-CN"/>
                      <w14:textFill>
                        <w14:solidFill>
                          <w14:schemeClr w14:val="tx1"/>
                        </w14:solidFill>
                      </w14:textFill>
                    </w:rPr>
                    <w:t>67</w:t>
                  </w:r>
                </w:p>
              </w:tc>
              <w:tc>
                <w:tcPr>
                  <w:tcW w:w="351" w:type="pct"/>
                  <w:vAlign w:val="center"/>
                </w:tcPr>
                <w:p w14:paraId="1D5DEF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color w:val="000000" w:themeColor="text1"/>
                      <w:sz w:val="21"/>
                      <w:szCs w:val="21"/>
                      <w14:textFill>
                        <w14:solidFill>
                          <w14:schemeClr w14:val="tx1"/>
                        </w14:solidFill>
                      </w14:textFill>
                    </w:rPr>
                  </w:pPr>
                </w:p>
              </w:tc>
            </w:tr>
          </w:tbl>
          <w:p w14:paraId="1D7CC101">
            <w:pPr>
              <w:spacing w:line="360" w:lineRule="auto"/>
              <w:ind w:firstLine="482" w:firstLineChars="200"/>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2"/>
                <w:lang w:val="en-US" w:eastAsia="zh-CN"/>
                <w14:textFill>
                  <w14:solidFill>
                    <w14:schemeClr w14:val="tx1"/>
                  </w14:solidFill>
                </w14:textFill>
              </w:rPr>
              <w:t>七、环境管理</w:t>
            </w:r>
          </w:p>
          <w:p w14:paraId="32AFA0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根据《中华人民共和国环境保护法》，建设单位必须把环境保护工作纳入计划，建立环境保护责任制度，采取有效措施防止生产建设（生活）或其它活动中产生污染危害及对生态环境的破坏。以可持续发展为指导思想，提高项目营运后的环境质量，将本项目的环境管理作为其日后管理的重要内容之一。</w:t>
            </w:r>
          </w:p>
          <w:p w14:paraId="0B569A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项目无论建设期或运行期均会对邻近环境产生一定的影响，必须通过环境措施来减缓和消除不利的环境影响。为了保证环保措施的切实落实，使项目的社会、经济和环境效益得以协调发展，必须加强环境管理，使项目建设符合国家要求经济建设、社会发展和环境建设的同步规划、同步发展和同步实施的方针。</w:t>
            </w:r>
          </w:p>
          <w:p w14:paraId="7FC5BF1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lang w:val="en-US" w:eastAsia="zh-CN"/>
                <w14:textFill>
                  <w14:solidFill>
                    <w14:schemeClr w14:val="tx1"/>
                  </w14:solidFill>
                </w14:textFill>
              </w:rPr>
              <w:t>1、</w:t>
            </w:r>
            <w:r>
              <w:rPr>
                <w:rFonts w:hint="default" w:ascii="Times New Roman" w:hAnsi="Times New Roman" w:eastAsia="宋体" w:cs="Times New Roman"/>
                <w:b/>
                <w:bCs w:val="0"/>
                <w:color w:val="000000" w:themeColor="text1"/>
                <w:sz w:val="24"/>
                <w14:textFill>
                  <w14:solidFill>
                    <w14:schemeClr w14:val="tx1"/>
                  </w14:solidFill>
                </w14:textFill>
              </w:rPr>
              <w:t>施工期环境管理要求</w:t>
            </w:r>
          </w:p>
          <w:p w14:paraId="7122CD2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施工期间，拟建项目的环境管理工作由建设单位和施工单位共同承担。</w:t>
            </w:r>
          </w:p>
          <w:p w14:paraId="13D78CB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14:textFill>
                  <w14:solidFill>
                    <w14:schemeClr w14:val="tx1"/>
                  </w14:solidFill>
                </w14:textFill>
              </w:rPr>
              <w:t>（1）建设单位环境管理职责</w:t>
            </w:r>
          </w:p>
          <w:p w14:paraId="6D7E64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施工期间，建设单位应设置专职环境管理人员，负责工程施工期（从工程施工开始至工程竣工验收期间）的环境保护工作。具体职责包括：统筹管理施工期间的环境保护工作；制定施工期环境管理方案与计划；监督、协调施工单位依照承包合同条款、环境影响报告书及其批复意见的内容开展和落实工作；组织实施施工期环境监理；处理施工期内环境污染事故和纠纷，并及时向上级部门汇报等。</w:t>
            </w:r>
          </w:p>
          <w:p w14:paraId="63B25B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建设单位在与施工单位签署施工承包合同时，应将环境保护的条款包含在内，如施工机械设备、施工方法、施工进度安排、施工设备废气、噪声排放控制措施、施工废水处理方式等，保证环境保护设施建设进度和资金，并在项目建设过程中同时组织实施环评报告及批复中提出的环境保护对策措施。</w:t>
            </w:r>
          </w:p>
          <w:p w14:paraId="79D6668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14:textFill>
                  <w14:solidFill>
                    <w14:schemeClr w14:val="tx1"/>
                  </w14:solidFill>
                </w14:textFill>
              </w:rPr>
              <w:t>（2）施工单位环境管理职责</w:t>
            </w:r>
          </w:p>
          <w:p w14:paraId="797A02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施工单位是承包合同中各项环境保护措施的执行者，并要接受建设单位及有关环保管理部门的监督和管理。施工单位应设立环境保护管理机构，工程竣工并验收合格后撤销。其主要职责包括：</w:t>
            </w:r>
          </w:p>
          <w:p w14:paraId="3200BF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①在施工前，应按照建设单位制定的环境管理方案，编制详细的“环境管理方案”，并连同施工计划一起呈报建设单位环境管理部门，批准后方可以开工。</w:t>
            </w:r>
          </w:p>
          <w:p w14:paraId="3B53EF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②施工期间的各项活动需依据承包合同条款、环评报告及其批复意见的内容严格执行，尽量减轻施工期对环境的污染；</w:t>
            </w:r>
          </w:p>
          <w:p w14:paraId="4EDA09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③定期向建设单位汇报承包合同中各项环保条款的执行情况，并负责环保</w:t>
            </w:r>
            <w:r>
              <w:rPr>
                <w:rFonts w:hint="default" w:ascii="Times New Roman" w:hAnsi="Times New Roman" w:eastAsia="宋体" w:cs="Times New Roman"/>
                <w:bCs/>
                <w:color w:val="000000" w:themeColor="text1"/>
                <w:sz w:val="24"/>
                <w:lang w:val="en-US" w:eastAsia="zh-CN"/>
                <w14:textFill>
                  <w14:solidFill>
                    <w14:schemeClr w14:val="tx1"/>
                  </w14:solidFill>
                </w14:textFill>
              </w:rPr>
              <w:t>措施</w:t>
            </w:r>
            <w:r>
              <w:rPr>
                <w:rFonts w:hint="default" w:ascii="Times New Roman" w:hAnsi="Times New Roman" w:eastAsia="宋体" w:cs="Times New Roman"/>
                <w:bCs/>
                <w:color w:val="000000" w:themeColor="text1"/>
                <w:sz w:val="24"/>
                <w14:textFill>
                  <w14:solidFill>
                    <w14:schemeClr w14:val="tx1"/>
                  </w14:solidFill>
                </w14:textFill>
              </w:rPr>
              <w:t>。</w:t>
            </w:r>
          </w:p>
          <w:p w14:paraId="360ECEA7">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val="0"/>
                <w:color w:val="000000" w:themeColor="text1"/>
                <w:sz w:val="24"/>
                <w:lang w:val="en-US" w:eastAsia="zh-CN"/>
                <w14:textFill>
                  <w14:solidFill>
                    <w14:schemeClr w14:val="tx1"/>
                  </w14:solidFill>
                </w14:textFill>
              </w:rPr>
            </w:pPr>
            <w:r>
              <w:rPr>
                <w:rFonts w:hint="default" w:ascii="Times New Roman" w:hAnsi="Times New Roman" w:eastAsia="宋体" w:cs="Times New Roman"/>
                <w:b/>
                <w:bCs w:val="0"/>
                <w:color w:val="000000" w:themeColor="text1"/>
                <w:sz w:val="24"/>
                <w:lang w:val="en-US" w:eastAsia="zh-CN"/>
                <w14:textFill>
                  <w14:solidFill>
                    <w14:schemeClr w14:val="tx1"/>
                  </w14:solidFill>
                </w14:textFill>
              </w:rPr>
              <w:t>2、运营期环境管理制度</w:t>
            </w:r>
          </w:p>
          <w:p w14:paraId="2FD598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应建立健全环境管理制度体系，将环保纳入考核体系，确保在日常运行中将环保目标落到实处</w:t>
            </w:r>
            <w:r>
              <w:rPr>
                <w:rFonts w:hint="default" w:ascii="Times New Roman" w:hAnsi="Times New Roman" w:eastAsia="宋体" w:cs="Times New Roman"/>
                <w:bCs/>
                <w:color w:val="000000" w:themeColor="text1"/>
                <w:sz w:val="24"/>
                <w:lang w:eastAsia="zh-CN"/>
                <w14:textFill>
                  <w14:solidFill>
                    <w14:schemeClr w14:val="tx1"/>
                  </w14:solidFill>
                </w14:textFill>
              </w:rPr>
              <w:t>。</w:t>
            </w:r>
          </w:p>
          <w:p w14:paraId="4E9361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（1）污染源和环保设施档案制度</w:t>
            </w:r>
          </w:p>
          <w:p w14:paraId="13D684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派专人负责污染源日常管理，建立从原始记录、月台账、年报的三级记录制度；建立环保设施档案，记录环保设施的运转及检修情况，以加强对环保设施的管理和及时维修，保证治理设施的正常运行。</w:t>
            </w:r>
          </w:p>
          <w:p w14:paraId="215968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项目产生的污染物必须经治理达标后方可排放。单位法人要确保污染治理设施能长期、稳定、有效地运行，不得擅自拆除或者闲置污染处理设施，不得故意不正常使用污染处理设施。污染处理设施的管理必须与生产经营活动一起纳入厂区日常管理工作的范畴，落实责任人、操作人员、维修人员、运行经费、设备的备品备件、化学药品和其他原辅材料。同时要建立岗位责任制、制定操作规程、建立管理台账。</w:t>
            </w:r>
          </w:p>
          <w:p w14:paraId="4D2471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（2）报告制度</w:t>
            </w:r>
          </w:p>
          <w:p w14:paraId="422AC6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应定期向当地政府生态环境部门报告污染治理设施运行情况、污染物排放情况以及污染事故、污染纠纷等情况，便于生态环境部门和厂区管理人员及时了解厂区的污染动态，利于采取相应的对策措施。若厂区排污情况发生重大变化、污染治理设施改变或厂区改建设等都必须按照《中华人民共和国环境影响评价法》、《建设项目环境保护管理条例》等文件要求，向当地生态环境部门申报，并请有审批权限的生态环境部门审批。</w:t>
            </w:r>
          </w:p>
          <w:p w14:paraId="673DF5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（3）污染治理设施的管理制度</w:t>
            </w:r>
          </w:p>
          <w:p w14:paraId="57C767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项目建成后，必须确保污染处理设施长期、稳定、有效地运行，不得擅自拆除或者闲置污染处理设施，不得故意不正常使用污染处理设施。污染治理设施的管理必须与生产经营活动一起纳入企事业单位日常管理工作的范畴，落实责任人、操作人员、维修人员、运行经费、设备备件和其他原辅材料，同时要建立岗位责任制、操作规程和管理台账。</w:t>
            </w:r>
          </w:p>
          <w:p w14:paraId="41B0BC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（4）环保奖惩条例</w:t>
            </w:r>
          </w:p>
          <w:p w14:paraId="30EF9C3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厂区应加强宣传教育，增强员工的污染隐患意识和环境风险意识；制定员工参与环保技术培训的计划，提高员工技术素质水平；设立岗位职责制，制定严格的奖、罚制度。建议厂区设置环境保护奖励条例，纳入人员考核体系。对爱护环保设施、节能降耗、改善环境者实行奖励；对环保观念淡薄、不按环保管理要求，造成环保设施损坏、环境污染及资源和能源浪费者一律处以重罚。</w:t>
            </w:r>
          </w:p>
          <w:p w14:paraId="2314AE1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（5）排污许可证制度</w:t>
            </w:r>
          </w:p>
          <w:p w14:paraId="6F1F251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必须按期持证排污、按证排污，不得无证排污。厂区应及时申领排污许可证，对申请材料的真实性、准确性和完整性承担法律责任，承诺按照排污许可证的规定排污并严格执行；落实污染物排放控制措施和其他各项环境管理要求，确保污染物排放种类、浓度和排放量等达到许可要求；明确单位负责人和相关人员环境保护责任，不断提高污染治理和环境管理水平，自觉接受监督检查。</w:t>
            </w:r>
          </w:p>
          <w:p w14:paraId="02F2B11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（6）环境公开制度及在线监测系统情况说明</w:t>
            </w:r>
          </w:p>
          <w:p w14:paraId="5AE5CF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应依法开展自行监测，安装或使用监测设备应符合国家有关环境监测、计量认证规定和技术规范，保障数据合法有效，保证设备正常运行，妥善保存原始记录，建立准确完整的环境管理台账，安装在线监测设备的应与生态环境部门联网。</w:t>
            </w:r>
          </w:p>
          <w:p w14:paraId="780CBA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（7）信息公开制度</w:t>
            </w:r>
          </w:p>
          <w:p w14:paraId="23FF8F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建设单位在环评编制、审批、排污许可证申请、竣工环保验收、正常运行等各阶段均应按照有关要求，通过网站或者其他便于公众知悉的方式，依法向社会公开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相关内容。</w:t>
            </w:r>
          </w:p>
          <w:p w14:paraId="4DAE86C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lang w:val="en-US" w:eastAsia="zh-CN"/>
                <w14:textFill>
                  <w14:solidFill>
                    <w14:schemeClr w14:val="tx1"/>
                  </w14:solidFill>
                </w14:textFill>
              </w:rPr>
              <w:t>3、</w:t>
            </w:r>
            <w:r>
              <w:rPr>
                <w:rFonts w:hint="default" w:ascii="Times New Roman" w:hAnsi="Times New Roman" w:eastAsia="宋体" w:cs="Times New Roman"/>
                <w:b/>
                <w:bCs w:val="0"/>
                <w:color w:val="000000" w:themeColor="text1"/>
                <w:sz w:val="24"/>
                <w14:textFill>
                  <w14:solidFill>
                    <w14:schemeClr w14:val="tx1"/>
                  </w14:solidFill>
                </w14:textFill>
              </w:rPr>
              <w:t>排污口规范化设置</w:t>
            </w:r>
          </w:p>
          <w:p w14:paraId="61B757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设置与管理排污口（指排水口和固废临时堆放场所）在排污口附近醒目处按规定设置环保标志牌，排污口的设置要合理，便于采集监测样品、便于监测计量、便于公众参与监督管理。</w:t>
            </w:r>
          </w:p>
          <w:p w14:paraId="28FF215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lang w:val="en-US" w:eastAsia="zh-CN"/>
                <w14:textFill>
                  <w14:solidFill>
                    <w14:schemeClr w14:val="tx1"/>
                  </w14:solidFill>
                </w14:textFill>
              </w:rPr>
              <w:t>4、</w:t>
            </w:r>
            <w:r>
              <w:rPr>
                <w:rFonts w:hint="default" w:ascii="Times New Roman" w:hAnsi="Times New Roman" w:eastAsia="宋体" w:cs="Times New Roman"/>
                <w:b/>
                <w:bCs w:val="0"/>
                <w:color w:val="000000" w:themeColor="text1"/>
                <w:sz w:val="24"/>
                <w14:textFill>
                  <w14:solidFill>
                    <w14:schemeClr w14:val="tx1"/>
                  </w14:solidFill>
                </w14:textFill>
              </w:rPr>
              <w:t>环保资金</w:t>
            </w:r>
          </w:p>
          <w:p w14:paraId="43383F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建设单位应制定环境保护设施和措施的建设、运行及维护费用保障计划，保证本报告提出的各项环保投资以及项目运营期的环保设施运行管理费用等落实到位，确保各项环保设施达到设计规定的效率和效果。</w:t>
            </w:r>
          </w:p>
          <w:p w14:paraId="12E4D6F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lang w:val="en-US" w:eastAsia="zh-CN"/>
                <w14:textFill>
                  <w14:solidFill>
                    <w14:schemeClr w14:val="tx1"/>
                  </w14:solidFill>
                </w14:textFill>
              </w:rPr>
              <w:t>5、</w:t>
            </w:r>
            <w:r>
              <w:rPr>
                <w:rFonts w:hint="default" w:ascii="Times New Roman" w:hAnsi="Times New Roman" w:eastAsia="宋体" w:cs="Times New Roman"/>
                <w:b/>
                <w:bCs w:val="0"/>
                <w:color w:val="000000" w:themeColor="text1"/>
                <w:sz w:val="24"/>
                <w14:textFill>
                  <w14:solidFill>
                    <w14:schemeClr w14:val="tx1"/>
                  </w14:solidFill>
                </w14:textFill>
              </w:rPr>
              <w:t>环境风险管理</w:t>
            </w:r>
          </w:p>
          <w:p w14:paraId="7533A15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公司应按照本环评提出的要求及相关应急预案文件建立环境风险防控和应</w:t>
            </w:r>
          </w:p>
          <w:p w14:paraId="64F8F89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急措施制度，包括应急物资维护管理制度、应急设施维护管理制度、人员安全防护管理制度、仓库安全管理制度、危化品装卸管理制度、危险废物规范化管理制度等，需落实定期巡检和维护责任制度。</w:t>
            </w:r>
          </w:p>
          <w:p w14:paraId="0AD59F5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公司应建设应急预案体系，应急救援组织机构中技术组协助指挥部做好事件报警、通报及处置工作；向周边企业提供本单位有关危险物质特性、应急措施、救援知识等；疏散组根据现场情况判断是否需要人员紧急疏散和抢救物资，如需紧急疏散须及时规定疏散路线和疏散路口；并及时协助厂内员工和周围人员及居民的紧急疏散工作。</w:t>
            </w:r>
          </w:p>
          <w:p w14:paraId="2A4876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定期对职工开展环境风险和环境应急管理宣传和培训。在厂区内张贴应急救援机构和人员、风险物质危险特性、急救措施、风险事故内部疏散路线等标识牌。定期开展安全生产动员大会；定期组织员工进行专题培训，形式有内部专家培训讲座及外部培训班等。</w:t>
            </w:r>
          </w:p>
          <w:p w14:paraId="30F57DC1">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val="0"/>
                <w:color w:val="000000" w:themeColor="text1"/>
                <w:sz w:val="24"/>
                <w14:textFill>
                  <w14:solidFill>
                    <w14:schemeClr w14:val="tx1"/>
                  </w14:solidFill>
                </w14:textFill>
              </w:rPr>
            </w:pPr>
            <w:r>
              <w:rPr>
                <w:rFonts w:hint="default" w:ascii="Times New Roman" w:hAnsi="Times New Roman" w:eastAsia="宋体" w:cs="Times New Roman"/>
                <w:b/>
                <w:bCs w:val="0"/>
                <w:color w:val="000000" w:themeColor="text1"/>
                <w:sz w:val="24"/>
                <w:lang w:val="en-US" w:eastAsia="zh-CN"/>
                <w14:textFill>
                  <w14:solidFill>
                    <w14:schemeClr w14:val="tx1"/>
                  </w14:solidFill>
                </w14:textFill>
              </w:rPr>
              <w:t>八、</w:t>
            </w:r>
            <w:r>
              <w:rPr>
                <w:rFonts w:hint="default" w:ascii="Times New Roman" w:hAnsi="Times New Roman" w:eastAsia="宋体" w:cs="Times New Roman"/>
                <w:b/>
                <w:bCs w:val="0"/>
                <w:color w:val="000000" w:themeColor="text1"/>
                <w:sz w:val="24"/>
                <w14:textFill>
                  <w14:solidFill>
                    <w14:schemeClr w14:val="tx1"/>
                  </w14:solidFill>
                </w14:textFill>
              </w:rPr>
              <w:t>环境监测计划</w:t>
            </w:r>
          </w:p>
          <w:p w14:paraId="207927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本项目在施工期和运行期均会对环境质量造成一定影响，因此，除了加强环境管理，还应定期进行环境监测，了解项目在不同时期对周围环境的影响，以便采取相应措施，最大程度上减轻不利影响。</w:t>
            </w:r>
          </w:p>
          <w:p w14:paraId="4B0F52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建设单位应设立专职环境监测人员负责运行期环境质量的日常监测工作或</w:t>
            </w:r>
          </w:p>
          <w:p w14:paraId="30394B5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000000" w:themeColor="text1"/>
                <w:sz w:val="24"/>
                <w:lang w:eastAsia="zh-CN"/>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委托当地环境监测站或得到环境管理部门认可的有资质单位进行监测，监测结果上报当地环境保护主管部门</w:t>
            </w:r>
            <w:r>
              <w:rPr>
                <w:rFonts w:hint="default" w:ascii="Times New Roman" w:hAnsi="Times New Roman" w:eastAsia="宋体" w:cs="Times New Roman"/>
                <w:bCs/>
                <w:color w:val="000000" w:themeColor="text1"/>
                <w:sz w:val="24"/>
                <w:lang w:eastAsia="zh-CN"/>
                <w14:textFill>
                  <w14:solidFill>
                    <w14:schemeClr w14:val="tx1"/>
                  </w14:solidFill>
                </w14:textFill>
              </w:rPr>
              <w:t>。</w:t>
            </w:r>
          </w:p>
          <w:p w14:paraId="6EC449B4">
            <w:pPr>
              <w:pStyle w:val="165"/>
              <w:keepNext w:val="0"/>
              <w:keepLines w:val="0"/>
              <w:pageBreakBefore w:val="0"/>
              <w:widowControl w:val="0"/>
              <w:numPr>
                <w:ilvl w:val="0"/>
                <w:numId w:val="21"/>
              </w:numPr>
              <w:kinsoku/>
              <w:wordWrap/>
              <w:overflowPunct/>
              <w:topLinePunct w:val="0"/>
              <w:autoSpaceDE/>
              <w:autoSpaceDN/>
              <w:bidi w:val="0"/>
              <w:adjustRightInd w:val="0"/>
              <w:snapToGrid w:val="0"/>
              <w:spacing w:line="240" w:lineRule="auto"/>
              <w:ind w:left="0" w:firstLine="0"/>
              <w:jc w:val="center"/>
              <w:textAlignment w:val="auto"/>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eastAsia" w:ascii="Times New Roman" w:hAnsi="Times New Roman" w:cs="Times New Roman"/>
                <w:b/>
                <w:bCs/>
                <w:color w:val="000000" w:themeColor="text1"/>
                <w:sz w:val="21"/>
                <w:szCs w:val="21"/>
                <w:lang w:val="en-US" w:eastAsia="zh-CN"/>
                <w14:textFill>
                  <w14:solidFill>
                    <w14:schemeClr w14:val="tx1"/>
                  </w14:solidFill>
                </w14:textFill>
              </w:rPr>
              <w:t>环境监测</w:t>
            </w:r>
            <w: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t>基本内容</w:t>
            </w:r>
          </w:p>
          <w:tbl>
            <w:tblPr>
              <w:tblStyle w:val="5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670"/>
              <w:gridCol w:w="612"/>
              <w:gridCol w:w="1687"/>
              <w:gridCol w:w="2909"/>
              <w:gridCol w:w="2296"/>
            </w:tblGrid>
            <w:tr w14:paraId="31C3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7" w:hRule="atLeast"/>
                <w:jc w:val="center"/>
              </w:trPr>
              <w:tc>
                <w:tcPr>
                  <w:tcW w:w="410" w:type="pct"/>
                  <w:vAlign w:val="center"/>
                </w:tcPr>
                <w:p w14:paraId="717581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阶段</w:t>
                  </w:r>
                </w:p>
              </w:tc>
              <w:tc>
                <w:tcPr>
                  <w:tcW w:w="374" w:type="pct"/>
                  <w:vAlign w:val="center"/>
                </w:tcPr>
                <w:p w14:paraId="08389B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项目</w:t>
                  </w:r>
                </w:p>
              </w:tc>
              <w:tc>
                <w:tcPr>
                  <w:tcW w:w="1031" w:type="pct"/>
                  <w:vAlign w:val="center"/>
                </w:tcPr>
                <w:p w14:paraId="06B6A9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点位</w:t>
                  </w:r>
                </w:p>
              </w:tc>
              <w:tc>
                <w:tcPr>
                  <w:tcW w:w="1778" w:type="pct"/>
                  <w:vAlign w:val="center"/>
                </w:tcPr>
                <w:p w14:paraId="7EEC68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监测内容</w:t>
                  </w:r>
                </w:p>
              </w:tc>
              <w:tc>
                <w:tcPr>
                  <w:tcW w:w="1403" w:type="pct"/>
                  <w:vAlign w:val="center"/>
                </w:tcPr>
                <w:p w14:paraId="55EEAC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频次及要求</w:t>
                  </w:r>
                </w:p>
              </w:tc>
            </w:tr>
            <w:tr w14:paraId="1F98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7" w:hRule="atLeast"/>
                <w:jc w:val="center"/>
              </w:trPr>
              <w:tc>
                <w:tcPr>
                  <w:tcW w:w="410" w:type="pct"/>
                  <w:vMerge w:val="restart"/>
                  <w:vAlign w:val="center"/>
                </w:tcPr>
                <w:p w14:paraId="1ABD55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施工期</w:t>
                  </w:r>
                </w:p>
              </w:tc>
              <w:tc>
                <w:tcPr>
                  <w:tcW w:w="374" w:type="pct"/>
                  <w:vAlign w:val="center"/>
                </w:tcPr>
                <w:p w14:paraId="192A07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环境空气</w:t>
                  </w:r>
                </w:p>
              </w:tc>
              <w:tc>
                <w:tcPr>
                  <w:tcW w:w="1031" w:type="pct"/>
                  <w:vAlign w:val="center"/>
                </w:tcPr>
                <w:p w14:paraId="434908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取水头部施工场地</w:t>
                  </w:r>
                </w:p>
              </w:tc>
              <w:tc>
                <w:tcPr>
                  <w:tcW w:w="1778" w:type="pct"/>
                  <w:vAlign w:val="center"/>
                </w:tcPr>
                <w:p w14:paraId="1436A3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TSP</w:t>
                  </w:r>
                </w:p>
              </w:tc>
              <w:tc>
                <w:tcPr>
                  <w:tcW w:w="1403" w:type="pct"/>
                  <w:vAlign w:val="center"/>
                </w:tcPr>
                <w:p w14:paraId="0994F1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施工高峰期进行1次；每次连续采样3天</w:t>
                  </w:r>
                </w:p>
              </w:tc>
            </w:tr>
            <w:tr w14:paraId="3EA8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2" w:hRule="atLeast"/>
                <w:jc w:val="center"/>
              </w:trPr>
              <w:tc>
                <w:tcPr>
                  <w:tcW w:w="410" w:type="pct"/>
                  <w:vMerge w:val="continue"/>
                  <w:vAlign w:val="center"/>
                </w:tcPr>
                <w:p w14:paraId="4A32182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374" w:type="pct"/>
                  <w:vAlign w:val="center"/>
                </w:tcPr>
                <w:p w14:paraId="26F706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地表水</w:t>
                  </w:r>
                </w:p>
              </w:tc>
              <w:tc>
                <w:tcPr>
                  <w:tcW w:w="1031" w:type="pct"/>
                  <w:vAlign w:val="center"/>
                </w:tcPr>
                <w:p w14:paraId="34770E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取水头部上游200m、取水头部、取水头部下游1000m</w:t>
                  </w:r>
                </w:p>
              </w:tc>
              <w:tc>
                <w:tcPr>
                  <w:tcW w:w="1778" w:type="pct"/>
                  <w:vAlign w:val="center"/>
                </w:tcPr>
                <w:p w14:paraId="56562D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pH、SS、COD、BOD</w:t>
                  </w:r>
                  <w:r>
                    <w:rPr>
                      <w:rFonts w:hint="default" w:ascii="Times New Roman" w:hAnsi="Times New Roman" w:eastAsia="宋体" w:cs="Times New Roman"/>
                      <w:b w:val="0"/>
                      <w:bCs/>
                      <w:color w:val="000000" w:themeColor="text1"/>
                      <w:sz w:val="21"/>
                      <w:szCs w:val="21"/>
                      <w:vertAlign w:val="subscript"/>
                      <w:lang w:val="en-US" w:eastAsia="zh-CN"/>
                      <w14:textFill>
                        <w14:solidFill>
                          <w14:schemeClr w14:val="tx1"/>
                        </w14:solidFill>
                      </w14:textFill>
                    </w:rPr>
                    <w:t>5</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、总磷、总氮、叶绿素a、石油类和粪大肠菌群等</w:t>
                  </w:r>
                </w:p>
              </w:tc>
              <w:tc>
                <w:tcPr>
                  <w:tcW w:w="1403" w:type="pct"/>
                  <w:vAlign w:val="center"/>
                </w:tcPr>
                <w:p w14:paraId="560192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施工高峰期间的枯水期1次；每次连续采样3天</w:t>
                  </w:r>
                </w:p>
              </w:tc>
            </w:tr>
            <w:tr w14:paraId="5458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2" w:hRule="atLeast"/>
                <w:jc w:val="center"/>
              </w:trPr>
              <w:tc>
                <w:tcPr>
                  <w:tcW w:w="410" w:type="pct"/>
                  <w:vMerge w:val="continue"/>
                  <w:vAlign w:val="center"/>
                </w:tcPr>
                <w:p w14:paraId="2F4C45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374" w:type="pct"/>
                  <w:vAlign w:val="center"/>
                </w:tcPr>
                <w:p w14:paraId="6C255A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声环境</w:t>
                  </w:r>
                </w:p>
              </w:tc>
              <w:tc>
                <w:tcPr>
                  <w:tcW w:w="1031" w:type="pct"/>
                  <w:vAlign w:val="center"/>
                </w:tcPr>
                <w:p w14:paraId="41914F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泸定小学、泸定城区、泸桥村</w:t>
                  </w:r>
                </w:p>
              </w:tc>
              <w:tc>
                <w:tcPr>
                  <w:tcW w:w="1778" w:type="pct"/>
                  <w:vAlign w:val="center"/>
                </w:tcPr>
                <w:p w14:paraId="594107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连续等效A声级</w:t>
                  </w:r>
                </w:p>
              </w:tc>
              <w:tc>
                <w:tcPr>
                  <w:tcW w:w="1403" w:type="pct"/>
                  <w:vAlign w:val="center"/>
                </w:tcPr>
                <w:p w14:paraId="304AA4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施工高峰期进行1次，连续2天，昼夜各1次</w:t>
                  </w:r>
                </w:p>
              </w:tc>
            </w:tr>
            <w:tr w14:paraId="2C3F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2" w:hRule="atLeast"/>
                <w:jc w:val="center"/>
              </w:trPr>
              <w:tc>
                <w:tcPr>
                  <w:tcW w:w="410" w:type="pct"/>
                  <w:vAlign w:val="center"/>
                </w:tcPr>
                <w:p w14:paraId="240C59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运营期</w:t>
                  </w:r>
                </w:p>
              </w:tc>
              <w:tc>
                <w:tcPr>
                  <w:tcW w:w="374" w:type="pct"/>
                  <w:vAlign w:val="center"/>
                </w:tcPr>
                <w:p w14:paraId="730253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地表水</w:t>
                  </w:r>
                </w:p>
              </w:tc>
              <w:tc>
                <w:tcPr>
                  <w:tcW w:w="1031" w:type="pct"/>
                  <w:vAlign w:val="center"/>
                </w:tcPr>
                <w:p w14:paraId="2C66BB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取水头部</w:t>
                  </w:r>
                </w:p>
              </w:tc>
              <w:tc>
                <w:tcPr>
                  <w:tcW w:w="1778" w:type="pct"/>
                  <w:vAlign w:val="center"/>
                </w:tcPr>
                <w:p w14:paraId="04221D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水温、pH、溶解氧、高锰酸盐指数、COD、BOD</w:t>
                  </w:r>
                  <w:r>
                    <w:rPr>
                      <w:rFonts w:hint="default" w:ascii="Times New Roman" w:hAnsi="Times New Roman" w:eastAsia="宋体" w:cs="Times New Roman"/>
                      <w:b w:val="0"/>
                      <w:bCs/>
                      <w:color w:val="000000" w:themeColor="text1"/>
                      <w:sz w:val="21"/>
                      <w:szCs w:val="21"/>
                      <w:vertAlign w:val="subscript"/>
                      <w:lang w:val="en-US" w:eastAsia="zh-CN"/>
                      <w14:textFill>
                        <w14:solidFill>
                          <w14:schemeClr w14:val="tx1"/>
                        </w14:solidFill>
                      </w14:textFill>
                    </w:rPr>
                    <w:t>5</w:t>
                  </w: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、氨氮、总磷、总氮、铜、锌、氟化物、砷、汞、镉、六价铬、铅、总氰化物、挥发酚、石油类和粪大肠菌群，叶绿素a共22项</w:t>
                  </w:r>
                </w:p>
              </w:tc>
              <w:tc>
                <w:tcPr>
                  <w:tcW w:w="1403" w:type="pct"/>
                  <w:vAlign w:val="center"/>
                </w:tcPr>
                <w:p w14:paraId="173AE4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lang w:val="en-US" w:eastAsia="zh-CN"/>
                      <w14:textFill>
                        <w14:solidFill>
                          <w14:schemeClr w14:val="tx1"/>
                        </w14:solidFill>
                      </w14:textFill>
                    </w:rPr>
                    <w:t>1月1次；每次连续采样3天</w:t>
                  </w:r>
                </w:p>
              </w:tc>
            </w:tr>
          </w:tbl>
          <w:p w14:paraId="1D34EF45">
            <w:pPr>
              <w:pStyle w:val="54"/>
              <w:rPr>
                <w:rFonts w:hint="default" w:ascii="Times New Roman" w:hAnsi="Times New Roman" w:eastAsia="宋体" w:cs="Times New Roman"/>
                <w:color w:val="000000" w:themeColor="text1"/>
                <w:lang w:eastAsia="zh-CN"/>
                <w14:textFill>
                  <w14:solidFill>
                    <w14:schemeClr w14:val="tx1"/>
                  </w14:solidFill>
                </w14:textFill>
              </w:rPr>
            </w:pPr>
          </w:p>
        </w:tc>
      </w:tr>
    </w:tbl>
    <w:p w14:paraId="5300E290">
      <w:pPr>
        <w:pStyle w:val="133"/>
        <w:widowControl w:val="0"/>
        <w:kinsoku/>
        <w:ind w:firstLine="0" w:firstLineChars="0"/>
        <w:rPr>
          <w:rFonts w:hint="default" w:ascii="Times New Roman" w:hAnsi="Times New Roman" w:eastAsia="宋体" w:cs="Times New Roman"/>
          <w:color w:val="000000" w:themeColor="text1"/>
          <w14:textFill>
            <w14:solidFill>
              <w14:schemeClr w14:val="tx1"/>
            </w14:solidFill>
          </w14:textFill>
        </w:rPr>
        <w:sectPr>
          <w:pgSz w:w="11907" w:h="16840"/>
          <w:pgMar w:top="1418" w:right="1531" w:bottom="1418" w:left="1531" w:header="851" w:footer="851" w:gutter="0"/>
          <w:pgBorders>
            <w:top w:val="none" w:sz="0" w:space="0"/>
            <w:left w:val="none" w:sz="0" w:space="0"/>
            <w:bottom w:val="none" w:sz="0" w:space="0"/>
            <w:right w:val="none" w:sz="0" w:space="0"/>
          </w:pgBorders>
          <w:cols w:space="720" w:num="1"/>
          <w:docGrid w:type="lines" w:linePitch="312" w:charSpace="0"/>
        </w:sectPr>
      </w:pPr>
    </w:p>
    <w:p w14:paraId="1BA100C6">
      <w:pPr>
        <w:pStyle w:val="49"/>
        <w:adjustRightInd w:val="0"/>
        <w:snapToGrid w:val="0"/>
        <w:spacing w:before="0" w:beforeAutospacing="0" w:after="0" w:afterAutospacing="0" w:line="360" w:lineRule="auto"/>
        <w:jc w:val="center"/>
        <w:outlineLvl w:val="0"/>
        <w:rPr>
          <w:rFonts w:hint="default" w:ascii="Times New Roman" w:hAnsi="Times New Roman" w:eastAsia="宋体" w:cs="Times New Roman"/>
          <w:b/>
          <w:snapToGrid w:val="0"/>
          <w:color w:val="000000" w:themeColor="text1"/>
          <w:kern w:val="21"/>
          <w:sz w:val="30"/>
          <w:szCs w:val="30"/>
          <w14:textFill>
            <w14:solidFill>
              <w14:schemeClr w14:val="tx1"/>
            </w14:solidFill>
          </w14:textFill>
        </w:rPr>
      </w:pPr>
      <w:r>
        <w:rPr>
          <w:rFonts w:hint="default" w:ascii="Times New Roman" w:hAnsi="Times New Roman" w:eastAsia="宋体" w:cs="Times New Roman"/>
          <w:b/>
          <w:snapToGrid w:val="0"/>
          <w:color w:val="000000" w:themeColor="text1"/>
          <w:kern w:val="21"/>
          <w:sz w:val="30"/>
          <w:szCs w:val="30"/>
          <w14:textFill>
            <w14:solidFill>
              <w14:schemeClr w14:val="tx1"/>
            </w14:solidFill>
          </w14:textFill>
        </w:rPr>
        <w:t>五、</w:t>
      </w:r>
      <w:bookmarkStart w:id="103" w:name="_Hlk54167917"/>
      <w:r>
        <w:rPr>
          <w:rFonts w:hint="default" w:ascii="Times New Roman" w:hAnsi="Times New Roman" w:eastAsia="宋体" w:cs="Times New Roman"/>
          <w:b/>
          <w:snapToGrid w:val="0"/>
          <w:color w:val="000000" w:themeColor="text1"/>
          <w:kern w:val="21"/>
          <w:sz w:val="30"/>
          <w:szCs w:val="30"/>
          <w14:textFill>
            <w14:solidFill>
              <w14:schemeClr w14:val="tx1"/>
            </w14:solidFill>
          </w14:textFill>
        </w:rPr>
        <w:t>环境保护措施监督检查清单</w:t>
      </w:r>
      <w:bookmarkEnd w:id="103"/>
    </w:p>
    <w:tbl>
      <w:tblPr>
        <w:tblStyle w:val="5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926"/>
        <w:gridCol w:w="1326"/>
        <w:gridCol w:w="1273"/>
        <w:gridCol w:w="2978"/>
        <w:gridCol w:w="2321"/>
      </w:tblGrid>
      <w:tr w14:paraId="4F7707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8" w:space="0"/>
              <w:bottom w:val="single" w:color="auto" w:sz="4" w:space="0"/>
              <w:tl2br w:val="single" w:color="auto" w:sz="4" w:space="0"/>
            </w:tcBorders>
          </w:tcPr>
          <w:p w14:paraId="0AA765DA">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内容</w:t>
            </w:r>
          </w:p>
          <w:p w14:paraId="52FB1F55">
            <w:pPr>
              <w:spacing w:line="360" w:lineRule="auto"/>
              <w:rPr>
                <w:rFonts w:hint="default" w:ascii="Times New Roman" w:hAnsi="Times New Roman" w:eastAsia="宋体" w:cs="Times New Roman"/>
                <w:b/>
                <w:color w:val="000000" w:themeColor="text1"/>
                <w:sz w:val="24"/>
                <w14:textFill>
                  <w14:solidFill>
                    <w14:schemeClr w14:val="tx1"/>
                  </w14:solidFill>
                </w14:textFill>
              </w:rPr>
            </w:pPr>
          </w:p>
          <w:p w14:paraId="06EDD022">
            <w:pPr>
              <w:spacing w:line="360" w:lineRule="auto"/>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要素</w:t>
            </w:r>
          </w:p>
        </w:tc>
        <w:tc>
          <w:tcPr>
            <w:tcW w:w="751" w:type="pct"/>
            <w:tcBorders>
              <w:top w:val="single" w:color="auto" w:sz="8" w:space="0"/>
              <w:bottom w:val="single" w:color="auto" w:sz="4" w:space="0"/>
            </w:tcBorders>
            <w:vAlign w:val="center"/>
          </w:tcPr>
          <w:p w14:paraId="6C564A11">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排放口（编号、名称）/污染源</w:t>
            </w:r>
          </w:p>
        </w:tc>
        <w:tc>
          <w:tcPr>
            <w:tcW w:w="721" w:type="pct"/>
            <w:tcBorders>
              <w:top w:val="single" w:color="auto" w:sz="8" w:space="0"/>
              <w:bottom w:val="single" w:color="auto" w:sz="4" w:space="0"/>
            </w:tcBorders>
            <w:vAlign w:val="center"/>
          </w:tcPr>
          <w:p w14:paraId="45646456">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污染物</w:t>
            </w:r>
          </w:p>
          <w:p w14:paraId="376A2251">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项目</w:t>
            </w:r>
          </w:p>
        </w:tc>
        <w:tc>
          <w:tcPr>
            <w:tcW w:w="1687" w:type="pct"/>
            <w:tcBorders>
              <w:top w:val="single" w:color="auto" w:sz="8" w:space="0"/>
              <w:bottom w:val="single" w:color="auto" w:sz="4" w:space="0"/>
            </w:tcBorders>
            <w:vAlign w:val="center"/>
          </w:tcPr>
          <w:p w14:paraId="7DB3468D">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环境保护措施</w:t>
            </w:r>
          </w:p>
        </w:tc>
        <w:tc>
          <w:tcPr>
            <w:tcW w:w="1314" w:type="pct"/>
            <w:tcBorders>
              <w:top w:val="single" w:color="auto" w:sz="8" w:space="0"/>
              <w:bottom w:val="single" w:color="auto" w:sz="4" w:space="0"/>
            </w:tcBorders>
            <w:vAlign w:val="center"/>
          </w:tcPr>
          <w:p w14:paraId="61A69A37">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执行标准</w:t>
            </w:r>
          </w:p>
        </w:tc>
      </w:tr>
      <w:tr w14:paraId="6E2E56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4" w:space="0"/>
              <w:bottom w:val="single" w:color="auto" w:sz="4" w:space="0"/>
            </w:tcBorders>
            <w:vAlign w:val="center"/>
          </w:tcPr>
          <w:p w14:paraId="24701296">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大气</w:t>
            </w:r>
          </w:p>
          <w:p w14:paraId="7A85B7D1">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环境</w:t>
            </w:r>
          </w:p>
        </w:tc>
        <w:tc>
          <w:tcPr>
            <w:tcW w:w="1337" w:type="dxa"/>
            <w:tcBorders>
              <w:top w:val="single" w:color="auto" w:sz="4" w:space="0"/>
              <w:bottom w:val="single" w:color="auto" w:sz="4" w:space="0"/>
            </w:tcBorders>
            <w:vAlign w:val="center"/>
          </w:tcPr>
          <w:p w14:paraId="6D52F31C">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1284" w:type="dxa"/>
            <w:tcBorders>
              <w:top w:val="single" w:color="auto" w:sz="4" w:space="0"/>
              <w:bottom w:val="single" w:color="auto" w:sz="4" w:space="0"/>
            </w:tcBorders>
            <w:vAlign w:val="center"/>
          </w:tcPr>
          <w:p w14:paraId="22457960">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3004" w:type="dxa"/>
            <w:tcBorders>
              <w:top w:val="single" w:color="auto" w:sz="4" w:space="0"/>
              <w:bottom w:val="single" w:color="auto" w:sz="4" w:space="0"/>
            </w:tcBorders>
            <w:vAlign w:val="center"/>
          </w:tcPr>
          <w:p w14:paraId="5E4E299F">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2341" w:type="dxa"/>
            <w:tcBorders>
              <w:top w:val="single" w:color="auto" w:sz="4" w:space="0"/>
              <w:bottom w:val="single" w:color="auto" w:sz="4" w:space="0"/>
            </w:tcBorders>
            <w:vAlign w:val="center"/>
          </w:tcPr>
          <w:p w14:paraId="40C2045E">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r>
      <w:tr w14:paraId="3B91C2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4" w:space="0"/>
              <w:bottom w:val="single" w:color="auto" w:sz="4" w:space="0"/>
            </w:tcBorders>
            <w:vAlign w:val="center"/>
          </w:tcPr>
          <w:p w14:paraId="6959171F">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地表水</w:t>
            </w:r>
          </w:p>
          <w:p w14:paraId="19D8FFDE">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环境</w:t>
            </w:r>
          </w:p>
        </w:tc>
        <w:tc>
          <w:tcPr>
            <w:tcW w:w="1337" w:type="dxa"/>
            <w:tcBorders>
              <w:top w:val="single" w:color="auto" w:sz="4" w:space="0"/>
              <w:bottom w:val="single" w:color="auto" w:sz="4" w:space="0"/>
            </w:tcBorders>
            <w:vAlign w:val="center"/>
          </w:tcPr>
          <w:p w14:paraId="1023762F">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1284" w:type="dxa"/>
            <w:tcBorders>
              <w:top w:val="single" w:color="auto" w:sz="4" w:space="0"/>
              <w:bottom w:val="single" w:color="auto" w:sz="4" w:space="0"/>
            </w:tcBorders>
            <w:vAlign w:val="center"/>
          </w:tcPr>
          <w:p w14:paraId="3B79B44E">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3004" w:type="dxa"/>
            <w:tcBorders>
              <w:top w:val="single" w:color="auto" w:sz="4" w:space="0"/>
              <w:bottom w:val="single" w:color="auto" w:sz="4" w:space="0"/>
            </w:tcBorders>
            <w:vAlign w:val="center"/>
          </w:tcPr>
          <w:p w14:paraId="4706D5E6">
            <w:pPr>
              <w:spacing w:line="360" w:lineRule="auto"/>
              <w:jc w:val="center"/>
              <w:rPr>
                <w:rFonts w:hint="default" w:ascii="Times New Roman" w:hAnsi="Times New Roman" w:eastAsia="宋体" w:cs="Times New Roman"/>
                <w:snapToGrid w:val="0"/>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2341" w:type="dxa"/>
            <w:tcBorders>
              <w:top w:val="single" w:color="auto" w:sz="4" w:space="0"/>
              <w:bottom w:val="single" w:color="auto" w:sz="4" w:space="0"/>
            </w:tcBorders>
            <w:vAlign w:val="center"/>
          </w:tcPr>
          <w:p w14:paraId="6C48AFEB">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r>
      <w:tr w14:paraId="4996F4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4" w:space="0"/>
              <w:bottom w:val="single" w:color="auto" w:sz="4" w:space="0"/>
            </w:tcBorders>
            <w:vAlign w:val="center"/>
          </w:tcPr>
          <w:p w14:paraId="6F4941F7">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声环境</w:t>
            </w:r>
          </w:p>
        </w:tc>
        <w:tc>
          <w:tcPr>
            <w:tcW w:w="1337" w:type="dxa"/>
            <w:tcBorders>
              <w:top w:val="single" w:color="auto" w:sz="4" w:space="0"/>
              <w:bottom w:val="single" w:color="auto" w:sz="4" w:space="0"/>
            </w:tcBorders>
            <w:vAlign w:val="center"/>
          </w:tcPr>
          <w:p w14:paraId="68748189">
            <w:pPr>
              <w:spacing w:line="360" w:lineRule="auto"/>
              <w:jc w:val="center"/>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1284" w:type="dxa"/>
            <w:tcBorders>
              <w:top w:val="single" w:color="auto" w:sz="4" w:space="0"/>
              <w:bottom w:val="single" w:color="auto" w:sz="4" w:space="0"/>
            </w:tcBorders>
            <w:vAlign w:val="center"/>
          </w:tcPr>
          <w:p w14:paraId="589A58AF">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3004" w:type="dxa"/>
            <w:tcBorders>
              <w:top w:val="single" w:color="auto" w:sz="4" w:space="0"/>
              <w:bottom w:val="single" w:color="auto" w:sz="4" w:space="0"/>
            </w:tcBorders>
            <w:vAlign w:val="center"/>
          </w:tcPr>
          <w:p w14:paraId="34490B57">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2341" w:type="dxa"/>
            <w:tcBorders>
              <w:top w:val="single" w:color="auto" w:sz="4" w:space="0"/>
              <w:bottom w:val="single" w:color="auto" w:sz="4" w:space="0"/>
            </w:tcBorders>
            <w:vAlign w:val="center"/>
          </w:tcPr>
          <w:p w14:paraId="786B5B35">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r>
      <w:tr w14:paraId="053FFE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4" w:space="0"/>
              <w:bottom w:val="single" w:color="auto" w:sz="4" w:space="0"/>
            </w:tcBorders>
            <w:vAlign w:val="center"/>
          </w:tcPr>
          <w:p w14:paraId="3F2D6EF1">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电磁</w:t>
            </w:r>
          </w:p>
          <w:p w14:paraId="4D05FB1A">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辐射</w:t>
            </w:r>
          </w:p>
        </w:tc>
        <w:tc>
          <w:tcPr>
            <w:tcW w:w="751" w:type="pct"/>
            <w:tcBorders>
              <w:top w:val="single" w:color="auto" w:sz="4" w:space="0"/>
              <w:bottom w:val="single" w:color="auto" w:sz="4" w:space="0"/>
            </w:tcBorders>
            <w:vAlign w:val="center"/>
          </w:tcPr>
          <w:p w14:paraId="797EEF55">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721" w:type="pct"/>
            <w:tcBorders>
              <w:top w:val="single" w:color="auto" w:sz="4" w:space="0"/>
              <w:bottom w:val="single" w:color="auto" w:sz="4" w:space="0"/>
            </w:tcBorders>
            <w:vAlign w:val="center"/>
          </w:tcPr>
          <w:p w14:paraId="15B07662">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1687" w:type="pct"/>
            <w:tcBorders>
              <w:top w:val="single" w:color="auto" w:sz="4" w:space="0"/>
              <w:bottom w:val="single" w:color="auto" w:sz="4" w:space="0"/>
            </w:tcBorders>
            <w:vAlign w:val="center"/>
          </w:tcPr>
          <w:p w14:paraId="2DBA53A9">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1314" w:type="pct"/>
            <w:tcBorders>
              <w:top w:val="single" w:color="auto" w:sz="4" w:space="0"/>
              <w:bottom w:val="single" w:color="auto" w:sz="4" w:space="0"/>
            </w:tcBorders>
            <w:vAlign w:val="center"/>
          </w:tcPr>
          <w:p w14:paraId="60284DDD">
            <w:pPr>
              <w:spacing w:line="360" w:lineRule="auto"/>
              <w:jc w:val="cente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r>
      <w:tr w14:paraId="3B7A2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4" w:space="0"/>
              <w:bottom w:val="single" w:color="auto" w:sz="4" w:space="0"/>
            </w:tcBorders>
            <w:vAlign w:val="center"/>
          </w:tcPr>
          <w:p w14:paraId="0311D348">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固体</w:t>
            </w:r>
          </w:p>
          <w:p w14:paraId="5DE31F89">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废物</w:t>
            </w:r>
          </w:p>
        </w:tc>
        <w:tc>
          <w:tcPr>
            <w:tcW w:w="4474" w:type="pct"/>
            <w:gridSpan w:val="4"/>
            <w:tcBorders>
              <w:top w:val="single" w:color="auto" w:sz="4" w:space="0"/>
              <w:bottom w:val="single" w:color="auto" w:sz="4" w:space="0"/>
            </w:tcBorders>
            <w:vAlign w:val="center"/>
          </w:tcPr>
          <w:p w14:paraId="0CEEAD47">
            <w:pPr>
              <w:spacing w:line="360" w:lineRule="auto"/>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一般工业固废：</w:t>
            </w:r>
            <w:r>
              <w:rPr>
                <w:rFonts w:hint="default" w:ascii="Times New Roman" w:hAnsi="Times New Roman" w:eastAsia="宋体" w:cs="Times New Roman"/>
                <w:color w:val="000000" w:themeColor="text1"/>
                <w:kern w:val="0"/>
                <w:sz w:val="24"/>
                <w14:textFill>
                  <w14:solidFill>
                    <w14:schemeClr w14:val="tx1"/>
                  </w14:solidFill>
                </w14:textFill>
              </w:rPr>
              <w:t>底泥定期清运至相关回收单位</w:t>
            </w:r>
            <w:r>
              <w:rPr>
                <w:rFonts w:hint="default" w:ascii="Times New Roman" w:hAnsi="Times New Roman" w:eastAsia="宋体" w:cs="Times New Roman"/>
                <w:color w:val="000000" w:themeColor="text1"/>
                <w:sz w:val="24"/>
                <w14:textFill>
                  <w14:solidFill>
                    <w14:schemeClr w14:val="tx1"/>
                  </w14:solidFill>
                </w14:textFill>
              </w:rPr>
              <w:t>。</w:t>
            </w:r>
          </w:p>
        </w:tc>
      </w:tr>
      <w:tr w14:paraId="480DB9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4" w:space="0"/>
              <w:bottom w:val="single" w:color="auto" w:sz="4" w:space="0"/>
            </w:tcBorders>
            <w:vAlign w:val="center"/>
          </w:tcPr>
          <w:p w14:paraId="59051F76">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土壤及地下水污染防治措施</w:t>
            </w:r>
          </w:p>
        </w:tc>
        <w:tc>
          <w:tcPr>
            <w:tcW w:w="4474" w:type="pct"/>
            <w:gridSpan w:val="4"/>
            <w:tcBorders>
              <w:top w:val="single" w:color="auto" w:sz="4" w:space="0"/>
              <w:bottom w:val="single" w:color="auto" w:sz="4" w:space="0"/>
            </w:tcBorders>
            <w:vAlign w:val="center"/>
          </w:tcPr>
          <w:p w14:paraId="22F5BAD8">
            <w:pPr>
              <w:spacing w:line="360" w:lineRule="auto"/>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w:t>
            </w:r>
          </w:p>
        </w:tc>
      </w:tr>
      <w:tr w14:paraId="0677DE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4" w:space="0"/>
              <w:bottom w:val="single" w:color="auto" w:sz="4" w:space="0"/>
            </w:tcBorders>
            <w:vAlign w:val="center"/>
          </w:tcPr>
          <w:p w14:paraId="519BC6F4">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生态保护措施</w:t>
            </w:r>
          </w:p>
        </w:tc>
        <w:tc>
          <w:tcPr>
            <w:tcW w:w="4474" w:type="pct"/>
            <w:gridSpan w:val="4"/>
            <w:tcBorders>
              <w:top w:val="single" w:color="auto" w:sz="4" w:space="0"/>
              <w:bottom w:val="single" w:color="auto" w:sz="4" w:space="0"/>
            </w:tcBorders>
            <w:vAlign w:val="center"/>
          </w:tcPr>
          <w:p w14:paraId="602C4E10">
            <w:pPr>
              <w:pStyle w:val="111"/>
              <w:spacing w:line="360" w:lineRule="auto"/>
              <w:jc w:val="both"/>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施工期：</w:t>
            </w:r>
          </w:p>
          <w:p w14:paraId="1EBBAA56">
            <w:pPr>
              <w:pStyle w:val="111"/>
              <w:spacing w:line="360" w:lineRule="auto"/>
              <w:jc w:val="both"/>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对植被的保护措施：</w:t>
            </w:r>
            <w:r>
              <w:rPr>
                <w:rFonts w:hint="default" w:ascii="Times New Roman" w:hAnsi="Times New Roman" w:eastAsia="宋体" w:cs="Times New Roman"/>
                <w:color w:val="000000" w:themeColor="text1"/>
                <w:sz w:val="24"/>
                <w:szCs w:val="24"/>
                <w14:textFill>
                  <w14:solidFill>
                    <w14:schemeClr w14:val="tx1"/>
                  </w14:solidFill>
                </w14:textFill>
              </w:rPr>
              <w:t>严禁烟火、警示保护。少占禁伐；加强教育、保护宣传；迹地恢复，种植植物。</w:t>
            </w:r>
          </w:p>
          <w:p w14:paraId="208255A6">
            <w:pPr>
              <w:pStyle w:val="111"/>
              <w:spacing w:line="360" w:lineRule="auto"/>
              <w:jc w:val="both"/>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对动物的保护措施：</w:t>
            </w:r>
            <w:r>
              <w:rPr>
                <w:rFonts w:hint="default" w:ascii="Times New Roman" w:hAnsi="Times New Roman" w:eastAsia="宋体" w:cs="Times New Roman"/>
                <w:color w:val="000000" w:themeColor="text1"/>
                <w:sz w:val="24"/>
                <w:szCs w:val="24"/>
                <w14:textFill>
                  <w14:solidFill>
                    <w14:schemeClr w14:val="tx1"/>
                  </w14:solidFill>
                </w14:textFill>
              </w:rPr>
              <w:t>严控施工作业范围；提高意识、禁止狩猎；施工安排少惊扰。落实环境保护措施；防止外来物种迁入；加强教育、保护宣传。</w:t>
            </w:r>
          </w:p>
          <w:p w14:paraId="431C81D1">
            <w:pPr>
              <w:spacing w:line="360" w:lineRule="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水土流失保持：</w:t>
            </w:r>
            <w:r>
              <w:rPr>
                <w:rFonts w:hint="default" w:ascii="Times New Roman" w:hAnsi="Times New Roman" w:eastAsia="宋体" w:cs="Times New Roman"/>
                <w:color w:val="000000" w:themeColor="text1"/>
                <w:sz w:val="24"/>
                <w14:textFill>
                  <w14:solidFill>
                    <w14:schemeClr w14:val="tx1"/>
                  </w14:solidFill>
                </w14:textFill>
              </w:rPr>
              <w:t>施工区设置拦挡、</w:t>
            </w:r>
            <w:r>
              <w:rPr>
                <w:rFonts w:hint="eastAsia" w:ascii="Times New Roman" w:hAnsi="Times New Roman" w:cs="Times New Roman"/>
                <w:color w:val="000000" w:themeColor="text1"/>
                <w:sz w:val="24"/>
                <w:lang w:eastAsia="zh-CN"/>
                <w14:textFill>
                  <w14:solidFill>
                    <w14:schemeClr w14:val="tx1"/>
                  </w14:solidFill>
                </w14:textFill>
              </w:rPr>
              <w:t>截流</w:t>
            </w:r>
            <w:r>
              <w:rPr>
                <w:rFonts w:hint="default" w:ascii="Times New Roman" w:hAnsi="Times New Roman" w:eastAsia="宋体" w:cs="Times New Roman"/>
                <w:color w:val="000000" w:themeColor="text1"/>
                <w:sz w:val="24"/>
                <w14:textFill>
                  <w14:solidFill>
                    <w14:schemeClr w14:val="tx1"/>
                  </w14:solidFill>
                </w14:textFill>
              </w:rPr>
              <w:t>沟、沉淀池等；原料堆场、临时堆土场设置防水薄膜覆盖等措施；合理安排施工时间，及时覆土绿化；减少施工周期等措施。</w:t>
            </w:r>
          </w:p>
          <w:p w14:paraId="37AD17D4">
            <w:pPr>
              <w:spacing w:line="360" w:lineRule="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运营期：</w:t>
            </w:r>
            <w:r>
              <w:rPr>
                <w:rFonts w:hint="default" w:ascii="Times New Roman" w:hAnsi="Times New Roman" w:eastAsia="宋体" w:cs="Times New Roman"/>
                <w:b w:val="0"/>
                <w:bCs w:val="0"/>
                <w:color w:val="000000" w:themeColor="text1"/>
                <w:sz w:val="24"/>
                <w:lang w:val="en-US" w:eastAsia="zh-CN"/>
                <w14:textFill>
                  <w14:solidFill>
                    <w14:schemeClr w14:val="tx1"/>
                  </w14:solidFill>
                </w14:textFill>
              </w:rPr>
              <w:t>下泄足够生态流量，按需取水</w:t>
            </w:r>
            <w:r>
              <w:rPr>
                <w:rFonts w:hint="eastAsia" w:ascii="Times New Roman" w:hAnsi="Times New Roman" w:cs="Times New Roman"/>
                <w:b w:val="0"/>
                <w:bCs w:val="0"/>
                <w:color w:val="000000" w:themeColor="text1"/>
                <w:sz w:val="24"/>
                <w:lang w:val="en-US" w:eastAsia="zh-CN"/>
                <w14:textFill>
                  <w14:solidFill>
                    <w14:schemeClr w14:val="tx1"/>
                  </w14:solidFill>
                </w14:textFill>
              </w:rPr>
              <w:t>;进行水生生态恢复</w:t>
            </w:r>
            <w:r>
              <w:rPr>
                <w:rFonts w:hint="default" w:ascii="Times New Roman" w:hAnsi="Times New Roman" w:eastAsia="宋体" w:cs="Times New Roman"/>
                <w:b w:val="0"/>
                <w:bCs w:val="0"/>
                <w:color w:val="000000" w:themeColor="text1"/>
                <w:sz w:val="24"/>
                <w14:textFill>
                  <w14:solidFill>
                    <w14:schemeClr w14:val="tx1"/>
                  </w14:solidFill>
                </w14:textFill>
              </w:rPr>
              <w:t>。</w:t>
            </w:r>
          </w:p>
        </w:tc>
      </w:tr>
      <w:tr w14:paraId="099ED1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4" w:space="0"/>
              <w:bottom w:val="single" w:color="auto" w:sz="4" w:space="0"/>
            </w:tcBorders>
            <w:vAlign w:val="center"/>
          </w:tcPr>
          <w:p w14:paraId="3FAE46CA">
            <w:pPr>
              <w:spacing w:line="360" w:lineRule="auto"/>
              <w:jc w:val="center"/>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环境</w:t>
            </w:r>
          </w:p>
          <w:p w14:paraId="1BDE8030">
            <w:pPr>
              <w:spacing w:line="360" w:lineRule="auto"/>
              <w:jc w:val="center"/>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风险</w:t>
            </w:r>
          </w:p>
          <w:p w14:paraId="41E86BE2">
            <w:pPr>
              <w:spacing w:line="360" w:lineRule="auto"/>
              <w:jc w:val="center"/>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防范</w:t>
            </w:r>
          </w:p>
          <w:p w14:paraId="0C7F8AA8">
            <w:pPr>
              <w:spacing w:line="360" w:lineRule="auto"/>
              <w:jc w:val="center"/>
              <w:rPr>
                <w:rFonts w:hint="default" w:ascii="Times New Roman" w:hAnsi="Times New Roman" w:eastAsia="宋体" w:cs="Times New Roman"/>
                <w:b/>
                <w:color w:val="000000" w:themeColor="text1"/>
                <w:sz w:val="24"/>
                <w:szCs w:val="24"/>
                <w14:textFill>
                  <w14:solidFill>
                    <w14:schemeClr w14:val="tx1"/>
                  </w14:solidFill>
                </w14:textFill>
              </w:rPr>
            </w:pPr>
            <w:r>
              <w:rPr>
                <w:rFonts w:hint="default" w:ascii="Times New Roman" w:hAnsi="Times New Roman" w:eastAsia="宋体" w:cs="Times New Roman"/>
                <w:b/>
                <w:color w:val="000000" w:themeColor="text1"/>
                <w:sz w:val="24"/>
                <w:szCs w:val="24"/>
                <w14:textFill>
                  <w14:solidFill>
                    <w14:schemeClr w14:val="tx1"/>
                  </w14:solidFill>
                </w14:textFill>
              </w:rPr>
              <w:t>措施</w:t>
            </w:r>
          </w:p>
        </w:tc>
        <w:tc>
          <w:tcPr>
            <w:tcW w:w="4474" w:type="pct"/>
            <w:gridSpan w:val="4"/>
            <w:tcBorders>
              <w:top w:val="single" w:color="auto" w:sz="4" w:space="0"/>
              <w:bottom w:val="single" w:color="auto" w:sz="4" w:space="0"/>
            </w:tcBorders>
            <w:vAlign w:val="center"/>
          </w:tcPr>
          <w:p w14:paraId="6C6AFDCC">
            <w:pPr>
              <w:pStyle w:val="54"/>
              <w:keepNext w:val="0"/>
              <w:keepLines w:val="0"/>
              <w:pageBreakBefore w:val="0"/>
              <w:widowControl w:val="0"/>
              <w:numPr>
                <w:ilvl w:val="0"/>
                <w:numId w:val="26"/>
              </w:numPr>
              <w:kinsoku/>
              <w:wordWrap/>
              <w:overflowPunct/>
              <w:topLinePunct w:val="0"/>
              <w:autoSpaceDE/>
              <w:autoSpaceDN/>
              <w:bidi w:val="0"/>
              <w:adjustRightInd w:val="0"/>
              <w:snapToGrid w:val="0"/>
              <w:spacing w:after="0" w:line="360" w:lineRule="auto"/>
              <w:ind w:left="0" w:leftChars="0" w:firstLine="0" w:firstLineChars="0"/>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对水源地保护区内违法建设项目和环境风险源进行排查</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14:paraId="18CE2B1B">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委托有资质的单位对水质进行检测，并在政府网站统一向社会公布水厂水质监测（检测、抽测）结果，为饮水安全管理工作提供科学依据；</w:t>
            </w:r>
          </w:p>
          <w:p w14:paraId="46FFC574">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水源保护区标志、隔离网设置</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p w14:paraId="3C1ECFFD">
            <w:pPr>
              <w:keepNext w:val="0"/>
              <w:keepLines w:val="0"/>
              <w:pageBreakBefore w:val="0"/>
              <w:widowControl w:val="0"/>
              <w:numPr>
                <w:ilvl w:val="0"/>
                <w:numId w:val="26"/>
              </w:numPr>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14:textFill>
                  <w14:solidFill>
                    <w14:schemeClr w14:val="tx1"/>
                  </w14:solidFill>
                </w14:textFill>
              </w:rPr>
              <w:t>编制应急预案，并进行演练。</w:t>
            </w:r>
          </w:p>
        </w:tc>
      </w:tr>
      <w:tr w14:paraId="00ED35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c>
          <w:tcPr>
            <w:tcW w:w="525" w:type="pct"/>
            <w:tcBorders>
              <w:top w:val="single" w:color="auto" w:sz="4" w:space="0"/>
              <w:bottom w:val="single" w:color="auto" w:sz="4" w:space="0"/>
            </w:tcBorders>
            <w:vAlign w:val="center"/>
          </w:tcPr>
          <w:p w14:paraId="2CD67C74">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其他</w:t>
            </w:r>
          </w:p>
          <w:p w14:paraId="3B7126C9">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环境</w:t>
            </w:r>
          </w:p>
          <w:p w14:paraId="7EE9D325">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管理</w:t>
            </w:r>
          </w:p>
          <w:p w14:paraId="6B562262">
            <w:pPr>
              <w:spacing w:line="360" w:lineRule="auto"/>
              <w:jc w:val="center"/>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要求</w:t>
            </w:r>
          </w:p>
        </w:tc>
        <w:tc>
          <w:tcPr>
            <w:tcW w:w="4474" w:type="pct"/>
            <w:gridSpan w:val="4"/>
            <w:tcBorders>
              <w:top w:val="single" w:color="auto" w:sz="4" w:space="0"/>
              <w:bottom w:val="single" w:color="auto" w:sz="4" w:space="0"/>
            </w:tcBorders>
            <w:vAlign w:val="center"/>
          </w:tcPr>
          <w:p w14:paraId="6271F1D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（1）本次评价结论是根据建设单位提供的基础资料、规模、设计方案（含工艺参数）等基础上进行的，若本项目规模、设计方案（含工艺参数）等发生变化，建设单位应按环保部门的要求另行申报环评。</w:t>
            </w:r>
          </w:p>
          <w:p w14:paraId="48571E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（2）</w:t>
            </w:r>
            <w:r>
              <w:rPr>
                <w:rFonts w:hint="default" w:ascii="Times New Roman" w:hAnsi="Times New Roman" w:eastAsia="宋体" w:cs="Times New Roman"/>
                <w:color w:val="000000" w:themeColor="text1"/>
                <w:sz w:val="24"/>
                <w14:textFill>
                  <w14:solidFill>
                    <w14:schemeClr w14:val="tx1"/>
                  </w14:solidFill>
                </w14:textFill>
              </w:rPr>
              <w:t>项目运营期应认真实施本报告表中提出的各项环境保护措施，建设单位必须落实和保证足够的环保资金，做好项目污染防治措施建设的“三同时”工作，确保各种污染物达标排放。</w:t>
            </w:r>
          </w:p>
          <w:p w14:paraId="514BD8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（3）</w:t>
            </w:r>
            <w:r>
              <w:rPr>
                <w:rFonts w:hint="default" w:ascii="Times New Roman" w:hAnsi="Times New Roman" w:eastAsia="宋体" w:cs="Times New Roman"/>
                <w:bCs/>
                <w:color w:val="000000" w:themeColor="text1"/>
                <w:sz w:val="24"/>
                <w14:textFill>
                  <w14:solidFill>
                    <w14:schemeClr w14:val="tx1"/>
                  </w14:solidFill>
                </w14:textFill>
              </w:rPr>
              <w:t>项目在营运过程中，必须严格按照国家有关建设项目环保管理规定，运行好建设项目须配套建设的环境保护设施，应重视引进和建立先进的环保管理模式，完善管理机制，强化职工自身的环保意识。</w:t>
            </w:r>
          </w:p>
          <w:p w14:paraId="65BC85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4）建立、健全生产环保规章制度，严格在岗人员操作管理，操作人员应通过培训和考核，方可上岗。制定严格的生产操作规程，加强项目日常管理工作，强化设备的维修、保养，保证环保设施正常运转，减少和避免生产系统由于环保设备故障造成的污染。</w:t>
            </w:r>
          </w:p>
          <w:p w14:paraId="0C5F4C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（5）对项目建设场地产生的固体废弃物要妥善收集、保管，严禁乱丢乱放。对固废暂存场地采取防雨、防火及防渗漏措施，严防其二次污染。</w:t>
            </w:r>
          </w:p>
          <w:p w14:paraId="3EF386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（6）厂方应做好员工的个人防护，保证员工的操作安全；而且应对员工进行必要的培训并切实做好各项污染防治设施设备的维护，防止污染物事故发生。</w:t>
            </w:r>
          </w:p>
          <w:p w14:paraId="1F696E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（7）建立相应环保机构，配置专兼职环保人员，健全环保档案管理制度。由当地环境监测站定期对污染源进行监测，建立污染源管理档案。</w:t>
            </w:r>
          </w:p>
          <w:p w14:paraId="2ACE2611">
            <w:pPr>
              <w:pStyle w:val="3"/>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p>
          <w:p w14:paraId="41972C99">
            <w:pPr>
              <w:spacing w:line="360" w:lineRule="auto"/>
              <w:rPr>
                <w:rFonts w:hint="default" w:ascii="Times New Roman" w:hAnsi="Times New Roman" w:eastAsia="宋体" w:cs="Times New Roman"/>
                <w:color w:val="000000" w:themeColor="text1"/>
                <w:sz w:val="24"/>
                <w14:textFill>
                  <w14:solidFill>
                    <w14:schemeClr w14:val="tx1"/>
                  </w14:solidFill>
                </w14:textFill>
              </w:rPr>
            </w:pPr>
          </w:p>
          <w:p w14:paraId="5F96BBED">
            <w:pPr>
              <w:pStyle w:val="3"/>
              <w:spacing w:line="360" w:lineRule="auto"/>
              <w:rPr>
                <w:rFonts w:hint="default" w:ascii="Times New Roman" w:hAnsi="Times New Roman" w:eastAsia="宋体" w:cs="Times New Roman"/>
                <w:color w:val="000000" w:themeColor="text1"/>
                <w:sz w:val="24"/>
                <w:szCs w:val="24"/>
                <w14:textFill>
                  <w14:solidFill>
                    <w14:schemeClr w14:val="tx1"/>
                  </w14:solidFill>
                </w14:textFill>
              </w:rPr>
            </w:pPr>
          </w:p>
          <w:p w14:paraId="34B464D7">
            <w:pPr>
              <w:spacing w:line="360" w:lineRule="auto"/>
              <w:rPr>
                <w:rFonts w:hint="default" w:ascii="Times New Roman" w:hAnsi="Times New Roman" w:eastAsia="宋体" w:cs="Times New Roman"/>
                <w:color w:val="000000" w:themeColor="text1"/>
                <w:sz w:val="24"/>
                <w14:textFill>
                  <w14:solidFill>
                    <w14:schemeClr w14:val="tx1"/>
                  </w14:solidFill>
                </w14:textFill>
              </w:rPr>
            </w:pPr>
          </w:p>
          <w:p w14:paraId="06F1AFAD">
            <w:pPr>
              <w:pStyle w:val="3"/>
              <w:spacing w:line="360" w:lineRule="auto"/>
              <w:ind w:left="0" w:leftChars="0" w:firstLine="0" w:firstLineChars="0"/>
              <w:rPr>
                <w:rFonts w:hint="default" w:ascii="Times New Roman" w:hAnsi="Times New Roman" w:eastAsia="宋体" w:cs="Times New Roman"/>
                <w:color w:val="000000" w:themeColor="text1"/>
                <w:sz w:val="24"/>
                <w14:textFill>
                  <w14:solidFill>
                    <w14:schemeClr w14:val="tx1"/>
                  </w14:solidFill>
                </w14:textFill>
              </w:rPr>
            </w:pPr>
          </w:p>
        </w:tc>
      </w:tr>
    </w:tbl>
    <w:p w14:paraId="27274534">
      <w:pPr>
        <w:pStyle w:val="49"/>
        <w:adjustRightInd w:val="0"/>
        <w:snapToGrid w:val="0"/>
        <w:spacing w:before="0" w:beforeAutospacing="0" w:after="0" w:afterAutospacing="0" w:line="360" w:lineRule="auto"/>
        <w:jc w:val="center"/>
        <w:outlineLvl w:val="0"/>
        <w:rPr>
          <w:rFonts w:hint="default" w:ascii="Times New Roman" w:hAnsi="Times New Roman" w:eastAsia="宋体" w:cs="Times New Roman"/>
          <w:snapToGrid w:val="0"/>
          <w:color w:val="000000" w:themeColor="text1"/>
          <w:kern w:val="21"/>
          <w:sz w:val="30"/>
          <w:szCs w:val="30"/>
          <w14:textFill>
            <w14:solidFill>
              <w14:schemeClr w14:val="tx1"/>
            </w14:solidFill>
          </w14:textFill>
        </w:rPr>
      </w:pPr>
      <w:r>
        <w:rPr>
          <w:rFonts w:hint="default" w:ascii="Times New Roman" w:hAnsi="Times New Roman" w:eastAsia="宋体" w:cs="Times New Roman"/>
          <w:snapToGrid w:val="0"/>
          <w:color w:val="000000" w:themeColor="text1"/>
          <w:kern w:val="21"/>
          <w14:textFill>
            <w14:solidFill>
              <w14:schemeClr w14:val="tx1"/>
            </w14:solidFill>
          </w14:textFill>
        </w:rPr>
        <w:br w:type="page"/>
      </w:r>
      <w:r>
        <w:rPr>
          <w:rFonts w:hint="default" w:ascii="Times New Roman" w:hAnsi="Times New Roman" w:eastAsia="宋体" w:cs="Times New Roman"/>
          <w:b/>
          <w:snapToGrid w:val="0"/>
          <w:color w:val="000000" w:themeColor="text1"/>
          <w:kern w:val="21"/>
          <w:sz w:val="30"/>
          <w:szCs w:val="30"/>
          <w14:textFill>
            <w14:solidFill>
              <w14:schemeClr w14:val="tx1"/>
            </w14:solidFill>
          </w14:textFill>
        </w:rPr>
        <w:t>六、结论</w:t>
      </w:r>
    </w:p>
    <w:tbl>
      <w:tblPr>
        <w:tblStyle w:val="5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824"/>
      </w:tblGrid>
      <w:tr w14:paraId="791099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00" w:type="pct"/>
            <w:vAlign w:val="center"/>
          </w:tcPr>
          <w:p w14:paraId="63EAE6C5">
            <w:pPr>
              <w:adjustRightInd w:val="0"/>
              <w:spacing w:line="360" w:lineRule="auto"/>
              <w:ind w:firstLine="480" w:firstLineChars="200"/>
              <w:rPr>
                <w:rFonts w:hint="default" w:ascii="Times New Roman" w:hAnsi="Times New Roman" w:eastAsia="宋体" w:cs="Times New Roman"/>
                <w:b w:val="0"/>
                <w:bCs/>
                <w:color w:val="000000" w:themeColor="text1"/>
                <w:sz w:val="24"/>
                <w:szCs w:val="22"/>
                <w14:textFill>
                  <w14:solidFill>
                    <w14:schemeClr w14:val="tx1"/>
                  </w14:solidFill>
                </w14:textFill>
              </w:rPr>
            </w:pPr>
            <w:r>
              <w:rPr>
                <w:rFonts w:hint="default" w:ascii="Times New Roman" w:hAnsi="Times New Roman" w:eastAsia="宋体" w:cs="Times New Roman"/>
                <w:b w:val="0"/>
                <w:bCs/>
                <w:color w:val="000000" w:themeColor="text1"/>
                <w:sz w:val="24"/>
                <w:szCs w:val="22"/>
                <w14:textFill>
                  <w14:solidFill>
                    <w14:schemeClr w14:val="tx1"/>
                  </w14:solidFill>
                </w14:textFill>
              </w:rPr>
              <w:t>综上所述，评价认为：</w:t>
            </w:r>
            <w:r>
              <w:rPr>
                <w:rFonts w:hint="default" w:ascii="Times New Roman" w:hAnsi="Times New Roman" w:eastAsia="宋体" w:cs="Times New Roman"/>
                <w:b w:val="0"/>
                <w:bCs/>
                <w:color w:val="000000" w:themeColor="text1"/>
                <w:sz w:val="24"/>
                <w:szCs w:val="22"/>
                <w:lang w:eastAsia="zh-CN"/>
                <w14:textFill>
                  <w14:solidFill>
                    <w14:schemeClr w14:val="tx1"/>
                  </w14:solidFill>
                </w14:textFill>
              </w:rPr>
              <w:t>泸定县住房和城乡建设局</w:t>
            </w:r>
            <w:r>
              <w:rPr>
                <w:rFonts w:hint="default" w:ascii="Times New Roman" w:hAnsi="Times New Roman" w:eastAsia="宋体" w:cs="Times New Roman"/>
                <w:b w:val="0"/>
                <w:bCs/>
                <w:color w:val="000000" w:themeColor="text1"/>
                <w:sz w:val="24"/>
                <w:szCs w:val="22"/>
                <w14:textFill>
                  <w14:solidFill>
                    <w14:schemeClr w14:val="tx1"/>
                  </w14:solidFill>
                </w14:textFill>
              </w:rPr>
              <w:t>“</w:t>
            </w:r>
            <w:r>
              <w:rPr>
                <w:rFonts w:hint="default" w:ascii="Times New Roman" w:hAnsi="Times New Roman" w:eastAsia="宋体" w:cs="Times New Roman"/>
                <w:b w:val="0"/>
                <w:bCs/>
                <w:color w:val="000000" w:themeColor="text1"/>
                <w:sz w:val="24"/>
                <w:szCs w:val="22"/>
                <w:lang w:eastAsia="zh-CN"/>
                <w14:textFill>
                  <w14:solidFill>
                    <w14:schemeClr w14:val="tx1"/>
                  </w14:solidFill>
                </w14:textFill>
              </w:rPr>
              <w:t>泸定县城区自来水厂备用水源取水工程新建项目</w:t>
            </w:r>
            <w:r>
              <w:rPr>
                <w:rFonts w:hint="default" w:ascii="Times New Roman" w:hAnsi="Times New Roman" w:eastAsia="宋体" w:cs="Times New Roman"/>
                <w:b w:val="0"/>
                <w:bCs/>
                <w:color w:val="000000" w:themeColor="text1"/>
                <w:sz w:val="24"/>
                <w:szCs w:val="22"/>
                <w14:textFill>
                  <w14:solidFill>
                    <w14:schemeClr w14:val="tx1"/>
                  </w14:solidFill>
                </w14:textFill>
              </w:rPr>
              <w:t>”项目符合国家产业发展政策，符合“生态环境分区管控”要求，选址合理，符合</w:t>
            </w:r>
            <w:r>
              <w:rPr>
                <w:rFonts w:hint="default" w:ascii="Times New Roman" w:hAnsi="Times New Roman" w:eastAsia="宋体" w:cs="Times New Roman"/>
                <w:b w:val="0"/>
                <w:bCs/>
                <w:color w:val="000000" w:themeColor="text1"/>
                <w:sz w:val="24"/>
                <w:szCs w:val="22"/>
                <w:lang w:eastAsia="zh-CN"/>
                <w14:textFill>
                  <w14:solidFill>
                    <w14:schemeClr w14:val="tx1"/>
                  </w14:solidFill>
                </w14:textFill>
              </w:rPr>
              <w:t>甘孜藏族自治州</w:t>
            </w:r>
            <w:r>
              <w:rPr>
                <w:rFonts w:hint="default" w:ascii="Times New Roman" w:hAnsi="Times New Roman" w:eastAsia="宋体" w:cs="Times New Roman"/>
                <w:b w:val="0"/>
                <w:bCs/>
                <w:color w:val="000000" w:themeColor="text1"/>
                <w:sz w:val="24"/>
                <w:szCs w:val="22"/>
                <w14:textFill>
                  <w14:solidFill>
                    <w14:schemeClr w14:val="tx1"/>
                  </w14:solidFill>
                </w14:textFill>
              </w:rPr>
              <w:t>当地规划要求，总平面布置基本合理。</w:t>
            </w:r>
          </w:p>
          <w:p w14:paraId="2896B4FC">
            <w:pPr>
              <w:adjustRightInd w:val="0"/>
              <w:spacing w:line="360" w:lineRule="auto"/>
              <w:ind w:firstLine="480" w:firstLineChars="200"/>
              <w:rPr>
                <w:rFonts w:hint="default" w:ascii="Times New Roman" w:hAnsi="Times New Roman" w:eastAsia="宋体" w:cs="Times New Roman"/>
                <w:b w:val="0"/>
                <w:bCs/>
                <w:color w:val="000000" w:themeColor="text1"/>
                <w:sz w:val="24"/>
                <w:szCs w:val="22"/>
                <w14:textFill>
                  <w14:solidFill>
                    <w14:schemeClr w14:val="tx1"/>
                  </w14:solidFill>
                </w14:textFill>
              </w:rPr>
            </w:pPr>
            <w:r>
              <w:rPr>
                <w:rFonts w:hint="default" w:ascii="Times New Roman" w:hAnsi="Times New Roman" w:eastAsia="宋体" w:cs="Times New Roman"/>
                <w:b w:val="0"/>
                <w:bCs/>
                <w:color w:val="000000" w:themeColor="text1"/>
                <w:sz w:val="24"/>
                <w:szCs w:val="22"/>
                <w14:textFill>
                  <w14:solidFill>
                    <w14:schemeClr w14:val="tx1"/>
                  </w14:solidFill>
                </w14:textFill>
              </w:rPr>
              <w:t>工程采取的污染防治措施和本评价要求的对策经济技术可行，在环保设施连续稳定运行，确保污染物稳定达标排放的基础上，项目建成运行后不会改变项目区域现有的环境区域功能，工程的建设符合“达标排放、清洁生产、总量控制”的原则。因此，本评价认为，只要认真落实本报告表中提出的各项污染防治对策措施及环境风险防范措施，保证环境保护措施的有效运行，确保污染物稳定达标排放，从环保角度而言，本项目的建设是可行的。</w:t>
            </w:r>
          </w:p>
          <w:p w14:paraId="38A9E567">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68D264F0">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6A773C7A">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7B5806BC">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7B074225">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60817C5A">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628C6CB9">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4033E1DA">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216C5093">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535BCBDA">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03A849BC">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6A21551C">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1BCB0CA2">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57B0672F">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25736917">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57936A3A">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4D5F08DD">
            <w:pPr>
              <w:adjustRightInd w:val="0"/>
              <w:spacing w:line="360" w:lineRule="auto"/>
              <w:ind w:firstLine="482" w:firstLineChars="200"/>
              <w:rPr>
                <w:rFonts w:hint="default" w:ascii="Times New Roman" w:hAnsi="Times New Roman" w:eastAsia="宋体" w:cs="Times New Roman"/>
                <w:b/>
                <w:bCs/>
                <w:color w:val="000000" w:themeColor="text1"/>
                <w:sz w:val="24"/>
                <w:szCs w:val="22"/>
                <w14:textFill>
                  <w14:solidFill>
                    <w14:schemeClr w14:val="tx1"/>
                  </w14:solidFill>
                </w14:textFill>
              </w:rPr>
            </w:pPr>
          </w:p>
          <w:p w14:paraId="51E3DF4D">
            <w:pPr>
              <w:adjustRightInd w:val="0"/>
              <w:spacing w:line="360" w:lineRule="auto"/>
              <w:ind w:firstLine="480" w:firstLineChars="200"/>
              <w:rPr>
                <w:rFonts w:hint="default" w:ascii="Times New Roman" w:hAnsi="Times New Roman" w:eastAsia="宋体" w:cs="Times New Roman"/>
                <w:bCs/>
                <w:color w:val="000000" w:themeColor="text1"/>
                <w:sz w:val="24"/>
                <w:szCs w:val="22"/>
                <w14:textFill>
                  <w14:solidFill>
                    <w14:schemeClr w14:val="tx1"/>
                  </w14:solidFill>
                </w14:textFill>
              </w:rPr>
            </w:pPr>
          </w:p>
          <w:p w14:paraId="2DFA5EB9">
            <w:pPr>
              <w:adjustRightInd w:val="0"/>
              <w:spacing w:line="360" w:lineRule="auto"/>
              <w:rPr>
                <w:rFonts w:hint="default" w:ascii="Times New Roman" w:hAnsi="Times New Roman" w:eastAsia="宋体" w:cs="Times New Roman"/>
                <w:bCs/>
                <w:color w:val="000000" w:themeColor="text1"/>
                <w:sz w:val="24"/>
                <w:szCs w:val="22"/>
                <w14:textFill>
                  <w14:solidFill>
                    <w14:schemeClr w14:val="tx1"/>
                  </w14:solidFill>
                </w14:textFill>
              </w:rPr>
            </w:pPr>
          </w:p>
        </w:tc>
      </w:tr>
    </w:tbl>
    <w:p w14:paraId="0CD22A00">
      <w:pPr>
        <w:rPr>
          <w:rFonts w:hint="default" w:ascii="Times New Roman" w:hAnsi="Times New Roman" w:eastAsia="宋体" w:cs="Times New Roman"/>
          <w:color w:val="000000" w:themeColor="text1"/>
          <w:kern w:val="21"/>
          <w14:textFill>
            <w14:solidFill>
              <w14:schemeClr w14:val="tx1"/>
            </w14:solidFill>
          </w14:textFill>
        </w:rPr>
        <w:sectPr>
          <w:pgSz w:w="11906" w:h="16838"/>
          <w:pgMar w:top="1417" w:right="1531" w:bottom="1417" w:left="1531" w:header="851" w:footer="851" w:gutter="0"/>
          <w:pgBorders>
            <w:top w:val="none" w:sz="0" w:space="0"/>
            <w:left w:val="none" w:sz="0" w:space="0"/>
            <w:bottom w:val="none" w:sz="0" w:space="0"/>
            <w:right w:val="none" w:sz="0" w:space="0"/>
          </w:pgBorders>
          <w:cols w:space="720" w:num="1"/>
          <w:docGrid w:type="lines" w:linePitch="312" w:charSpace="0"/>
        </w:sectPr>
      </w:pPr>
    </w:p>
    <w:p w14:paraId="75A1E7D6">
      <w:pPr>
        <w:pStyle w:val="49"/>
        <w:adjustRightInd w:val="0"/>
        <w:spacing w:before="0" w:beforeAutospacing="0" w:after="0" w:afterAutospacing="0" w:line="360" w:lineRule="auto"/>
        <w:outlineLvl w:val="0"/>
        <w:rPr>
          <w:rFonts w:hint="default" w:ascii="Times New Roman" w:hAnsi="Times New Roman" w:eastAsia="宋体" w:cs="Times New Roman"/>
          <w:snapToGrid w:val="0"/>
          <w:color w:val="000000" w:themeColor="text1"/>
          <w:kern w:val="21"/>
          <w:szCs w:val="24"/>
          <w14:textFill>
            <w14:solidFill>
              <w14:schemeClr w14:val="tx1"/>
            </w14:solidFill>
          </w14:textFill>
        </w:rPr>
      </w:pPr>
      <w:r>
        <w:rPr>
          <w:rFonts w:hint="default" w:ascii="Times New Roman" w:hAnsi="Times New Roman" w:eastAsia="宋体" w:cs="Times New Roman"/>
          <w:snapToGrid w:val="0"/>
          <w:color w:val="000000" w:themeColor="text1"/>
          <w:kern w:val="21"/>
          <w:szCs w:val="24"/>
          <w14:textFill>
            <w14:solidFill>
              <w14:schemeClr w14:val="tx1"/>
            </w14:solidFill>
          </w14:textFill>
        </w:rPr>
        <w:t>附表</w:t>
      </w:r>
    </w:p>
    <w:p w14:paraId="5F47F287">
      <w:pPr>
        <w:pStyle w:val="49"/>
        <w:adjustRightInd w:val="0"/>
        <w:spacing w:before="0" w:beforeAutospacing="0" w:after="0" w:afterAutospacing="0" w:line="360" w:lineRule="auto"/>
        <w:jc w:val="center"/>
        <w:outlineLvl w:val="0"/>
        <w:rPr>
          <w:rFonts w:hint="default" w:ascii="Times New Roman" w:hAnsi="Times New Roman" w:eastAsia="宋体" w:cs="Times New Roman"/>
          <w:b/>
          <w:snapToGrid w:val="0"/>
          <w:color w:val="000000" w:themeColor="text1"/>
          <w:kern w:val="21"/>
          <w:szCs w:val="24"/>
          <w14:textFill>
            <w14:solidFill>
              <w14:schemeClr w14:val="tx1"/>
            </w14:solidFill>
          </w14:textFill>
        </w:rPr>
      </w:pPr>
      <w:r>
        <w:rPr>
          <w:rFonts w:hint="default" w:ascii="Times New Roman" w:hAnsi="Times New Roman" w:eastAsia="宋体" w:cs="Times New Roman"/>
          <w:b/>
          <w:snapToGrid w:val="0"/>
          <w:color w:val="000000" w:themeColor="text1"/>
          <w:kern w:val="21"/>
          <w:szCs w:val="24"/>
          <w14:textFill>
            <w14:solidFill>
              <w14:schemeClr w14:val="tx1"/>
            </w14:solidFill>
          </w14:textFill>
        </w:rPr>
        <w:t>建设项目污染物排放量汇总表</w:t>
      </w:r>
    </w:p>
    <w:tbl>
      <w:tblPr>
        <w:tblStyle w:val="5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1627"/>
        <w:gridCol w:w="1627"/>
        <w:gridCol w:w="1627"/>
        <w:gridCol w:w="1627"/>
        <w:gridCol w:w="1627"/>
        <w:gridCol w:w="1627"/>
        <w:gridCol w:w="1629"/>
        <w:gridCol w:w="1677"/>
      </w:tblGrid>
      <w:tr w14:paraId="17C8D1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tcBorders>
              <w:tl2br w:val="single" w:color="auto" w:sz="4" w:space="0"/>
            </w:tcBorders>
            <w:tcMar>
              <w:left w:w="28" w:type="dxa"/>
              <w:right w:w="28" w:type="dxa"/>
            </w:tcMar>
            <w:vAlign w:val="center"/>
          </w:tcPr>
          <w:p w14:paraId="6630138F">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项目</w:t>
            </w:r>
          </w:p>
          <w:p w14:paraId="5D6B5214">
            <w:pPr>
              <w:spacing w:line="240" w:lineRule="auto"/>
              <w:rPr>
                <w:rFonts w:hint="default" w:ascii="Times New Roman" w:hAnsi="Times New Roman" w:eastAsia="宋体" w:cs="Times New Roman"/>
                <w:bCs/>
                <w:color w:val="000000" w:themeColor="text1"/>
                <w:kern w:val="0"/>
                <w:sz w:val="24"/>
                <w14:textFill>
                  <w14:solidFill>
                    <w14:schemeClr w14:val="tx1"/>
                  </w14:solidFill>
                </w14:textFill>
              </w:rPr>
            </w:pPr>
          </w:p>
          <w:p w14:paraId="7938B024">
            <w:pPr>
              <w:spacing w:line="240" w:lineRule="auto"/>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分类</w:t>
            </w:r>
          </w:p>
        </w:tc>
        <w:tc>
          <w:tcPr>
            <w:tcW w:w="577" w:type="pct"/>
            <w:tcMar>
              <w:left w:w="28" w:type="dxa"/>
              <w:right w:w="28" w:type="dxa"/>
            </w:tcMar>
            <w:vAlign w:val="center"/>
          </w:tcPr>
          <w:p w14:paraId="0ECA3DFB">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污染物名称</w:t>
            </w:r>
          </w:p>
        </w:tc>
        <w:tc>
          <w:tcPr>
            <w:tcW w:w="577" w:type="pct"/>
            <w:tcMar>
              <w:left w:w="28" w:type="dxa"/>
              <w:right w:w="28" w:type="dxa"/>
            </w:tcMar>
            <w:vAlign w:val="center"/>
          </w:tcPr>
          <w:p w14:paraId="7FB8850B">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现有工程排放量（固体废物产生量）</w:t>
            </w:r>
            <w:r>
              <w:rPr>
                <w:rFonts w:hint="default" w:ascii="Times New Roman" w:hAnsi="Times New Roman" w:eastAsia="宋体" w:cs="Times New Roman"/>
                <w:bCs/>
                <w:color w:val="000000" w:themeColor="text1"/>
                <w:kern w:val="0"/>
                <w:sz w:val="24"/>
                <w14:textFill>
                  <w14:solidFill>
                    <w14:schemeClr w14:val="tx1"/>
                  </w14:solidFill>
                </w14:textFill>
              </w:rPr>
              <w:fldChar w:fldCharType="begin"/>
            </w:r>
            <w:r>
              <w:rPr>
                <w:rFonts w:hint="default" w:ascii="Times New Roman" w:hAnsi="Times New Roman" w:eastAsia="宋体" w:cs="Times New Roman"/>
                <w:bCs/>
                <w:color w:val="000000" w:themeColor="text1"/>
                <w:kern w:val="0"/>
                <w:sz w:val="24"/>
                <w14:textFill>
                  <w14:solidFill>
                    <w14:schemeClr w14:val="tx1"/>
                  </w14:solidFill>
                </w14:textFill>
              </w:rPr>
              <w:instrText xml:space="preserve"> = 1 \* GB3 \* MERGEFORMAT </w:instrText>
            </w:r>
            <w:r>
              <w:rPr>
                <w:rFonts w:hint="default" w:ascii="Times New Roman" w:hAnsi="Times New Roman" w:eastAsia="宋体" w:cs="Times New Roman"/>
                <w:bCs/>
                <w:color w:val="000000" w:themeColor="text1"/>
                <w:kern w:val="0"/>
                <w:sz w:val="24"/>
                <w14:textFill>
                  <w14:solidFill>
                    <w14:schemeClr w14:val="tx1"/>
                  </w14:solidFill>
                </w14:textFill>
              </w:rPr>
              <w:fldChar w:fldCharType="separate"/>
            </w:r>
            <w:r>
              <w:rPr>
                <w:rFonts w:hint="default" w:ascii="Times New Roman" w:hAnsi="Times New Roman" w:eastAsia="宋体" w:cs="Times New Roman"/>
                <w:bCs/>
                <w:color w:val="000000" w:themeColor="text1"/>
                <w:kern w:val="0"/>
                <w:sz w:val="24"/>
                <w14:textFill>
                  <w14:solidFill>
                    <w14:schemeClr w14:val="tx1"/>
                  </w14:solidFill>
                </w14:textFill>
              </w:rPr>
              <w:t>①</w:t>
            </w:r>
            <w:r>
              <w:rPr>
                <w:rFonts w:hint="default" w:ascii="Times New Roman" w:hAnsi="Times New Roman" w:eastAsia="宋体" w:cs="Times New Roman"/>
                <w:bCs/>
                <w:color w:val="000000" w:themeColor="text1"/>
                <w:kern w:val="0"/>
                <w:sz w:val="24"/>
                <w14:textFill>
                  <w14:solidFill>
                    <w14:schemeClr w14:val="tx1"/>
                  </w14:solidFill>
                </w14:textFill>
              </w:rPr>
              <w:fldChar w:fldCharType="end"/>
            </w:r>
          </w:p>
        </w:tc>
        <w:tc>
          <w:tcPr>
            <w:tcW w:w="577" w:type="pct"/>
            <w:tcMar>
              <w:left w:w="28" w:type="dxa"/>
              <w:right w:w="28" w:type="dxa"/>
            </w:tcMar>
            <w:vAlign w:val="center"/>
          </w:tcPr>
          <w:p w14:paraId="64D50668">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现有工程许可排放量</w:t>
            </w:r>
            <w:r>
              <w:rPr>
                <w:rFonts w:hint="default" w:ascii="Times New Roman" w:hAnsi="Times New Roman" w:eastAsia="宋体" w:cs="Times New Roman"/>
                <w:bCs/>
                <w:color w:val="000000" w:themeColor="text1"/>
                <w:kern w:val="0"/>
                <w:sz w:val="24"/>
                <w14:textFill>
                  <w14:solidFill>
                    <w14:schemeClr w14:val="tx1"/>
                  </w14:solidFill>
                </w14:textFill>
              </w:rPr>
              <w:fldChar w:fldCharType="begin"/>
            </w:r>
            <w:r>
              <w:rPr>
                <w:rFonts w:hint="default" w:ascii="Times New Roman" w:hAnsi="Times New Roman" w:eastAsia="宋体" w:cs="Times New Roman"/>
                <w:bCs/>
                <w:color w:val="000000" w:themeColor="text1"/>
                <w:kern w:val="0"/>
                <w:sz w:val="24"/>
                <w14:textFill>
                  <w14:solidFill>
                    <w14:schemeClr w14:val="tx1"/>
                  </w14:solidFill>
                </w14:textFill>
              </w:rPr>
              <w:instrText xml:space="preserve"> = 2 \* GB3 \* MERGEFORMAT </w:instrText>
            </w:r>
            <w:r>
              <w:rPr>
                <w:rFonts w:hint="default" w:ascii="Times New Roman" w:hAnsi="Times New Roman" w:eastAsia="宋体" w:cs="Times New Roman"/>
                <w:bCs/>
                <w:color w:val="000000" w:themeColor="text1"/>
                <w:kern w:val="0"/>
                <w:sz w:val="24"/>
                <w14:textFill>
                  <w14:solidFill>
                    <w14:schemeClr w14:val="tx1"/>
                  </w14:solidFill>
                </w14:textFill>
              </w:rPr>
              <w:fldChar w:fldCharType="separate"/>
            </w:r>
            <w:r>
              <w:rPr>
                <w:rFonts w:hint="default" w:ascii="Times New Roman" w:hAnsi="Times New Roman" w:eastAsia="宋体" w:cs="Times New Roman"/>
                <w:bCs/>
                <w:color w:val="000000" w:themeColor="text1"/>
                <w:kern w:val="0"/>
                <w:sz w:val="24"/>
                <w14:textFill>
                  <w14:solidFill>
                    <w14:schemeClr w14:val="tx1"/>
                  </w14:solidFill>
                </w14:textFill>
              </w:rPr>
              <w:t>②</w:t>
            </w:r>
            <w:r>
              <w:rPr>
                <w:rFonts w:hint="default" w:ascii="Times New Roman" w:hAnsi="Times New Roman" w:eastAsia="宋体" w:cs="Times New Roman"/>
                <w:bCs/>
                <w:color w:val="000000" w:themeColor="text1"/>
                <w:kern w:val="0"/>
                <w:sz w:val="24"/>
                <w14:textFill>
                  <w14:solidFill>
                    <w14:schemeClr w14:val="tx1"/>
                  </w14:solidFill>
                </w14:textFill>
              </w:rPr>
              <w:fldChar w:fldCharType="end"/>
            </w:r>
          </w:p>
        </w:tc>
        <w:tc>
          <w:tcPr>
            <w:tcW w:w="577" w:type="pct"/>
            <w:tcMar>
              <w:left w:w="28" w:type="dxa"/>
              <w:right w:w="28" w:type="dxa"/>
            </w:tcMar>
            <w:vAlign w:val="center"/>
          </w:tcPr>
          <w:p w14:paraId="5B63B718">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在建工程排放量（固体废物产生量）</w:t>
            </w:r>
            <w:r>
              <w:rPr>
                <w:rFonts w:hint="default" w:ascii="Times New Roman" w:hAnsi="Times New Roman" w:eastAsia="宋体" w:cs="Times New Roman"/>
                <w:bCs/>
                <w:color w:val="000000" w:themeColor="text1"/>
                <w:kern w:val="0"/>
                <w:sz w:val="24"/>
                <w14:textFill>
                  <w14:solidFill>
                    <w14:schemeClr w14:val="tx1"/>
                  </w14:solidFill>
                </w14:textFill>
              </w:rPr>
              <w:fldChar w:fldCharType="begin"/>
            </w:r>
            <w:r>
              <w:rPr>
                <w:rFonts w:hint="default" w:ascii="Times New Roman" w:hAnsi="Times New Roman" w:eastAsia="宋体" w:cs="Times New Roman"/>
                <w:bCs/>
                <w:color w:val="000000" w:themeColor="text1"/>
                <w:kern w:val="0"/>
                <w:sz w:val="24"/>
                <w14:textFill>
                  <w14:solidFill>
                    <w14:schemeClr w14:val="tx1"/>
                  </w14:solidFill>
                </w14:textFill>
              </w:rPr>
              <w:instrText xml:space="preserve"> = 3 \* GB3 \* MERGEFORMAT </w:instrText>
            </w:r>
            <w:r>
              <w:rPr>
                <w:rFonts w:hint="default" w:ascii="Times New Roman" w:hAnsi="Times New Roman" w:eastAsia="宋体" w:cs="Times New Roman"/>
                <w:bCs/>
                <w:color w:val="000000" w:themeColor="text1"/>
                <w:kern w:val="0"/>
                <w:sz w:val="24"/>
                <w14:textFill>
                  <w14:solidFill>
                    <w14:schemeClr w14:val="tx1"/>
                  </w14:solidFill>
                </w14:textFill>
              </w:rPr>
              <w:fldChar w:fldCharType="separate"/>
            </w:r>
            <w:r>
              <w:rPr>
                <w:rFonts w:hint="default" w:ascii="Times New Roman" w:hAnsi="Times New Roman" w:eastAsia="宋体" w:cs="Times New Roman"/>
                <w:bCs/>
                <w:color w:val="000000" w:themeColor="text1"/>
                <w:kern w:val="0"/>
                <w:sz w:val="24"/>
                <w14:textFill>
                  <w14:solidFill>
                    <w14:schemeClr w14:val="tx1"/>
                  </w14:solidFill>
                </w14:textFill>
              </w:rPr>
              <w:t>③</w:t>
            </w:r>
            <w:r>
              <w:rPr>
                <w:rFonts w:hint="default" w:ascii="Times New Roman" w:hAnsi="Times New Roman" w:eastAsia="宋体" w:cs="Times New Roman"/>
                <w:bCs/>
                <w:color w:val="000000" w:themeColor="text1"/>
                <w:kern w:val="0"/>
                <w:sz w:val="24"/>
                <w14:textFill>
                  <w14:solidFill>
                    <w14:schemeClr w14:val="tx1"/>
                  </w14:solidFill>
                </w14:textFill>
              </w:rPr>
              <w:fldChar w:fldCharType="end"/>
            </w:r>
          </w:p>
        </w:tc>
        <w:tc>
          <w:tcPr>
            <w:tcW w:w="577" w:type="pct"/>
            <w:tcMar>
              <w:left w:w="28" w:type="dxa"/>
              <w:right w:w="28" w:type="dxa"/>
            </w:tcMar>
            <w:vAlign w:val="center"/>
          </w:tcPr>
          <w:p w14:paraId="1B740277">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本项目排放量（固体废物产生量）</w:t>
            </w:r>
            <w:r>
              <w:rPr>
                <w:rFonts w:hint="default" w:ascii="Times New Roman" w:hAnsi="Times New Roman" w:eastAsia="宋体" w:cs="Times New Roman"/>
                <w:bCs/>
                <w:color w:val="000000" w:themeColor="text1"/>
                <w:kern w:val="0"/>
                <w:sz w:val="24"/>
                <w14:textFill>
                  <w14:solidFill>
                    <w14:schemeClr w14:val="tx1"/>
                  </w14:solidFill>
                </w14:textFill>
              </w:rPr>
              <w:fldChar w:fldCharType="begin"/>
            </w:r>
            <w:r>
              <w:rPr>
                <w:rFonts w:hint="default" w:ascii="Times New Roman" w:hAnsi="Times New Roman" w:eastAsia="宋体" w:cs="Times New Roman"/>
                <w:bCs/>
                <w:color w:val="000000" w:themeColor="text1"/>
                <w:kern w:val="0"/>
                <w:sz w:val="24"/>
                <w14:textFill>
                  <w14:solidFill>
                    <w14:schemeClr w14:val="tx1"/>
                  </w14:solidFill>
                </w14:textFill>
              </w:rPr>
              <w:instrText xml:space="preserve"> = 4 \* GB3 \* MERGEFORMAT </w:instrText>
            </w:r>
            <w:r>
              <w:rPr>
                <w:rFonts w:hint="default" w:ascii="Times New Roman" w:hAnsi="Times New Roman" w:eastAsia="宋体" w:cs="Times New Roman"/>
                <w:bCs/>
                <w:color w:val="000000" w:themeColor="text1"/>
                <w:kern w:val="0"/>
                <w:sz w:val="24"/>
                <w14:textFill>
                  <w14:solidFill>
                    <w14:schemeClr w14:val="tx1"/>
                  </w14:solidFill>
                </w14:textFill>
              </w:rPr>
              <w:fldChar w:fldCharType="separate"/>
            </w:r>
            <w:r>
              <w:rPr>
                <w:rFonts w:hint="default" w:ascii="Times New Roman" w:hAnsi="Times New Roman" w:eastAsia="宋体" w:cs="Times New Roman"/>
                <w:bCs/>
                <w:color w:val="000000" w:themeColor="text1"/>
                <w:kern w:val="0"/>
                <w:sz w:val="24"/>
                <w14:textFill>
                  <w14:solidFill>
                    <w14:schemeClr w14:val="tx1"/>
                  </w14:solidFill>
                </w14:textFill>
              </w:rPr>
              <w:t>④</w:t>
            </w:r>
            <w:r>
              <w:rPr>
                <w:rFonts w:hint="default" w:ascii="Times New Roman" w:hAnsi="Times New Roman" w:eastAsia="宋体" w:cs="Times New Roman"/>
                <w:bCs/>
                <w:color w:val="000000" w:themeColor="text1"/>
                <w:kern w:val="0"/>
                <w:sz w:val="24"/>
                <w14:textFill>
                  <w14:solidFill>
                    <w14:schemeClr w14:val="tx1"/>
                  </w14:solidFill>
                </w14:textFill>
              </w:rPr>
              <w:fldChar w:fldCharType="end"/>
            </w:r>
          </w:p>
        </w:tc>
        <w:tc>
          <w:tcPr>
            <w:tcW w:w="577" w:type="pct"/>
            <w:tcMar>
              <w:left w:w="28" w:type="dxa"/>
              <w:right w:w="28" w:type="dxa"/>
            </w:tcMar>
            <w:vAlign w:val="center"/>
          </w:tcPr>
          <w:p w14:paraId="4C8F548A">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以新带老削减量（新建项目不填）</w:t>
            </w:r>
            <w:r>
              <w:rPr>
                <w:rFonts w:hint="default" w:ascii="Times New Roman" w:hAnsi="Times New Roman" w:eastAsia="宋体" w:cs="Times New Roman"/>
                <w:bCs/>
                <w:color w:val="000000" w:themeColor="text1"/>
                <w:kern w:val="0"/>
                <w:sz w:val="24"/>
                <w14:textFill>
                  <w14:solidFill>
                    <w14:schemeClr w14:val="tx1"/>
                  </w14:solidFill>
                </w14:textFill>
              </w:rPr>
              <w:fldChar w:fldCharType="begin"/>
            </w:r>
            <w:r>
              <w:rPr>
                <w:rFonts w:hint="default" w:ascii="Times New Roman" w:hAnsi="Times New Roman" w:eastAsia="宋体" w:cs="Times New Roman"/>
                <w:bCs/>
                <w:color w:val="000000" w:themeColor="text1"/>
                <w:kern w:val="0"/>
                <w:sz w:val="24"/>
                <w14:textFill>
                  <w14:solidFill>
                    <w14:schemeClr w14:val="tx1"/>
                  </w14:solidFill>
                </w14:textFill>
              </w:rPr>
              <w:instrText xml:space="preserve"> = 5 \* GB3 \* MERGEFORMAT </w:instrText>
            </w:r>
            <w:r>
              <w:rPr>
                <w:rFonts w:hint="default" w:ascii="Times New Roman" w:hAnsi="Times New Roman" w:eastAsia="宋体" w:cs="Times New Roman"/>
                <w:bCs/>
                <w:color w:val="000000" w:themeColor="text1"/>
                <w:kern w:val="0"/>
                <w:sz w:val="24"/>
                <w14:textFill>
                  <w14:solidFill>
                    <w14:schemeClr w14:val="tx1"/>
                  </w14:solidFill>
                </w14:textFill>
              </w:rPr>
              <w:fldChar w:fldCharType="separate"/>
            </w:r>
            <w:r>
              <w:rPr>
                <w:rFonts w:hint="default" w:ascii="Times New Roman" w:hAnsi="Times New Roman" w:eastAsia="宋体" w:cs="Times New Roman"/>
                <w:bCs/>
                <w:color w:val="000000" w:themeColor="text1"/>
                <w:kern w:val="0"/>
                <w:sz w:val="24"/>
                <w14:textFill>
                  <w14:solidFill>
                    <w14:schemeClr w14:val="tx1"/>
                  </w14:solidFill>
                </w14:textFill>
              </w:rPr>
              <w:t>⑤</w:t>
            </w:r>
            <w:r>
              <w:rPr>
                <w:rFonts w:hint="default" w:ascii="Times New Roman" w:hAnsi="Times New Roman" w:eastAsia="宋体" w:cs="Times New Roman"/>
                <w:bCs/>
                <w:color w:val="000000" w:themeColor="text1"/>
                <w:kern w:val="0"/>
                <w:sz w:val="24"/>
                <w14:textFill>
                  <w14:solidFill>
                    <w14:schemeClr w14:val="tx1"/>
                  </w14:solidFill>
                </w14:textFill>
              </w:rPr>
              <w:fldChar w:fldCharType="end"/>
            </w:r>
          </w:p>
        </w:tc>
        <w:tc>
          <w:tcPr>
            <w:tcW w:w="578" w:type="pct"/>
            <w:tcMar>
              <w:left w:w="28" w:type="dxa"/>
              <w:right w:w="28" w:type="dxa"/>
            </w:tcMar>
            <w:vAlign w:val="center"/>
          </w:tcPr>
          <w:p w14:paraId="31AB0CA6">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本项目建成后全厂排放量（固体废物产生量）</w:t>
            </w:r>
            <w:r>
              <w:rPr>
                <w:rFonts w:hint="default" w:ascii="Times New Roman" w:hAnsi="Times New Roman" w:eastAsia="宋体" w:cs="Times New Roman"/>
                <w:bCs/>
                <w:color w:val="000000" w:themeColor="text1"/>
                <w:kern w:val="0"/>
                <w:sz w:val="24"/>
                <w14:textFill>
                  <w14:solidFill>
                    <w14:schemeClr w14:val="tx1"/>
                  </w14:solidFill>
                </w14:textFill>
              </w:rPr>
              <w:fldChar w:fldCharType="begin"/>
            </w:r>
            <w:r>
              <w:rPr>
                <w:rFonts w:hint="default" w:ascii="Times New Roman" w:hAnsi="Times New Roman" w:eastAsia="宋体" w:cs="Times New Roman"/>
                <w:bCs/>
                <w:color w:val="000000" w:themeColor="text1"/>
                <w:kern w:val="0"/>
                <w:sz w:val="24"/>
                <w14:textFill>
                  <w14:solidFill>
                    <w14:schemeClr w14:val="tx1"/>
                  </w14:solidFill>
                </w14:textFill>
              </w:rPr>
              <w:instrText xml:space="preserve"> = 6 \* GB3 \* MERGEFORMAT </w:instrText>
            </w:r>
            <w:r>
              <w:rPr>
                <w:rFonts w:hint="default" w:ascii="Times New Roman" w:hAnsi="Times New Roman" w:eastAsia="宋体" w:cs="Times New Roman"/>
                <w:bCs/>
                <w:color w:val="000000" w:themeColor="text1"/>
                <w:kern w:val="0"/>
                <w:sz w:val="24"/>
                <w14:textFill>
                  <w14:solidFill>
                    <w14:schemeClr w14:val="tx1"/>
                  </w14:solidFill>
                </w14:textFill>
              </w:rPr>
              <w:fldChar w:fldCharType="separate"/>
            </w:r>
            <w:r>
              <w:rPr>
                <w:rFonts w:hint="default" w:ascii="Times New Roman" w:hAnsi="Times New Roman" w:eastAsia="宋体" w:cs="Times New Roman"/>
                <w:bCs/>
                <w:color w:val="000000" w:themeColor="text1"/>
                <w:kern w:val="0"/>
                <w:sz w:val="24"/>
                <w14:textFill>
                  <w14:solidFill>
                    <w14:schemeClr w14:val="tx1"/>
                  </w14:solidFill>
                </w14:textFill>
              </w:rPr>
              <w:t>⑥</w:t>
            </w:r>
            <w:r>
              <w:rPr>
                <w:rFonts w:hint="default" w:ascii="Times New Roman" w:hAnsi="Times New Roman" w:eastAsia="宋体" w:cs="Times New Roman"/>
                <w:bCs/>
                <w:color w:val="000000" w:themeColor="text1"/>
                <w:kern w:val="0"/>
                <w:sz w:val="24"/>
                <w14:textFill>
                  <w14:solidFill>
                    <w14:schemeClr w14:val="tx1"/>
                  </w14:solidFill>
                </w14:textFill>
              </w:rPr>
              <w:fldChar w:fldCharType="end"/>
            </w:r>
          </w:p>
        </w:tc>
        <w:tc>
          <w:tcPr>
            <w:tcW w:w="588" w:type="pct"/>
            <w:tcMar>
              <w:left w:w="28" w:type="dxa"/>
              <w:right w:w="28" w:type="dxa"/>
            </w:tcMar>
            <w:vAlign w:val="center"/>
          </w:tcPr>
          <w:p w14:paraId="0A10FFF8">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变化量</w:t>
            </w:r>
          </w:p>
          <w:p w14:paraId="49388165">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fldChar w:fldCharType="begin"/>
            </w:r>
            <w:r>
              <w:rPr>
                <w:rFonts w:hint="default" w:ascii="Times New Roman" w:hAnsi="Times New Roman" w:eastAsia="宋体" w:cs="Times New Roman"/>
                <w:bCs/>
                <w:color w:val="000000" w:themeColor="text1"/>
                <w:kern w:val="0"/>
                <w:sz w:val="24"/>
                <w14:textFill>
                  <w14:solidFill>
                    <w14:schemeClr w14:val="tx1"/>
                  </w14:solidFill>
                </w14:textFill>
              </w:rPr>
              <w:instrText xml:space="preserve"> = 7 \* GB3 \* MERGEFORMAT </w:instrText>
            </w:r>
            <w:r>
              <w:rPr>
                <w:rFonts w:hint="default" w:ascii="Times New Roman" w:hAnsi="Times New Roman" w:eastAsia="宋体" w:cs="Times New Roman"/>
                <w:bCs/>
                <w:color w:val="000000" w:themeColor="text1"/>
                <w:kern w:val="0"/>
                <w:sz w:val="24"/>
                <w14:textFill>
                  <w14:solidFill>
                    <w14:schemeClr w14:val="tx1"/>
                  </w14:solidFill>
                </w14:textFill>
              </w:rPr>
              <w:fldChar w:fldCharType="separate"/>
            </w:r>
            <w:r>
              <w:rPr>
                <w:rFonts w:hint="default" w:ascii="Times New Roman" w:hAnsi="Times New Roman" w:eastAsia="宋体" w:cs="Times New Roman"/>
                <w:bCs/>
                <w:color w:val="000000" w:themeColor="text1"/>
                <w:kern w:val="0"/>
                <w:sz w:val="24"/>
                <w14:textFill>
                  <w14:solidFill>
                    <w14:schemeClr w14:val="tx1"/>
                  </w14:solidFill>
                </w14:textFill>
              </w:rPr>
              <w:t>⑦</w:t>
            </w:r>
            <w:r>
              <w:rPr>
                <w:rFonts w:hint="default" w:ascii="Times New Roman" w:hAnsi="Times New Roman" w:eastAsia="宋体" w:cs="Times New Roman"/>
                <w:bCs/>
                <w:color w:val="000000" w:themeColor="text1"/>
                <w:kern w:val="0"/>
                <w:sz w:val="24"/>
                <w14:textFill>
                  <w14:solidFill>
                    <w14:schemeClr w14:val="tx1"/>
                  </w14:solidFill>
                </w14:textFill>
              </w:rPr>
              <w:fldChar w:fldCharType="end"/>
            </w:r>
          </w:p>
        </w:tc>
      </w:tr>
      <w:tr w14:paraId="1596B6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vAlign w:val="center"/>
          </w:tcPr>
          <w:p w14:paraId="0E11D64F">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废气</w:t>
            </w:r>
          </w:p>
        </w:tc>
        <w:tc>
          <w:tcPr>
            <w:tcW w:w="577" w:type="pct"/>
            <w:vAlign w:val="center"/>
          </w:tcPr>
          <w:p w14:paraId="5D5740AE">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p>
        </w:tc>
        <w:tc>
          <w:tcPr>
            <w:tcW w:w="577" w:type="pct"/>
            <w:vAlign w:val="center"/>
          </w:tcPr>
          <w:p w14:paraId="775944F3">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36B71424">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288C7847">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2FEF1569">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021519EA">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8" w:type="pct"/>
          </w:tcPr>
          <w:p w14:paraId="7E8FE565">
            <w:pPr>
              <w:widowControl/>
              <w:spacing w:line="240" w:lineRule="auto"/>
              <w:jc w:val="center"/>
              <w:rPr>
                <w:rFonts w:hint="default" w:ascii="Times New Roman" w:hAnsi="Times New Roman" w:eastAsia="宋体" w:cs="Times New Roman"/>
                <w:color w:val="000000" w:themeColor="text1"/>
                <w:sz w:val="24"/>
                <w14:textFill>
                  <w14:solidFill>
                    <w14:schemeClr w14:val="tx1"/>
                  </w14:solidFill>
                </w14:textFill>
              </w:rPr>
            </w:pPr>
          </w:p>
        </w:tc>
        <w:tc>
          <w:tcPr>
            <w:tcW w:w="588" w:type="pct"/>
          </w:tcPr>
          <w:p w14:paraId="71604728">
            <w:pPr>
              <w:widowControl/>
              <w:spacing w:line="240" w:lineRule="auto"/>
              <w:jc w:val="center"/>
              <w:rPr>
                <w:rFonts w:hint="default" w:ascii="Times New Roman" w:hAnsi="Times New Roman" w:eastAsia="宋体" w:cs="Times New Roman"/>
                <w:color w:val="000000" w:themeColor="text1"/>
                <w:sz w:val="24"/>
                <w14:textFill>
                  <w14:solidFill>
                    <w14:schemeClr w14:val="tx1"/>
                  </w14:solidFill>
                </w14:textFill>
              </w:rPr>
            </w:pPr>
          </w:p>
        </w:tc>
      </w:tr>
      <w:tr w14:paraId="11E9AB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vAlign w:val="center"/>
          </w:tcPr>
          <w:p w14:paraId="51F1A3A2">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废水</w:t>
            </w:r>
          </w:p>
        </w:tc>
        <w:tc>
          <w:tcPr>
            <w:tcW w:w="577" w:type="pct"/>
            <w:vAlign w:val="center"/>
          </w:tcPr>
          <w:p w14:paraId="3E1F60E8">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w:t>
            </w:r>
          </w:p>
        </w:tc>
        <w:tc>
          <w:tcPr>
            <w:tcW w:w="577" w:type="pct"/>
            <w:vAlign w:val="center"/>
          </w:tcPr>
          <w:p w14:paraId="54D58311">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1E11F467">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31D9C300">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0A1A9798">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3936455C">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8" w:type="pct"/>
            <w:vAlign w:val="center"/>
          </w:tcPr>
          <w:p w14:paraId="720FBB87">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88" w:type="pct"/>
            <w:vAlign w:val="center"/>
          </w:tcPr>
          <w:p w14:paraId="609A1377">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r>
      <w:tr w14:paraId="668CB6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5" w:type="pct"/>
            <w:vAlign w:val="center"/>
          </w:tcPr>
          <w:p w14:paraId="4C765C73">
            <w:pPr>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bCs/>
                <w:color w:val="000000" w:themeColor="text1"/>
                <w:kern w:val="0"/>
                <w:sz w:val="24"/>
                <w14:textFill>
                  <w14:solidFill>
                    <w14:schemeClr w14:val="tx1"/>
                  </w14:solidFill>
                </w14:textFill>
              </w:rPr>
              <w:t>一般工业固体废物</w:t>
            </w:r>
          </w:p>
        </w:tc>
        <w:tc>
          <w:tcPr>
            <w:tcW w:w="577" w:type="pct"/>
            <w:vAlign w:val="center"/>
          </w:tcPr>
          <w:p w14:paraId="73C57314">
            <w:pPr>
              <w:widowControl/>
              <w:spacing w:line="240" w:lineRule="auto"/>
              <w:jc w:val="center"/>
              <w:rPr>
                <w:rFonts w:hint="default" w:ascii="Times New Roman" w:hAnsi="Times New Roman" w:eastAsia="宋体" w:cs="Times New Roman"/>
                <w:bCs/>
                <w:color w:val="000000" w:themeColor="text1"/>
                <w:sz w:val="24"/>
                <w14:textFill>
                  <w14:solidFill>
                    <w14:schemeClr w14:val="tx1"/>
                  </w14:solidFill>
                </w14:textFill>
              </w:rPr>
            </w:pPr>
            <w:r>
              <w:rPr>
                <w:rFonts w:hint="default" w:ascii="Times New Roman" w:hAnsi="Times New Roman" w:eastAsia="宋体" w:cs="Times New Roman"/>
                <w:bCs/>
                <w:color w:val="000000" w:themeColor="text1"/>
                <w:sz w:val="24"/>
                <w14:textFill>
                  <w14:solidFill>
                    <w14:schemeClr w14:val="tx1"/>
                  </w14:solidFill>
                </w14:textFill>
              </w:rPr>
              <w:t>底泥</w:t>
            </w:r>
          </w:p>
        </w:tc>
        <w:tc>
          <w:tcPr>
            <w:tcW w:w="577" w:type="pct"/>
            <w:vAlign w:val="center"/>
          </w:tcPr>
          <w:p w14:paraId="78DCB528">
            <w:pPr>
              <w:widowControl/>
              <w:spacing w:line="240" w:lineRule="auto"/>
              <w:jc w:val="center"/>
              <w:rPr>
                <w:rFonts w:hint="default" w:ascii="Times New Roman" w:hAnsi="Times New Roman" w:eastAsia="宋体" w:cs="Times New Roman"/>
                <w:color w:val="000000" w:themeColor="text1"/>
                <w:sz w:val="24"/>
                <w14:textFill>
                  <w14:solidFill>
                    <w14:schemeClr w14:val="tx1"/>
                  </w14:solidFill>
                </w14:textFill>
              </w:rPr>
            </w:pPr>
          </w:p>
        </w:tc>
        <w:tc>
          <w:tcPr>
            <w:tcW w:w="577" w:type="pct"/>
            <w:vAlign w:val="center"/>
          </w:tcPr>
          <w:p w14:paraId="461EB924">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23B16C6D">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p>
        </w:tc>
        <w:tc>
          <w:tcPr>
            <w:tcW w:w="577" w:type="pct"/>
            <w:vAlign w:val="center"/>
          </w:tcPr>
          <w:p w14:paraId="68995CF9">
            <w:pPr>
              <w:widowControl/>
              <w:spacing w:line="240" w:lineRule="auto"/>
              <w:jc w:val="center"/>
              <w:rPr>
                <w:rFonts w:hint="default" w:ascii="Times New Roman" w:hAnsi="Times New Roman" w:eastAsia="宋体" w:cs="Times New Roman"/>
                <w:bCs/>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lang w:val="en-US" w:eastAsia="zh-CN"/>
                <w14:textFill>
                  <w14:solidFill>
                    <w14:schemeClr w14:val="tx1"/>
                  </w14:solidFill>
                </w14:textFill>
              </w:rPr>
              <w:t>0.06</w:t>
            </w:r>
          </w:p>
        </w:tc>
        <w:tc>
          <w:tcPr>
            <w:tcW w:w="577" w:type="pct"/>
            <w:vAlign w:val="center"/>
          </w:tcPr>
          <w:p w14:paraId="5E90B251">
            <w:pPr>
              <w:widowControl/>
              <w:spacing w:line="240" w:lineRule="auto"/>
              <w:jc w:val="center"/>
              <w:rPr>
                <w:rFonts w:hint="default" w:ascii="Times New Roman" w:hAnsi="Times New Roman" w:eastAsia="宋体" w:cs="Times New Roman"/>
                <w:color w:val="000000" w:themeColor="text1"/>
                <w:sz w:val="24"/>
                <w14:textFill>
                  <w14:solidFill>
                    <w14:schemeClr w14:val="tx1"/>
                  </w14:solidFill>
                </w14:textFill>
              </w:rPr>
            </w:pPr>
          </w:p>
        </w:tc>
        <w:tc>
          <w:tcPr>
            <w:tcW w:w="578" w:type="pct"/>
            <w:vAlign w:val="center"/>
          </w:tcPr>
          <w:p w14:paraId="7015C2E9">
            <w:pPr>
              <w:widowControl/>
              <w:spacing w:line="240" w:lineRule="auto"/>
              <w:jc w:val="center"/>
              <w:rPr>
                <w:rFonts w:hint="default" w:ascii="Times New Roman" w:hAnsi="Times New Roman" w:eastAsia="宋体" w:cs="Times New Roman"/>
                <w:bCs/>
                <w:color w:val="000000" w:themeColor="text1"/>
                <w:sz w:val="24"/>
                <w:lang w:val="en-US" w:eastAsia="zh-CN"/>
                <w14:textFill>
                  <w14:solidFill>
                    <w14:schemeClr w14:val="tx1"/>
                  </w14:solidFill>
                </w14:textFill>
              </w:rPr>
            </w:pPr>
            <w:r>
              <w:rPr>
                <w:rFonts w:hint="default" w:ascii="Times New Roman" w:hAnsi="Times New Roman" w:eastAsia="宋体" w:cs="Times New Roman"/>
                <w:bCs/>
                <w:color w:val="000000" w:themeColor="text1"/>
                <w:sz w:val="24"/>
                <w:lang w:val="en-US" w:eastAsia="zh-CN"/>
                <w14:textFill>
                  <w14:solidFill>
                    <w14:schemeClr w14:val="tx1"/>
                  </w14:solidFill>
                </w14:textFill>
              </w:rPr>
              <w:t>0.06</w:t>
            </w:r>
          </w:p>
        </w:tc>
        <w:tc>
          <w:tcPr>
            <w:tcW w:w="588" w:type="pct"/>
            <w:vAlign w:val="center"/>
          </w:tcPr>
          <w:p w14:paraId="0DE35DA8">
            <w:pPr>
              <w:widowControl/>
              <w:spacing w:line="240" w:lineRule="auto"/>
              <w:jc w:val="center"/>
              <w:rPr>
                <w:rFonts w:hint="default" w:ascii="Times New Roman" w:hAnsi="Times New Roman" w:eastAsia="宋体" w:cs="Times New Roman"/>
                <w:bCs/>
                <w:color w:val="000000" w:themeColor="text1"/>
                <w:sz w:val="24"/>
                <w14:textFill>
                  <w14:solidFill>
                    <w14:schemeClr w14:val="tx1"/>
                  </w14:solidFill>
                </w14:textFill>
              </w:rPr>
            </w:pPr>
          </w:p>
        </w:tc>
      </w:tr>
      <w:tr w14:paraId="651EC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9"/>
            <w:vAlign w:val="center"/>
          </w:tcPr>
          <w:p w14:paraId="2B793CD0">
            <w:pPr>
              <w:widowControl/>
              <w:spacing w:line="240" w:lineRule="auto"/>
              <w:jc w:val="center"/>
              <w:rPr>
                <w:rFonts w:hint="default" w:ascii="Times New Roman" w:hAnsi="Times New Roman" w:eastAsia="宋体" w:cs="Times New Roman"/>
                <w:bCs/>
                <w:color w:val="000000" w:themeColor="text1"/>
                <w:kern w:val="0"/>
                <w:sz w:val="24"/>
                <w14:textFill>
                  <w14:solidFill>
                    <w14:schemeClr w14:val="tx1"/>
                  </w14:solidFill>
                </w14:textFill>
              </w:rPr>
            </w:pPr>
            <w:r>
              <w:rPr>
                <w:rFonts w:hint="default" w:ascii="Times New Roman" w:hAnsi="Times New Roman" w:eastAsia="宋体" w:cs="Times New Roman"/>
                <w:snapToGrid w:val="0"/>
                <w:color w:val="000000" w:themeColor="text1"/>
                <w:kern w:val="21"/>
                <w:sz w:val="24"/>
                <w14:textFill>
                  <w14:solidFill>
                    <w14:schemeClr w14:val="tx1"/>
                  </w14:solidFill>
                </w14:textFill>
              </w:rPr>
              <w:t>注：⑥=①+③+④-⑤；⑦=⑥-①</w:t>
            </w:r>
          </w:p>
        </w:tc>
      </w:tr>
    </w:tbl>
    <w:p w14:paraId="7A9F5D72">
      <w:pPr>
        <w:spacing w:line="360" w:lineRule="auto"/>
        <w:rPr>
          <w:rFonts w:hint="default" w:ascii="Times New Roman" w:hAnsi="Times New Roman" w:eastAsia="宋体" w:cs="Times New Roman"/>
          <w:snapToGrid w:val="0"/>
          <w:color w:val="000000" w:themeColor="text1"/>
          <w:kern w:val="21"/>
          <w:sz w:val="24"/>
          <w14:textFill>
            <w14:solidFill>
              <w14:schemeClr w14:val="tx1"/>
            </w14:solidFill>
          </w14:textFill>
        </w:rPr>
      </w:pPr>
    </w:p>
    <w:sectPr>
      <w:footerReference r:id="rId8" w:type="default"/>
      <w:pgSz w:w="16838" w:h="11906" w:orient="landscape"/>
      <w:pgMar w:top="1588" w:right="1361" w:bottom="1474" w:left="1361" w:header="851" w:footer="851" w:gutter="0"/>
      <w:pgBorders>
        <w:top w:val="none" w:sz="0" w:space="0"/>
        <w:left w:val="none" w:sz="0" w:space="0"/>
        <w:bottom w:val="none" w:sz="0" w:space="0"/>
        <w:right w:val="none" w:sz="0" w:space="0"/>
      </w:pgBorders>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cherish…" w:date="2026-10-09T09:28:51Z" w:initials="">
    <w:p w14:paraId="6340C340">
      <w:pPr>
        <w:pStyle w:val="20"/>
      </w:pPr>
      <w:r>
        <w:annotationRef/>
      </w:r>
    </w:p>
  </w:comment>
  <w:comment w:id="1" w:author="…cherish…" w:date="2026-10-09T10:38:06Z" w:initials="">
    <w:p w14:paraId="69A5F63E">
      <w:pPr>
        <w:pStyle w:val="20"/>
      </w:pPr>
      <w:r>
        <w:annotationRef/>
      </w:r>
    </w:p>
  </w:comment>
  <w:comment w:id="2" w:author="…cherish…" w:date="2026-10-09T10:38:12Z" w:initials="">
    <w:p w14:paraId="7412F0EA">
      <w:pPr>
        <w:pStyle w:val="20"/>
        <w:rPr>
          <w:rFonts w:hint="default" w:eastAsia="宋体"/>
          <w:lang w:val="en-US" w:eastAsia="zh-CN"/>
        </w:rPr>
      </w:pPr>
      <w:r>
        <w:rPr>
          <w:rFonts w:hint="eastAsia"/>
          <w:lang w:val="en-US" w:eastAsia="zh-CN"/>
        </w:rPr>
        <w:t>根据全文调整</w:t>
      </w:r>
    </w:p>
  </w:comment>
  <w:comment w:id="3" w:author="…cherish…" w:date="2026-10-08T16:06:46Z" w:initials="">
    <w:p w14:paraId="700E4A80">
      <w:pPr>
        <w:pStyle w:val="20"/>
      </w:pPr>
      <w:r>
        <w:annotationRef/>
      </w:r>
    </w:p>
  </w:comment>
  <w:comment w:id="4" w:author="…cherish…" w:date="2026-10-09T10:52:21Z" w:initials="">
    <w:p w14:paraId="37E77206">
      <w:pPr>
        <w:pStyle w:val="20"/>
      </w:pPr>
      <w:r>
        <w:annotationRef/>
      </w:r>
    </w:p>
  </w:comment>
  <w:comment w:id="5" w:author="…cherish…" w:date="2026-10-09T10:53:43Z" w:initials="">
    <w:p w14:paraId="5937DBC8">
      <w:pPr>
        <w:pStyle w:val="20"/>
      </w:pPr>
      <w:r>
        <w:annotationRef/>
      </w:r>
    </w:p>
  </w:comment>
  <w:comment w:id="6" w:author="…cherish…" w:date="2026-10-09T09:26:14Z" w:initials="">
    <w:p w14:paraId="22BDE3ED">
      <w:pPr>
        <w:pStyle w:val="20"/>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340C340" w15:done="0"/>
  <w15:commentEx w15:paraId="69A5F63E" w15:done="0"/>
  <w15:commentEx w15:paraId="7412F0EA" w15:done="0"/>
  <w15:commentEx w15:paraId="700E4A80" w15:done="0"/>
  <w15:commentEx w15:paraId="37E77206" w15:done="0"/>
  <w15:commentEx w15:paraId="5937DBC8" w15:done="0"/>
  <w15:commentEx w15:paraId="22BDE3E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Gloucester MT Extra Condensed">
    <w:altName w:val="MT Extra"/>
    <w:panose1 w:val="02030808020601010101"/>
    <w:charset w:val="00"/>
    <w:family w:val="roman"/>
    <w:pitch w:val="default"/>
    <w:sig w:usb0="00000000" w:usb1="00000000" w:usb2="00000000" w:usb3="00000000" w:csb0="20000001"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lgerian">
    <w:altName w:val="Gabriola"/>
    <w:panose1 w:val="04020705040A02060702"/>
    <w:charset w:val="00"/>
    <w:family w:val="decorative"/>
    <w:pitch w:val="default"/>
    <w:sig w:usb0="00000000" w:usb1="00000000" w:usb2="00000000" w:usb3="00000000" w:csb0="20000001" w:csb1="00000000"/>
  </w:font>
  <w:font w:name="等线">
    <w:panose1 w:val="02010600030101010101"/>
    <w:charset w:val="86"/>
    <w:family w:val="auto"/>
    <w:pitch w:val="default"/>
    <w:sig w:usb0="A00002BF" w:usb1="38CF7CFA" w:usb2="00000016" w:usb3="00000000" w:csb0="0004000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Georgia">
    <w:panose1 w:val="02040502050405020303"/>
    <w:charset w:val="00"/>
    <w:family w:val="roman"/>
    <w:pitch w:val="default"/>
    <w:sig w:usb0="00000287" w:usb1="00000000" w:usb2="00000000" w:usb3="00000000" w:csb0="2000009F" w:csb1="00000000"/>
  </w:font>
  <w:font w:name="FrankRuehl">
    <w:altName w:val="FFont-Family"/>
    <w:panose1 w:val="00000000000000000000"/>
    <w:charset w:val="B1"/>
    <w:family w:val="swiss"/>
    <w:pitch w:val="default"/>
    <w:sig w:usb0="00000000" w:usb1="00000000" w:usb2="00000000" w:usb3="00000000" w:csb0="00000021" w:csb1="00000000"/>
  </w:font>
  <w:font w:name="AMGDT">
    <w:altName w:val="Segoe UI Semilight"/>
    <w:panose1 w:val="020004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CG Times">
    <w:altName w:val="Times New Roman"/>
    <w:panose1 w:val="00000000000000000000"/>
    <w:charset w:val="00"/>
    <w:family w:val="roman"/>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ourier">
    <w:altName w:val="Courier New"/>
    <w:panose1 w:val="02070409020205020404"/>
    <w:charset w:val="00"/>
    <w:family w:val="moder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40001" w:csb1="00000000"/>
  </w:font>
  <w:font w:name="TimesNewRomanPS-BoldMT">
    <w:altName w:val="Times New Roman"/>
    <w:panose1 w:val="00000000000000000000"/>
    <w:charset w:val="00"/>
    <w:family w:val="roman"/>
    <w:pitch w:val="default"/>
    <w:sig w:usb0="00000000" w:usb1="00000000" w:usb2="00000000" w:usb3="00000000" w:csb0="00040001" w:csb1="00000000"/>
  </w:font>
  <w:font w:name="CIDFont+F5">
    <w:altName w:val="宋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C8D30">
    <w:pPr>
      <w:pStyle w:val="35"/>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52D83">
    <w:pPr>
      <w:pStyle w:val="35"/>
      <w:framePr w:wrap="around" w:vAnchor="text" w:hAnchor="margin" w:xAlign="center" w:y="1"/>
      <w:rPr>
        <w:rStyle w:val="66"/>
      </w:rPr>
    </w:pPr>
    <w:r>
      <w:fldChar w:fldCharType="begin"/>
    </w:r>
    <w:r>
      <w:rPr>
        <w:rStyle w:val="66"/>
      </w:rPr>
      <w:instrText xml:space="preserve">PAGE  </w:instrText>
    </w:r>
    <w:r>
      <w:fldChar w:fldCharType="separate"/>
    </w:r>
    <w:r>
      <w:rPr>
        <w:rStyle w:val="66"/>
      </w:rPr>
      <w:t>25</w:t>
    </w:r>
    <w:r>
      <w:fldChar w:fldCharType="end"/>
    </w:r>
  </w:p>
  <w:p w14:paraId="40EFE4EA">
    <w:pPr>
      <w:pStyle w:val="3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213AE">
    <w:pPr>
      <w:pStyle w:val="35"/>
      <w:jc w:val="center"/>
    </w:pPr>
    <w:r>
      <w:fldChar w:fldCharType="begin"/>
    </w:r>
    <w:r>
      <w:instrText xml:space="preserve">PAGE   \* MERGEFORMAT</w:instrText>
    </w:r>
    <w:r>
      <w:fldChar w:fldCharType="separate"/>
    </w:r>
    <w:r>
      <w:rPr>
        <w:lang w:val="zh-CN"/>
      </w:rPr>
      <w:t>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348F8">
    <w:pPr>
      <w:pStyle w:val="35"/>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06D640"/>
    <w:multiLevelType w:val="singleLevel"/>
    <w:tmpl w:val="9A06D640"/>
    <w:lvl w:ilvl="0" w:tentative="0">
      <w:start w:val="1"/>
      <w:numFmt w:val="decimal"/>
      <w:suff w:val="nothing"/>
      <w:lvlText w:val="（%1）"/>
      <w:lvlJc w:val="left"/>
    </w:lvl>
  </w:abstractNum>
  <w:abstractNum w:abstractNumId="1">
    <w:nsid w:val="A2DDF2FA"/>
    <w:multiLevelType w:val="singleLevel"/>
    <w:tmpl w:val="A2DDF2FA"/>
    <w:lvl w:ilvl="0" w:tentative="0">
      <w:start w:val="1"/>
      <w:numFmt w:val="upperLetter"/>
      <w:suff w:val="nothing"/>
      <w:lvlText w:val="%1、"/>
      <w:lvlJc w:val="left"/>
    </w:lvl>
  </w:abstractNum>
  <w:abstractNum w:abstractNumId="2">
    <w:nsid w:val="C1227ACD"/>
    <w:multiLevelType w:val="singleLevel"/>
    <w:tmpl w:val="C1227ACD"/>
    <w:lvl w:ilvl="0" w:tentative="0">
      <w:start w:val="1"/>
      <w:numFmt w:val="decimal"/>
      <w:suff w:val="nothing"/>
      <w:lvlText w:val="%1、"/>
      <w:lvlJc w:val="left"/>
    </w:lvl>
  </w:abstractNum>
  <w:abstractNum w:abstractNumId="3">
    <w:nsid w:val="D3C87F36"/>
    <w:multiLevelType w:val="singleLevel"/>
    <w:tmpl w:val="D3C87F36"/>
    <w:lvl w:ilvl="0" w:tentative="0">
      <w:start w:val="1"/>
      <w:numFmt w:val="decimal"/>
      <w:suff w:val="nothing"/>
      <w:lvlText w:val="%1、"/>
      <w:lvlJc w:val="left"/>
    </w:lvl>
  </w:abstractNum>
  <w:abstractNum w:abstractNumId="4">
    <w:nsid w:val="F3CD25A5"/>
    <w:multiLevelType w:val="singleLevel"/>
    <w:tmpl w:val="F3CD25A5"/>
    <w:lvl w:ilvl="0" w:tentative="0">
      <w:start w:val="1"/>
      <w:numFmt w:val="decimal"/>
      <w:suff w:val="nothing"/>
      <w:lvlText w:val="（%1）"/>
      <w:lvlJc w:val="left"/>
    </w:lvl>
  </w:abstractNum>
  <w:abstractNum w:abstractNumId="5">
    <w:nsid w:val="FA81BD79"/>
    <w:multiLevelType w:val="singleLevel"/>
    <w:tmpl w:val="FA81BD79"/>
    <w:lvl w:ilvl="0" w:tentative="0">
      <w:start w:val="8"/>
      <w:numFmt w:val="decimal"/>
      <w:suff w:val="nothing"/>
      <w:lvlText w:val="%1、"/>
      <w:lvlJc w:val="left"/>
    </w:lvl>
  </w:abstractNum>
  <w:abstractNum w:abstractNumId="6">
    <w:nsid w:val="FFFFFF81"/>
    <w:multiLevelType w:val="singleLevel"/>
    <w:tmpl w:val="FFFFFF81"/>
    <w:lvl w:ilvl="0" w:tentative="0">
      <w:start w:val="1"/>
      <w:numFmt w:val="bullet"/>
      <w:pStyle w:val="15"/>
      <w:lvlText w:val=""/>
      <w:lvlJc w:val="left"/>
      <w:pPr>
        <w:tabs>
          <w:tab w:val="left" w:pos="1620"/>
        </w:tabs>
        <w:ind w:left="1620" w:hanging="360"/>
      </w:pPr>
      <w:rPr>
        <w:rFonts w:hint="default" w:ascii="Wingdings" w:hAnsi="Wingdings"/>
      </w:rPr>
    </w:lvl>
  </w:abstractNum>
  <w:abstractNum w:abstractNumId="7">
    <w:nsid w:val="FFFFFFFB"/>
    <w:multiLevelType w:val="multilevel"/>
    <w:tmpl w:val="FFFFFFFB"/>
    <w:lvl w:ilvl="0" w:tentative="0">
      <w:start w:val="1"/>
      <w:numFmt w:val="decimal"/>
      <w:lvlText w:val="%1"/>
      <w:legacy w:legacy="1" w:legacySpace="567" w:legacyIndent="0"/>
      <w:lvlJc w:val="left"/>
      <w:pPr>
        <w:ind w:left="0" w:firstLine="0"/>
      </w:pPr>
      <w:rPr>
        <w:rFonts w:hint="eastAsia" w:ascii="宋体" w:eastAsia="宋体"/>
        <w:b/>
        <w:i w:val="0"/>
        <w:strike w:val="0"/>
        <w:sz w:val="36"/>
        <w:u w:val="none"/>
      </w:rPr>
    </w:lvl>
    <w:lvl w:ilvl="1" w:tentative="0">
      <w:start w:val="1"/>
      <w:numFmt w:val="decimal"/>
      <w:lvlText w:val="%1.%2"/>
      <w:legacy w:legacy="1" w:legacySpace="454" w:legacyIndent="0"/>
      <w:lvlJc w:val="left"/>
      <w:pPr>
        <w:ind w:left="2340" w:firstLine="0"/>
      </w:pPr>
      <w:rPr>
        <w:rFonts w:hint="eastAsia" w:ascii="宋体" w:eastAsia="宋体"/>
        <w:b w:val="0"/>
        <w:i w:val="0"/>
        <w:strike w:val="0"/>
        <w:sz w:val="32"/>
        <w:u w:val="none"/>
      </w:rPr>
    </w:lvl>
    <w:lvl w:ilvl="2" w:tentative="0">
      <w:start w:val="1"/>
      <w:numFmt w:val="decimal"/>
      <w:lvlText w:val="%1.%2.%3"/>
      <w:legacy w:legacy="1" w:legacySpace="284" w:legacyIndent="0"/>
      <w:lvlJc w:val="left"/>
      <w:pPr>
        <w:ind w:left="0" w:firstLine="0"/>
      </w:pPr>
      <w:rPr>
        <w:rFonts w:hint="eastAsia" w:ascii="宋体" w:eastAsia="宋体"/>
        <w:b w:val="0"/>
        <w:i w:val="0"/>
        <w:strike w:val="0"/>
        <w:sz w:val="32"/>
        <w:u w:val="none"/>
      </w:rPr>
    </w:lvl>
    <w:lvl w:ilvl="3" w:tentative="0">
      <w:start w:val="1"/>
      <w:numFmt w:val="decimal"/>
      <w:pStyle w:val="251"/>
      <w:lvlText w:val="%1.%2.%3.%4"/>
      <w:legacy w:legacy="1" w:legacySpace="284" w:legacyIndent="0"/>
      <w:lvlJc w:val="left"/>
      <w:pPr>
        <w:ind w:left="0" w:firstLine="0"/>
      </w:pPr>
      <w:rPr>
        <w:rFonts w:hint="eastAsia" w:ascii="宋体" w:eastAsia="宋体"/>
        <w:b/>
        <w:i w:val="0"/>
        <w:strike w:val="0"/>
        <w:sz w:val="22"/>
        <w:u w:val="none"/>
      </w:rPr>
    </w:lvl>
    <w:lvl w:ilvl="4" w:tentative="0">
      <w:start w:val="1"/>
      <w:numFmt w:val="decimal"/>
      <w:lvlText w:val="%1.%2.%3.%4.%5"/>
      <w:legacy w:legacy="1" w:legacySpace="0" w:legacyIndent="0"/>
      <w:lvlJc w:val="left"/>
      <w:pPr>
        <w:ind w:left="0" w:firstLine="0"/>
      </w:pPr>
      <w:rPr>
        <w:rFonts w:hint="eastAsia" w:ascii="宋体" w:eastAsia="宋体"/>
        <w:b/>
        <w:i w:val="0"/>
        <w:strike w:val="0"/>
        <w:sz w:val="22"/>
        <w:u w:val="none"/>
      </w:rPr>
    </w:lvl>
    <w:lvl w:ilvl="5" w:tentative="0">
      <w:start w:val="1"/>
      <w:numFmt w:val="none"/>
      <w:suff w:val="nothing"/>
      <w:lvlText w:val=""/>
      <w:lvlJc w:val="left"/>
      <w:pPr>
        <w:ind w:left="0" w:firstLine="0"/>
      </w:pPr>
      <w:rPr>
        <w:rFonts w:hint="eastAsia" w:ascii="宋体" w:eastAsia="宋体"/>
        <w:b/>
        <w:i w:val="0"/>
        <w:strike w:val="0"/>
        <w:sz w:val="22"/>
        <w:u w:val="none"/>
      </w:rPr>
    </w:lvl>
    <w:lvl w:ilvl="6" w:tentative="0">
      <w:start w:val="1"/>
      <w:numFmt w:val="none"/>
      <w:suff w:val="nothing"/>
      <w:lvlText w:val=""/>
      <w:lvlJc w:val="left"/>
      <w:pPr>
        <w:ind w:left="0" w:firstLine="0"/>
      </w:pPr>
      <w:rPr>
        <w:rFonts w:hint="eastAsia" w:ascii="宋体" w:eastAsia="宋体"/>
        <w:b/>
        <w:i w:val="0"/>
        <w:strike w:val="0"/>
        <w:sz w:val="22"/>
        <w:u w:val="none"/>
      </w:rPr>
    </w:lvl>
    <w:lvl w:ilvl="7" w:tentative="0">
      <w:start w:val="1"/>
      <w:numFmt w:val="none"/>
      <w:suff w:val="nothing"/>
      <w:lvlText w:val=""/>
      <w:lvlJc w:val="left"/>
      <w:pPr>
        <w:ind w:left="0" w:firstLine="0"/>
      </w:pPr>
      <w:rPr>
        <w:rFonts w:hint="eastAsia" w:ascii="宋体" w:eastAsia="宋体"/>
        <w:b/>
        <w:i w:val="0"/>
        <w:strike w:val="0"/>
        <w:sz w:val="22"/>
        <w:u w:val="none"/>
      </w:rPr>
    </w:lvl>
    <w:lvl w:ilvl="8" w:tentative="0">
      <w:start w:val="1"/>
      <w:numFmt w:val="none"/>
      <w:suff w:val="nothing"/>
      <w:lvlText w:val=""/>
      <w:lvlJc w:val="left"/>
      <w:pPr>
        <w:ind w:left="0" w:firstLine="0"/>
      </w:pPr>
      <w:rPr>
        <w:rFonts w:hint="eastAsia" w:ascii="宋体" w:eastAsia="宋体"/>
        <w:b/>
        <w:i w:val="0"/>
        <w:strike w:val="0"/>
        <w:sz w:val="22"/>
        <w:u w:val="none"/>
      </w:rPr>
    </w:lvl>
  </w:abstractNum>
  <w:abstractNum w:abstractNumId="8">
    <w:nsid w:val="01B641D3"/>
    <w:multiLevelType w:val="multilevel"/>
    <w:tmpl w:val="01B641D3"/>
    <w:lvl w:ilvl="0" w:tentative="0">
      <w:start w:val="1"/>
      <w:numFmt w:val="decimal"/>
      <w:pStyle w:val="474"/>
      <w:lvlText w:val="（%1）"/>
      <w:lvlJc w:val="left"/>
      <w:pPr>
        <w:ind w:left="1322" w:hanging="720"/>
      </w:pPr>
      <w:rPr>
        <w:rFonts w:hint="default"/>
      </w:rPr>
    </w:lvl>
    <w:lvl w:ilvl="1" w:tentative="0">
      <w:start w:val="1"/>
      <w:numFmt w:val="lowerLetter"/>
      <w:lvlText w:val="%2)"/>
      <w:lvlJc w:val="left"/>
      <w:pPr>
        <w:ind w:left="1150" w:hanging="420"/>
      </w:pPr>
    </w:lvl>
    <w:lvl w:ilvl="2" w:tentative="0">
      <w:start w:val="1"/>
      <w:numFmt w:val="lowerRoman"/>
      <w:lvlText w:val="%3."/>
      <w:lvlJc w:val="right"/>
      <w:pPr>
        <w:ind w:left="1570" w:hanging="420"/>
      </w:pPr>
    </w:lvl>
    <w:lvl w:ilvl="3" w:tentative="0">
      <w:start w:val="1"/>
      <w:numFmt w:val="decimal"/>
      <w:lvlText w:val="%4."/>
      <w:lvlJc w:val="left"/>
      <w:pPr>
        <w:ind w:left="1990" w:hanging="420"/>
      </w:pPr>
    </w:lvl>
    <w:lvl w:ilvl="4" w:tentative="0">
      <w:start w:val="1"/>
      <w:numFmt w:val="lowerLetter"/>
      <w:lvlText w:val="%5)"/>
      <w:lvlJc w:val="left"/>
      <w:pPr>
        <w:ind w:left="2410" w:hanging="420"/>
      </w:pPr>
    </w:lvl>
    <w:lvl w:ilvl="5" w:tentative="0">
      <w:start w:val="1"/>
      <w:numFmt w:val="lowerRoman"/>
      <w:lvlText w:val="%6."/>
      <w:lvlJc w:val="right"/>
      <w:pPr>
        <w:ind w:left="2830" w:hanging="420"/>
      </w:pPr>
    </w:lvl>
    <w:lvl w:ilvl="6" w:tentative="0">
      <w:start w:val="1"/>
      <w:numFmt w:val="decimal"/>
      <w:lvlText w:val="%7."/>
      <w:lvlJc w:val="left"/>
      <w:pPr>
        <w:ind w:left="3250" w:hanging="420"/>
      </w:pPr>
    </w:lvl>
    <w:lvl w:ilvl="7" w:tentative="0">
      <w:start w:val="1"/>
      <w:numFmt w:val="lowerLetter"/>
      <w:lvlText w:val="%8)"/>
      <w:lvlJc w:val="left"/>
      <w:pPr>
        <w:ind w:left="3670" w:hanging="420"/>
      </w:pPr>
    </w:lvl>
    <w:lvl w:ilvl="8" w:tentative="0">
      <w:start w:val="1"/>
      <w:numFmt w:val="lowerRoman"/>
      <w:lvlText w:val="%9."/>
      <w:lvlJc w:val="right"/>
      <w:pPr>
        <w:ind w:left="4090" w:hanging="420"/>
      </w:pPr>
    </w:lvl>
  </w:abstractNum>
  <w:abstractNum w:abstractNumId="9">
    <w:nsid w:val="02B87EC3"/>
    <w:multiLevelType w:val="multilevel"/>
    <w:tmpl w:val="02B87EC3"/>
    <w:lvl w:ilvl="0" w:tentative="0">
      <w:start w:val="6"/>
      <w:numFmt w:val="decimal"/>
      <w:pStyle w:val="469"/>
      <w:lvlText w:val="%1"/>
      <w:lvlJc w:val="left"/>
      <w:pPr>
        <w:ind w:left="5954" w:hanging="425"/>
      </w:pPr>
      <w:rPr>
        <w:rFonts w:hint="default" w:ascii="宋体" w:hAnsi="宋体" w:eastAsia="宋体" w:cs="宋体"/>
        <w:color w:val="auto"/>
      </w:rPr>
    </w:lvl>
    <w:lvl w:ilvl="1" w:tentative="0">
      <w:start w:val="1"/>
      <w:numFmt w:val="decimal"/>
      <w:pStyle w:val="470"/>
      <w:lvlText w:val="%1.%2"/>
      <w:lvlJc w:val="left"/>
      <w:pPr>
        <w:ind w:left="0" w:firstLine="0"/>
      </w:pPr>
      <w:rPr>
        <w:rFonts w:hint="eastAsia"/>
      </w:rPr>
    </w:lvl>
    <w:lvl w:ilvl="2" w:tentative="0">
      <w:start w:val="1"/>
      <w:numFmt w:val="decimal"/>
      <w:pStyle w:val="471"/>
      <w:lvlText w:val="%1.%2.%3"/>
      <w:lvlJc w:val="left"/>
      <w:pPr>
        <w:ind w:left="0" w:firstLine="0"/>
      </w:pPr>
      <w:rPr>
        <w:rFonts w:hint="default" w:ascii="Times New Roman" w:hAnsi="Times New Roman" w:cs="Times New Roman"/>
        <w:b w:val="0"/>
        <w:bCs w:val="0"/>
        <w:i w:val="0"/>
        <w:iCs w:val="0"/>
        <w:caps w:val="0"/>
        <w:smallCaps w:val="0"/>
        <w:strike w:val="0"/>
        <w:dstrike w:val="0"/>
        <w:snapToGrid w:val="0"/>
        <w:vanish w:val="0"/>
        <w:color w:val="000000"/>
        <w:spacing w:val="0"/>
        <w:kern w:val="0"/>
        <w:position w:val="0"/>
        <w:u w:val="none" w:color="000000"/>
        <w:vertAlign w:val="baseline"/>
      </w:rPr>
    </w:lvl>
    <w:lvl w:ilvl="3" w:tentative="0">
      <w:start w:val="1"/>
      <w:numFmt w:val="decimal"/>
      <w:pStyle w:val="472"/>
      <w:lvlText w:val="%1.%2.%3.%4"/>
      <w:lvlJc w:val="left"/>
      <w:pPr>
        <w:ind w:left="0" w:firstLine="0"/>
      </w:pPr>
      <w:rPr>
        <w:rFonts w:hint="eastAsia" w:cs="Times New Roman"/>
        <w:b w:val="0"/>
        <w:bCs w:val="0"/>
        <w:i w:val="0"/>
        <w:iCs w:val="0"/>
        <w:caps w:val="0"/>
        <w:smallCaps w:val="0"/>
        <w:strike w:val="0"/>
        <w:dstrike w:val="0"/>
        <w:snapToGrid w:val="0"/>
        <w:vanish w:val="0"/>
        <w:color w:val="000000"/>
        <w:spacing w:val="0"/>
        <w:kern w:val="0"/>
        <w:position w:val="0"/>
        <w:u w:val="none" w:color="000000"/>
        <w:vertAlign w:val="baseline"/>
      </w:rPr>
    </w:lvl>
    <w:lvl w:ilvl="4" w:tentative="0">
      <w:start w:val="1"/>
      <w:numFmt w:val="decimal"/>
      <w:pStyle w:val="473"/>
      <w:lvlText w:val="%1.%2.%3.%4.%5"/>
      <w:lvlJc w:val="left"/>
      <w:pPr>
        <w:ind w:left="0" w:firstLine="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09B649F1"/>
    <w:multiLevelType w:val="multilevel"/>
    <w:tmpl w:val="09B649F1"/>
    <w:lvl w:ilvl="0" w:tentative="0">
      <w:start w:val="1"/>
      <w:numFmt w:val="decimal"/>
      <w:pStyle w:val="291"/>
      <w:lvlText w:val="%1、"/>
      <w:lvlJc w:val="left"/>
      <w:pPr>
        <w:ind w:left="900" w:hanging="420"/>
      </w:pPr>
      <w:rPr>
        <w:rFonts w:hint="default"/>
        <w:b w:val="0"/>
        <w:i w:val="0"/>
        <w:spacing w:val="0"/>
        <w:w w:val="100"/>
        <w:position w:val="0"/>
        <w:sz w:val="24"/>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0B590EA1"/>
    <w:multiLevelType w:val="multilevel"/>
    <w:tmpl w:val="0B590EA1"/>
    <w:lvl w:ilvl="0" w:tentative="0">
      <w:start w:val="1"/>
      <w:numFmt w:val="decimal"/>
      <w:lvlText w:val="表4-%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152FDAC8"/>
    <w:multiLevelType w:val="singleLevel"/>
    <w:tmpl w:val="152FDAC8"/>
    <w:lvl w:ilvl="0" w:tentative="0">
      <w:start w:val="1"/>
      <w:numFmt w:val="decimal"/>
      <w:suff w:val="nothing"/>
      <w:lvlText w:val="（%1）"/>
      <w:lvlJc w:val="left"/>
      <w:pPr>
        <w:ind w:left="-60"/>
      </w:pPr>
    </w:lvl>
  </w:abstractNum>
  <w:abstractNum w:abstractNumId="13">
    <w:nsid w:val="1DE599E1"/>
    <w:multiLevelType w:val="multilevel"/>
    <w:tmpl w:val="1DE599E1"/>
    <w:lvl w:ilvl="0" w:tentative="0">
      <w:start w:val="1"/>
      <w:numFmt w:val="decimal"/>
      <w:lvlText w:val="表2-%1"/>
      <w:lvlJc w:val="left"/>
      <w:pPr>
        <w:ind w:left="440" w:hanging="440"/>
      </w:pPr>
      <w:rPr>
        <w:rFonts w:hint="eastAsia"/>
        <w:b/>
        <w:i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3167C17A"/>
    <w:multiLevelType w:val="singleLevel"/>
    <w:tmpl w:val="3167C17A"/>
    <w:lvl w:ilvl="0" w:tentative="0">
      <w:start w:val="2"/>
      <w:numFmt w:val="decimal"/>
      <w:suff w:val="nothing"/>
      <w:lvlText w:val="（%1）"/>
      <w:lvlJc w:val="left"/>
    </w:lvl>
  </w:abstractNum>
  <w:abstractNum w:abstractNumId="15">
    <w:nsid w:val="35D6F18D"/>
    <w:multiLevelType w:val="singleLevel"/>
    <w:tmpl w:val="35D6F18D"/>
    <w:lvl w:ilvl="0" w:tentative="0">
      <w:start w:val="1"/>
      <w:numFmt w:val="decimal"/>
      <w:suff w:val="nothing"/>
      <w:lvlText w:val="（%1）"/>
      <w:lvlJc w:val="left"/>
    </w:lvl>
  </w:abstractNum>
  <w:abstractNum w:abstractNumId="16">
    <w:nsid w:val="38DD26CB"/>
    <w:multiLevelType w:val="singleLevel"/>
    <w:tmpl w:val="38DD26CB"/>
    <w:lvl w:ilvl="0" w:tentative="0">
      <w:start w:val="5"/>
      <w:numFmt w:val="decimal"/>
      <w:lvlText w:val="%1."/>
      <w:lvlJc w:val="left"/>
      <w:pPr>
        <w:tabs>
          <w:tab w:val="left" w:pos="312"/>
        </w:tabs>
      </w:pPr>
    </w:lvl>
  </w:abstractNum>
  <w:abstractNum w:abstractNumId="17">
    <w:nsid w:val="40AC04C9"/>
    <w:multiLevelType w:val="singleLevel"/>
    <w:tmpl w:val="40AC04C9"/>
    <w:lvl w:ilvl="0" w:tentative="0">
      <w:start w:val="1"/>
      <w:numFmt w:val="decimal"/>
      <w:lvlText w:val="%1."/>
      <w:lvlJc w:val="left"/>
      <w:pPr>
        <w:tabs>
          <w:tab w:val="left" w:pos="312"/>
        </w:tabs>
      </w:pPr>
    </w:lvl>
  </w:abstractNum>
  <w:abstractNum w:abstractNumId="18">
    <w:nsid w:val="417A21F3"/>
    <w:multiLevelType w:val="multilevel"/>
    <w:tmpl w:val="417A21F3"/>
    <w:lvl w:ilvl="0" w:tentative="0">
      <w:start w:val="1"/>
      <w:numFmt w:val="decimal"/>
      <w:lvlText w:val="表1-%1"/>
      <w:lvlJc w:val="left"/>
      <w:pPr>
        <w:ind w:left="440" w:hanging="440"/>
      </w:pPr>
      <w:rPr>
        <w:rFonts w:hint="eastAsia"/>
        <w:b/>
        <w:bCs w:val="0"/>
        <w:sz w:val="21"/>
        <w:szCs w:val="21"/>
        <w:lang w:val="en-U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4B105668"/>
    <w:multiLevelType w:val="singleLevel"/>
    <w:tmpl w:val="4B105668"/>
    <w:lvl w:ilvl="0" w:tentative="0">
      <w:start w:val="2"/>
      <w:numFmt w:val="decimal"/>
      <w:suff w:val="nothing"/>
      <w:lvlText w:val="%1）"/>
      <w:lvlJc w:val="left"/>
    </w:lvl>
  </w:abstractNum>
  <w:abstractNum w:abstractNumId="20">
    <w:nsid w:val="524A33C9"/>
    <w:multiLevelType w:val="multilevel"/>
    <w:tmpl w:val="524A33C9"/>
    <w:lvl w:ilvl="0" w:tentative="0">
      <w:start w:val="5"/>
      <w:numFmt w:val="decimal"/>
      <w:isLgl/>
      <w:lvlText w:val="%1"/>
      <w:lvlJc w:val="left"/>
      <w:pPr>
        <w:ind w:left="0" w:firstLine="0"/>
      </w:pPr>
      <w:rPr>
        <w:rFonts w:hint="eastAsia"/>
      </w:rPr>
    </w:lvl>
    <w:lvl w:ilvl="1" w:tentative="0">
      <w:start w:val="1"/>
      <w:numFmt w:val="decimal"/>
      <w:isLgl/>
      <w:suff w:val="space"/>
      <w:lvlText w:val="1.%2"/>
      <w:lvlJc w:val="left"/>
      <w:pPr>
        <w:ind w:left="0" w:firstLine="0"/>
      </w:pPr>
      <w:rPr>
        <w:rFonts w:hint="eastAsia"/>
      </w:rPr>
    </w:lvl>
    <w:lvl w:ilvl="2" w:tentative="0">
      <w:start w:val="1"/>
      <w:numFmt w:val="decimal"/>
      <w:isLgl/>
      <w:suff w:val="space"/>
      <w:lvlText w:val="1.%2.%3"/>
      <w:lvlJc w:val="left"/>
      <w:pPr>
        <w:ind w:left="284" w:firstLine="0"/>
      </w:pPr>
      <w:rPr>
        <w:rFonts w:hint="eastAsia" w:ascii="Times New Roman" w:hAnsi="Times New Roman"/>
        <w:b w:val="0"/>
        <w:bCs w:val="0"/>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isLgl/>
      <w:suff w:val="space"/>
      <w:lvlText w:val="1.%2.%3.%4"/>
      <w:lvlJc w:val="left"/>
      <w:pPr>
        <w:ind w:left="0" w:firstLine="0"/>
      </w:pPr>
      <w:rPr>
        <w:rFonts w:hint="eastAsia"/>
        <w:b w:val="0"/>
        <w:bCs w:val="0"/>
        <w:i w:val="0"/>
        <w:iCs w:val="0"/>
        <w:caps w:val="0"/>
        <w:smallCaps w:val="0"/>
        <w:strike w:val="0"/>
        <w:dstrike w:val="0"/>
        <w:outline w:val="0"/>
        <w:shadow w:val="0"/>
        <w:emboss w:val="0"/>
        <w:imprint w:val="0"/>
        <w:vanish w:val="0"/>
        <w:spacing w:val="0"/>
        <w:position w:val="0"/>
        <w:u w:val="none"/>
        <w:vertAlign w:val="baseline"/>
      </w:rPr>
    </w:lvl>
    <w:lvl w:ilvl="4" w:tentative="0">
      <w:start w:val="1"/>
      <w:numFmt w:val="decimal"/>
      <w:lvlRestart w:val="3"/>
      <w:pStyle w:val="463"/>
      <w:isLgl/>
      <w:suff w:val="nothing"/>
      <w:lvlText w:val="图1.%2.%3-%5"/>
      <w:lvlJc w:val="left"/>
      <w:pPr>
        <w:ind w:left="0" w:firstLine="0"/>
      </w:pPr>
      <w:rPr>
        <w:rFonts w:hint="eastAsia"/>
      </w:rPr>
    </w:lvl>
    <w:lvl w:ilvl="5" w:tentative="0">
      <w:start w:val="1"/>
      <w:numFmt w:val="decimal"/>
      <w:lvlRestart w:val="3"/>
      <w:pStyle w:val="461"/>
      <w:suff w:val="space"/>
      <w:lvlText w:val="表12.%2.%3-%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1">
    <w:nsid w:val="53473254"/>
    <w:multiLevelType w:val="singleLevel"/>
    <w:tmpl w:val="53473254"/>
    <w:lvl w:ilvl="0" w:tentative="0">
      <w:start w:val="1"/>
      <w:numFmt w:val="decimal"/>
      <w:suff w:val="nothing"/>
      <w:lvlText w:val="%1、"/>
      <w:lvlJc w:val="left"/>
    </w:lvl>
  </w:abstractNum>
  <w:abstractNum w:abstractNumId="22">
    <w:nsid w:val="58731F3A"/>
    <w:multiLevelType w:val="singleLevel"/>
    <w:tmpl w:val="58731F3A"/>
    <w:lvl w:ilvl="0" w:tentative="0">
      <w:start w:val="1"/>
      <w:numFmt w:val="decimal"/>
      <w:suff w:val="nothing"/>
      <w:lvlText w:val="%1、"/>
      <w:lvlJc w:val="left"/>
    </w:lvl>
  </w:abstractNum>
  <w:abstractNum w:abstractNumId="23">
    <w:nsid w:val="6F735D2D"/>
    <w:multiLevelType w:val="singleLevel"/>
    <w:tmpl w:val="6F735D2D"/>
    <w:lvl w:ilvl="0" w:tentative="0">
      <w:start w:val="1"/>
      <w:numFmt w:val="decimal"/>
      <w:suff w:val="nothing"/>
      <w:lvlText w:val="（%1）"/>
      <w:lvlJc w:val="left"/>
    </w:lvl>
  </w:abstractNum>
  <w:abstractNum w:abstractNumId="24">
    <w:nsid w:val="751B69ED"/>
    <w:multiLevelType w:val="multilevel"/>
    <w:tmpl w:val="751B69ED"/>
    <w:lvl w:ilvl="0" w:tentative="0">
      <w:start w:val="1"/>
      <w:numFmt w:val="decimal"/>
      <w:lvlText w:val="图1-%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5">
    <w:nsid w:val="7AD21C29"/>
    <w:multiLevelType w:val="multilevel"/>
    <w:tmpl w:val="7AD21C29"/>
    <w:lvl w:ilvl="0" w:tentative="0">
      <w:start w:val="1"/>
      <w:numFmt w:val="decimal"/>
      <w:lvlText w:val="表3-%1"/>
      <w:lvlJc w:val="left"/>
      <w:pPr>
        <w:ind w:left="440" w:hanging="440"/>
      </w:pPr>
      <w:rPr>
        <w:rFonts w:hint="eastAsia"/>
        <w:b/>
        <w:i w:val="0"/>
        <w:sz w:val="21"/>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6"/>
  </w:num>
  <w:num w:numId="2">
    <w:abstractNumId w:val="7"/>
  </w:num>
  <w:num w:numId="3">
    <w:abstractNumId w:val="10"/>
  </w:num>
  <w:num w:numId="4">
    <w:abstractNumId w:val="20"/>
  </w:num>
  <w:num w:numId="5">
    <w:abstractNumId w:val="9"/>
  </w:num>
  <w:num w:numId="6">
    <w:abstractNumId w:val="8"/>
  </w:num>
  <w:num w:numId="7">
    <w:abstractNumId w:val="18"/>
  </w:num>
  <w:num w:numId="8">
    <w:abstractNumId w:val="24"/>
  </w:num>
  <w:num w:numId="9">
    <w:abstractNumId w:val="22"/>
  </w:num>
  <w:num w:numId="10">
    <w:abstractNumId w:val="3"/>
  </w:num>
  <w:num w:numId="11">
    <w:abstractNumId w:val="23"/>
  </w:num>
  <w:num w:numId="12">
    <w:abstractNumId w:val="17"/>
  </w:num>
  <w:num w:numId="13">
    <w:abstractNumId w:val="16"/>
  </w:num>
  <w:num w:numId="14">
    <w:abstractNumId w:val="15"/>
  </w:num>
  <w:num w:numId="15">
    <w:abstractNumId w:val="2"/>
  </w:num>
  <w:num w:numId="16">
    <w:abstractNumId w:val="21"/>
  </w:num>
  <w:num w:numId="17">
    <w:abstractNumId w:val="13"/>
  </w:num>
  <w:num w:numId="18">
    <w:abstractNumId w:val="14"/>
  </w:num>
  <w:num w:numId="19">
    <w:abstractNumId w:val="25"/>
  </w:num>
  <w:num w:numId="20">
    <w:abstractNumId w:val="0"/>
  </w:num>
  <w:num w:numId="21">
    <w:abstractNumId w:val="11"/>
  </w:num>
  <w:num w:numId="22">
    <w:abstractNumId w:val="1"/>
  </w:num>
  <w:num w:numId="23">
    <w:abstractNumId w:val="19"/>
  </w:num>
  <w:num w:numId="24">
    <w:abstractNumId w:val="5"/>
  </w:num>
  <w:num w:numId="25">
    <w:abstractNumId w:val="12"/>
  </w:num>
  <w:num w:numId="2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herish…">
    <w15:presenceInfo w15:providerId="WPS Office" w15:userId="69068827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RmM2Q3MDQyMTE4ZjEzOTI1NDcyNjU2ZjZhNGNiMWEifQ=="/>
  </w:docVars>
  <w:rsids>
    <w:rsidRoot w:val="00A14947"/>
    <w:rsid w:val="00000880"/>
    <w:rsid w:val="000009D0"/>
    <w:rsid w:val="00000AF5"/>
    <w:rsid w:val="00000B72"/>
    <w:rsid w:val="00001B64"/>
    <w:rsid w:val="00002C15"/>
    <w:rsid w:val="00003483"/>
    <w:rsid w:val="00003B39"/>
    <w:rsid w:val="00003FCB"/>
    <w:rsid w:val="000042FF"/>
    <w:rsid w:val="000049AD"/>
    <w:rsid w:val="00004CCE"/>
    <w:rsid w:val="00004DFF"/>
    <w:rsid w:val="00005328"/>
    <w:rsid w:val="00005DC0"/>
    <w:rsid w:val="000060B3"/>
    <w:rsid w:val="00006255"/>
    <w:rsid w:val="000063F7"/>
    <w:rsid w:val="00006525"/>
    <w:rsid w:val="00006B10"/>
    <w:rsid w:val="00007ACD"/>
    <w:rsid w:val="00010800"/>
    <w:rsid w:val="00010ABE"/>
    <w:rsid w:val="00010AF2"/>
    <w:rsid w:val="000111D6"/>
    <w:rsid w:val="00011BDD"/>
    <w:rsid w:val="00011D01"/>
    <w:rsid w:val="00012466"/>
    <w:rsid w:val="00012AB8"/>
    <w:rsid w:val="00013191"/>
    <w:rsid w:val="00013F76"/>
    <w:rsid w:val="000149BD"/>
    <w:rsid w:val="00014C55"/>
    <w:rsid w:val="00014F1F"/>
    <w:rsid w:val="00015ACC"/>
    <w:rsid w:val="00015CA8"/>
    <w:rsid w:val="000179EA"/>
    <w:rsid w:val="00017A19"/>
    <w:rsid w:val="00020490"/>
    <w:rsid w:val="00020608"/>
    <w:rsid w:val="00021450"/>
    <w:rsid w:val="000214F4"/>
    <w:rsid w:val="00021F7F"/>
    <w:rsid w:val="00022460"/>
    <w:rsid w:val="00022A46"/>
    <w:rsid w:val="00022C37"/>
    <w:rsid w:val="0002305A"/>
    <w:rsid w:val="00023285"/>
    <w:rsid w:val="000232F6"/>
    <w:rsid w:val="000233DC"/>
    <w:rsid w:val="00023583"/>
    <w:rsid w:val="00023BE4"/>
    <w:rsid w:val="00023CBF"/>
    <w:rsid w:val="00023FE8"/>
    <w:rsid w:val="00024BC7"/>
    <w:rsid w:val="00025018"/>
    <w:rsid w:val="00025993"/>
    <w:rsid w:val="00026410"/>
    <w:rsid w:val="000270E8"/>
    <w:rsid w:val="00027260"/>
    <w:rsid w:val="0002742F"/>
    <w:rsid w:val="00027D00"/>
    <w:rsid w:val="00030604"/>
    <w:rsid w:val="000307DB"/>
    <w:rsid w:val="000308C2"/>
    <w:rsid w:val="00031033"/>
    <w:rsid w:val="00031271"/>
    <w:rsid w:val="0003137B"/>
    <w:rsid w:val="000314F5"/>
    <w:rsid w:val="00031C26"/>
    <w:rsid w:val="00031CBD"/>
    <w:rsid w:val="00031F90"/>
    <w:rsid w:val="000321F6"/>
    <w:rsid w:val="000323DD"/>
    <w:rsid w:val="00032412"/>
    <w:rsid w:val="00032B26"/>
    <w:rsid w:val="00033555"/>
    <w:rsid w:val="00033796"/>
    <w:rsid w:val="0003380A"/>
    <w:rsid w:val="00034135"/>
    <w:rsid w:val="00034831"/>
    <w:rsid w:val="00034841"/>
    <w:rsid w:val="00034A29"/>
    <w:rsid w:val="00034AE6"/>
    <w:rsid w:val="00034EFB"/>
    <w:rsid w:val="00036894"/>
    <w:rsid w:val="000370FE"/>
    <w:rsid w:val="00037388"/>
    <w:rsid w:val="00037452"/>
    <w:rsid w:val="00037B1B"/>
    <w:rsid w:val="00037D26"/>
    <w:rsid w:val="00037F6F"/>
    <w:rsid w:val="000405A2"/>
    <w:rsid w:val="00040FB4"/>
    <w:rsid w:val="000414A3"/>
    <w:rsid w:val="0004167B"/>
    <w:rsid w:val="000416E5"/>
    <w:rsid w:val="000418F6"/>
    <w:rsid w:val="00041A0A"/>
    <w:rsid w:val="00041AB0"/>
    <w:rsid w:val="00042122"/>
    <w:rsid w:val="000425FB"/>
    <w:rsid w:val="00042949"/>
    <w:rsid w:val="000429D3"/>
    <w:rsid w:val="00042B06"/>
    <w:rsid w:val="0004364B"/>
    <w:rsid w:val="00043815"/>
    <w:rsid w:val="00043970"/>
    <w:rsid w:val="00043A10"/>
    <w:rsid w:val="00044AF6"/>
    <w:rsid w:val="00044B99"/>
    <w:rsid w:val="000454AD"/>
    <w:rsid w:val="00045EC5"/>
    <w:rsid w:val="00047DFD"/>
    <w:rsid w:val="00047E0D"/>
    <w:rsid w:val="00047E76"/>
    <w:rsid w:val="00047F77"/>
    <w:rsid w:val="00050C12"/>
    <w:rsid w:val="0005152C"/>
    <w:rsid w:val="00051787"/>
    <w:rsid w:val="00051915"/>
    <w:rsid w:val="000528BC"/>
    <w:rsid w:val="00052A0D"/>
    <w:rsid w:val="00052BFA"/>
    <w:rsid w:val="000537F1"/>
    <w:rsid w:val="00054E7F"/>
    <w:rsid w:val="00055517"/>
    <w:rsid w:val="00055BF2"/>
    <w:rsid w:val="00056127"/>
    <w:rsid w:val="000566B3"/>
    <w:rsid w:val="00056AB9"/>
    <w:rsid w:val="00056D98"/>
    <w:rsid w:val="00057355"/>
    <w:rsid w:val="00057383"/>
    <w:rsid w:val="00057576"/>
    <w:rsid w:val="000603D8"/>
    <w:rsid w:val="00060543"/>
    <w:rsid w:val="00060DE0"/>
    <w:rsid w:val="00060E34"/>
    <w:rsid w:val="00060E55"/>
    <w:rsid w:val="00060EC6"/>
    <w:rsid w:val="000613E0"/>
    <w:rsid w:val="00061481"/>
    <w:rsid w:val="00061A03"/>
    <w:rsid w:val="00061B1F"/>
    <w:rsid w:val="00061BBF"/>
    <w:rsid w:val="00061BD3"/>
    <w:rsid w:val="00062814"/>
    <w:rsid w:val="00062AE0"/>
    <w:rsid w:val="00062F66"/>
    <w:rsid w:val="000630CC"/>
    <w:rsid w:val="000631C7"/>
    <w:rsid w:val="00063F89"/>
    <w:rsid w:val="00064368"/>
    <w:rsid w:val="000646D6"/>
    <w:rsid w:val="00064842"/>
    <w:rsid w:val="00065740"/>
    <w:rsid w:val="00065847"/>
    <w:rsid w:val="00065989"/>
    <w:rsid w:val="00065D2B"/>
    <w:rsid w:val="00065E04"/>
    <w:rsid w:val="00065F5A"/>
    <w:rsid w:val="000663C4"/>
    <w:rsid w:val="000664D6"/>
    <w:rsid w:val="000664E9"/>
    <w:rsid w:val="000666D1"/>
    <w:rsid w:val="00067096"/>
    <w:rsid w:val="00067336"/>
    <w:rsid w:val="000679E8"/>
    <w:rsid w:val="000702A2"/>
    <w:rsid w:val="00070659"/>
    <w:rsid w:val="00070883"/>
    <w:rsid w:val="0007141A"/>
    <w:rsid w:val="00071451"/>
    <w:rsid w:val="00071C2F"/>
    <w:rsid w:val="00071FF9"/>
    <w:rsid w:val="0007293F"/>
    <w:rsid w:val="00072F29"/>
    <w:rsid w:val="00072F33"/>
    <w:rsid w:val="000733C0"/>
    <w:rsid w:val="000733C4"/>
    <w:rsid w:val="000733D8"/>
    <w:rsid w:val="00073576"/>
    <w:rsid w:val="000739D7"/>
    <w:rsid w:val="00073AB8"/>
    <w:rsid w:val="00073ABE"/>
    <w:rsid w:val="00073C3B"/>
    <w:rsid w:val="0007411A"/>
    <w:rsid w:val="00074783"/>
    <w:rsid w:val="00075689"/>
    <w:rsid w:val="00075CDE"/>
    <w:rsid w:val="000767FF"/>
    <w:rsid w:val="00076A76"/>
    <w:rsid w:val="00076C91"/>
    <w:rsid w:val="00076E68"/>
    <w:rsid w:val="000773FF"/>
    <w:rsid w:val="0007747E"/>
    <w:rsid w:val="000775E5"/>
    <w:rsid w:val="00077779"/>
    <w:rsid w:val="000777A6"/>
    <w:rsid w:val="000777B6"/>
    <w:rsid w:val="00077830"/>
    <w:rsid w:val="00077D43"/>
    <w:rsid w:val="0008070B"/>
    <w:rsid w:val="00080B56"/>
    <w:rsid w:val="00080E7B"/>
    <w:rsid w:val="000810AC"/>
    <w:rsid w:val="00081153"/>
    <w:rsid w:val="000818AF"/>
    <w:rsid w:val="00081A02"/>
    <w:rsid w:val="00081CDB"/>
    <w:rsid w:val="00082231"/>
    <w:rsid w:val="0008241A"/>
    <w:rsid w:val="00082687"/>
    <w:rsid w:val="00082836"/>
    <w:rsid w:val="00082A36"/>
    <w:rsid w:val="00082CE3"/>
    <w:rsid w:val="00083315"/>
    <w:rsid w:val="00083574"/>
    <w:rsid w:val="00083956"/>
    <w:rsid w:val="00083BFB"/>
    <w:rsid w:val="00083DA1"/>
    <w:rsid w:val="00083DE6"/>
    <w:rsid w:val="00083DFD"/>
    <w:rsid w:val="00083F54"/>
    <w:rsid w:val="0008433E"/>
    <w:rsid w:val="000849CB"/>
    <w:rsid w:val="00084B5E"/>
    <w:rsid w:val="00084C0B"/>
    <w:rsid w:val="00084E60"/>
    <w:rsid w:val="000862CD"/>
    <w:rsid w:val="000867F7"/>
    <w:rsid w:val="00086F7E"/>
    <w:rsid w:val="00087313"/>
    <w:rsid w:val="00087A8C"/>
    <w:rsid w:val="00087F8B"/>
    <w:rsid w:val="0009025B"/>
    <w:rsid w:val="0009062C"/>
    <w:rsid w:val="00090AD4"/>
    <w:rsid w:val="00090B19"/>
    <w:rsid w:val="00090F64"/>
    <w:rsid w:val="00092174"/>
    <w:rsid w:val="0009223F"/>
    <w:rsid w:val="00092D38"/>
    <w:rsid w:val="0009377B"/>
    <w:rsid w:val="000948B5"/>
    <w:rsid w:val="00094A87"/>
    <w:rsid w:val="00094DDC"/>
    <w:rsid w:val="000957DF"/>
    <w:rsid w:val="0009596C"/>
    <w:rsid w:val="00095BEA"/>
    <w:rsid w:val="00095C53"/>
    <w:rsid w:val="00095D71"/>
    <w:rsid w:val="00096209"/>
    <w:rsid w:val="00096338"/>
    <w:rsid w:val="00096ECD"/>
    <w:rsid w:val="00097255"/>
    <w:rsid w:val="0009733D"/>
    <w:rsid w:val="000973C8"/>
    <w:rsid w:val="00097A6D"/>
    <w:rsid w:val="000A0039"/>
    <w:rsid w:val="000A051C"/>
    <w:rsid w:val="000A07A9"/>
    <w:rsid w:val="000A0970"/>
    <w:rsid w:val="000A09AD"/>
    <w:rsid w:val="000A0D5D"/>
    <w:rsid w:val="000A0E75"/>
    <w:rsid w:val="000A103D"/>
    <w:rsid w:val="000A1643"/>
    <w:rsid w:val="000A20C9"/>
    <w:rsid w:val="000A2644"/>
    <w:rsid w:val="000A2D1F"/>
    <w:rsid w:val="000A4F15"/>
    <w:rsid w:val="000A53D5"/>
    <w:rsid w:val="000A5BC4"/>
    <w:rsid w:val="000A5CC2"/>
    <w:rsid w:val="000A5EB7"/>
    <w:rsid w:val="000A6470"/>
    <w:rsid w:val="000A6504"/>
    <w:rsid w:val="000A6510"/>
    <w:rsid w:val="000A6926"/>
    <w:rsid w:val="000A6B2E"/>
    <w:rsid w:val="000A7881"/>
    <w:rsid w:val="000A7AB4"/>
    <w:rsid w:val="000A7BBE"/>
    <w:rsid w:val="000A7CA0"/>
    <w:rsid w:val="000A7D0A"/>
    <w:rsid w:val="000B0004"/>
    <w:rsid w:val="000B048F"/>
    <w:rsid w:val="000B058F"/>
    <w:rsid w:val="000B08B3"/>
    <w:rsid w:val="000B0DD4"/>
    <w:rsid w:val="000B1786"/>
    <w:rsid w:val="000B1879"/>
    <w:rsid w:val="000B2182"/>
    <w:rsid w:val="000B2E1E"/>
    <w:rsid w:val="000B338B"/>
    <w:rsid w:val="000B3A19"/>
    <w:rsid w:val="000B42E1"/>
    <w:rsid w:val="000B4467"/>
    <w:rsid w:val="000B44AE"/>
    <w:rsid w:val="000B4CB7"/>
    <w:rsid w:val="000B4DB9"/>
    <w:rsid w:val="000B4EE8"/>
    <w:rsid w:val="000B58D0"/>
    <w:rsid w:val="000B5C4B"/>
    <w:rsid w:val="000B5C69"/>
    <w:rsid w:val="000B5CF4"/>
    <w:rsid w:val="000B67B2"/>
    <w:rsid w:val="000B7A21"/>
    <w:rsid w:val="000B7DCC"/>
    <w:rsid w:val="000C03AE"/>
    <w:rsid w:val="000C06DB"/>
    <w:rsid w:val="000C09AC"/>
    <w:rsid w:val="000C10E8"/>
    <w:rsid w:val="000C14DA"/>
    <w:rsid w:val="000C1759"/>
    <w:rsid w:val="000C17BE"/>
    <w:rsid w:val="000C1E4F"/>
    <w:rsid w:val="000C1E6A"/>
    <w:rsid w:val="000C2A43"/>
    <w:rsid w:val="000C30CE"/>
    <w:rsid w:val="000C387E"/>
    <w:rsid w:val="000C3C3F"/>
    <w:rsid w:val="000C3D3A"/>
    <w:rsid w:val="000C3E1D"/>
    <w:rsid w:val="000C4D15"/>
    <w:rsid w:val="000C600D"/>
    <w:rsid w:val="000C60F6"/>
    <w:rsid w:val="000C6277"/>
    <w:rsid w:val="000C64E5"/>
    <w:rsid w:val="000C6A8F"/>
    <w:rsid w:val="000C71EF"/>
    <w:rsid w:val="000C75C1"/>
    <w:rsid w:val="000C767F"/>
    <w:rsid w:val="000C7E3A"/>
    <w:rsid w:val="000D01A1"/>
    <w:rsid w:val="000D12E8"/>
    <w:rsid w:val="000D168F"/>
    <w:rsid w:val="000D1A69"/>
    <w:rsid w:val="000D1B4E"/>
    <w:rsid w:val="000D1BEB"/>
    <w:rsid w:val="000D294F"/>
    <w:rsid w:val="000D2D7E"/>
    <w:rsid w:val="000D303B"/>
    <w:rsid w:val="000D3533"/>
    <w:rsid w:val="000D3605"/>
    <w:rsid w:val="000D3D18"/>
    <w:rsid w:val="000D4319"/>
    <w:rsid w:val="000D4345"/>
    <w:rsid w:val="000D45F4"/>
    <w:rsid w:val="000D4FF8"/>
    <w:rsid w:val="000D5913"/>
    <w:rsid w:val="000D5A44"/>
    <w:rsid w:val="000D5E6C"/>
    <w:rsid w:val="000D6300"/>
    <w:rsid w:val="000D6469"/>
    <w:rsid w:val="000D6E34"/>
    <w:rsid w:val="000D764C"/>
    <w:rsid w:val="000D7B0D"/>
    <w:rsid w:val="000D7FB0"/>
    <w:rsid w:val="000E0980"/>
    <w:rsid w:val="000E0DAF"/>
    <w:rsid w:val="000E0F4A"/>
    <w:rsid w:val="000E15C2"/>
    <w:rsid w:val="000E1837"/>
    <w:rsid w:val="000E219B"/>
    <w:rsid w:val="000E2799"/>
    <w:rsid w:val="000E2C4A"/>
    <w:rsid w:val="000E3068"/>
    <w:rsid w:val="000E3ED2"/>
    <w:rsid w:val="000E3EE8"/>
    <w:rsid w:val="000E4008"/>
    <w:rsid w:val="000E4127"/>
    <w:rsid w:val="000E4BB2"/>
    <w:rsid w:val="000E4D4B"/>
    <w:rsid w:val="000E60DF"/>
    <w:rsid w:val="000E72E5"/>
    <w:rsid w:val="000E736C"/>
    <w:rsid w:val="000E7A02"/>
    <w:rsid w:val="000E7D71"/>
    <w:rsid w:val="000F000F"/>
    <w:rsid w:val="000F090E"/>
    <w:rsid w:val="000F0D0E"/>
    <w:rsid w:val="000F1171"/>
    <w:rsid w:val="000F17DE"/>
    <w:rsid w:val="000F1EA7"/>
    <w:rsid w:val="000F2273"/>
    <w:rsid w:val="000F241D"/>
    <w:rsid w:val="000F272D"/>
    <w:rsid w:val="000F2DBB"/>
    <w:rsid w:val="000F2EF1"/>
    <w:rsid w:val="000F3032"/>
    <w:rsid w:val="000F3991"/>
    <w:rsid w:val="000F4DFA"/>
    <w:rsid w:val="000F51CC"/>
    <w:rsid w:val="000F5296"/>
    <w:rsid w:val="000F5774"/>
    <w:rsid w:val="000F6895"/>
    <w:rsid w:val="000F6A80"/>
    <w:rsid w:val="000F6B45"/>
    <w:rsid w:val="000F7123"/>
    <w:rsid w:val="000F7845"/>
    <w:rsid w:val="00100096"/>
    <w:rsid w:val="001004E2"/>
    <w:rsid w:val="001005CD"/>
    <w:rsid w:val="00100644"/>
    <w:rsid w:val="0010074B"/>
    <w:rsid w:val="00100915"/>
    <w:rsid w:val="00100BE7"/>
    <w:rsid w:val="00100FA1"/>
    <w:rsid w:val="001010FA"/>
    <w:rsid w:val="00101AB9"/>
    <w:rsid w:val="001024D5"/>
    <w:rsid w:val="00102601"/>
    <w:rsid w:val="00102826"/>
    <w:rsid w:val="0010296D"/>
    <w:rsid w:val="00102AC8"/>
    <w:rsid w:val="00102C6E"/>
    <w:rsid w:val="00102E43"/>
    <w:rsid w:val="001035E4"/>
    <w:rsid w:val="00103824"/>
    <w:rsid w:val="00104E1D"/>
    <w:rsid w:val="001060D6"/>
    <w:rsid w:val="001063C1"/>
    <w:rsid w:val="00106445"/>
    <w:rsid w:val="001068E9"/>
    <w:rsid w:val="00106BA3"/>
    <w:rsid w:val="00106D75"/>
    <w:rsid w:val="00107BA5"/>
    <w:rsid w:val="0011012D"/>
    <w:rsid w:val="0011043A"/>
    <w:rsid w:val="00110808"/>
    <w:rsid w:val="00110B38"/>
    <w:rsid w:val="001118FA"/>
    <w:rsid w:val="00111D46"/>
    <w:rsid w:val="001120F2"/>
    <w:rsid w:val="00112A12"/>
    <w:rsid w:val="00112BCB"/>
    <w:rsid w:val="00112BCD"/>
    <w:rsid w:val="00112E0D"/>
    <w:rsid w:val="0011333D"/>
    <w:rsid w:val="0011394A"/>
    <w:rsid w:val="00113DEF"/>
    <w:rsid w:val="00114153"/>
    <w:rsid w:val="0011456E"/>
    <w:rsid w:val="00114901"/>
    <w:rsid w:val="00114A55"/>
    <w:rsid w:val="00115632"/>
    <w:rsid w:val="00115ABD"/>
    <w:rsid w:val="00116236"/>
    <w:rsid w:val="00116CA0"/>
    <w:rsid w:val="00116D8F"/>
    <w:rsid w:val="0011740A"/>
    <w:rsid w:val="00117C0F"/>
    <w:rsid w:val="001204A8"/>
    <w:rsid w:val="00120A2C"/>
    <w:rsid w:val="00120AC3"/>
    <w:rsid w:val="00120B24"/>
    <w:rsid w:val="00120E14"/>
    <w:rsid w:val="001216B3"/>
    <w:rsid w:val="00121AEB"/>
    <w:rsid w:val="00122120"/>
    <w:rsid w:val="00122E1C"/>
    <w:rsid w:val="00123727"/>
    <w:rsid w:val="00123DCF"/>
    <w:rsid w:val="001242DB"/>
    <w:rsid w:val="0012453C"/>
    <w:rsid w:val="00124667"/>
    <w:rsid w:val="001248DD"/>
    <w:rsid w:val="00125F45"/>
    <w:rsid w:val="0012615A"/>
    <w:rsid w:val="001268CB"/>
    <w:rsid w:val="00126B39"/>
    <w:rsid w:val="0012746C"/>
    <w:rsid w:val="0013008B"/>
    <w:rsid w:val="00130BC7"/>
    <w:rsid w:val="00131F42"/>
    <w:rsid w:val="00133554"/>
    <w:rsid w:val="001335A8"/>
    <w:rsid w:val="00133A92"/>
    <w:rsid w:val="00133E49"/>
    <w:rsid w:val="00133EFB"/>
    <w:rsid w:val="00134187"/>
    <w:rsid w:val="00134540"/>
    <w:rsid w:val="00134A86"/>
    <w:rsid w:val="00134F9B"/>
    <w:rsid w:val="001357EB"/>
    <w:rsid w:val="001357F1"/>
    <w:rsid w:val="001358C4"/>
    <w:rsid w:val="00135EA8"/>
    <w:rsid w:val="0013634D"/>
    <w:rsid w:val="001365B3"/>
    <w:rsid w:val="00137378"/>
    <w:rsid w:val="00137BB9"/>
    <w:rsid w:val="00137BE2"/>
    <w:rsid w:val="0014041A"/>
    <w:rsid w:val="0014059E"/>
    <w:rsid w:val="00140E0B"/>
    <w:rsid w:val="00140FA8"/>
    <w:rsid w:val="00140FF1"/>
    <w:rsid w:val="001411FD"/>
    <w:rsid w:val="00141292"/>
    <w:rsid w:val="0014187E"/>
    <w:rsid w:val="00141AEC"/>
    <w:rsid w:val="00142A67"/>
    <w:rsid w:val="00142BDE"/>
    <w:rsid w:val="00142C12"/>
    <w:rsid w:val="00142D14"/>
    <w:rsid w:val="00142FA1"/>
    <w:rsid w:val="00142FAC"/>
    <w:rsid w:val="00142FEB"/>
    <w:rsid w:val="00143A2D"/>
    <w:rsid w:val="00143CCC"/>
    <w:rsid w:val="00143F89"/>
    <w:rsid w:val="00144317"/>
    <w:rsid w:val="00144396"/>
    <w:rsid w:val="0014445D"/>
    <w:rsid w:val="00144AE9"/>
    <w:rsid w:val="00144AF7"/>
    <w:rsid w:val="0014505F"/>
    <w:rsid w:val="00145A41"/>
    <w:rsid w:val="00145AF3"/>
    <w:rsid w:val="00145C37"/>
    <w:rsid w:val="00146650"/>
    <w:rsid w:val="0014677C"/>
    <w:rsid w:val="001467CC"/>
    <w:rsid w:val="0014687C"/>
    <w:rsid w:val="00146ACA"/>
    <w:rsid w:val="00146E1E"/>
    <w:rsid w:val="001473C4"/>
    <w:rsid w:val="00147420"/>
    <w:rsid w:val="00147631"/>
    <w:rsid w:val="00147F3A"/>
    <w:rsid w:val="001504C6"/>
    <w:rsid w:val="00150B37"/>
    <w:rsid w:val="00150DDF"/>
    <w:rsid w:val="00150F3C"/>
    <w:rsid w:val="00151492"/>
    <w:rsid w:val="00151675"/>
    <w:rsid w:val="00151F8E"/>
    <w:rsid w:val="001525A3"/>
    <w:rsid w:val="00152C22"/>
    <w:rsid w:val="00152C96"/>
    <w:rsid w:val="00152CAA"/>
    <w:rsid w:val="001532E1"/>
    <w:rsid w:val="001532ED"/>
    <w:rsid w:val="00153AB7"/>
    <w:rsid w:val="00154324"/>
    <w:rsid w:val="001552D8"/>
    <w:rsid w:val="00155E06"/>
    <w:rsid w:val="00155E09"/>
    <w:rsid w:val="00155E42"/>
    <w:rsid w:val="00157435"/>
    <w:rsid w:val="001577EE"/>
    <w:rsid w:val="001605D6"/>
    <w:rsid w:val="00160BA3"/>
    <w:rsid w:val="001610D5"/>
    <w:rsid w:val="001611ED"/>
    <w:rsid w:val="0016161E"/>
    <w:rsid w:val="00161A41"/>
    <w:rsid w:val="001624C5"/>
    <w:rsid w:val="00162748"/>
    <w:rsid w:val="00162B32"/>
    <w:rsid w:val="001639C1"/>
    <w:rsid w:val="00163DAF"/>
    <w:rsid w:val="00164156"/>
    <w:rsid w:val="00164222"/>
    <w:rsid w:val="001645C5"/>
    <w:rsid w:val="00164872"/>
    <w:rsid w:val="00164929"/>
    <w:rsid w:val="00164DA7"/>
    <w:rsid w:val="0016576F"/>
    <w:rsid w:val="00165DFC"/>
    <w:rsid w:val="0016661F"/>
    <w:rsid w:val="0016679C"/>
    <w:rsid w:val="0016680A"/>
    <w:rsid w:val="00166991"/>
    <w:rsid w:val="00166C59"/>
    <w:rsid w:val="00166FE8"/>
    <w:rsid w:val="001670F6"/>
    <w:rsid w:val="00167141"/>
    <w:rsid w:val="00167328"/>
    <w:rsid w:val="00167839"/>
    <w:rsid w:val="00167A80"/>
    <w:rsid w:val="00167AC3"/>
    <w:rsid w:val="00167F78"/>
    <w:rsid w:val="0017027E"/>
    <w:rsid w:val="001708D4"/>
    <w:rsid w:val="00170D1F"/>
    <w:rsid w:val="00171787"/>
    <w:rsid w:val="00172C14"/>
    <w:rsid w:val="0017363C"/>
    <w:rsid w:val="00173FD7"/>
    <w:rsid w:val="00174AAF"/>
    <w:rsid w:val="00174AC6"/>
    <w:rsid w:val="0017504D"/>
    <w:rsid w:val="001756E8"/>
    <w:rsid w:val="00175806"/>
    <w:rsid w:val="0017586E"/>
    <w:rsid w:val="00175B15"/>
    <w:rsid w:val="001764DE"/>
    <w:rsid w:val="00176650"/>
    <w:rsid w:val="0017671A"/>
    <w:rsid w:val="0017738F"/>
    <w:rsid w:val="00177422"/>
    <w:rsid w:val="001779E2"/>
    <w:rsid w:val="00177CF1"/>
    <w:rsid w:val="001806FE"/>
    <w:rsid w:val="0018087E"/>
    <w:rsid w:val="00180B7C"/>
    <w:rsid w:val="00180D12"/>
    <w:rsid w:val="0018123C"/>
    <w:rsid w:val="00181E45"/>
    <w:rsid w:val="00182476"/>
    <w:rsid w:val="001826AC"/>
    <w:rsid w:val="0018275C"/>
    <w:rsid w:val="00182B03"/>
    <w:rsid w:val="00182D98"/>
    <w:rsid w:val="00183312"/>
    <w:rsid w:val="001834B7"/>
    <w:rsid w:val="00184590"/>
    <w:rsid w:val="0018466E"/>
    <w:rsid w:val="00184B2B"/>
    <w:rsid w:val="001850DB"/>
    <w:rsid w:val="00185D54"/>
    <w:rsid w:val="001870D1"/>
    <w:rsid w:val="0018718C"/>
    <w:rsid w:val="0018781E"/>
    <w:rsid w:val="00187C76"/>
    <w:rsid w:val="00190540"/>
    <w:rsid w:val="00190F90"/>
    <w:rsid w:val="00191427"/>
    <w:rsid w:val="00191569"/>
    <w:rsid w:val="0019262D"/>
    <w:rsid w:val="00193A48"/>
    <w:rsid w:val="00193DE3"/>
    <w:rsid w:val="00193FFE"/>
    <w:rsid w:val="00194637"/>
    <w:rsid w:val="00194989"/>
    <w:rsid w:val="00194A04"/>
    <w:rsid w:val="001950A5"/>
    <w:rsid w:val="00195916"/>
    <w:rsid w:val="00196165"/>
    <w:rsid w:val="00196320"/>
    <w:rsid w:val="001964D6"/>
    <w:rsid w:val="001967BE"/>
    <w:rsid w:val="00197148"/>
    <w:rsid w:val="00197865"/>
    <w:rsid w:val="001978A7"/>
    <w:rsid w:val="0019792C"/>
    <w:rsid w:val="00197D4F"/>
    <w:rsid w:val="00197E74"/>
    <w:rsid w:val="001A048A"/>
    <w:rsid w:val="001A07DA"/>
    <w:rsid w:val="001A0C72"/>
    <w:rsid w:val="001A0EE7"/>
    <w:rsid w:val="001A1ACE"/>
    <w:rsid w:val="001A1B35"/>
    <w:rsid w:val="001A2648"/>
    <w:rsid w:val="001A2BAD"/>
    <w:rsid w:val="001A3357"/>
    <w:rsid w:val="001A3B6B"/>
    <w:rsid w:val="001A48A2"/>
    <w:rsid w:val="001A521E"/>
    <w:rsid w:val="001A527F"/>
    <w:rsid w:val="001A5D39"/>
    <w:rsid w:val="001A5E56"/>
    <w:rsid w:val="001A6220"/>
    <w:rsid w:val="001A629F"/>
    <w:rsid w:val="001A67B9"/>
    <w:rsid w:val="001A6A76"/>
    <w:rsid w:val="001A6ECA"/>
    <w:rsid w:val="001A6F61"/>
    <w:rsid w:val="001A6FDC"/>
    <w:rsid w:val="001A73D0"/>
    <w:rsid w:val="001A7454"/>
    <w:rsid w:val="001A75EB"/>
    <w:rsid w:val="001A79A5"/>
    <w:rsid w:val="001B0504"/>
    <w:rsid w:val="001B05D5"/>
    <w:rsid w:val="001B088C"/>
    <w:rsid w:val="001B0AF4"/>
    <w:rsid w:val="001B1286"/>
    <w:rsid w:val="001B14F3"/>
    <w:rsid w:val="001B162C"/>
    <w:rsid w:val="001B1947"/>
    <w:rsid w:val="001B1F79"/>
    <w:rsid w:val="001B2BA1"/>
    <w:rsid w:val="001B2CF6"/>
    <w:rsid w:val="001B2DE3"/>
    <w:rsid w:val="001B2ECA"/>
    <w:rsid w:val="001B327E"/>
    <w:rsid w:val="001B3694"/>
    <w:rsid w:val="001B36E1"/>
    <w:rsid w:val="001B3D99"/>
    <w:rsid w:val="001B3DA7"/>
    <w:rsid w:val="001B3E86"/>
    <w:rsid w:val="001B462F"/>
    <w:rsid w:val="001B486B"/>
    <w:rsid w:val="001B4BDA"/>
    <w:rsid w:val="001B5910"/>
    <w:rsid w:val="001B5E29"/>
    <w:rsid w:val="001B5F6B"/>
    <w:rsid w:val="001B648A"/>
    <w:rsid w:val="001B66D9"/>
    <w:rsid w:val="001B6767"/>
    <w:rsid w:val="001B6B86"/>
    <w:rsid w:val="001B6E27"/>
    <w:rsid w:val="001B72B8"/>
    <w:rsid w:val="001B7A29"/>
    <w:rsid w:val="001B7BCB"/>
    <w:rsid w:val="001C1072"/>
    <w:rsid w:val="001C15D3"/>
    <w:rsid w:val="001C1986"/>
    <w:rsid w:val="001C1B05"/>
    <w:rsid w:val="001C2522"/>
    <w:rsid w:val="001C2CB2"/>
    <w:rsid w:val="001C424E"/>
    <w:rsid w:val="001C4296"/>
    <w:rsid w:val="001C48F7"/>
    <w:rsid w:val="001C5501"/>
    <w:rsid w:val="001C6217"/>
    <w:rsid w:val="001C677B"/>
    <w:rsid w:val="001C69B3"/>
    <w:rsid w:val="001C6BE5"/>
    <w:rsid w:val="001C6F54"/>
    <w:rsid w:val="001C6FE6"/>
    <w:rsid w:val="001C7850"/>
    <w:rsid w:val="001C7E58"/>
    <w:rsid w:val="001D02EC"/>
    <w:rsid w:val="001D0416"/>
    <w:rsid w:val="001D0B1C"/>
    <w:rsid w:val="001D0B29"/>
    <w:rsid w:val="001D1B45"/>
    <w:rsid w:val="001D1EA8"/>
    <w:rsid w:val="001D23F1"/>
    <w:rsid w:val="001D26BD"/>
    <w:rsid w:val="001D2CAA"/>
    <w:rsid w:val="001D2DC0"/>
    <w:rsid w:val="001D30C0"/>
    <w:rsid w:val="001D31EA"/>
    <w:rsid w:val="001D34EC"/>
    <w:rsid w:val="001D3F6F"/>
    <w:rsid w:val="001D435F"/>
    <w:rsid w:val="001D4C4C"/>
    <w:rsid w:val="001D4D9D"/>
    <w:rsid w:val="001D53E7"/>
    <w:rsid w:val="001D5595"/>
    <w:rsid w:val="001D5735"/>
    <w:rsid w:val="001D5775"/>
    <w:rsid w:val="001D6834"/>
    <w:rsid w:val="001D701A"/>
    <w:rsid w:val="001D70D0"/>
    <w:rsid w:val="001D77B3"/>
    <w:rsid w:val="001D77DC"/>
    <w:rsid w:val="001D7874"/>
    <w:rsid w:val="001D7CC2"/>
    <w:rsid w:val="001D7F22"/>
    <w:rsid w:val="001E0979"/>
    <w:rsid w:val="001E097C"/>
    <w:rsid w:val="001E0ABC"/>
    <w:rsid w:val="001E0BCB"/>
    <w:rsid w:val="001E146E"/>
    <w:rsid w:val="001E177E"/>
    <w:rsid w:val="001E17B4"/>
    <w:rsid w:val="001E260B"/>
    <w:rsid w:val="001E2BC1"/>
    <w:rsid w:val="001E2F60"/>
    <w:rsid w:val="001E2F79"/>
    <w:rsid w:val="001E2FC0"/>
    <w:rsid w:val="001E3019"/>
    <w:rsid w:val="001E310E"/>
    <w:rsid w:val="001E350A"/>
    <w:rsid w:val="001E3A14"/>
    <w:rsid w:val="001E3AB2"/>
    <w:rsid w:val="001E3BB8"/>
    <w:rsid w:val="001E42AB"/>
    <w:rsid w:val="001E475E"/>
    <w:rsid w:val="001E551B"/>
    <w:rsid w:val="001E5CB2"/>
    <w:rsid w:val="001E5EF7"/>
    <w:rsid w:val="001E628B"/>
    <w:rsid w:val="001E66D2"/>
    <w:rsid w:val="001E673D"/>
    <w:rsid w:val="001E6858"/>
    <w:rsid w:val="001E768B"/>
    <w:rsid w:val="001E7BC1"/>
    <w:rsid w:val="001F0358"/>
    <w:rsid w:val="001F0D30"/>
    <w:rsid w:val="001F0F17"/>
    <w:rsid w:val="001F1342"/>
    <w:rsid w:val="001F14BA"/>
    <w:rsid w:val="001F15D0"/>
    <w:rsid w:val="001F1C20"/>
    <w:rsid w:val="001F2069"/>
    <w:rsid w:val="001F23D5"/>
    <w:rsid w:val="001F28FE"/>
    <w:rsid w:val="001F2A57"/>
    <w:rsid w:val="001F2B3F"/>
    <w:rsid w:val="001F2C56"/>
    <w:rsid w:val="001F3208"/>
    <w:rsid w:val="001F3347"/>
    <w:rsid w:val="001F3363"/>
    <w:rsid w:val="001F3521"/>
    <w:rsid w:val="001F3731"/>
    <w:rsid w:val="001F378E"/>
    <w:rsid w:val="001F453A"/>
    <w:rsid w:val="001F4624"/>
    <w:rsid w:val="001F4A37"/>
    <w:rsid w:val="001F4FAE"/>
    <w:rsid w:val="001F5067"/>
    <w:rsid w:val="001F5680"/>
    <w:rsid w:val="001F5C66"/>
    <w:rsid w:val="001F5DB7"/>
    <w:rsid w:val="001F5EC7"/>
    <w:rsid w:val="001F69E4"/>
    <w:rsid w:val="001F6D8E"/>
    <w:rsid w:val="001F6FA6"/>
    <w:rsid w:val="001F7011"/>
    <w:rsid w:val="001F73C3"/>
    <w:rsid w:val="001F7E33"/>
    <w:rsid w:val="002001B1"/>
    <w:rsid w:val="0020028D"/>
    <w:rsid w:val="00200298"/>
    <w:rsid w:val="00201304"/>
    <w:rsid w:val="00201B8A"/>
    <w:rsid w:val="00201C08"/>
    <w:rsid w:val="00202442"/>
    <w:rsid w:val="002025C2"/>
    <w:rsid w:val="00202885"/>
    <w:rsid w:val="00202BED"/>
    <w:rsid w:val="00202C06"/>
    <w:rsid w:val="00202F95"/>
    <w:rsid w:val="002031AC"/>
    <w:rsid w:val="00203445"/>
    <w:rsid w:val="00203CAD"/>
    <w:rsid w:val="00203DB7"/>
    <w:rsid w:val="00203F02"/>
    <w:rsid w:val="00204144"/>
    <w:rsid w:val="00204650"/>
    <w:rsid w:val="00204886"/>
    <w:rsid w:val="00204D87"/>
    <w:rsid w:val="00205AF6"/>
    <w:rsid w:val="002061D0"/>
    <w:rsid w:val="002069B8"/>
    <w:rsid w:val="00206F2B"/>
    <w:rsid w:val="00207BC6"/>
    <w:rsid w:val="002104C0"/>
    <w:rsid w:val="00210685"/>
    <w:rsid w:val="002109A5"/>
    <w:rsid w:val="00210DE5"/>
    <w:rsid w:val="002116BE"/>
    <w:rsid w:val="00211842"/>
    <w:rsid w:val="00212196"/>
    <w:rsid w:val="002125B4"/>
    <w:rsid w:val="00212AF7"/>
    <w:rsid w:val="00213513"/>
    <w:rsid w:val="00213A94"/>
    <w:rsid w:val="00213BF2"/>
    <w:rsid w:val="00213FB5"/>
    <w:rsid w:val="00214374"/>
    <w:rsid w:val="002145FE"/>
    <w:rsid w:val="00214C09"/>
    <w:rsid w:val="00214F54"/>
    <w:rsid w:val="002150A8"/>
    <w:rsid w:val="00215231"/>
    <w:rsid w:val="002154CA"/>
    <w:rsid w:val="002155B8"/>
    <w:rsid w:val="0021584B"/>
    <w:rsid w:val="00215C70"/>
    <w:rsid w:val="00215EA4"/>
    <w:rsid w:val="00216082"/>
    <w:rsid w:val="0021618C"/>
    <w:rsid w:val="002163BE"/>
    <w:rsid w:val="00216EE1"/>
    <w:rsid w:val="002200C6"/>
    <w:rsid w:val="002203C2"/>
    <w:rsid w:val="0022064C"/>
    <w:rsid w:val="002209C5"/>
    <w:rsid w:val="00220E97"/>
    <w:rsid w:val="00222877"/>
    <w:rsid w:val="002237A4"/>
    <w:rsid w:val="00223A48"/>
    <w:rsid w:val="00224329"/>
    <w:rsid w:val="002243CD"/>
    <w:rsid w:val="00224809"/>
    <w:rsid w:val="00224839"/>
    <w:rsid w:val="002249B2"/>
    <w:rsid w:val="00224CB5"/>
    <w:rsid w:val="00224CE8"/>
    <w:rsid w:val="00224EFE"/>
    <w:rsid w:val="00225052"/>
    <w:rsid w:val="00225841"/>
    <w:rsid w:val="00225E3B"/>
    <w:rsid w:val="00226089"/>
    <w:rsid w:val="002263FD"/>
    <w:rsid w:val="00226574"/>
    <w:rsid w:val="00226727"/>
    <w:rsid w:val="002272FA"/>
    <w:rsid w:val="002278EC"/>
    <w:rsid w:val="00227F77"/>
    <w:rsid w:val="0023018F"/>
    <w:rsid w:val="002301D0"/>
    <w:rsid w:val="002302B4"/>
    <w:rsid w:val="0023053D"/>
    <w:rsid w:val="00230FEE"/>
    <w:rsid w:val="0023115D"/>
    <w:rsid w:val="0023160E"/>
    <w:rsid w:val="0023177F"/>
    <w:rsid w:val="0023199D"/>
    <w:rsid w:val="0023280E"/>
    <w:rsid w:val="002328AC"/>
    <w:rsid w:val="00232C5B"/>
    <w:rsid w:val="00232F0A"/>
    <w:rsid w:val="0023348F"/>
    <w:rsid w:val="0023365B"/>
    <w:rsid w:val="002337D3"/>
    <w:rsid w:val="00233A38"/>
    <w:rsid w:val="00233ABD"/>
    <w:rsid w:val="002345D4"/>
    <w:rsid w:val="00234BBA"/>
    <w:rsid w:val="00234C22"/>
    <w:rsid w:val="00235003"/>
    <w:rsid w:val="0023537D"/>
    <w:rsid w:val="00235AA1"/>
    <w:rsid w:val="00235CF7"/>
    <w:rsid w:val="00237428"/>
    <w:rsid w:val="00237580"/>
    <w:rsid w:val="002377D1"/>
    <w:rsid w:val="00240333"/>
    <w:rsid w:val="00240494"/>
    <w:rsid w:val="0024060E"/>
    <w:rsid w:val="0024085F"/>
    <w:rsid w:val="002417D6"/>
    <w:rsid w:val="00241C68"/>
    <w:rsid w:val="00241FA6"/>
    <w:rsid w:val="0024208D"/>
    <w:rsid w:val="0024350E"/>
    <w:rsid w:val="00244551"/>
    <w:rsid w:val="00244947"/>
    <w:rsid w:val="00244EFD"/>
    <w:rsid w:val="0024509A"/>
    <w:rsid w:val="00245471"/>
    <w:rsid w:val="002454B9"/>
    <w:rsid w:val="0024604B"/>
    <w:rsid w:val="002466BF"/>
    <w:rsid w:val="0024681F"/>
    <w:rsid w:val="00246D35"/>
    <w:rsid w:val="00247395"/>
    <w:rsid w:val="00247503"/>
    <w:rsid w:val="00247934"/>
    <w:rsid w:val="00247C90"/>
    <w:rsid w:val="002506BC"/>
    <w:rsid w:val="002517B7"/>
    <w:rsid w:val="00251E2C"/>
    <w:rsid w:val="00251E44"/>
    <w:rsid w:val="00252BC1"/>
    <w:rsid w:val="00254218"/>
    <w:rsid w:val="00254345"/>
    <w:rsid w:val="00254BE1"/>
    <w:rsid w:val="002553CA"/>
    <w:rsid w:val="00255601"/>
    <w:rsid w:val="00255D34"/>
    <w:rsid w:val="00255FA4"/>
    <w:rsid w:val="0025653C"/>
    <w:rsid w:val="00257FF7"/>
    <w:rsid w:val="0026029C"/>
    <w:rsid w:val="002607FC"/>
    <w:rsid w:val="00260A66"/>
    <w:rsid w:val="00260F8F"/>
    <w:rsid w:val="002611CB"/>
    <w:rsid w:val="00261905"/>
    <w:rsid w:val="00261A1C"/>
    <w:rsid w:val="00262786"/>
    <w:rsid w:val="002631AE"/>
    <w:rsid w:val="0026326D"/>
    <w:rsid w:val="0026328B"/>
    <w:rsid w:val="00263520"/>
    <w:rsid w:val="00264557"/>
    <w:rsid w:val="00264682"/>
    <w:rsid w:val="00264FDF"/>
    <w:rsid w:val="0026510A"/>
    <w:rsid w:val="00265143"/>
    <w:rsid w:val="0026524D"/>
    <w:rsid w:val="002654BA"/>
    <w:rsid w:val="002655C1"/>
    <w:rsid w:val="00265D97"/>
    <w:rsid w:val="00266035"/>
    <w:rsid w:val="002665F5"/>
    <w:rsid w:val="00266759"/>
    <w:rsid w:val="0026684A"/>
    <w:rsid w:val="00266CCF"/>
    <w:rsid w:val="0026739B"/>
    <w:rsid w:val="002673E0"/>
    <w:rsid w:val="002675B7"/>
    <w:rsid w:val="0026791D"/>
    <w:rsid w:val="002703BB"/>
    <w:rsid w:val="0027071C"/>
    <w:rsid w:val="0027077F"/>
    <w:rsid w:val="002710BB"/>
    <w:rsid w:val="00271123"/>
    <w:rsid w:val="002712E8"/>
    <w:rsid w:val="0027148C"/>
    <w:rsid w:val="0027194E"/>
    <w:rsid w:val="0027260E"/>
    <w:rsid w:val="002734EB"/>
    <w:rsid w:val="002737CB"/>
    <w:rsid w:val="00273819"/>
    <w:rsid w:val="00273B3E"/>
    <w:rsid w:val="00273BFD"/>
    <w:rsid w:val="002743C6"/>
    <w:rsid w:val="00274503"/>
    <w:rsid w:val="0027452A"/>
    <w:rsid w:val="00274B41"/>
    <w:rsid w:val="00275035"/>
    <w:rsid w:val="00275339"/>
    <w:rsid w:val="002755DB"/>
    <w:rsid w:val="00276117"/>
    <w:rsid w:val="002762FB"/>
    <w:rsid w:val="002763BF"/>
    <w:rsid w:val="002767FD"/>
    <w:rsid w:val="00277076"/>
    <w:rsid w:val="00277424"/>
    <w:rsid w:val="00280070"/>
    <w:rsid w:val="00280342"/>
    <w:rsid w:val="002805AB"/>
    <w:rsid w:val="002806D6"/>
    <w:rsid w:val="00280841"/>
    <w:rsid w:val="0028150A"/>
    <w:rsid w:val="00281BD6"/>
    <w:rsid w:val="00282379"/>
    <w:rsid w:val="00282C81"/>
    <w:rsid w:val="0028360A"/>
    <w:rsid w:val="002836C6"/>
    <w:rsid w:val="0028376B"/>
    <w:rsid w:val="00284204"/>
    <w:rsid w:val="00284368"/>
    <w:rsid w:val="00284483"/>
    <w:rsid w:val="002846AA"/>
    <w:rsid w:val="00284F66"/>
    <w:rsid w:val="00285525"/>
    <w:rsid w:val="002856A3"/>
    <w:rsid w:val="002856AD"/>
    <w:rsid w:val="00285B97"/>
    <w:rsid w:val="00285F5D"/>
    <w:rsid w:val="002866F2"/>
    <w:rsid w:val="00286ADE"/>
    <w:rsid w:val="00287DDB"/>
    <w:rsid w:val="002908DE"/>
    <w:rsid w:val="002909A3"/>
    <w:rsid w:val="00290EE0"/>
    <w:rsid w:val="00290FB3"/>
    <w:rsid w:val="00291773"/>
    <w:rsid w:val="00291E49"/>
    <w:rsid w:val="00291EE1"/>
    <w:rsid w:val="002925CA"/>
    <w:rsid w:val="00293774"/>
    <w:rsid w:val="0029378C"/>
    <w:rsid w:val="00293AB8"/>
    <w:rsid w:val="00293B13"/>
    <w:rsid w:val="00293C04"/>
    <w:rsid w:val="00294331"/>
    <w:rsid w:val="002944C5"/>
    <w:rsid w:val="00294D46"/>
    <w:rsid w:val="00294DD7"/>
    <w:rsid w:val="00295144"/>
    <w:rsid w:val="00295154"/>
    <w:rsid w:val="0029606C"/>
    <w:rsid w:val="002960EA"/>
    <w:rsid w:val="00296626"/>
    <w:rsid w:val="0029694E"/>
    <w:rsid w:val="002969CD"/>
    <w:rsid w:val="00296F2B"/>
    <w:rsid w:val="00296F66"/>
    <w:rsid w:val="0029745E"/>
    <w:rsid w:val="00297F5E"/>
    <w:rsid w:val="002A03BC"/>
    <w:rsid w:val="002A0FA9"/>
    <w:rsid w:val="002A10BB"/>
    <w:rsid w:val="002A12C9"/>
    <w:rsid w:val="002A168C"/>
    <w:rsid w:val="002A1CB6"/>
    <w:rsid w:val="002A1D1E"/>
    <w:rsid w:val="002A1EE8"/>
    <w:rsid w:val="002A24F2"/>
    <w:rsid w:val="002A2B45"/>
    <w:rsid w:val="002A3217"/>
    <w:rsid w:val="002A32D2"/>
    <w:rsid w:val="002A3314"/>
    <w:rsid w:val="002A3DC7"/>
    <w:rsid w:val="002A4172"/>
    <w:rsid w:val="002A4AA4"/>
    <w:rsid w:val="002A4C31"/>
    <w:rsid w:val="002A4FC7"/>
    <w:rsid w:val="002A50A7"/>
    <w:rsid w:val="002A50E6"/>
    <w:rsid w:val="002A5C44"/>
    <w:rsid w:val="002A5D19"/>
    <w:rsid w:val="002A6795"/>
    <w:rsid w:val="002A6AB0"/>
    <w:rsid w:val="002A7579"/>
    <w:rsid w:val="002A7A75"/>
    <w:rsid w:val="002B038F"/>
    <w:rsid w:val="002B05B4"/>
    <w:rsid w:val="002B0A58"/>
    <w:rsid w:val="002B1278"/>
    <w:rsid w:val="002B1416"/>
    <w:rsid w:val="002B15CB"/>
    <w:rsid w:val="002B1611"/>
    <w:rsid w:val="002B1751"/>
    <w:rsid w:val="002B195A"/>
    <w:rsid w:val="002B1A47"/>
    <w:rsid w:val="002B1EDD"/>
    <w:rsid w:val="002B2F4E"/>
    <w:rsid w:val="002B4791"/>
    <w:rsid w:val="002B49E2"/>
    <w:rsid w:val="002B536F"/>
    <w:rsid w:val="002B6796"/>
    <w:rsid w:val="002B6BB7"/>
    <w:rsid w:val="002B6E6A"/>
    <w:rsid w:val="002B6E7F"/>
    <w:rsid w:val="002B781B"/>
    <w:rsid w:val="002B7B00"/>
    <w:rsid w:val="002B7C44"/>
    <w:rsid w:val="002C0A75"/>
    <w:rsid w:val="002C0C93"/>
    <w:rsid w:val="002C0F0F"/>
    <w:rsid w:val="002C1095"/>
    <w:rsid w:val="002C111E"/>
    <w:rsid w:val="002C1A49"/>
    <w:rsid w:val="002C1DA8"/>
    <w:rsid w:val="002C256C"/>
    <w:rsid w:val="002C29B0"/>
    <w:rsid w:val="002C2B17"/>
    <w:rsid w:val="002C2B7F"/>
    <w:rsid w:val="002C2C80"/>
    <w:rsid w:val="002C2E21"/>
    <w:rsid w:val="002C30C3"/>
    <w:rsid w:val="002C3432"/>
    <w:rsid w:val="002C3BAF"/>
    <w:rsid w:val="002C3E36"/>
    <w:rsid w:val="002C4691"/>
    <w:rsid w:val="002C47E3"/>
    <w:rsid w:val="002C4B16"/>
    <w:rsid w:val="002C5303"/>
    <w:rsid w:val="002C5340"/>
    <w:rsid w:val="002C551B"/>
    <w:rsid w:val="002C564C"/>
    <w:rsid w:val="002C5D26"/>
    <w:rsid w:val="002C5D76"/>
    <w:rsid w:val="002C698E"/>
    <w:rsid w:val="002C6C39"/>
    <w:rsid w:val="002C6C60"/>
    <w:rsid w:val="002C6D08"/>
    <w:rsid w:val="002C7052"/>
    <w:rsid w:val="002C717F"/>
    <w:rsid w:val="002C7578"/>
    <w:rsid w:val="002C75D7"/>
    <w:rsid w:val="002C7E38"/>
    <w:rsid w:val="002D0B93"/>
    <w:rsid w:val="002D23BC"/>
    <w:rsid w:val="002D23C4"/>
    <w:rsid w:val="002D25F1"/>
    <w:rsid w:val="002D28BD"/>
    <w:rsid w:val="002D2ADD"/>
    <w:rsid w:val="002D3300"/>
    <w:rsid w:val="002D3DD0"/>
    <w:rsid w:val="002D421D"/>
    <w:rsid w:val="002D4A7D"/>
    <w:rsid w:val="002D5342"/>
    <w:rsid w:val="002D5449"/>
    <w:rsid w:val="002D5C13"/>
    <w:rsid w:val="002D6183"/>
    <w:rsid w:val="002D6989"/>
    <w:rsid w:val="002D73CE"/>
    <w:rsid w:val="002D7ED0"/>
    <w:rsid w:val="002E005B"/>
    <w:rsid w:val="002E10EF"/>
    <w:rsid w:val="002E1314"/>
    <w:rsid w:val="002E1342"/>
    <w:rsid w:val="002E1F3A"/>
    <w:rsid w:val="002E21DA"/>
    <w:rsid w:val="002E25BD"/>
    <w:rsid w:val="002E298A"/>
    <w:rsid w:val="002E2C57"/>
    <w:rsid w:val="002E2D92"/>
    <w:rsid w:val="002E3DC2"/>
    <w:rsid w:val="002E4131"/>
    <w:rsid w:val="002E45B9"/>
    <w:rsid w:val="002E4616"/>
    <w:rsid w:val="002E4C41"/>
    <w:rsid w:val="002E4C92"/>
    <w:rsid w:val="002E533D"/>
    <w:rsid w:val="002E5A02"/>
    <w:rsid w:val="002E5B6F"/>
    <w:rsid w:val="002E5E14"/>
    <w:rsid w:val="002E602B"/>
    <w:rsid w:val="002E6576"/>
    <w:rsid w:val="002E658F"/>
    <w:rsid w:val="002E680B"/>
    <w:rsid w:val="002E6826"/>
    <w:rsid w:val="002E7383"/>
    <w:rsid w:val="002E7AFA"/>
    <w:rsid w:val="002E7C0A"/>
    <w:rsid w:val="002F01B1"/>
    <w:rsid w:val="002F12C7"/>
    <w:rsid w:val="002F14B5"/>
    <w:rsid w:val="002F18D1"/>
    <w:rsid w:val="002F1B51"/>
    <w:rsid w:val="002F28CF"/>
    <w:rsid w:val="002F2AED"/>
    <w:rsid w:val="002F2C56"/>
    <w:rsid w:val="002F2CF9"/>
    <w:rsid w:val="002F2D57"/>
    <w:rsid w:val="002F344A"/>
    <w:rsid w:val="002F351A"/>
    <w:rsid w:val="002F494F"/>
    <w:rsid w:val="002F504B"/>
    <w:rsid w:val="002F5CA4"/>
    <w:rsid w:val="002F5E1D"/>
    <w:rsid w:val="002F6B51"/>
    <w:rsid w:val="002F6F6A"/>
    <w:rsid w:val="002F70E6"/>
    <w:rsid w:val="002F71AF"/>
    <w:rsid w:val="002F78B4"/>
    <w:rsid w:val="00300CD7"/>
    <w:rsid w:val="00301978"/>
    <w:rsid w:val="003027CE"/>
    <w:rsid w:val="00302F85"/>
    <w:rsid w:val="0030332C"/>
    <w:rsid w:val="00303330"/>
    <w:rsid w:val="00303C35"/>
    <w:rsid w:val="00303D9C"/>
    <w:rsid w:val="00304368"/>
    <w:rsid w:val="0030491D"/>
    <w:rsid w:val="003051C2"/>
    <w:rsid w:val="00305488"/>
    <w:rsid w:val="00305E44"/>
    <w:rsid w:val="00306071"/>
    <w:rsid w:val="00306157"/>
    <w:rsid w:val="00306163"/>
    <w:rsid w:val="003062E0"/>
    <w:rsid w:val="00306520"/>
    <w:rsid w:val="0030697A"/>
    <w:rsid w:val="00306E26"/>
    <w:rsid w:val="00307215"/>
    <w:rsid w:val="003104C8"/>
    <w:rsid w:val="003113FD"/>
    <w:rsid w:val="0031188C"/>
    <w:rsid w:val="00311E8C"/>
    <w:rsid w:val="00311FE9"/>
    <w:rsid w:val="00312296"/>
    <w:rsid w:val="00312F00"/>
    <w:rsid w:val="00312F71"/>
    <w:rsid w:val="003133C4"/>
    <w:rsid w:val="003134B0"/>
    <w:rsid w:val="00313B5C"/>
    <w:rsid w:val="00313E8F"/>
    <w:rsid w:val="00313F39"/>
    <w:rsid w:val="00313F9B"/>
    <w:rsid w:val="003149E3"/>
    <w:rsid w:val="00314A06"/>
    <w:rsid w:val="00314F0E"/>
    <w:rsid w:val="00316845"/>
    <w:rsid w:val="00316E96"/>
    <w:rsid w:val="00317760"/>
    <w:rsid w:val="0031778F"/>
    <w:rsid w:val="00317792"/>
    <w:rsid w:val="00317B6E"/>
    <w:rsid w:val="00317E97"/>
    <w:rsid w:val="00321654"/>
    <w:rsid w:val="00321B27"/>
    <w:rsid w:val="00321D8E"/>
    <w:rsid w:val="003226A6"/>
    <w:rsid w:val="0032279E"/>
    <w:rsid w:val="00323B20"/>
    <w:rsid w:val="00323E92"/>
    <w:rsid w:val="00323FB0"/>
    <w:rsid w:val="003247D0"/>
    <w:rsid w:val="00324C94"/>
    <w:rsid w:val="00325305"/>
    <w:rsid w:val="00325928"/>
    <w:rsid w:val="003261CB"/>
    <w:rsid w:val="0032641D"/>
    <w:rsid w:val="003264D2"/>
    <w:rsid w:val="00326903"/>
    <w:rsid w:val="00326ADF"/>
    <w:rsid w:val="00326AE1"/>
    <w:rsid w:val="00326B35"/>
    <w:rsid w:val="00326B47"/>
    <w:rsid w:val="00326D6B"/>
    <w:rsid w:val="00326EC0"/>
    <w:rsid w:val="003271E4"/>
    <w:rsid w:val="003274BD"/>
    <w:rsid w:val="00327A2E"/>
    <w:rsid w:val="00327D36"/>
    <w:rsid w:val="003305BC"/>
    <w:rsid w:val="003309C1"/>
    <w:rsid w:val="003309D1"/>
    <w:rsid w:val="003312B6"/>
    <w:rsid w:val="00331905"/>
    <w:rsid w:val="0033226D"/>
    <w:rsid w:val="00332339"/>
    <w:rsid w:val="0033281E"/>
    <w:rsid w:val="00332863"/>
    <w:rsid w:val="0033286E"/>
    <w:rsid w:val="0033386A"/>
    <w:rsid w:val="00333C95"/>
    <w:rsid w:val="00334010"/>
    <w:rsid w:val="00334F10"/>
    <w:rsid w:val="0033573E"/>
    <w:rsid w:val="00335D51"/>
    <w:rsid w:val="00335E45"/>
    <w:rsid w:val="0033684D"/>
    <w:rsid w:val="00336AEB"/>
    <w:rsid w:val="00336B05"/>
    <w:rsid w:val="00336EEA"/>
    <w:rsid w:val="0033706B"/>
    <w:rsid w:val="003373F1"/>
    <w:rsid w:val="0033759E"/>
    <w:rsid w:val="003378E8"/>
    <w:rsid w:val="00337B42"/>
    <w:rsid w:val="00337BCF"/>
    <w:rsid w:val="0034010B"/>
    <w:rsid w:val="00340783"/>
    <w:rsid w:val="003408A9"/>
    <w:rsid w:val="003411EB"/>
    <w:rsid w:val="0034132F"/>
    <w:rsid w:val="0034148E"/>
    <w:rsid w:val="0034180A"/>
    <w:rsid w:val="00341898"/>
    <w:rsid w:val="003418FE"/>
    <w:rsid w:val="00341B42"/>
    <w:rsid w:val="00342099"/>
    <w:rsid w:val="0034223A"/>
    <w:rsid w:val="0034348F"/>
    <w:rsid w:val="00343719"/>
    <w:rsid w:val="00343B07"/>
    <w:rsid w:val="00343DE8"/>
    <w:rsid w:val="00344564"/>
    <w:rsid w:val="0034470E"/>
    <w:rsid w:val="00344777"/>
    <w:rsid w:val="003448E0"/>
    <w:rsid w:val="00344BB8"/>
    <w:rsid w:val="00344FE3"/>
    <w:rsid w:val="00345996"/>
    <w:rsid w:val="00346A51"/>
    <w:rsid w:val="00346B03"/>
    <w:rsid w:val="00346F59"/>
    <w:rsid w:val="0034725A"/>
    <w:rsid w:val="003479DD"/>
    <w:rsid w:val="00347A9C"/>
    <w:rsid w:val="00347BDE"/>
    <w:rsid w:val="00347F05"/>
    <w:rsid w:val="00350DAB"/>
    <w:rsid w:val="00350F6B"/>
    <w:rsid w:val="003511BD"/>
    <w:rsid w:val="00351332"/>
    <w:rsid w:val="003514E5"/>
    <w:rsid w:val="003519DD"/>
    <w:rsid w:val="0035302A"/>
    <w:rsid w:val="0035364C"/>
    <w:rsid w:val="00353912"/>
    <w:rsid w:val="00353A95"/>
    <w:rsid w:val="0035424D"/>
    <w:rsid w:val="003546F4"/>
    <w:rsid w:val="003554DA"/>
    <w:rsid w:val="00355937"/>
    <w:rsid w:val="00356653"/>
    <w:rsid w:val="00356C54"/>
    <w:rsid w:val="00356D4B"/>
    <w:rsid w:val="00356DCB"/>
    <w:rsid w:val="00357282"/>
    <w:rsid w:val="0035743F"/>
    <w:rsid w:val="003574D4"/>
    <w:rsid w:val="00357BE2"/>
    <w:rsid w:val="00357FF9"/>
    <w:rsid w:val="00360443"/>
    <w:rsid w:val="0036046A"/>
    <w:rsid w:val="00360684"/>
    <w:rsid w:val="003613DC"/>
    <w:rsid w:val="0036163A"/>
    <w:rsid w:val="0036170C"/>
    <w:rsid w:val="00361892"/>
    <w:rsid w:val="003619C2"/>
    <w:rsid w:val="00364019"/>
    <w:rsid w:val="0036411C"/>
    <w:rsid w:val="003644CD"/>
    <w:rsid w:val="00364B45"/>
    <w:rsid w:val="00364B59"/>
    <w:rsid w:val="00364C42"/>
    <w:rsid w:val="00364C6A"/>
    <w:rsid w:val="00364CB5"/>
    <w:rsid w:val="00364D3A"/>
    <w:rsid w:val="00366345"/>
    <w:rsid w:val="003665F5"/>
    <w:rsid w:val="003666D1"/>
    <w:rsid w:val="00366E0F"/>
    <w:rsid w:val="003671F1"/>
    <w:rsid w:val="003671F9"/>
    <w:rsid w:val="0036747E"/>
    <w:rsid w:val="00370265"/>
    <w:rsid w:val="00370435"/>
    <w:rsid w:val="0037080E"/>
    <w:rsid w:val="00371573"/>
    <w:rsid w:val="00371D01"/>
    <w:rsid w:val="00371DF3"/>
    <w:rsid w:val="00371F92"/>
    <w:rsid w:val="00373052"/>
    <w:rsid w:val="003730FE"/>
    <w:rsid w:val="003732AC"/>
    <w:rsid w:val="0037348D"/>
    <w:rsid w:val="003734FB"/>
    <w:rsid w:val="003738A7"/>
    <w:rsid w:val="003738F6"/>
    <w:rsid w:val="00373A77"/>
    <w:rsid w:val="00373FF9"/>
    <w:rsid w:val="003745CD"/>
    <w:rsid w:val="00375AFF"/>
    <w:rsid w:val="00375CDB"/>
    <w:rsid w:val="0037610C"/>
    <w:rsid w:val="00376128"/>
    <w:rsid w:val="00376256"/>
    <w:rsid w:val="00376E17"/>
    <w:rsid w:val="0037740E"/>
    <w:rsid w:val="00377A12"/>
    <w:rsid w:val="00377A7A"/>
    <w:rsid w:val="00377E65"/>
    <w:rsid w:val="00380368"/>
    <w:rsid w:val="003807D0"/>
    <w:rsid w:val="00380D72"/>
    <w:rsid w:val="00380E24"/>
    <w:rsid w:val="00380EF2"/>
    <w:rsid w:val="003819AE"/>
    <w:rsid w:val="00381A1A"/>
    <w:rsid w:val="00381A72"/>
    <w:rsid w:val="00381C59"/>
    <w:rsid w:val="00383135"/>
    <w:rsid w:val="00383B3C"/>
    <w:rsid w:val="00384676"/>
    <w:rsid w:val="0038470A"/>
    <w:rsid w:val="003847DD"/>
    <w:rsid w:val="0038529B"/>
    <w:rsid w:val="00385FD1"/>
    <w:rsid w:val="00385FE5"/>
    <w:rsid w:val="003862A2"/>
    <w:rsid w:val="00386492"/>
    <w:rsid w:val="003875EB"/>
    <w:rsid w:val="00387A0A"/>
    <w:rsid w:val="00390857"/>
    <w:rsid w:val="00390AD8"/>
    <w:rsid w:val="00390B9E"/>
    <w:rsid w:val="00390C89"/>
    <w:rsid w:val="00390E5C"/>
    <w:rsid w:val="00391B62"/>
    <w:rsid w:val="00391D41"/>
    <w:rsid w:val="003920CD"/>
    <w:rsid w:val="00392233"/>
    <w:rsid w:val="003922A5"/>
    <w:rsid w:val="0039268E"/>
    <w:rsid w:val="00392D09"/>
    <w:rsid w:val="00392DA6"/>
    <w:rsid w:val="00392F0C"/>
    <w:rsid w:val="00393410"/>
    <w:rsid w:val="00393CAD"/>
    <w:rsid w:val="00393D2C"/>
    <w:rsid w:val="003940A9"/>
    <w:rsid w:val="003943AC"/>
    <w:rsid w:val="00394404"/>
    <w:rsid w:val="00394BCD"/>
    <w:rsid w:val="00394C26"/>
    <w:rsid w:val="00394EA5"/>
    <w:rsid w:val="003959B6"/>
    <w:rsid w:val="00395B94"/>
    <w:rsid w:val="00395F09"/>
    <w:rsid w:val="00395F3C"/>
    <w:rsid w:val="0039615C"/>
    <w:rsid w:val="003968C2"/>
    <w:rsid w:val="00396AD0"/>
    <w:rsid w:val="00396CE5"/>
    <w:rsid w:val="00396F99"/>
    <w:rsid w:val="00397ECB"/>
    <w:rsid w:val="003A0016"/>
    <w:rsid w:val="003A0081"/>
    <w:rsid w:val="003A011E"/>
    <w:rsid w:val="003A02EF"/>
    <w:rsid w:val="003A0307"/>
    <w:rsid w:val="003A0F8D"/>
    <w:rsid w:val="003A1770"/>
    <w:rsid w:val="003A17E8"/>
    <w:rsid w:val="003A1EE1"/>
    <w:rsid w:val="003A236D"/>
    <w:rsid w:val="003A2B55"/>
    <w:rsid w:val="003A3074"/>
    <w:rsid w:val="003A3ABE"/>
    <w:rsid w:val="003A3E68"/>
    <w:rsid w:val="003A3EEE"/>
    <w:rsid w:val="003A482C"/>
    <w:rsid w:val="003A4BF3"/>
    <w:rsid w:val="003A4F25"/>
    <w:rsid w:val="003A529E"/>
    <w:rsid w:val="003A5374"/>
    <w:rsid w:val="003A5730"/>
    <w:rsid w:val="003A659D"/>
    <w:rsid w:val="003A6E58"/>
    <w:rsid w:val="003A7622"/>
    <w:rsid w:val="003A7731"/>
    <w:rsid w:val="003A77F9"/>
    <w:rsid w:val="003A77FB"/>
    <w:rsid w:val="003A78CD"/>
    <w:rsid w:val="003B0195"/>
    <w:rsid w:val="003B0816"/>
    <w:rsid w:val="003B0AC1"/>
    <w:rsid w:val="003B0D6F"/>
    <w:rsid w:val="003B0D73"/>
    <w:rsid w:val="003B12B2"/>
    <w:rsid w:val="003B131C"/>
    <w:rsid w:val="003B1650"/>
    <w:rsid w:val="003B1953"/>
    <w:rsid w:val="003B1C65"/>
    <w:rsid w:val="003B1D09"/>
    <w:rsid w:val="003B2617"/>
    <w:rsid w:val="003B32AF"/>
    <w:rsid w:val="003B368F"/>
    <w:rsid w:val="003B3BC4"/>
    <w:rsid w:val="003B3E66"/>
    <w:rsid w:val="003B3F37"/>
    <w:rsid w:val="003B4130"/>
    <w:rsid w:val="003B41AA"/>
    <w:rsid w:val="003B420D"/>
    <w:rsid w:val="003B4890"/>
    <w:rsid w:val="003B50E6"/>
    <w:rsid w:val="003B532C"/>
    <w:rsid w:val="003B54E4"/>
    <w:rsid w:val="003B5CA2"/>
    <w:rsid w:val="003B6B54"/>
    <w:rsid w:val="003B7142"/>
    <w:rsid w:val="003B73C1"/>
    <w:rsid w:val="003B73EC"/>
    <w:rsid w:val="003B779E"/>
    <w:rsid w:val="003B7836"/>
    <w:rsid w:val="003B7FF2"/>
    <w:rsid w:val="003C0604"/>
    <w:rsid w:val="003C0862"/>
    <w:rsid w:val="003C08A2"/>
    <w:rsid w:val="003C0BFA"/>
    <w:rsid w:val="003C10B8"/>
    <w:rsid w:val="003C14DC"/>
    <w:rsid w:val="003C167F"/>
    <w:rsid w:val="003C1D69"/>
    <w:rsid w:val="003C2284"/>
    <w:rsid w:val="003C3179"/>
    <w:rsid w:val="003C3F74"/>
    <w:rsid w:val="003C3FFE"/>
    <w:rsid w:val="003C4727"/>
    <w:rsid w:val="003C4A1E"/>
    <w:rsid w:val="003C4C1B"/>
    <w:rsid w:val="003C4F5D"/>
    <w:rsid w:val="003C5701"/>
    <w:rsid w:val="003C5F0D"/>
    <w:rsid w:val="003C66EC"/>
    <w:rsid w:val="003C6C16"/>
    <w:rsid w:val="003C7125"/>
    <w:rsid w:val="003C72D5"/>
    <w:rsid w:val="003C798D"/>
    <w:rsid w:val="003C7ABF"/>
    <w:rsid w:val="003D01B4"/>
    <w:rsid w:val="003D01DF"/>
    <w:rsid w:val="003D0268"/>
    <w:rsid w:val="003D0A0A"/>
    <w:rsid w:val="003D0A45"/>
    <w:rsid w:val="003D0FB9"/>
    <w:rsid w:val="003D10D9"/>
    <w:rsid w:val="003D1200"/>
    <w:rsid w:val="003D1331"/>
    <w:rsid w:val="003D13F9"/>
    <w:rsid w:val="003D183F"/>
    <w:rsid w:val="003D1DD8"/>
    <w:rsid w:val="003D2133"/>
    <w:rsid w:val="003D2EA0"/>
    <w:rsid w:val="003D2FC0"/>
    <w:rsid w:val="003D30AA"/>
    <w:rsid w:val="003D31E1"/>
    <w:rsid w:val="003D33D1"/>
    <w:rsid w:val="003D345D"/>
    <w:rsid w:val="003D3E14"/>
    <w:rsid w:val="003D47D2"/>
    <w:rsid w:val="003D49BC"/>
    <w:rsid w:val="003D56F4"/>
    <w:rsid w:val="003D570E"/>
    <w:rsid w:val="003D61B8"/>
    <w:rsid w:val="003D6224"/>
    <w:rsid w:val="003D65CC"/>
    <w:rsid w:val="003D6849"/>
    <w:rsid w:val="003D6ACF"/>
    <w:rsid w:val="003D70F3"/>
    <w:rsid w:val="003D794D"/>
    <w:rsid w:val="003D7A40"/>
    <w:rsid w:val="003D7C33"/>
    <w:rsid w:val="003E1102"/>
    <w:rsid w:val="003E143B"/>
    <w:rsid w:val="003E146D"/>
    <w:rsid w:val="003E1885"/>
    <w:rsid w:val="003E1929"/>
    <w:rsid w:val="003E1BEA"/>
    <w:rsid w:val="003E1E74"/>
    <w:rsid w:val="003E1E79"/>
    <w:rsid w:val="003E24CB"/>
    <w:rsid w:val="003E2C1C"/>
    <w:rsid w:val="003E3058"/>
    <w:rsid w:val="003E308F"/>
    <w:rsid w:val="003E3328"/>
    <w:rsid w:val="003E39A7"/>
    <w:rsid w:val="003E3B33"/>
    <w:rsid w:val="003E3BFA"/>
    <w:rsid w:val="003E407E"/>
    <w:rsid w:val="003E4913"/>
    <w:rsid w:val="003E4D56"/>
    <w:rsid w:val="003E4E1F"/>
    <w:rsid w:val="003E505F"/>
    <w:rsid w:val="003E636E"/>
    <w:rsid w:val="003E66A8"/>
    <w:rsid w:val="003E6740"/>
    <w:rsid w:val="003E6EB2"/>
    <w:rsid w:val="003E6FAA"/>
    <w:rsid w:val="003E709F"/>
    <w:rsid w:val="003E76A9"/>
    <w:rsid w:val="003F011C"/>
    <w:rsid w:val="003F0495"/>
    <w:rsid w:val="003F065B"/>
    <w:rsid w:val="003F0809"/>
    <w:rsid w:val="003F0B75"/>
    <w:rsid w:val="003F0EF0"/>
    <w:rsid w:val="003F114E"/>
    <w:rsid w:val="003F1CB1"/>
    <w:rsid w:val="003F3396"/>
    <w:rsid w:val="003F35EC"/>
    <w:rsid w:val="003F3834"/>
    <w:rsid w:val="003F42F2"/>
    <w:rsid w:val="003F447A"/>
    <w:rsid w:val="003F4708"/>
    <w:rsid w:val="003F4786"/>
    <w:rsid w:val="003F484C"/>
    <w:rsid w:val="003F492D"/>
    <w:rsid w:val="003F539A"/>
    <w:rsid w:val="003F5FA7"/>
    <w:rsid w:val="003F61A6"/>
    <w:rsid w:val="003F62CB"/>
    <w:rsid w:val="003F6628"/>
    <w:rsid w:val="003F6A8C"/>
    <w:rsid w:val="003F6F37"/>
    <w:rsid w:val="003F7088"/>
    <w:rsid w:val="003F7091"/>
    <w:rsid w:val="003F72FB"/>
    <w:rsid w:val="003F7345"/>
    <w:rsid w:val="003F755C"/>
    <w:rsid w:val="003F7731"/>
    <w:rsid w:val="00400321"/>
    <w:rsid w:val="00400757"/>
    <w:rsid w:val="00400DF9"/>
    <w:rsid w:val="00401364"/>
    <w:rsid w:val="004013A4"/>
    <w:rsid w:val="004015EF"/>
    <w:rsid w:val="004017CA"/>
    <w:rsid w:val="00401D08"/>
    <w:rsid w:val="00401EDA"/>
    <w:rsid w:val="0040202C"/>
    <w:rsid w:val="00402183"/>
    <w:rsid w:val="00402A17"/>
    <w:rsid w:val="00402B30"/>
    <w:rsid w:val="00402F7E"/>
    <w:rsid w:val="0040351D"/>
    <w:rsid w:val="00403C91"/>
    <w:rsid w:val="004047AA"/>
    <w:rsid w:val="00404B55"/>
    <w:rsid w:val="0040587C"/>
    <w:rsid w:val="00406577"/>
    <w:rsid w:val="0040659A"/>
    <w:rsid w:val="00406735"/>
    <w:rsid w:val="0040683C"/>
    <w:rsid w:val="00406F01"/>
    <w:rsid w:val="00407148"/>
    <w:rsid w:val="004071B6"/>
    <w:rsid w:val="004100BA"/>
    <w:rsid w:val="00410172"/>
    <w:rsid w:val="00410A29"/>
    <w:rsid w:val="00411383"/>
    <w:rsid w:val="00411462"/>
    <w:rsid w:val="0041172F"/>
    <w:rsid w:val="004118C7"/>
    <w:rsid w:val="00412E5D"/>
    <w:rsid w:val="0041333F"/>
    <w:rsid w:val="00413445"/>
    <w:rsid w:val="004135F7"/>
    <w:rsid w:val="0041467E"/>
    <w:rsid w:val="00414CCD"/>
    <w:rsid w:val="00415681"/>
    <w:rsid w:val="00416434"/>
    <w:rsid w:val="00416730"/>
    <w:rsid w:val="004167C7"/>
    <w:rsid w:val="004168B6"/>
    <w:rsid w:val="00416D50"/>
    <w:rsid w:val="00416D79"/>
    <w:rsid w:val="00416FD5"/>
    <w:rsid w:val="004176DA"/>
    <w:rsid w:val="00417772"/>
    <w:rsid w:val="00417F7A"/>
    <w:rsid w:val="0042000D"/>
    <w:rsid w:val="004203D1"/>
    <w:rsid w:val="00420748"/>
    <w:rsid w:val="00420E6A"/>
    <w:rsid w:val="004210F6"/>
    <w:rsid w:val="0042235D"/>
    <w:rsid w:val="0042296D"/>
    <w:rsid w:val="0042407E"/>
    <w:rsid w:val="00424179"/>
    <w:rsid w:val="004247F1"/>
    <w:rsid w:val="00424C1D"/>
    <w:rsid w:val="00424DE7"/>
    <w:rsid w:val="00425079"/>
    <w:rsid w:val="004253D8"/>
    <w:rsid w:val="00425A76"/>
    <w:rsid w:val="00425A9E"/>
    <w:rsid w:val="00425AA0"/>
    <w:rsid w:val="00425C15"/>
    <w:rsid w:val="00425C6C"/>
    <w:rsid w:val="00425CAC"/>
    <w:rsid w:val="00425CE2"/>
    <w:rsid w:val="00426060"/>
    <w:rsid w:val="004260E3"/>
    <w:rsid w:val="0042649F"/>
    <w:rsid w:val="00426958"/>
    <w:rsid w:val="00426A09"/>
    <w:rsid w:val="00426D6B"/>
    <w:rsid w:val="004271DF"/>
    <w:rsid w:val="00427230"/>
    <w:rsid w:val="004274FB"/>
    <w:rsid w:val="00427C0D"/>
    <w:rsid w:val="00427E41"/>
    <w:rsid w:val="00430628"/>
    <w:rsid w:val="00430842"/>
    <w:rsid w:val="00430AD1"/>
    <w:rsid w:val="00430B99"/>
    <w:rsid w:val="004310C2"/>
    <w:rsid w:val="0043152E"/>
    <w:rsid w:val="00431E6C"/>
    <w:rsid w:val="00431F78"/>
    <w:rsid w:val="00432290"/>
    <w:rsid w:val="00432658"/>
    <w:rsid w:val="0043272B"/>
    <w:rsid w:val="00432B39"/>
    <w:rsid w:val="00432B78"/>
    <w:rsid w:val="00433512"/>
    <w:rsid w:val="00433B4C"/>
    <w:rsid w:val="00433CE7"/>
    <w:rsid w:val="00434118"/>
    <w:rsid w:val="00434491"/>
    <w:rsid w:val="00434515"/>
    <w:rsid w:val="004346E0"/>
    <w:rsid w:val="0043486D"/>
    <w:rsid w:val="00434A38"/>
    <w:rsid w:val="00434B87"/>
    <w:rsid w:val="004350EE"/>
    <w:rsid w:val="00435CA9"/>
    <w:rsid w:val="00435F33"/>
    <w:rsid w:val="00436749"/>
    <w:rsid w:val="00436AA3"/>
    <w:rsid w:val="0043731B"/>
    <w:rsid w:val="00440CD8"/>
    <w:rsid w:val="004419E1"/>
    <w:rsid w:val="00441CF2"/>
    <w:rsid w:val="00442EB7"/>
    <w:rsid w:val="0044329C"/>
    <w:rsid w:val="004436D6"/>
    <w:rsid w:val="00443D3C"/>
    <w:rsid w:val="00443D47"/>
    <w:rsid w:val="00443E0F"/>
    <w:rsid w:val="00443F1E"/>
    <w:rsid w:val="00444449"/>
    <w:rsid w:val="00444509"/>
    <w:rsid w:val="00444B6F"/>
    <w:rsid w:val="0044526C"/>
    <w:rsid w:val="004460B0"/>
    <w:rsid w:val="004461E5"/>
    <w:rsid w:val="004470C3"/>
    <w:rsid w:val="00447558"/>
    <w:rsid w:val="00450476"/>
    <w:rsid w:val="004510BC"/>
    <w:rsid w:val="004511D7"/>
    <w:rsid w:val="0045165A"/>
    <w:rsid w:val="004517B2"/>
    <w:rsid w:val="004517BE"/>
    <w:rsid w:val="00451ACA"/>
    <w:rsid w:val="00451BA9"/>
    <w:rsid w:val="00451C44"/>
    <w:rsid w:val="00451FC5"/>
    <w:rsid w:val="00452738"/>
    <w:rsid w:val="00452850"/>
    <w:rsid w:val="00452865"/>
    <w:rsid w:val="0045296C"/>
    <w:rsid w:val="00452DF0"/>
    <w:rsid w:val="004532E1"/>
    <w:rsid w:val="004534B2"/>
    <w:rsid w:val="0045410D"/>
    <w:rsid w:val="0045430A"/>
    <w:rsid w:val="004549EB"/>
    <w:rsid w:val="00454B8F"/>
    <w:rsid w:val="00454F2A"/>
    <w:rsid w:val="0045506A"/>
    <w:rsid w:val="00455533"/>
    <w:rsid w:val="00455730"/>
    <w:rsid w:val="00455FA5"/>
    <w:rsid w:val="00456010"/>
    <w:rsid w:val="00456015"/>
    <w:rsid w:val="00456091"/>
    <w:rsid w:val="00456ADD"/>
    <w:rsid w:val="0045727F"/>
    <w:rsid w:val="004578A0"/>
    <w:rsid w:val="00457983"/>
    <w:rsid w:val="00457ACD"/>
    <w:rsid w:val="00457E0E"/>
    <w:rsid w:val="00460386"/>
    <w:rsid w:val="00460823"/>
    <w:rsid w:val="00460962"/>
    <w:rsid w:val="00460978"/>
    <w:rsid w:val="004609FB"/>
    <w:rsid w:val="00460BB5"/>
    <w:rsid w:val="00460BB8"/>
    <w:rsid w:val="00462258"/>
    <w:rsid w:val="004627D7"/>
    <w:rsid w:val="00462B0B"/>
    <w:rsid w:val="00462E54"/>
    <w:rsid w:val="0046306F"/>
    <w:rsid w:val="0046327F"/>
    <w:rsid w:val="004637B4"/>
    <w:rsid w:val="00463C03"/>
    <w:rsid w:val="00464022"/>
    <w:rsid w:val="004642B3"/>
    <w:rsid w:val="004648F6"/>
    <w:rsid w:val="004649FA"/>
    <w:rsid w:val="00464F3E"/>
    <w:rsid w:val="00465195"/>
    <w:rsid w:val="004653B6"/>
    <w:rsid w:val="004658E9"/>
    <w:rsid w:val="00466321"/>
    <w:rsid w:val="004665DE"/>
    <w:rsid w:val="00467D08"/>
    <w:rsid w:val="00467EAF"/>
    <w:rsid w:val="00470190"/>
    <w:rsid w:val="0047032B"/>
    <w:rsid w:val="004708C0"/>
    <w:rsid w:val="00470FBB"/>
    <w:rsid w:val="00471172"/>
    <w:rsid w:val="004715C7"/>
    <w:rsid w:val="00471FC4"/>
    <w:rsid w:val="004726B0"/>
    <w:rsid w:val="00472891"/>
    <w:rsid w:val="00472E46"/>
    <w:rsid w:val="004739DD"/>
    <w:rsid w:val="00473F35"/>
    <w:rsid w:val="00474D4D"/>
    <w:rsid w:val="00474E55"/>
    <w:rsid w:val="004753A0"/>
    <w:rsid w:val="0047616E"/>
    <w:rsid w:val="004763A4"/>
    <w:rsid w:val="004768C8"/>
    <w:rsid w:val="00477443"/>
    <w:rsid w:val="0047783A"/>
    <w:rsid w:val="004779AA"/>
    <w:rsid w:val="00477B37"/>
    <w:rsid w:val="00480556"/>
    <w:rsid w:val="004808A5"/>
    <w:rsid w:val="00480913"/>
    <w:rsid w:val="00480C3E"/>
    <w:rsid w:val="00480D19"/>
    <w:rsid w:val="00480E21"/>
    <w:rsid w:val="004815E8"/>
    <w:rsid w:val="004816E6"/>
    <w:rsid w:val="0048171A"/>
    <w:rsid w:val="0048172B"/>
    <w:rsid w:val="00481CFE"/>
    <w:rsid w:val="004826EB"/>
    <w:rsid w:val="00483019"/>
    <w:rsid w:val="00484100"/>
    <w:rsid w:val="00484B9B"/>
    <w:rsid w:val="00484C6E"/>
    <w:rsid w:val="004854C0"/>
    <w:rsid w:val="004855F6"/>
    <w:rsid w:val="004858BE"/>
    <w:rsid w:val="004861E7"/>
    <w:rsid w:val="00486375"/>
    <w:rsid w:val="0048661E"/>
    <w:rsid w:val="0048669B"/>
    <w:rsid w:val="00486A31"/>
    <w:rsid w:val="00486A55"/>
    <w:rsid w:val="00486A86"/>
    <w:rsid w:val="00486DE0"/>
    <w:rsid w:val="00487517"/>
    <w:rsid w:val="0049034B"/>
    <w:rsid w:val="0049055C"/>
    <w:rsid w:val="004905C4"/>
    <w:rsid w:val="004908A3"/>
    <w:rsid w:val="00490945"/>
    <w:rsid w:val="00490ADA"/>
    <w:rsid w:val="00491664"/>
    <w:rsid w:val="004916A7"/>
    <w:rsid w:val="00491854"/>
    <w:rsid w:val="00491C7E"/>
    <w:rsid w:val="00491DA7"/>
    <w:rsid w:val="0049227B"/>
    <w:rsid w:val="0049285B"/>
    <w:rsid w:val="0049292B"/>
    <w:rsid w:val="00492B50"/>
    <w:rsid w:val="0049336C"/>
    <w:rsid w:val="00493410"/>
    <w:rsid w:val="0049381E"/>
    <w:rsid w:val="00493E0E"/>
    <w:rsid w:val="00494464"/>
    <w:rsid w:val="00494670"/>
    <w:rsid w:val="00494A15"/>
    <w:rsid w:val="004950DB"/>
    <w:rsid w:val="0049562A"/>
    <w:rsid w:val="00495D8C"/>
    <w:rsid w:val="00495EE9"/>
    <w:rsid w:val="004961F7"/>
    <w:rsid w:val="00496B28"/>
    <w:rsid w:val="00497887"/>
    <w:rsid w:val="004A01F0"/>
    <w:rsid w:val="004A04B5"/>
    <w:rsid w:val="004A0618"/>
    <w:rsid w:val="004A0EAE"/>
    <w:rsid w:val="004A1390"/>
    <w:rsid w:val="004A173D"/>
    <w:rsid w:val="004A1885"/>
    <w:rsid w:val="004A1A26"/>
    <w:rsid w:val="004A28C2"/>
    <w:rsid w:val="004A2CC2"/>
    <w:rsid w:val="004A2EA8"/>
    <w:rsid w:val="004A3563"/>
    <w:rsid w:val="004A3766"/>
    <w:rsid w:val="004A3785"/>
    <w:rsid w:val="004A3823"/>
    <w:rsid w:val="004A3CFB"/>
    <w:rsid w:val="004A43A7"/>
    <w:rsid w:val="004A43F3"/>
    <w:rsid w:val="004A49D2"/>
    <w:rsid w:val="004A50B1"/>
    <w:rsid w:val="004A548B"/>
    <w:rsid w:val="004A56C1"/>
    <w:rsid w:val="004A59A7"/>
    <w:rsid w:val="004A748D"/>
    <w:rsid w:val="004A7539"/>
    <w:rsid w:val="004A7790"/>
    <w:rsid w:val="004A7BCF"/>
    <w:rsid w:val="004B025A"/>
    <w:rsid w:val="004B0E7D"/>
    <w:rsid w:val="004B0F9E"/>
    <w:rsid w:val="004B1D5B"/>
    <w:rsid w:val="004B2108"/>
    <w:rsid w:val="004B211E"/>
    <w:rsid w:val="004B22D7"/>
    <w:rsid w:val="004B2745"/>
    <w:rsid w:val="004B2811"/>
    <w:rsid w:val="004B28A8"/>
    <w:rsid w:val="004B37CE"/>
    <w:rsid w:val="004B3968"/>
    <w:rsid w:val="004B3B5F"/>
    <w:rsid w:val="004B3C36"/>
    <w:rsid w:val="004B4864"/>
    <w:rsid w:val="004B48E8"/>
    <w:rsid w:val="004B4DDD"/>
    <w:rsid w:val="004B63BE"/>
    <w:rsid w:val="004B64BA"/>
    <w:rsid w:val="004B70AE"/>
    <w:rsid w:val="004B7125"/>
    <w:rsid w:val="004B71CD"/>
    <w:rsid w:val="004B7A39"/>
    <w:rsid w:val="004B7D7F"/>
    <w:rsid w:val="004C053B"/>
    <w:rsid w:val="004C0A61"/>
    <w:rsid w:val="004C2317"/>
    <w:rsid w:val="004C24CB"/>
    <w:rsid w:val="004C2A74"/>
    <w:rsid w:val="004C2C3E"/>
    <w:rsid w:val="004C3465"/>
    <w:rsid w:val="004C347D"/>
    <w:rsid w:val="004C39E0"/>
    <w:rsid w:val="004C3F74"/>
    <w:rsid w:val="004C4B98"/>
    <w:rsid w:val="004C4CB3"/>
    <w:rsid w:val="004C5254"/>
    <w:rsid w:val="004C5D82"/>
    <w:rsid w:val="004C5FA1"/>
    <w:rsid w:val="004C6AEB"/>
    <w:rsid w:val="004C7CB5"/>
    <w:rsid w:val="004C7CEB"/>
    <w:rsid w:val="004D04BB"/>
    <w:rsid w:val="004D11A6"/>
    <w:rsid w:val="004D12A8"/>
    <w:rsid w:val="004D13F9"/>
    <w:rsid w:val="004D14EE"/>
    <w:rsid w:val="004D1CB8"/>
    <w:rsid w:val="004D2232"/>
    <w:rsid w:val="004D2869"/>
    <w:rsid w:val="004D2A4A"/>
    <w:rsid w:val="004D3042"/>
    <w:rsid w:val="004D3E2C"/>
    <w:rsid w:val="004D3F15"/>
    <w:rsid w:val="004D49D3"/>
    <w:rsid w:val="004D54D0"/>
    <w:rsid w:val="004D6286"/>
    <w:rsid w:val="004D6289"/>
    <w:rsid w:val="004D695C"/>
    <w:rsid w:val="004D7227"/>
    <w:rsid w:val="004D762E"/>
    <w:rsid w:val="004E0442"/>
    <w:rsid w:val="004E06F4"/>
    <w:rsid w:val="004E0BCE"/>
    <w:rsid w:val="004E0DEC"/>
    <w:rsid w:val="004E168C"/>
    <w:rsid w:val="004E1D44"/>
    <w:rsid w:val="004E1D84"/>
    <w:rsid w:val="004E269F"/>
    <w:rsid w:val="004E2A00"/>
    <w:rsid w:val="004E360D"/>
    <w:rsid w:val="004E4507"/>
    <w:rsid w:val="004E4580"/>
    <w:rsid w:val="004E49AB"/>
    <w:rsid w:val="004E4DA5"/>
    <w:rsid w:val="004E53E7"/>
    <w:rsid w:val="004E5532"/>
    <w:rsid w:val="004E5B89"/>
    <w:rsid w:val="004E5D8C"/>
    <w:rsid w:val="004E61BB"/>
    <w:rsid w:val="004E6431"/>
    <w:rsid w:val="004E6914"/>
    <w:rsid w:val="004E6946"/>
    <w:rsid w:val="004E699E"/>
    <w:rsid w:val="004E6A05"/>
    <w:rsid w:val="004E712F"/>
    <w:rsid w:val="004E7D8A"/>
    <w:rsid w:val="004F09E5"/>
    <w:rsid w:val="004F0AE7"/>
    <w:rsid w:val="004F1122"/>
    <w:rsid w:val="004F1226"/>
    <w:rsid w:val="004F13E6"/>
    <w:rsid w:val="004F1749"/>
    <w:rsid w:val="004F17A2"/>
    <w:rsid w:val="004F18B9"/>
    <w:rsid w:val="004F1AD8"/>
    <w:rsid w:val="004F1D85"/>
    <w:rsid w:val="004F32CD"/>
    <w:rsid w:val="004F3601"/>
    <w:rsid w:val="004F3714"/>
    <w:rsid w:val="004F3FD0"/>
    <w:rsid w:val="004F44DA"/>
    <w:rsid w:val="004F4611"/>
    <w:rsid w:val="004F4BC0"/>
    <w:rsid w:val="004F4E90"/>
    <w:rsid w:val="004F560E"/>
    <w:rsid w:val="004F5B18"/>
    <w:rsid w:val="004F5D5A"/>
    <w:rsid w:val="004F5E91"/>
    <w:rsid w:val="004F60D7"/>
    <w:rsid w:val="004F66A9"/>
    <w:rsid w:val="004F7753"/>
    <w:rsid w:val="005007DE"/>
    <w:rsid w:val="00500806"/>
    <w:rsid w:val="00500A3C"/>
    <w:rsid w:val="00500A95"/>
    <w:rsid w:val="00500B05"/>
    <w:rsid w:val="00500F63"/>
    <w:rsid w:val="00501219"/>
    <w:rsid w:val="00501DF2"/>
    <w:rsid w:val="0050224D"/>
    <w:rsid w:val="0050288B"/>
    <w:rsid w:val="005028CF"/>
    <w:rsid w:val="005035F3"/>
    <w:rsid w:val="005038FA"/>
    <w:rsid w:val="005039BC"/>
    <w:rsid w:val="005039CB"/>
    <w:rsid w:val="00503BDF"/>
    <w:rsid w:val="00503FDC"/>
    <w:rsid w:val="00503FF5"/>
    <w:rsid w:val="00504885"/>
    <w:rsid w:val="00504A42"/>
    <w:rsid w:val="00504FC8"/>
    <w:rsid w:val="005054B7"/>
    <w:rsid w:val="0050558B"/>
    <w:rsid w:val="0050558F"/>
    <w:rsid w:val="00505D68"/>
    <w:rsid w:val="00506134"/>
    <w:rsid w:val="00506286"/>
    <w:rsid w:val="00506C52"/>
    <w:rsid w:val="00507243"/>
    <w:rsid w:val="005075AA"/>
    <w:rsid w:val="005079D3"/>
    <w:rsid w:val="005100F7"/>
    <w:rsid w:val="00510813"/>
    <w:rsid w:val="00510C6B"/>
    <w:rsid w:val="00511444"/>
    <w:rsid w:val="005115E1"/>
    <w:rsid w:val="00511990"/>
    <w:rsid w:val="00511DE0"/>
    <w:rsid w:val="005120B8"/>
    <w:rsid w:val="00512231"/>
    <w:rsid w:val="005126BC"/>
    <w:rsid w:val="00512D58"/>
    <w:rsid w:val="00514849"/>
    <w:rsid w:val="00514870"/>
    <w:rsid w:val="00514B9B"/>
    <w:rsid w:val="00514C65"/>
    <w:rsid w:val="0051705C"/>
    <w:rsid w:val="0051723A"/>
    <w:rsid w:val="00517BD0"/>
    <w:rsid w:val="00517DD6"/>
    <w:rsid w:val="00517F02"/>
    <w:rsid w:val="00517FA6"/>
    <w:rsid w:val="005202DA"/>
    <w:rsid w:val="00520519"/>
    <w:rsid w:val="00520559"/>
    <w:rsid w:val="005205C3"/>
    <w:rsid w:val="00520EEB"/>
    <w:rsid w:val="00521E19"/>
    <w:rsid w:val="00521E56"/>
    <w:rsid w:val="00522056"/>
    <w:rsid w:val="005220E6"/>
    <w:rsid w:val="00522F9A"/>
    <w:rsid w:val="00524303"/>
    <w:rsid w:val="00524AC0"/>
    <w:rsid w:val="00525409"/>
    <w:rsid w:val="005258A1"/>
    <w:rsid w:val="005258A2"/>
    <w:rsid w:val="005260E5"/>
    <w:rsid w:val="005265FE"/>
    <w:rsid w:val="005268AF"/>
    <w:rsid w:val="00526A83"/>
    <w:rsid w:val="00527160"/>
    <w:rsid w:val="0052721F"/>
    <w:rsid w:val="00527ABB"/>
    <w:rsid w:val="00527CCF"/>
    <w:rsid w:val="00527FC8"/>
    <w:rsid w:val="00530139"/>
    <w:rsid w:val="005307FC"/>
    <w:rsid w:val="00530924"/>
    <w:rsid w:val="00530C16"/>
    <w:rsid w:val="00531076"/>
    <w:rsid w:val="00531254"/>
    <w:rsid w:val="005316C1"/>
    <w:rsid w:val="0053256F"/>
    <w:rsid w:val="005325A0"/>
    <w:rsid w:val="0053281C"/>
    <w:rsid w:val="00533216"/>
    <w:rsid w:val="005334EA"/>
    <w:rsid w:val="00533528"/>
    <w:rsid w:val="0053357C"/>
    <w:rsid w:val="0053377F"/>
    <w:rsid w:val="00533DCE"/>
    <w:rsid w:val="00534779"/>
    <w:rsid w:val="00534B34"/>
    <w:rsid w:val="00534D32"/>
    <w:rsid w:val="005352AC"/>
    <w:rsid w:val="00535E53"/>
    <w:rsid w:val="0053602A"/>
    <w:rsid w:val="00536261"/>
    <w:rsid w:val="005363AE"/>
    <w:rsid w:val="005364F4"/>
    <w:rsid w:val="00536FAE"/>
    <w:rsid w:val="00536FEE"/>
    <w:rsid w:val="00537521"/>
    <w:rsid w:val="00537588"/>
    <w:rsid w:val="0053788A"/>
    <w:rsid w:val="00537E10"/>
    <w:rsid w:val="00540034"/>
    <w:rsid w:val="005400CC"/>
    <w:rsid w:val="005401AE"/>
    <w:rsid w:val="005404C2"/>
    <w:rsid w:val="00540ADB"/>
    <w:rsid w:val="00540BDE"/>
    <w:rsid w:val="00540DB0"/>
    <w:rsid w:val="00541672"/>
    <w:rsid w:val="005416B3"/>
    <w:rsid w:val="00541D5E"/>
    <w:rsid w:val="005422A7"/>
    <w:rsid w:val="00542AA7"/>
    <w:rsid w:val="00542CE2"/>
    <w:rsid w:val="00542E07"/>
    <w:rsid w:val="00543665"/>
    <w:rsid w:val="005443E1"/>
    <w:rsid w:val="00544755"/>
    <w:rsid w:val="00544C43"/>
    <w:rsid w:val="00544D07"/>
    <w:rsid w:val="0054536D"/>
    <w:rsid w:val="00545424"/>
    <w:rsid w:val="00545679"/>
    <w:rsid w:val="00546640"/>
    <w:rsid w:val="00546A2F"/>
    <w:rsid w:val="00546CCA"/>
    <w:rsid w:val="00546E8E"/>
    <w:rsid w:val="00546EDA"/>
    <w:rsid w:val="005479A9"/>
    <w:rsid w:val="00547EDB"/>
    <w:rsid w:val="00547FD9"/>
    <w:rsid w:val="005500A8"/>
    <w:rsid w:val="005509E0"/>
    <w:rsid w:val="00551140"/>
    <w:rsid w:val="00551455"/>
    <w:rsid w:val="00551D1E"/>
    <w:rsid w:val="00551ECA"/>
    <w:rsid w:val="0055275F"/>
    <w:rsid w:val="00553222"/>
    <w:rsid w:val="005535BF"/>
    <w:rsid w:val="00554093"/>
    <w:rsid w:val="005540D5"/>
    <w:rsid w:val="00554510"/>
    <w:rsid w:val="00554692"/>
    <w:rsid w:val="00554A7B"/>
    <w:rsid w:val="00554DB2"/>
    <w:rsid w:val="005554CE"/>
    <w:rsid w:val="0055568B"/>
    <w:rsid w:val="0055572C"/>
    <w:rsid w:val="005565E1"/>
    <w:rsid w:val="005567D4"/>
    <w:rsid w:val="0055699F"/>
    <w:rsid w:val="00556CAA"/>
    <w:rsid w:val="00557390"/>
    <w:rsid w:val="0055783A"/>
    <w:rsid w:val="005579E7"/>
    <w:rsid w:val="00557A78"/>
    <w:rsid w:val="00557BD7"/>
    <w:rsid w:val="00557F96"/>
    <w:rsid w:val="00560158"/>
    <w:rsid w:val="00560890"/>
    <w:rsid w:val="00560B40"/>
    <w:rsid w:val="0056106A"/>
    <w:rsid w:val="00561AEA"/>
    <w:rsid w:val="005625DE"/>
    <w:rsid w:val="005629E5"/>
    <w:rsid w:val="00562E5E"/>
    <w:rsid w:val="0056309E"/>
    <w:rsid w:val="0056312B"/>
    <w:rsid w:val="0056354F"/>
    <w:rsid w:val="00563C3B"/>
    <w:rsid w:val="00563FF4"/>
    <w:rsid w:val="00564693"/>
    <w:rsid w:val="00564699"/>
    <w:rsid w:val="00564DF2"/>
    <w:rsid w:val="00564ECE"/>
    <w:rsid w:val="00564FDB"/>
    <w:rsid w:val="00565534"/>
    <w:rsid w:val="00565E98"/>
    <w:rsid w:val="00565F4E"/>
    <w:rsid w:val="0056601F"/>
    <w:rsid w:val="00566240"/>
    <w:rsid w:val="0056626B"/>
    <w:rsid w:val="005664D0"/>
    <w:rsid w:val="00566F7D"/>
    <w:rsid w:val="00567159"/>
    <w:rsid w:val="00567B54"/>
    <w:rsid w:val="00567C75"/>
    <w:rsid w:val="0057031F"/>
    <w:rsid w:val="0057083C"/>
    <w:rsid w:val="005709C7"/>
    <w:rsid w:val="00570CC1"/>
    <w:rsid w:val="005714DB"/>
    <w:rsid w:val="005720AE"/>
    <w:rsid w:val="0057297D"/>
    <w:rsid w:val="00572CA8"/>
    <w:rsid w:val="00572F2A"/>
    <w:rsid w:val="00573323"/>
    <w:rsid w:val="0057332C"/>
    <w:rsid w:val="005734A0"/>
    <w:rsid w:val="00574989"/>
    <w:rsid w:val="00574E93"/>
    <w:rsid w:val="00574EA8"/>
    <w:rsid w:val="00574EE1"/>
    <w:rsid w:val="0057565D"/>
    <w:rsid w:val="005756C3"/>
    <w:rsid w:val="005756E4"/>
    <w:rsid w:val="0057581E"/>
    <w:rsid w:val="00575BCF"/>
    <w:rsid w:val="0057601B"/>
    <w:rsid w:val="00576024"/>
    <w:rsid w:val="005760FD"/>
    <w:rsid w:val="00576706"/>
    <w:rsid w:val="0057671A"/>
    <w:rsid w:val="0057690F"/>
    <w:rsid w:val="00577122"/>
    <w:rsid w:val="00577190"/>
    <w:rsid w:val="005778DB"/>
    <w:rsid w:val="00577CB5"/>
    <w:rsid w:val="0058044B"/>
    <w:rsid w:val="00580494"/>
    <w:rsid w:val="0058064F"/>
    <w:rsid w:val="005809B7"/>
    <w:rsid w:val="00580CD8"/>
    <w:rsid w:val="00581548"/>
    <w:rsid w:val="00581774"/>
    <w:rsid w:val="005823F2"/>
    <w:rsid w:val="00582CB4"/>
    <w:rsid w:val="0058402B"/>
    <w:rsid w:val="00584B76"/>
    <w:rsid w:val="0058522C"/>
    <w:rsid w:val="005858EB"/>
    <w:rsid w:val="00585D3C"/>
    <w:rsid w:val="005861D1"/>
    <w:rsid w:val="00586307"/>
    <w:rsid w:val="005864AF"/>
    <w:rsid w:val="00586847"/>
    <w:rsid w:val="00586A30"/>
    <w:rsid w:val="00587908"/>
    <w:rsid w:val="00587B44"/>
    <w:rsid w:val="005913AD"/>
    <w:rsid w:val="00591804"/>
    <w:rsid w:val="0059193E"/>
    <w:rsid w:val="00591BE4"/>
    <w:rsid w:val="00591E4A"/>
    <w:rsid w:val="0059215A"/>
    <w:rsid w:val="005923AA"/>
    <w:rsid w:val="0059250A"/>
    <w:rsid w:val="00592753"/>
    <w:rsid w:val="00593124"/>
    <w:rsid w:val="005937F9"/>
    <w:rsid w:val="00593806"/>
    <w:rsid w:val="00593B64"/>
    <w:rsid w:val="00593B96"/>
    <w:rsid w:val="00594D77"/>
    <w:rsid w:val="00594DC3"/>
    <w:rsid w:val="00594DCA"/>
    <w:rsid w:val="005954A5"/>
    <w:rsid w:val="0059567A"/>
    <w:rsid w:val="00595707"/>
    <w:rsid w:val="00595DBD"/>
    <w:rsid w:val="00596049"/>
    <w:rsid w:val="005960F9"/>
    <w:rsid w:val="0059635F"/>
    <w:rsid w:val="00596863"/>
    <w:rsid w:val="005969E4"/>
    <w:rsid w:val="00596E81"/>
    <w:rsid w:val="00596E86"/>
    <w:rsid w:val="00597054"/>
    <w:rsid w:val="005972A6"/>
    <w:rsid w:val="005977B9"/>
    <w:rsid w:val="005978BE"/>
    <w:rsid w:val="005978F6"/>
    <w:rsid w:val="005A0502"/>
    <w:rsid w:val="005A06B7"/>
    <w:rsid w:val="005A16E4"/>
    <w:rsid w:val="005A1759"/>
    <w:rsid w:val="005A2114"/>
    <w:rsid w:val="005A2145"/>
    <w:rsid w:val="005A2288"/>
    <w:rsid w:val="005A2D1E"/>
    <w:rsid w:val="005A3253"/>
    <w:rsid w:val="005A33A7"/>
    <w:rsid w:val="005A385B"/>
    <w:rsid w:val="005A3C58"/>
    <w:rsid w:val="005A3D60"/>
    <w:rsid w:val="005A4611"/>
    <w:rsid w:val="005A51D7"/>
    <w:rsid w:val="005A5297"/>
    <w:rsid w:val="005A5492"/>
    <w:rsid w:val="005A5828"/>
    <w:rsid w:val="005A59F6"/>
    <w:rsid w:val="005A5F1F"/>
    <w:rsid w:val="005A6078"/>
    <w:rsid w:val="005A6239"/>
    <w:rsid w:val="005A68A7"/>
    <w:rsid w:val="005A6EB5"/>
    <w:rsid w:val="005A72DB"/>
    <w:rsid w:val="005A744B"/>
    <w:rsid w:val="005A74A0"/>
    <w:rsid w:val="005A7AA0"/>
    <w:rsid w:val="005A7B24"/>
    <w:rsid w:val="005A7C4E"/>
    <w:rsid w:val="005B025C"/>
    <w:rsid w:val="005B06C9"/>
    <w:rsid w:val="005B0992"/>
    <w:rsid w:val="005B0B43"/>
    <w:rsid w:val="005B0EF4"/>
    <w:rsid w:val="005B209A"/>
    <w:rsid w:val="005B21A1"/>
    <w:rsid w:val="005B225B"/>
    <w:rsid w:val="005B2614"/>
    <w:rsid w:val="005B298C"/>
    <w:rsid w:val="005B2A9F"/>
    <w:rsid w:val="005B2AA4"/>
    <w:rsid w:val="005B2F5E"/>
    <w:rsid w:val="005B42BB"/>
    <w:rsid w:val="005B4B61"/>
    <w:rsid w:val="005B4BFE"/>
    <w:rsid w:val="005B5024"/>
    <w:rsid w:val="005B5171"/>
    <w:rsid w:val="005B5216"/>
    <w:rsid w:val="005B56B4"/>
    <w:rsid w:val="005B5744"/>
    <w:rsid w:val="005B5BF9"/>
    <w:rsid w:val="005B5F0F"/>
    <w:rsid w:val="005B6264"/>
    <w:rsid w:val="005B6F1B"/>
    <w:rsid w:val="005B745F"/>
    <w:rsid w:val="005B7BB0"/>
    <w:rsid w:val="005B7F17"/>
    <w:rsid w:val="005C01B8"/>
    <w:rsid w:val="005C082A"/>
    <w:rsid w:val="005C1657"/>
    <w:rsid w:val="005C1683"/>
    <w:rsid w:val="005C17DD"/>
    <w:rsid w:val="005C2D2B"/>
    <w:rsid w:val="005C48FB"/>
    <w:rsid w:val="005C4ACB"/>
    <w:rsid w:val="005C50EC"/>
    <w:rsid w:val="005C5392"/>
    <w:rsid w:val="005C5A61"/>
    <w:rsid w:val="005C5E51"/>
    <w:rsid w:val="005C7014"/>
    <w:rsid w:val="005C77B2"/>
    <w:rsid w:val="005C7AE9"/>
    <w:rsid w:val="005D0FF2"/>
    <w:rsid w:val="005D1788"/>
    <w:rsid w:val="005D1A69"/>
    <w:rsid w:val="005D2793"/>
    <w:rsid w:val="005D2983"/>
    <w:rsid w:val="005D2DA0"/>
    <w:rsid w:val="005D3055"/>
    <w:rsid w:val="005D3396"/>
    <w:rsid w:val="005D33C5"/>
    <w:rsid w:val="005D36AB"/>
    <w:rsid w:val="005D3ACC"/>
    <w:rsid w:val="005D4026"/>
    <w:rsid w:val="005D40AF"/>
    <w:rsid w:val="005D426E"/>
    <w:rsid w:val="005D463F"/>
    <w:rsid w:val="005D4906"/>
    <w:rsid w:val="005D4CAB"/>
    <w:rsid w:val="005D4E3A"/>
    <w:rsid w:val="005D52C9"/>
    <w:rsid w:val="005D585D"/>
    <w:rsid w:val="005D5970"/>
    <w:rsid w:val="005D5A6F"/>
    <w:rsid w:val="005D5BCE"/>
    <w:rsid w:val="005D5FFF"/>
    <w:rsid w:val="005D6C32"/>
    <w:rsid w:val="005D6CF5"/>
    <w:rsid w:val="005D75AF"/>
    <w:rsid w:val="005D7F67"/>
    <w:rsid w:val="005D7FA7"/>
    <w:rsid w:val="005E012A"/>
    <w:rsid w:val="005E0ADE"/>
    <w:rsid w:val="005E0CF1"/>
    <w:rsid w:val="005E0E14"/>
    <w:rsid w:val="005E0FDF"/>
    <w:rsid w:val="005E18EE"/>
    <w:rsid w:val="005E235E"/>
    <w:rsid w:val="005E24C0"/>
    <w:rsid w:val="005E3043"/>
    <w:rsid w:val="005E3189"/>
    <w:rsid w:val="005E37B6"/>
    <w:rsid w:val="005E3BAB"/>
    <w:rsid w:val="005E45F3"/>
    <w:rsid w:val="005E4969"/>
    <w:rsid w:val="005E4E3E"/>
    <w:rsid w:val="005E5373"/>
    <w:rsid w:val="005E5523"/>
    <w:rsid w:val="005E57CC"/>
    <w:rsid w:val="005E5ABD"/>
    <w:rsid w:val="005E5CB5"/>
    <w:rsid w:val="005E5EC1"/>
    <w:rsid w:val="005E698F"/>
    <w:rsid w:val="005E6CAD"/>
    <w:rsid w:val="005E6FC9"/>
    <w:rsid w:val="005E7643"/>
    <w:rsid w:val="005E77F8"/>
    <w:rsid w:val="005E78DD"/>
    <w:rsid w:val="005E7B9E"/>
    <w:rsid w:val="005E7D4B"/>
    <w:rsid w:val="005F0191"/>
    <w:rsid w:val="005F03FC"/>
    <w:rsid w:val="005F0D98"/>
    <w:rsid w:val="005F115B"/>
    <w:rsid w:val="005F1642"/>
    <w:rsid w:val="005F16DE"/>
    <w:rsid w:val="005F1CE0"/>
    <w:rsid w:val="005F273F"/>
    <w:rsid w:val="005F2E86"/>
    <w:rsid w:val="005F31F9"/>
    <w:rsid w:val="005F344D"/>
    <w:rsid w:val="005F3AB4"/>
    <w:rsid w:val="005F3D7E"/>
    <w:rsid w:val="005F4407"/>
    <w:rsid w:val="005F441F"/>
    <w:rsid w:val="005F4A6A"/>
    <w:rsid w:val="005F4B13"/>
    <w:rsid w:val="005F4BD5"/>
    <w:rsid w:val="005F4C62"/>
    <w:rsid w:val="005F5839"/>
    <w:rsid w:val="005F5B5D"/>
    <w:rsid w:val="005F5ECD"/>
    <w:rsid w:val="005F6850"/>
    <w:rsid w:val="005F6D1A"/>
    <w:rsid w:val="005F72D4"/>
    <w:rsid w:val="005F7447"/>
    <w:rsid w:val="005F7709"/>
    <w:rsid w:val="005F7C9C"/>
    <w:rsid w:val="006009E4"/>
    <w:rsid w:val="00600E10"/>
    <w:rsid w:val="00601C49"/>
    <w:rsid w:val="0060209F"/>
    <w:rsid w:val="006027E7"/>
    <w:rsid w:val="00602D22"/>
    <w:rsid w:val="006031CA"/>
    <w:rsid w:val="00603B8A"/>
    <w:rsid w:val="00603BBE"/>
    <w:rsid w:val="00603EDF"/>
    <w:rsid w:val="0060412A"/>
    <w:rsid w:val="0060427F"/>
    <w:rsid w:val="00604784"/>
    <w:rsid w:val="00604B39"/>
    <w:rsid w:val="0060500F"/>
    <w:rsid w:val="006051A2"/>
    <w:rsid w:val="006051E5"/>
    <w:rsid w:val="0060521B"/>
    <w:rsid w:val="0060564B"/>
    <w:rsid w:val="00605B14"/>
    <w:rsid w:val="00605BAE"/>
    <w:rsid w:val="0060667B"/>
    <w:rsid w:val="006067B9"/>
    <w:rsid w:val="00606E63"/>
    <w:rsid w:val="00607105"/>
    <w:rsid w:val="00607A98"/>
    <w:rsid w:val="00607BC6"/>
    <w:rsid w:val="0061019D"/>
    <w:rsid w:val="00610539"/>
    <w:rsid w:val="006105FE"/>
    <w:rsid w:val="0061070A"/>
    <w:rsid w:val="00610E6E"/>
    <w:rsid w:val="006110EA"/>
    <w:rsid w:val="00611425"/>
    <w:rsid w:val="006117DE"/>
    <w:rsid w:val="00611EE4"/>
    <w:rsid w:val="0061219E"/>
    <w:rsid w:val="006125C4"/>
    <w:rsid w:val="00612A07"/>
    <w:rsid w:val="00612E04"/>
    <w:rsid w:val="006132CC"/>
    <w:rsid w:val="006136BE"/>
    <w:rsid w:val="00613887"/>
    <w:rsid w:val="00614246"/>
    <w:rsid w:val="0061443B"/>
    <w:rsid w:val="00614670"/>
    <w:rsid w:val="00614CEF"/>
    <w:rsid w:val="00615386"/>
    <w:rsid w:val="006155B2"/>
    <w:rsid w:val="006163D9"/>
    <w:rsid w:val="00616880"/>
    <w:rsid w:val="00616FB5"/>
    <w:rsid w:val="0061707D"/>
    <w:rsid w:val="00617B17"/>
    <w:rsid w:val="00617CC3"/>
    <w:rsid w:val="00617E6F"/>
    <w:rsid w:val="00617F5B"/>
    <w:rsid w:val="00620167"/>
    <w:rsid w:val="0062079D"/>
    <w:rsid w:val="00620848"/>
    <w:rsid w:val="00620850"/>
    <w:rsid w:val="00620A5A"/>
    <w:rsid w:val="00620ED8"/>
    <w:rsid w:val="00621483"/>
    <w:rsid w:val="00621C7A"/>
    <w:rsid w:val="00622025"/>
    <w:rsid w:val="00622099"/>
    <w:rsid w:val="0062247D"/>
    <w:rsid w:val="0062268A"/>
    <w:rsid w:val="00622769"/>
    <w:rsid w:val="00622D72"/>
    <w:rsid w:val="00622EE5"/>
    <w:rsid w:val="00622F46"/>
    <w:rsid w:val="00622F47"/>
    <w:rsid w:val="00623D05"/>
    <w:rsid w:val="00623E65"/>
    <w:rsid w:val="006243FE"/>
    <w:rsid w:val="00624535"/>
    <w:rsid w:val="00624B57"/>
    <w:rsid w:val="00624E58"/>
    <w:rsid w:val="00625B80"/>
    <w:rsid w:val="00626179"/>
    <w:rsid w:val="0062623E"/>
    <w:rsid w:val="006267A1"/>
    <w:rsid w:val="006268B9"/>
    <w:rsid w:val="00626AB8"/>
    <w:rsid w:val="006273A8"/>
    <w:rsid w:val="00627426"/>
    <w:rsid w:val="006303A1"/>
    <w:rsid w:val="00631349"/>
    <w:rsid w:val="00631A25"/>
    <w:rsid w:val="00631A43"/>
    <w:rsid w:val="00631AEF"/>
    <w:rsid w:val="00632217"/>
    <w:rsid w:val="006327F3"/>
    <w:rsid w:val="006329E9"/>
    <w:rsid w:val="00632A3F"/>
    <w:rsid w:val="00632BBF"/>
    <w:rsid w:val="0063305B"/>
    <w:rsid w:val="006336A0"/>
    <w:rsid w:val="0063394A"/>
    <w:rsid w:val="00633B87"/>
    <w:rsid w:val="00633C60"/>
    <w:rsid w:val="006345B8"/>
    <w:rsid w:val="00634B62"/>
    <w:rsid w:val="006350BC"/>
    <w:rsid w:val="006351B5"/>
    <w:rsid w:val="00635298"/>
    <w:rsid w:val="006353B3"/>
    <w:rsid w:val="006354A8"/>
    <w:rsid w:val="00636D79"/>
    <w:rsid w:val="0063711C"/>
    <w:rsid w:val="006377A6"/>
    <w:rsid w:val="00637A3D"/>
    <w:rsid w:val="00637E94"/>
    <w:rsid w:val="0064004E"/>
    <w:rsid w:val="006411EF"/>
    <w:rsid w:val="006413F1"/>
    <w:rsid w:val="0064223F"/>
    <w:rsid w:val="006427CA"/>
    <w:rsid w:val="006428E1"/>
    <w:rsid w:val="00642C8A"/>
    <w:rsid w:val="00642D0C"/>
    <w:rsid w:val="00642F09"/>
    <w:rsid w:val="00643290"/>
    <w:rsid w:val="00643740"/>
    <w:rsid w:val="00643B10"/>
    <w:rsid w:val="00643D86"/>
    <w:rsid w:val="006449B0"/>
    <w:rsid w:val="00644B2B"/>
    <w:rsid w:val="00644F1C"/>
    <w:rsid w:val="00645277"/>
    <w:rsid w:val="006458A6"/>
    <w:rsid w:val="00645EAA"/>
    <w:rsid w:val="0064614F"/>
    <w:rsid w:val="006463DB"/>
    <w:rsid w:val="00646ADB"/>
    <w:rsid w:val="00647391"/>
    <w:rsid w:val="0064751D"/>
    <w:rsid w:val="0065077E"/>
    <w:rsid w:val="00651829"/>
    <w:rsid w:val="00653A14"/>
    <w:rsid w:val="00653C93"/>
    <w:rsid w:val="00653E6B"/>
    <w:rsid w:val="00653EBF"/>
    <w:rsid w:val="00654095"/>
    <w:rsid w:val="006551CB"/>
    <w:rsid w:val="0065526F"/>
    <w:rsid w:val="006556C2"/>
    <w:rsid w:val="006559FB"/>
    <w:rsid w:val="00655DB8"/>
    <w:rsid w:val="00655E63"/>
    <w:rsid w:val="00656478"/>
    <w:rsid w:val="00656E04"/>
    <w:rsid w:val="00656E61"/>
    <w:rsid w:val="006574A9"/>
    <w:rsid w:val="006574C9"/>
    <w:rsid w:val="00657600"/>
    <w:rsid w:val="006578D3"/>
    <w:rsid w:val="00657A3D"/>
    <w:rsid w:val="00657A62"/>
    <w:rsid w:val="00657EA5"/>
    <w:rsid w:val="00660FD1"/>
    <w:rsid w:val="0066138C"/>
    <w:rsid w:val="0066160C"/>
    <w:rsid w:val="0066175A"/>
    <w:rsid w:val="00661AC5"/>
    <w:rsid w:val="006622DE"/>
    <w:rsid w:val="00663059"/>
    <w:rsid w:val="00663256"/>
    <w:rsid w:val="00663745"/>
    <w:rsid w:val="00663AD9"/>
    <w:rsid w:val="00663E38"/>
    <w:rsid w:val="006645BC"/>
    <w:rsid w:val="00664874"/>
    <w:rsid w:val="00664D54"/>
    <w:rsid w:val="00665358"/>
    <w:rsid w:val="00665487"/>
    <w:rsid w:val="00665544"/>
    <w:rsid w:val="00665739"/>
    <w:rsid w:val="006657F5"/>
    <w:rsid w:val="00666230"/>
    <w:rsid w:val="006666E7"/>
    <w:rsid w:val="00666A7C"/>
    <w:rsid w:val="00666D86"/>
    <w:rsid w:val="00667989"/>
    <w:rsid w:val="00667AB3"/>
    <w:rsid w:val="00667C6A"/>
    <w:rsid w:val="00667E2D"/>
    <w:rsid w:val="00667FA4"/>
    <w:rsid w:val="006706DC"/>
    <w:rsid w:val="006706FA"/>
    <w:rsid w:val="00670844"/>
    <w:rsid w:val="00670945"/>
    <w:rsid w:val="00670F9B"/>
    <w:rsid w:val="00671465"/>
    <w:rsid w:val="00672996"/>
    <w:rsid w:val="00672B43"/>
    <w:rsid w:val="00672D65"/>
    <w:rsid w:val="00673006"/>
    <w:rsid w:val="00673458"/>
    <w:rsid w:val="00673782"/>
    <w:rsid w:val="00673AFF"/>
    <w:rsid w:val="006748B8"/>
    <w:rsid w:val="006748DB"/>
    <w:rsid w:val="00674BE4"/>
    <w:rsid w:val="006754A4"/>
    <w:rsid w:val="0067577A"/>
    <w:rsid w:val="00675829"/>
    <w:rsid w:val="00675A70"/>
    <w:rsid w:val="00675D0B"/>
    <w:rsid w:val="00675D28"/>
    <w:rsid w:val="00677081"/>
    <w:rsid w:val="006772D4"/>
    <w:rsid w:val="006772EC"/>
    <w:rsid w:val="006775C3"/>
    <w:rsid w:val="006776AB"/>
    <w:rsid w:val="0067774F"/>
    <w:rsid w:val="00677A09"/>
    <w:rsid w:val="00677AD1"/>
    <w:rsid w:val="00677B17"/>
    <w:rsid w:val="00677E5C"/>
    <w:rsid w:val="0068050F"/>
    <w:rsid w:val="006805A0"/>
    <w:rsid w:val="00680F60"/>
    <w:rsid w:val="00681021"/>
    <w:rsid w:val="006811D8"/>
    <w:rsid w:val="00681791"/>
    <w:rsid w:val="00681871"/>
    <w:rsid w:val="00681957"/>
    <w:rsid w:val="00681A1F"/>
    <w:rsid w:val="0068213A"/>
    <w:rsid w:val="00682C3C"/>
    <w:rsid w:val="00682C7C"/>
    <w:rsid w:val="00682EDF"/>
    <w:rsid w:val="00683043"/>
    <w:rsid w:val="0068402A"/>
    <w:rsid w:val="006840BD"/>
    <w:rsid w:val="00684414"/>
    <w:rsid w:val="006845E1"/>
    <w:rsid w:val="00685559"/>
    <w:rsid w:val="006857AF"/>
    <w:rsid w:val="00685C77"/>
    <w:rsid w:val="00685FD0"/>
    <w:rsid w:val="00686182"/>
    <w:rsid w:val="0068651A"/>
    <w:rsid w:val="00686F46"/>
    <w:rsid w:val="00687489"/>
    <w:rsid w:val="0068764B"/>
    <w:rsid w:val="00687727"/>
    <w:rsid w:val="006878B8"/>
    <w:rsid w:val="006907B3"/>
    <w:rsid w:val="00690908"/>
    <w:rsid w:val="00690A19"/>
    <w:rsid w:val="00690D7A"/>
    <w:rsid w:val="006915A4"/>
    <w:rsid w:val="00691A12"/>
    <w:rsid w:val="00692801"/>
    <w:rsid w:val="0069290A"/>
    <w:rsid w:val="00693039"/>
    <w:rsid w:val="00693066"/>
    <w:rsid w:val="006932F0"/>
    <w:rsid w:val="00693385"/>
    <w:rsid w:val="00693423"/>
    <w:rsid w:val="00693760"/>
    <w:rsid w:val="0069387E"/>
    <w:rsid w:val="00694015"/>
    <w:rsid w:val="00694118"/>
    <w:rsid w:val="006945C4"/>
    <w:rsid w:val="006948B7"/>
    <w:rsid w:val="00694C7E"/>
    <w:rsid w:val="0069591E"/>
    <w:rsid w:val="006962F9"/>
    <w:rsid w:val="00697036"/>
    <w:rsid w:val="0069775A"/>
    <w:rsid w:val="00697813"/>
    <w:rsid w:val="006A02A9"/>
    <w:rsid w:val="006A03A2"/>
    <w:rsid w:val="006A0CF7"/>
    <w:rsid w:val="006A16C7"/>
    <w:rsid w:val="006A1788"/>
    <w:rsid w:val="006A1B3C"/>
    <w:rsid w:val="006A1F5D"/>
    <w:rsid w:val="006A2ABD"/>
    <w:rsid w:val="006A2C37"/>
    <w:rsid w:val="006A32A6"/>
    <w:rsid w:val="006A3C6D"/>
    <w:rsid w:val="006A3EE8"/>
    <w:rsid w:val="006A529A"/>
    <w:rsid w:val="006A52F3"/>
    <w:rsid w:val="006A5864"/>
    <w:rsid w:val="006A6D64"/>
    <w:rsid w:val="006A72BF"/>
    <w:rsid w:val="006A78B9"/>
    <w:rsid w:val="006B025C"/>
    <w:rsid w:val="006B03F2"/>
    <w:rsid w:val="006B06E8"/>
    <w:rsid w:val="006B0C8B"/>
    <w:rsid w:val="006B1212"/>
    <w:rsid w:val="006B17AA"/>
    <w:rsid w:val="006B1E55"/>
    <w:rsid w:val="006B1FD7"/>
    <w:rsid w:val="006B1FF2"/>
    <w:rsid w:val="006B2292"/>
    <w:rsid w:val="006B270E"/>
    <w:rsid w:val="006B2717"/>
    <w:rsid w:val="006B28E9"/>
    <w:rsid w:val="006B37C7"/>
    <w:rsid w:val="006B37DC"/>
    <w:rsid w:val="006B404C"/>
    <w:rsid w:val="006B4EAC"/>
    <w:rsid w:val="006B4F68"/>
    <w:rsid w:val="006B5A50"/>
    <w:rsid w:val="006B6490"/>
    <w:rsid w:val="006B6604"/>
    <w:rsid w:val="006B6ED8"/>
    <w:rsid w:val="006B6F6D"/>
    <w:rsid w:val="006B75A0"/>
    <w:rsid w:val="006B7705"/>
    <w:rsid w:val="006C0592"/>
    <w:rsid w:val="006C14AF"/>
    <w:rsid w:val="006C1586"/>
    <w:rsid w:val="006C1FDF"/>
    <w:rsid w:val="006C272E"/>
    <w:rsid w:val="006C27EB"/>
    <w:rsid w:val="006C3AD0"/>
    <w:rsid w:val="006C5479"/>
    <w:rsid w:val="006C630F"/>
    <w:rsid w:val="006C68FF"/>
    <w:rsid w:val="006C71E5"/>
    <w:rsid w:val="006C75F4"/>
    <w:rsid w:val="006C7785"/>
    <w:rsid w:val="006D025A"/>
    <w:rsid w:val="006D04A4"/>
    <w:rsid w:val="006D04F9"/>
    <w:rsid w:val="006D0701"/>
    <w:rsid w:val="006D0943"/>
    <w:rsid w:val="006D0C0B"/>
    <w:rsid w:val="006D0C50"/>
    <w:rsid w:val="006D0D57"/>
    <w:rsid w:val="006D0D92"/>
    <w:rsid w:val="006D0E95"/>
    <w:rsid w:val="006D13B5"/>
    <w:rsid w:val="006D1E00"/>
    <w:rsid w:val="006D20AA"/>
    <w:rsid w:val="006D2467"/>
    <w:rsid w:val="006D269C"/>
    <w:rsid w:val="006D26EC"/>
    <w:rsid w:val="006D2A03"/>
    <w:rsid w:val="006D34C9"/>
    <w:rsid w:val="006D357E"/>
    <w:rsid w:val="006D3FE5"/>
    <w:rsid w:val="006D438C"/>
    <w:rsid w:val="006D4B56"/>
    <w:rsid w:val="006D5260"/>
    <w:rsid w:val="006D542E"/>
    <w:rsid w:val="006D5471"/>
    <w:rsid w:val="006D5B61"/>
    <w:rsid w:val="006D5C7B"/>
    <w:rsid w:val="006D621B"/>
    <w:rsid w:val="006D6936"/>
    <w:rsid w:val="006D75FB"/>
    <w:rsid w:val="006E0802"/>
    <w:rsid w:val="006E0BCB"/>
    <w:rsid w:val="006E0D09"/>
    <w:rsid w:val="006E12FF"/>
    <w:rsid w:val="006E170C"/>
    <w:rsid w:val="006E30D7"/>
    <w:rsid w:val="006E35A6"/>
    <w:rsid w:val="006E39B3"/>
    <w:rsid w:val="006E3B89"/>
    <w:rsid w:val="006E3F44"/>
    <w:rsid w:val="006E3F59"/>
    <w:rsid w:val="006E40DF"/>
    <w:rsid w:val="006E45C1"/>
    <w:rsid w:val="006E45E5"/>
    <w:rsid w:val="006E50D2"/>
    <w:rsid w:val="006E55F2"/>
    <w:rsid w:val="006E607E"/>
    <w:rsid w:val="006E65AB"/>
    <w:rsid w:val="006E6AFE"/>
    <w:rsid w:val="006E760C"/>
    <w:rsid w:val="006E7DE5"/>
    <w:rsid w:val="006F05C6"/>
    <w:rsid w:val="006F0FEF"/>
    <w:rsid w:val="006F10C3"/>
    <w:rsid w:val="006F141B"/>
    <w:rsid w:val="006F157B"/>
    <w:rsid w:val="006F1725"/>
    <w:rsid w:val="006F1ECB"/>
    <w:rsid w:val="006F2432"/>
    <w:rsid w:val="006F2DFC"/>
    <w:rsid w:val="006F2EC9"/>
    <w:rsid w:val="006F3A3C"/>
    <w:rsid w:val="006F3D62"/>
    <w:rsid w:val="006F46BC"/>
    <w:rsid w:val="006F490A"/>
    <w:rsid w:val="006F5CA6"/>
    <w:rsid w:val="006F5F71"/>
    <w:rsid w:val="006F6375"/>
    <w:rsid w:val="006F6658"/>
    <w:rsid w:val="006F6D51"/>
    <w:rsid w:val="006F71DF"/>
    <w:rsid w:val="006F74DE"/>
    <w:rsid w:val="006F775E"/>
    <w:rsid w:val="006F7C63"/>
    <w:rsid w:val="006F7E98"/>
    <w:rsid w:val="00700080"/>
    <w:rsid w:val="007002FB"/>
    <w:rsid w:val="007008B3"/>
    <w:rsid w:val="00700A2F"/>
    <w:rsid w:val="00700DEF"/>
    <w:rsid w:val="007010A3"/>
    <w:rsid w:val="007020E3"/>
    <w:rsid w:val="0070245D"/>
    <w:rsid w:val="0070275C"/>
    <w:rsid w:val="007033E1"/>
    <w:rsid w:val="00703EDA"/>
    <w:rsid w:val="007052A0"/>
    <w:rsid w:val="00705517"/>
    <w:rsid w:val="00705DF9"/>
    <w:rsid w:val="00706141"/>
    <w:rsid w:val="0070661A"/>
    <w:rsid w:val="00706C5D"/>
    <w:rsid w:val="00707038"/>
    <w:rsid w:val="007074B7"/>
    <w:rsid w:val="0070768A"/>
    <w:rsid w:val="007076F8"/>
    <w:rsid w:val="00707863"/>
    <w:rsid w:val="00707CFD"/>
    <w:rsid w:val="00710293"/>
    <w:rsid w:val="00710A40"/>
    <w:rsid w:val="007110AA"/>
    <w:rsid w:val="007113DC"/>
    <w:rsid w:val="00711891"/>
    <w:rsid w:val="00711B07"/>
    <w:rsid w:val="00711BA6"/>
    <w:rsid w:val="00711EFE"/>
    <w:rsid w:val="00712775"/>
    <w:rsid w:val="0071288B"/>
    <w:rsid w:val="00713110"/>
    <w:rsid w:val="007137C8"/>
    <w:rsid w:val="007137E7"/>
    <w:rsid w:val="00714EF8"/>
    <w:rsid w:val="0071540B"/>
    <w:rsid w:val="007156A3"/>
    <w:rsid w:val="00715D8B"/>
    <w:rsid w:val="00716374"/>
    <w:rsid w:val="00716926"/>
    <w:rsid w:val="00716A31"/>
    <w:rsid w:val="00717A0C"/>
    <w:rsid w:val="00717BC8"/>
    <w:rsid w:val="0072020B"/>
    <w:rsid w:val="0072045E"/>
    <w:rsid w:val="0072056A"/>
    <w:rsid w:val="0072079D"/>
    <w:rsid w:val="00720B41"/>
    <w:rsid w:val="00720E72"/>
    <w:rsid w:val="0072100E"/>
    <w:rsid w:val="00721022"/>
    <w:rsid w:val="00721F9B"/>
    <w:rsid w:val="00722227"/>
    <w:rsid w:val="007227D4"/>
    <w:rsid w:val="00722FFE"/>
    <w:rsid w:val="00723CA9"/>
    <w:rsid w:val="007240B2"/>
    <w:rsid w:val="007246D5"/>
    <w:rsid w:val="00724968"/>
    <w:rsid w:val="00724C56"/>
    <w:rsid w:val="0072558C"/>
    <w:rsid w:val="00725766"/>
    <w:rsid w:val="00725BF1"/>
    <w:rsid w:val="00725D1B"/>
    <w:rsid w:val="00725F52"/>
    <w:rsid w:val="0072636E"/>
    <w:rsid w:val="00726434"/>
    <w:rsid w:val="007265C8"/>
    <w:rsid w:val="0072665D"/>
    <w:rsid w:val="00727B49"/>
    <w:rsid w:val="00727C61"/>
    <w:rsid w:val="00730252"/>
    <w:rsid w:val="00731896"/>
    <w:rsid w:val="00731E9F"/>
    <w:rsid w:val="00731F8A"/>
    <w:rsid w:val="00732217"/>
    <w:rsid w:val="00732922"/>
    <w:rsid w:val="0073297F"/>
    <w:rsid w:val="00732B85"/>
    <w:rsid w:val="00732DC4"/>
    <w:rsid w:val="0073353F"/>
    <w:rsid w:val="007336AE"/>
    <w:rsid w:val="00733702"/>
    <w:rsid w:val="007337D9"/>
    <w:rsid w:val="007339E1"/>
    <w:rsid w:val="00733A1F"/>
    <w:rsid w:val="00734071"/>
    <w:rsid w:val="0073478A"/>
    <w:rsid w:val="00734F14"/>
    <w:rsid w:val="0073503B"/>
    <w:rsid w:val="00735615"/>
    <w:rsid w:val="00735A95"/>
    <w:rsid w:val="00735E27"/>
    <w:rsid w:val="007363D5"/>
    <w:rsid w:val="007364FD"/>
    <w:rsid w:val="0073674B"/>
    <w:rsid w:val="00736821"/>
    <w:rsid w:val="0073689D"/>
    <w:rsid w:val="00736E5B"/>
    <w:rsid w:val="00736FAA"/>
    <w:rsid w:val="00737001"/>
    <w:rsid w:val="00737265"/>
    <w:rsid w:val="00737782"/>
    <w:rsid w:val="00737A1A"/>
    <w:rsid w:val="00737CCD"/>
    <w:rsid w:val="00740006"/>
    <w:rsid w:val="007403AC"/>
    <w:rsid w:val="00740D17"/>
    <w:rsid w:val="00740DDF"/>
    <w:rsid w:val="007413AF"/>
    <w:rsid w:val="0074185F"/>
    <w:rsid w:val="007419F6"/>
    <w:rsid w:val="00741A94"/>
    <w:rsid w:val="00741D93"/>
    <w:rsid w:val="00741FF4"/>
    <w:rsid w:val="007421EF"/>
    <w:rsid w:val="00742777"/>
    <w:rsid w:val="0074279A"/>
    <w:rsid w:val="007428EE"/>
    <w:rsid w:val="00742D9C"/>
    <w:rsid w:val="0074339D"/>
    <w:rsid w:val="0074386A"/>
    <w:rsid w:val="0074394C"/>
    <w:rsid w:val="00744555"/>
    <w:rsid w:val="00744632"/>
    <w:rsid w:val="00744F36"/>
    <w:rsid w:val="0074583F"/>
    <w:rsid w:val="00745B36"/>
    <w:rsid w:val="00745C58"/>
    <w:rsid w:val="00745CD0"/>
    <w:rsid w:val="0074606D"/>
    <w:rsid w:val="007464B5"/>
    <w:rsid w:val="0074692F"/>
    <w:rsid w:val="00746A3E"/>
    <w:rsid w:val="00746B37"/>
    <w:rsid w:val="007474AF"/>
    <w:rsid w:val="007474DC"/>
    <w:rsid w:val="00747950"/>
    <w:rsid w:val="00750023"/>
    <w:rsid w:val="007506DF"/>
    <w:rsid w:val="00751578"/>
    <w:rsid w:val="0075162E"/>
    <w:rsid w:val="0075211B"/>
    <w:rsid w:val="00752A1D"/>
    <w:rsid w:val="00752D3D"/>
    <w:rsid w:val="0075366B"/>
    <w:rsid w:val="007539C2"/>
    <w:rsid w:val="00754034"/>
    <w:rsid w:val="007546CD"/>
    <w:rsid w:val="00754B29"/>
    <w:rsid w:val="00755210"/>
    <w:rsid w:val="00755431"/>
    <w:rsid w:val="007555F1"/>
    <w:rsid w:val="00755958"/>
    <w:rsid w:val="00755AB7"/>
    <w:rsid w:val="0075618C"/>
    <w:rsid w:val="00756551"/>
    <w:rsid w:val="00756553"/>
    <w:rsid w:val="00756556"/>
    <w:rsid w:val="00756761"/>
    <w:rsid w:val="007567F8"/>
    <w:rsid w:val="00756D7C"/>
    <w:rsid w:val="00757328"/>
    <w:rsid w:val="00757725"/>
    <w:rsid w:val="007579D0"/>
    <w:rsid w:val="00757E7F"/>
    <w:rsid w:val="0076002C"/>
    <w:rsid w:val="007610DC"/>
    <w:rsid w:val="007610EC"/>
    <w:rsid w:val="007614EC"/>
    <w:rsid w:val="0076167A"/>
    <w:rsid w:val="007618C4"/>
    <w:rsid w:val="00761983"/>
    <w:rsid w:val="00761EB1"/>
    <w:rsid w:val="00762862"/>
    <w:rsid w:val="00762E25"/>
    <w:rsid w:val="007637CC"/>
    <w:rsid w:val="007641E3"/>
    <w:rsid w:val="0076453B"/>
    <w:rsid w:val="00764BBF"/>
    <w:rsid w:val="007650EF"/>
    <w:rsid w:val="0076570F"/>
    <w:rsid w:val="0076669F"/>
    <w:rsid w:val="0076743B"/>
    <w:rsid w:val="00767980"/>
    <w:rsid w:val="00770B19"/>
    <w:rsid w:val="00770F44"/>
    <w:rsid w:val="0077136E"/>
    <w:rsid w:val="00771B82"/>
    <w:rsid w:val="00772951"/>
    <w:rsid w:val="00772D3A"/>
    <w:rsid w:val="007732F4"/>
    <w:rsid w:val="00773F20"/>
    <w:rsid w:val="00774350"/>
    <w:rsid w:val="0077436A"/>
    <w:rsid w:val="0077463F"/>
    <w:rsid w:val="007748F1"/>
    <w:rsid w:val="00774DF9"/>
    <w:rsid w:val="00775060"/>
    <w:rsid w:val="007753B9"/>
    <w:rsid w:val="00775BF2"/>
    <w:rsid w:val="00776F5A"/>
    <w:rsid w:val="0077748D"/>
    <w:rsid w:val="007775A5"/>
    <w:rsid w:val="007775D6"/>
    <w:rsid w:val="0078004F"/>
    <w:rsid w:val="00780135"/>
    <w:rsid w:val="007813F0"/>
    <w:rsid w:val="007816ED"/>
    <w:rsid w:val="0078180F"/>
    <w:rsid w:val="00781A4F"/>
    <w:rsid w:val="00781D63"/>
    <w:rsid w:val="0078204B"/>
    <w:rsid w:val="00782E46"/>
    <w:rsid w:val="007836EA"/>
    <w:rsid w:val="0078375B"/>
    <w:rsid w:val="00783A40"/>
    <w:rsid w:val="00783BCD"/>
    <w:rsid w:val="00784288"/>
    <w:rsid w:val="00784558"/>
    <w:rsid w:val="00784993"/>
    <w:rsid w:val="007849E3"/>
    <w:rsid w:val="00784A9B"/>
    <w:rsid w:val="00784CDA"/>
    <w:rsid w:val="00784D12"/>
    <w:rsid w:val="00784E8F"/>
    <w:rsid w:val="00785155"/>
    <w:rsid w:val="00785227"/>
    <w:rsid w:val="00785A9C"/>
    <w:rsid w:val="00785CE2"/>
    <w:rsid w:val="00785E90"/>
    <w:rsid w:val="007864F7"/>
    <w:rsid w:val="007865EC"/>
    <w:rsid w:val="00786666"/>
    <w:rsid w:val="007869C8"/>
    <w:rsid w:val="00786F4D"/>
    <w:rsid w:val="00787E42"/>
    <w:rsid w:val="007906C4"/>
    <w:rsid w:val="00790C13"/>
    <w:rsid w:val="007915E4"/>
    <w:rsid w:val="00791FFF"/>
    <w:rsid w:val="0079274A"/>
    <w:rsid w:val="007931EE"/>
    <w:rsid w:val="007936DE"/>
    <w:rsid w:val="007939D3"/>
    <w:rsid w:val="007940EA"/>
    <w:rsid w:val="00794384"/>
    <w:rsid w:val="007952E8"/>
    <w:rsid w:val="007955CC"/>
    <w:rsid w:val="007956A1"/>
    <w:rsid w:val="00795804"/>
    <w:rsid w:val="00795883"/>
    <w:rsid w:val="00795CD0"/>
    <w:rsid w:val="007961BA"/>
    <w:rsid w:val="00796555"/>
    <w:rsid w:val="00796558"/>
    <w:rsid w:val="007967E8"/>
    <w:rsid w:val="007969AC"/>
    <w:rsid w:val="007970C8"/>
    <w:rsid w:val="007970F2"/>
    <w:rsid w:val="007977E9"/>
    <w:rsid w:val="00797AA9"/>
    <w:rsid w:val="00797FA0"/>
    <w:rsid w:val="007A0155"/>
    <w:rsid w:val="007A0D14"/>
    <w:rsid w:val="007A10B3"/>
    <w:rsid w:val="007A1587"/>
    <w:rsid w:val="007A16A9"/>
    <w:rsid w:val="007A1A61"/>
    <w:rsid w:val="007A1BC4"/>
    <w:rsid w:val="007A2170"/>
    <w:rsid w:val="007A22BF"/>
    <w:rsid w:val="007A2446"/>
    <w:rsid w:val="007A2717"/>
    <w:rsid w:val="007A2815"/>
    <w:rsid w:val="007A2E0C"/>
    <w:rsid w:val="007A2E49"/>
    <w:rsid w:val="007A3323"/>
    <w:rsid w:val="007A3BCE"/>
    <w:rsid w:val="007A3F90"/>
    <w:rsid w:val="007A4356"/>
    <w:rsid w:val="007A4CE1"/>
    <w:rsid w:val="007A504D"/>
    <w:rsid w:val="007A5491"/>
    <w:rsid w:val="007A56AD"/>
    <w:rsid w:val="007A57F8"/>
    <w:rsid w:val="007A6EEF"/>
    <w:rsid w:val="007A73EE"/>
    <w:rsid w:val="007A7476"/>
    <w:rsid w:val="007A7954"/>
    <w:rsid w:val="007B0CC0"/>
    <w:rsid w:val="007B0D1B"/>
    <w:rsid w:val="007B114E"/>
    <w:rsid w:val="007B17D6"/>
    <w:rsid w:val="007B18D9"/>
    <w:rsid w:val="007B1EED"/>
    <w:rsid w:val="007B2673"/>
    <w:rsid w:val="007B2DE5"/>
    <w:rsid w:val="007B34CB"/>
    <w:rsid w:val="007B35C7"/>
    <w:rsid w:val="007B36EC"/>
    <w:rsid w:val="007B48D7"/>
    <w:rsid w:val="007B4D06"/>
    <w:rsid w:val="007B51DE"/>
    <w:rsid w:val="007B5B71"/>
    <w:rsid w:val="007B5C93"/>
    <w:rsid w:val="007B6283"/>
    <w:rsid w:val="007B65A9"/>
    <w:rsid w:val="007B6B1F"/>
    <w:rsid w:val="007B6B6E"/>
    <w:rsid w:val="007B6C3B"/>
    <w:rsid w:val="007B6D70"/>
    <w:rsid w:val="007B7123"/>
    <w:rsid w:val="007B72B8"/>
    <w:rsid w:val="007B7360"/>
    <w:rsid w:val="007B74DA"/>
    <w:rsid w:val="007B77A7"/>
    <w:rsid w:val="007B792A"/>
    <w:rsid w:val="007B7A58"/>
    <w:rsid w:val="007B7E90"/>
    <w:rsid w:val="007C046B"/>
    <w:rsid w:val="007C0C58"/>
    <w:rsid w:val="007C109A"/>
    <w:rsid w:val="007C13DA"/>
    <w:rsid w:val="007C14A6"/>
    <w:rsid w:val="007C17F5"/>
    <w:rsid w:val="007C1BA2"/>
    <w:rsid w:val="007C21B5"/>
    <w:rsid w:val="007C2CA7"/>
    <w:rsid w:val="007C38E6"/>
    <w:rsid w:val="007C3958"/>
    <w:rsid w:val="007C3E8E"/>
    <w:rsid w:val="007C4843"/>
    <w:rsid w:val="007C51EB"/>
    <w:rsid w:val="007C52CD"/>
    <w:rsid w:val="007C5441"/>
    <w:rsid w:val="007C54AB"/>
    <w:rsid w:val="007C6251"/>
    <w:rsid w:val="007C6EDA"/>
    <w:rsid w:val="007C72C7"/>
    <w:rsid w:val="007C7365"/>
    <w:rsid w:val="007D017E"/>
    <w:rsid w:val="007D0A80"/>
    <w:rsid w:val="007D0AB6"/>
    <w:rsid w:val="007D0C39"/>
    <w:rsid w:val="007D19E0"/>
    <w:rsid w:val="007D1B04"/>
    <w:rsid w:val="007D1D4A"/>
    <w:rsid w:val="007D2141"/>
    <w:rsid w:val="007D2219"/>
    <w:rsid w:val="007D225B"/>
    <w:rsid w:val="007D2847"/>
    <w:rsid w:val="007D2A45"/>
    <w:rsid w:val="007D34BF"/>
    <w:rsid w:val="007D3724"/>
    <w:rsid w:val="007D3A9F"/>
    <w:rsid w:val="007D3D87"/>
    <w:rsid w:val="007D4684"/>
    <w:rsid w:val="007D4AD3"/>
    <w:rsid w:val="007D550A"/>
    <w:rsid w:val="007D57FC"/>
    <w:rsid w:val="007D61A7"/>
    <w:rsid w:val="007D689F"/>
    <w:rsid w:val="007D6FEF"/>
    <w:rsid w:val="007D74F0"/>
    <w:rsid w:val="007D7D7E"/>
    <w:rsid w:val="007E0163"/>
    <w:rsid w:val="007E082B"/>
    <w:rsid w:val="007E0B1A"/>
    <w:rsid w:val="007E0E1D"/>
    <w:rsid w:val="007E1334"/>
    <w:rsid w:val="007E1887"/>
    <w:rsid w:val="007E1A92"/>
    <w:rsid w:val="007E1EFE"/>
    <w:rsid w:val="007E20BC"/>
    <w:rsid w:val="007E25C1"/>
    <w:rsid w:val="007E2682"/>
    <w:rsid w:val="007E2A9B"/>
    <w:rsid w:val="007E2AF9"/>
    <w:rsid w:val="007E3335"/>
    <w:rsid w:val="007E3426"/>
    <w:rsid w:val="007E34E1"/>
    <w:rsid w:val="007E378E"/>
    <w:rsid w:val="007E393F"/>
    <w:rsid w:val="007E398D"/>
    <w:rsid w:val="007E4250"/>
    <w:rsid w:val="007E47C3"/>
    <w:rsid w:val="007E4B71"/>
    <w:rsid w:val="007E4BD2"/>
    <w:rsid w:val="007E4C37"/>
    <w:rsid w:val="007E5411"/>
    <w:rsid w:val="007E584D"/>
    <w:rsid w:val="007E5D27"/>
    <w:rsid w:val="007E5FC0"/>
    <w:rsid w:val="007E6F53"/>
    <w:rsid w:val="007E6FC3"/>
    <w:rsid w:val="007E71DC"/>
    <w:rsid w:val="007E74A7"/>
    <w:rsid w:val="007E7581"/>
    <w:rsid w:val="007E7985"/>
    <w:rsid w:val="007E7AFE"/>
    <w:rsid w:val="007F08EE"/>
    <w:rsid w:val="007F0D80"/>
    <w:rsid w:val="007F15EB"/>
    <w:rsid w:val="007F190E"/>
    <w:rsid w:val="007F1A3B"/>
    <w:rsid w:val="007F1C5F"/>
    <w:rsid w:val="007F1C93"/>
    <w:rsid w:val="007F1CBF"/>
    <w:rsid w:val="007F1F4A"/>
    <w:rsid w:val="007F29D0"/>
    <w:rsid w:val="007F2D35"/>
    <w:rsid w:val="007F2E36"/>
    <w:rsid w:val="007F2EBD"/>
    <w:rsid w:val="007F30E5"/>
    <w:rsid w:val="007F3B3C"/>
    <w:rsid w:val="007F3B71"/>
    <w:rsid w:val="007F44AB"/>
    <w:rsid w:val="007F452B"/>
    <w:rsid w:val="007F4683"/>
    <w:rsid w:val="007F468B"/>
    <w:rsid w:val="007F490E"/>
    <w:rsid w:val="007F4936"/>
    <w:rsid w:val="007F495C"/>
    <w:rsid w:val="007F55BA"/>
    <w:rsid w:val="007F573F"/>
    <w:rsid w:val="007F58E1"/>
    <w:rsid w:val="007F5AA6"/>
    <w:rsid w:val="007F5CCD"/>
    <w:rsid w:val="007F6117"/>
    <w:rsid w:val="007F6491"/>
    <w:rsid w:val="007F6577"/>
    <w:rsid w:val="007F6744"/>
    <w:rsid w:val="007F69B4"/>
    <w:rsid w:val="007F6DE5"/>
    <w:rsid w:val="007F7034"/>
    <w:rsid w:val="007F707C"/>
    <w:rsid w:val="007F7363"/>
    <w:rsid w:val="007F74B0"/>
    <w:rsid w:val="007F7B34"/>
    <w:rsid w:val="008004AC"/>
    <w:rsid w:val="0080050D"/>
    <w:rsid w:val="00800B10"/>
    <w:rsid w:val="00801393"/>
    <w:rsid w:val="008014F1"/>
    <w:rsid w:val="0080157B"/>
    <w:rsid w:val="00801CBB"/>
    <w:rsid w:val="00801F22"/>
    <w:rsid w:val="0080215C"/>
    <w:rsid w:val="0080244D"/>
    <w:rsid w:val="00802AAC"/>
    <w:rsid w:val="00802F88"/>
    <w:rsid w:val="00803637"/>
    <w:rsid w:val="008037C4"/>
    <w:rsid w:val="00803AC7"/>
    <w:rsid w:val="00803DB7"/>
    <w:rsid w:val="00803DF5"/>
    <w:rsid w:val="0080440F"/>
    <w:rsid w:val="00804664"/>
    <w:rsid w:val="00805514"/>
    <w:rsid w:val="00805522"/>
    <w:rsid w:val="00805924"/>
    <w:rsid w:val="00805D6D"/>
    <w:rsid w:val="00805F6B"/>
    <w:rsid w:val="00807775"/>
    <w:rsid w:val="00807B6B"/>
    <w:rsid w:val="00807FF3"/>
    <w:rsid w:val="008100DF"/>
    <w:rsid w:val="00810174"/>
    <w:rsid w:val="008102CA"/>
    <w:rsid w:val="0081066E"/>
    <w:rsid w:val="008106F4"/>
    <w:rsid w:val="008107C5"/>
    <w:rsid w:val="00810C1A"/>
    <w:rsid w:val="00810C72"/>
    <w:rsid w:val="00810FF7"/>
    <w:rsid w:val="00812315"/>
    <w:rsid w:val="00812451"/>
    <w:rsid w:val="0081293E"/>
    <w:rsid w:val="00812BD5"/>
    <w:rsid w:val="008131A0"/>
    <w:rsid w:val="00813961"/>
    <w:rsid w:val="00813EE2"/>
    <w:rsid w:val="00814245"/>
    <w:rsid w:val="00814F79"/>
    <w:rsid w:val="00815465"/>
    <w:rsid w:val="008158AA"/>
    <w:rsid w:val="00815B27"/>
    <w:rsid w:val="00815CED"/>
    <w:rsid w:val="00815D17"/>
    <w:rsid w:val="00815D1D"/>
    <w:rsid w:val="00816068"/>
    <w:rsid w:val="00816D91"/>
    <w:rsid w:val="00817033"/>
    <w:rsid w:val="00817329"/>
    <w:rsid w:val="008176CC"/>
    <w:rsid w:val="00817E9A"/>
    <w:rsid w:val="00817F6F"/>
    <w:rsid w:val="00820023"/>
    <w:rsid w:val="008202BD"/>
    <w:rsid w:val="0082089B"/>
    <w:rsid w:val="00820916"/>
    <w:rsid w:val="0082097F"/>
    <w:rsid w:val="00820C80"/>
    <w:rsid w:val="008211B9"/>
    <w:rsid w:val="008215A2"/>
    <w:rsid w:val="00821697"/>
    <w:rsid w:val="008216B2"/>
    <w:rsid w:val="008217BA"/>
    <w:rsid w:val="00821E8C"/>
    <w:rsid w:val="00822482"/>
    <w:rsid w:val="00822C04"/>
    <w:rsid w:val="00823D2D"/>
    <w:rsid w:val="00823FED"/>
    <w:rsid w:val="00824112"/>
    <w:rsid w:val="00824FED"/>
    <w:rsid w:val="00825008"/>
    <w:rsid w:val="00825413"/>
    <w:rsid w:val="00826697"/>
    <w:rsid w:val="0082689D"/>
    <w:rsid w:val="008306BD"/>
    <w:rsid w:val="008306F8"/>
    <w:rsid w:val="00830811"/>
    <w:rsid w:val="008308A6"/>
    <w:rsid w:val="008312D5"/>
    <w:rsid w:val="00831452"/>
    <w:rsid w:val="00831672"/>
    <w:rsid w:val="0083172B"/>
    <w:rsid w:val="00831A80"/>
    <w:rsid w:val="00831B57"/>
    <w:rsid w:val="00831E31"/>
    <w:rsid w:val="00831F45"/>
    <w:rsid w:val="008326D5"/>
    <w:rsid w:val="00832C86"/>
    <w:rsid w:val="008330E2"/>
    <w:rsid w:val="00833743"/>
    <w:rsid w:val="008339F7"/>
    <w:rsid w:val="00833E4B"/>
    <w:rsid w:val="008340A4"/>
    <w:rsid w:val="008341D4"/>
    <w:rsid w:val="00834772"/>
    <w:rsid w:val="008355C7"/>
    <w:rsid w:val="00835C74"/>
    <w:rsid w:val="008360E4"/>
    <w:rsid w:val="008366B3"/>
    <w:rsid w:val="00836AF9"/>
    <w:rsid w:val="00837BD2"/>
    <w:rsid w:val="008401CE"/>
    <w:rsid w:val="0084141D"/>
    <w:rsid w:val="008415A6"/>
    <w:rsid w:val="0084226C"/>
    <w:rsid w:val="00842603"/>
    <w:rsid w:val="00842DD3"/>
    <w:rsid w:val="00842E44"/>
    <w:rsid w:val="00843536"/>
    <w:rsid w:val="00843803"/>
    <w:rsid w:val="00843AB9"/>
    <w:rsid w:val="00843D68"/>
    <w:rsid w:val="0084412C"/>
    <w:rsid w:val="00844297"/>
    <w:rsid w:val="00844CBE"/>
    <w:rsid w:val="00844FEE"/>
    <w:rsid w:val="00845144"/>
    <w:rsid w:val="00845162"/>
    <w:rsid w:val="0084589D"/>
    <w:rsid w:val="008469A2"/>
    <w:rsid w:val="00846B61"/>
    <w:rsid w:val="00846ECC"/>
    <w:rsid w:val="00847DF9"/>
    <w:rsid w:val="0085078A"/>
    <w:rsid w:val="008508FA"/>
    <w:rsid w:val="00850BD3"/>
    <w:rsid w:val="00851935"/>
    <w:rsid w:val="0085196B"/>
    <w:rsid w:val="00852773"/>
    <w:rsid w:val="00852855"/>
    <w:rsid w:val="00853290"/>
    <w:rsid w:val="00853AC4"/>
    <w:rsid w:val="00853D0B"/>
    <w:rsid w:val="00854750"/>
    <w:rsid w:val="00855233"/>
    <w:rsid w:val="008557A4"/>
    <w:rsid w:val="008557B1"/>
    <w:rsid w:val="008559CE"/>
    <w:rsid w:val="0085700E"/>
    <w:rsid w:val="00857155"/>
    <w:rsid w:val="008573DD"/>
    <w:rsid w:val="00857440"/>
    <w:rsid w:val="00857C9C"/>
    <w:rsid w:val="00857D2E"/>
    <w:rsid w:val="00860E5B"/>
    <w:rsid w:val="008611E4"/>
    <w:rsid w:val="00861AB2"/>
    <w:rsid w:val="00861F40"/>
    <w:rsid w:val="008620DB"/>
    <w:rsid w:val="008621D0"/>
    <w:rsid w:val="008629DC"/>
    <w:rsid w:val="00862A73"/>
    <w:rsid w:val="00862ED6"/>
    <w:rsid w:val="008632E8"/>
    <w:rsid w:val="00863927"/>
    <w:rsid w:val="008640E9"/>
    <w:rsid w:val="0086434C"/>
    <w:rsid w:val="00864373"/>
    <w:rsid w:val="008643CE"/>
    <w:rsid w:val="008647A5"/>
    <w:rsid w:val="00864E7A"/>
    <w:rsid w:val="008650AB"/>
    <w:rsid w:val="00865502"/>
    <w:rsid w:val="008656C0"/>
    <w:rsid w:val="00865A69"/>
    <w:rsid w:val="00865C84"/>
    <w:rsid w:val="0086618B"/>
    <w:rsid w:val="008661E5"/>
    <w:rsid w:val="00866FE6"/>
    <w:rsid w:val="0086745B"/>
    <w:rsid w:val="00867EDE"/>
    <w:rsid w:val="008708F1"/>
    <w:rsid w:val="0087135F"/>
    <w:rsid w:val="008718A7"/>
    <w:rsid w:val="00871D60"/>
    <w:rsid w:val="00872067"/>
    <w:rsid w:val="008728AB"/>
    <w:rsid w:val="00872D94"/>
    <w:rsid w:val="00872FD8"/>
    <w:rsid w:val="00873371"/>
    <w:rsid w:val="00873689"/>
    <w:rsid w:val="008739D3"/>
    <w:rsid w:val="00874078"/>
    <w:rsid w:val="0087488F"/>
    <w:rsid w:val="00874C45"/>
    <w:rsid w:val="00874FF7"/>
    <w:rsid w:val="0087513D"/>
    <w:rsid w:val="00875309"/>
    <w:rsid w:val="0087571B"/>
    <w:rsid w:val="00875C93"/>
    <w:rsid w:val="008766D9"/>
    <w:rsid w:val="0087695C"/>
    <w:rsid w:val="00876C1B"/>
    <w:rsid w:val="00876EA5"/>
    <w:rsid w:val="00876EB5"/>
    <w:rsid w:val="00876FC7"/>
    <w:rsid w:val="008771F6"/>
    <w:rsid w:val="008775D8"/>
    <w:rsid w:val="00877D7F"/>
    <w:rsid w:val="00877E14"/>
    <w:rsid w:val="00877EB2"/>
    <w:rsid w:val="00880364"/>
    <w:rsid w:val="008806AB"/>
    <w:rsid w:val="00880BAB"/>
    <w:rsid w:val="00880EE4"/>
    <w:rsid w:val="008811E3"/>
    <w:rsid w:val="00881C26"/>
    <w:rsid w:val="00881C42"/>
    <w:rsid w:val="008829DA"/>
    <w:rsid w:val="00882FAE"/>
    <w:rsid w:val="00883A2E"/>
    <w:rsid w:val="00884582"/>
    <w:rsid w:val="008849FE"/>
    <w:rsid w:val="0088506B"/>
    <w:rsid w:val="008854C6"/>
    <w:rsid w:val="00885858"/>
    <w:rsid w:val="00885964"/>
    <w:rsid w:val="008860CE"/>
    <w:rsid w:val="00886B2D"/>
    <w:rsid w:val="00886FAC"/>
    <w:rsid w:val="00887543"/>
    <w:rsid w:val="00887702"/>
    <w:rsid w:val="0089094C"/>
    <w:rsid w:val="00891592"/>
    <w:rsid w:val="008916B9"/>
    <w:rsid w:val="0089184E"/>
    <w:rsid w:val="00891E9E"/>
    <w:rsid w:val="008921A5"/>
    <w:rsid w:val="00892478"/>
    <w:rsid w:val="00892B37"/>
    <w:rsid w:val="0089332B"/>
    <w:rsid w:val="0089379A"/>
    <w:rsid w:val="00893F48"/>
    <w:rsid w:val="00893FF8"/>
    <w:rsid w:val="00894005"/>
    <w:rsid w:val="0089439C"/>
    <w:rsid w:val="00894946"/>
    <w:rsid w:val="00894D29"/>
    <w:rsid w:val="00895E53"/>
    <w:rsid w:val="00896067"/>
    <w:rsid w:val="0089669C"/>
    <w:rsid w:val="008971EF"/>
    <w:rsid w:val="008976C6"/>
    <w:rsid w:val="00897898"/>
    <w:rsid w:val="008A0A15"/>
    <w:rsid w:val="008A1537"/>
    <w:rsid w:val="008A15C1"/>
    <w:rsid w:val="008A1ACC"/>
    <w:rsid w:val="008A1D2B"/>
    <w:rsid w:val="008A1ED5"/>
    <w:rsid w:val="008A22EC"/>
    <w:rsid w:val="008A29E7"/>
    <w:rsid w:val="008A2F68"/>
    <w:rsid w:val="008A58CD"/>
    <w:rsid w:val="008A59E6"/>
    <w:rsid w:val="008A5C8B"/>
    <w:rsid w:val="008A5E28"/>
    <w:rsid w:val="008A6743"/>
    <w:rsid w:val="008A68ED"/>
    <w:rsid w:val="008A757D"/>
    <w:rsid w:val="008A76BE"/>
    <w:rsid w:val="008A79C5"/>
    <w:rsid w:val="008A7B8E"/>
    <w:rsid w:val="008B0457"/>
    <w:rsid w:val="008B0858"/>
    <w:rsid w:val="008B1991"/>
    <w:rsid w:val="008B1EFA"/>
    <w:rsid w:val="008B210F"/>
    <w:rsid w:val="008B2257"/>
    <w:rsid w:val="008B2A8B"/>
    <w:rsid w:val="008B33CF"/>
    <w:rsid w:val="008B33EB"/>
    <w:rsid w:val="008B34BD"/>
    <w:rsid w:val="008B371D"/>
    <w:rsid w:val="008B37C8"/>
    <w:rsid w:val="008B3B41"/>
    <w:rsid w:val="008B44DD"/>
    <w:rsid w:val="008B4CA9"/>
    <w:rsid w:val="008B4FA6"/>
    <w:rsid w:val="008B500F"/>
    <w:rsid w:val="008B5077"/>
    <w:rsid w:val="008B5282"/>
    <w:rsid w:val="008B6BA3"/>
    <w:rsid w:val="008B712C"/>
    <w:rsid w:val="008B7C17"/>
    <w:rsid w:val="008B7F2E"/>
    <w:rsid w:val="008C07FA"/>
    <w:rsid w:val="008C082F"/>
    <w:rsid w:val="008C087A"/>
    <w:rsid w:val="008C1105"/>
    <w:rsid w:val="008C1181"/>
    <w:rsid w:val="008C19D7"/>
    <w:rsid w:val="008C1CE4"/>
    <w:rsid w:val="008C1EB0"/>
    <w:rsid w:val="008C23A4"/>
    <w:rsid w:val="008C2A38"/>
    <w:rsid w:val="008C2D01"/>
    <w:rsid w:val="008C32D5"/>
    <w:rsid w:val="008C35AA"/>
    <w:rsid w:val="008C3630"/>
    <w:rsid w:val="008C384A"/>
    <w:rsid w:val="008C40E6"/>
    <w:rsid w:val="008C4162"/>
    <w:rsid w:val="008C5170"/>
    <w:rsid w:val="008C57FD"/>
    <w:rsid w:val="008C58F1"/>
    <w:rsid w:val="008C69AC"/>
    <w:rsid w:val="008C6F5B"/>
    <w:rsid w:val="008C70A6"/>
    <w:rsid w:val="008D04DF"/>
    <w:rsid w:val="008D05F4"/>
    <w:rsid w:val="008D05FE"/>
    <w:rsid w:val="008D0683"/>
    <w:rsid w:val="008D0F7A"/>
    <w:rsid w:val="008D125E"/>
    <w:rsid w:val="008D19EB"/>
    <w:rsid w:val="008D24E4"/>
    <w:rsid w:val="008D267F"/>
    <w:rsid w:val="008D2A8C"/>
    <w:rsid w:val="008D349D"/>
    <w:rsid w:val="008D3BF5"/>
    <w:rsid w:val="008D40C3"/>
    <w:rsid w:val="008D42AD"/>
    <w:rsid w:val="008D4B18"/>
    <w:rsid w:val="008D4FB5"/>
    <w:rsid w:val="008D68E4"/>
    <w:rsid w:val="008D6BF4"/>
    <w:rsid w:val="008D7540"/>
    <w:rsid w:val="008E019D"/>
    <w:rsid w:val="008E0506"/>
    <w:rsid w:val="008E0CFF"/>
    <w:rsid w:val="008E0FF9"/>
    <w:rsid w:val="008E268E"/>
    <w:rsid w:val="008E2A6A"/>
    <w:rsid w:val="008E2BC3"/>
    <w:rsid w:val="008E35A2"/>
    <w:rsid w:val="008E38E1"/>
    <w:rsid w:val="008E4507"/>
    <w:rsid w:val="008E47E5"/>
    <w:rsid w:val="008E48CE"/>
    <w:rsid w:val="008E53C4"/>
    <w:rsid w:val="008E548F"/>
    <w:rsid w:val="008E550A"/>
    <w:rsid w:val="008E5720"/>
    <w:rsid w:val="008E59C6"/>
    <w:rsid w:val="008E5AB0"/>
    <w:rsid w:val="008E5D6B"/>
    <w:rsid w:val="008E66CA"/>
    <w:rsid w:val="008E682C"/>
    <w:rsid w:val="008E6CF1"/>
    <w:rsid w:val="008E7013"/>
    <w:rsid w:val="008E7163"/>
    <w:rsid w:val="008E7326"/>
    <w:rsid w:val="008E76F0"/>
    <w:rsid w:val="008E7C48"/>
    <w:rsid w:val="008F072D"/>
    <w:rsid w:val="008F0DEB"/>
    <w:rsid w:val="008F0E4E"/>
    <w:rsid w:val="008F145E"/>
    <w:rsid w:val="008F15FE"/>
    <w:rsid w:val="008F1FD1"/>
    <w:rsid w:val="008F27E2"/>
    <w:rsid w:val="008F2804"/>
    <w:rsid w:val="008F2902"/>
    <w:rsid w:val="008F2AD2"/>
    <w:rsid w:val="008F2D29"/>
    <w:rsid w:val="008F3218"/>
    <w:rsid w:val="008F34CF"/>
    <w:rsid w:val="008F363B"/>
    <w:rsid w:val="008F3EC8"/>
    <w:rsid w:val="008F3F28"/>
    <w:rsid w:val="008F432F"/>
    <w:rsid w:val="008F4806"/>
    <w:rsid w:val="008F5037"/>
    <w:rsid w:val="008F5187"/>
    <w:rsid w:val="008F550A"/>
    <w:rsid w:val="008F5A0A"/>
    <w:rsid w:val="008F5D9A"/>
    <w:rsid w:val="008F60D8"/>
    <w:rsid w:val="008F62C4"/>
    <w:rsid w:val="008F6580"/>
    <w:rsid w:val="008F67AF"/>
    <w:rsid w:val="008F6EB5"/>
    <w:rsid w:val="008F7ABF"/>
    <w:rsid w:val="00900013"/>
    <w:rsid w:val="009001D1"/>
    <w:rsid w:val="009007B3"/>
    <w:rsid w:val="0090084F"/>
    <w:rsid w:val="00900896"/>
    <w:rsid w:val="00900F02"/>
    <w:rsid w:val="00901010"/>
    <w:rsid w:val="009010F2"/>
    <w:rsid w:val="0090119B"/>
    <w:rsid w:val="00901345"/>
    <w:rsid w:val="00901449"/>
    <w:rsid w:val="00901796"/>
    <w:rsid w:val="0090180B"/>
    <w:rsid w:val="00902727"/>
    <w:rsid w:val="00902845"/>
    <w:rsid w:val="00902FFF"/>
    <w:rsid w:val="0090312B"/>
    <w:rsid w:val="00903AC2"/>
    <w:rsid w:val="00903F8E"/>
    <w:rsid w:val="009044AA"/>
    <w:rsid w:val="00904AC0"/>
    <w:rsid w:val="00905EE8"/>
    <w:rsid w:val="00906004"/>
    <w:rsid w:val="00906EE2"/>
    <w:rsid w:val="00907707"/>
    <w:rsid w:val="00907D92"/>
    <w:rsid w:val="00910801"/>
    <w:rsid w:val="00910C46"/>
    <w:rsid w:val="00911316"/>
    <w:rsid w:val="00911B2F"/>
    <w:rsid w:val="00911C39"/>
    <w:rsid w:val="00911E41"/>
    <w:rsid w:val="00912476"/>
    <w:rsid w:val="00912A05"/>
    <w:rsid w:val="00912AC0"/>
    <w:rsid w:val="00912D3F"/>
    <w:rsid w:val="009132F7"/>
    <w:rsid w:val="009134B6"/>
    <w:rsid w:val="00913735"/>
    <w:rsid w:val="00913B94"/>
    <w:rsid w:val="00913D4B"/>
    <w:rsid w:val="00914157"/>
    <w:rsid w:val="009142E3"/>
    <w:rsid w:val="0091445C"/>
    <w:rsid w:val="009145F8"/>
    <w:rsid w:val="00914AB6"/>
    <w:rsid w:val="00914F83"/>
    <w:rsid w:val="0091593C"/>
    <w:rsid w:val="00916312"/>
    <w:rsid w:val="0091682D"/>
    <w:rsid w:val="009169E6"/>
    <w:rsid w:val="00916A22"/>
    <w:rsid w:val="0091736D"/>
    <w:rsid w:val="0091789C"/>
    <w:rsid w:val="00917CD2"/>
    <w:rsid w:val="00917F81"/>
    <w:rsid w:val="00921503"/>
    <w:rsid w:val="00921BBC"/>
    <w:rsid w:val="00921BFF"/>
    <w:rsid w:val="00922301"/>
    <w:rsid w:val="00922599"/>
    <w:rsid w:val="00922A8A"/>
    <w:rsid w:val="00922CBB"/>
    <w:rsid w:val="00923BAD"/>
    <w:rsid w:val="00923C07"/>
    <w:rsid w:val="00924468"/>
    <w:rsid w:val="00924497"/>
    <w:rsid w:val="00924CE0"/>
    <w:rsid w:val="009253AD"/>
    <w:rsid w:val="009267AF"/>
    <w:rsid w:val="00926B48"/>
    <w:rsid w:val="00927492"/>
    <w:rsid w:val="0092797A"/>
    <w:rsid w:val="0093037A"/>
    <w:rsid w:val="0093082A"/>
    <w:rsid w:val="0093098D"/>
    <w:rsid w:val="009309BF"/>
    <w:rsid w:val="00930C42"/>
    <w:rsid w:val="00930D76"/>
    <w:rsid w:val="0093139A"/>
    <w:rsid w:val="0093149C"/>
    <w:rsid w:val="00931D84"/>
    <w:rsid w:val="009329A6"/>
    <w:rsid w:val="00932E40"/>
    <w:rsid w:val="009330A4"/>
    <w:rsid w:val="009336D6"/>
    <w:rsid w:val="009337E4"/>
    <w:rsid w:val="00933AB5"/>
    <w:rsid w:val="0093484D"/>
    <w:rsid w:val="00934B06"/>
    <w:rsid w:val="00936050"/>
    <w:rsid w:val="00936933"/>
    <w:rsid w:val="00936C77"/>
    <w:rsid w:val="00936CEC"/>
    <w:rsid w:val="00937957"/>
    <w:rsid w:val="009400D5"/>
    <w:rsid w:val="00940196"/>
    <w:rsid w:val="009403EE"/>
    <w:rsid w:val="0094154D"/>
    <w:rsid w:val="00941ADD"/>
    <w:rsid w:val="009421B7"/>
    <w:rsid w:val="00943256"/>
    <w:rsid w:val="00943592"/>
    <w:rsid w:val="00943D45"/>
    <w:rsid w:val="009444CF"/>
    <w:rsid w:val="00944C5B"/>
    <w:rsid w:val="009452D9"/>
    <w:rsid w:val="00945A44"/>
    <w:rsid w:val="00945C66"/>
    <w:rsid w:val="00945F8D"/>
    <w:rsid w:val="00947AED"/>
    <w:rsid w:val="0095026B"/>
    <w:rsid w:val="0095077C"/>
    <w:rsid w:val="00950DEF"/>
    <w:rsid w:val="00951095"/>
    <w:rsid w:val="009514A5"/>
    <w:rsid w:val="0095155F"/>
    <w:rsid w:val="00952532"/>
    <w:rsid w:val="00952539"/>
    <w:rsid w:val="009526FB"/>
    <w:rsid w:val="0095283A"/>
    <w:rsid w:val="00953E3E"/>
    <w:rsid w:val="00954429"/>
    <w:rsid w:val="009544D4"/>
    <w:rsid w:val="00954583"/>
    <w:rsid w:val="00954874"/>
    <w:rsid w:val="00955160"/>
    <w:rsid w:val="009552D0"/>
    <w:rsid w:val="009555F3"/>
    <w:rsid w:val="009563CE"/>
    <w:rsid w:val="00957089"/>
    <w:rsid w:val="00957493"/>
    <w:rsid w:val="0095759F"/>
    <w:rsid w:val="00957850"/>
    <w:rsid w:val="0095795C"/>
    <w:rsid w:val="00957D40"/>
    <w:rsid w:val="00957E00"/>
    <w:rsid w:val="0096023D"/>
    <w:rsid w:val="00960639"/>
    <w:rsid w:val="00960C96"/>
    <w:rsid w:val="00961386"/>
    <w:rsid w:val="009619F4"/>
    <w:rsid w:val="00961F10"/>
    <w:rsid w:val="00962281"/>
    <w:rsid w:val="009625CA"/>
    <w:rsid w:val="009626ED"/>
    <w:rsid w:val="00962DD7"/>
    <w:rsid w:val="00963527"/>
    <w:rsid w:val="0096360B"/>
    <w:rsid w:val="00963EFD"/>
    <w:rsid w:val="00963F19"/>
    <w:rsid w:val="00964151"/>
    <w:rsid w:val="00964799"/>
    <w:rsid w:val="009647A3"/>
    <w:rsid w:val="00964D79"/>
    <w:rsid w:val="009659BD"/>
    <w:rsid w:val="00965B83"/>
    <w:rsid w:val="00966639"/>
    <w:rsid w:val="00967700"/>
    <w:rsid w:val="009677FC"/>
    <w:rsid w:val="00967945"/>
    <w:rsid w:val="00967B1B"/>
    <w:rsid w:val="00967C34"/>
    <w:rsid w:val="00967DD5"/>
    <w:rsid w:val="0097061C"/>
    <w:rsid w:val="00970D96"/>
    <w:rsid w:val="0097134A"/>
    <w:rsid w:val="00971C99"/>
    <w:rsid w:val="00971E1F"/>
    <w:rsid w:val="0097202F"/>
    <w:rsid w:val="00972079"/>
    <w:rsid w:val="00972442"/>
    <w:rsid w:val="009724DF"/>
    <w:rsid w:val="0097254F"/>
    <w:rsid w:val="009727EB"/>
    <w:rsid w:val="00972869"/>
    <w:rsid w:val="0097287F"/>
    <w:rsid w:val="00972C3A"/>
    <w:rsid w:val="00973C02"/>
    <w:rsid w:val="00973E16"/>
    <w:rsid w:val="00974195"/>
    <w:rsid w:val="009744DD"/>
    <w:rsid w:val="00974824"/>
    <w:rsid w:val="00974956"/>
    <w:rsid w:val="00974B53"/>
    <w:rsid w:val="00974C7A"/>
    <w:rsid w:val="00975346"/>
    <w:rsid w:val="009755B1"/>
    <w:rsid w:val="00976328"/>
    <w:rsid w:val="00976399"/>
    <w:rsid w:val="0097640C"/>
    <w:rsid w:val="0097680D"/>
    <w:rsid w:val="009775BC"/>
    <w:rsid w:val="009778ED"/>
    <w:rsid w:val="0098001E"/>
    <w:rsid w:val="00980429"/>
    <w:rsid w:val="00980682"/>
    <w:rsid w:val="00980A20"/>
    <w:rsid w:val="00980A56"/>
    <w:rsid w:val="00980B18"/>
    <w:rsid w:val="00980B96"/>
    <w:rsid w:val="00981CDE"/>
    <w:rsid w:val="00982438"/>
    <w:rsid w:val="00982FDD"/>
    <w:rsid w:val="00983743"/>
    <w:rsid w:val="00983761"/>
    <w:rsid w:val="00983D54"/>
    <w:rsid w:val="0098404C"/>
    <w:rsid w:val="00984535"/>
    <w:rsid w:val="00985050"/>
    <w:rsid w:val="00985283"/>
    <w:rsid w:val="00986293"/>
    <w:rsid w:val="00986500"/>
    <w:rsid w:val="00986AC4"/>
    <w:rsid w:val="00986B55"/>
    <w:rsid w:val="00986F13"/>
    <w:rsid w:val="00986F5D"/>
    <w:rsid w:val="00987150"/>
    <w:rsid w:val="00987250"/>
    <w:rsid w:val="00987477"/>
    <w:rsid w:val="009876CA"/>
    <w:rsid w:val="00987B8F"/>
    <w:rsid w:val="00987C7F"/>
    <w:rsid w:val="00990585"/>
    <w:rsid w:val="00990995"/>
    <w:rsid w:val="00990AB4"/>
    <w:rsid w:val="00990C6F"/>
    <w:rsid w:val="00990E57"/>
    <w:rsid w:val="00991C48"/>
    <w:rsid w:val="00991EA8"/>
    <w:rsid w:val="00991F19"/>
    <w:rsid w:val="00991F62"/>
    <w:rsid w:val="00992465"/>
    <w:rsid w:val="00993C36"/>
    <w:rsid w:val="00993CC9"/>
    <w:rsid w:val="00995482"/>
    <w:rsid w:val="009954E1"/>
    <w:rsid w:val="009955FC"/>
    <w:rsid w:val="00995992"/>
    <w:rsid w:val="00995EEE"/>
    <w:rsid w:val="00996318"/>
    <w:rsid w:val="00997DAA"/>
    <w:rsid w:val="00997FC4"/>
    <w:rsid w:val="00997FEF"/>
    <w:rsid w:val="009A01ED"/>
    <w:rsid w:val="009A03E5"/>
    <w:rsid w:val="009A057B"/>
    <w:rsid w:val="009A091D"/>
    <w:rsid w:val="009A0F3B"/>
    <w:rsid w:val="009A1147"/>
    <w:rsid w:val="009A1468"/>
    <w:rsid w:val="009A1BB4"/>
    <w:rsid w:val="009A1D99"/>
    <w:rsid w:val="009A200D"/>
    <w:rsid w:val="009A2628"/>
    <w:rsid w:val="009A26B3"/>
    <w:rsid w:val="009A2782"/>
    <w:rsid w:val="009A2DBB"/>
    <w:rsid w:val="009A2F42"/>
    <w:rsid w:val="009A3200"/>
    <w:rsid w:val="009A3286"/>
    <w:rsid w:val="009A33C1"/>
    <w:rsid w:val="009A36B6"/>
    <w:rsid w:val="009A39DC"/>
    <w:rsid w:val="009A3A6F"/>
    <w:rsid w:val="009A44D3"/>
    <w:rsid w:val="009A4880"/>
    <w:rsid w:val="009A4CBF"/>
    <w:rsid w:val="009A5739"/>
    <w:rsid w:val="009A5903"/>
    <w:rsid w:val="009A59C9"/>
    <w:rsid w:val="009A5AAA"/>
    <w:rsid w:val="009A613D"/>
    <w:rsid w:val="009A7426"/>
    <w:rsid w:val="009A7E3B"/>
    <w:rsid w:val="009B0892"/>
    <w:rsid w:val="009B0897"/>
    <w:rsid w:val="009B18CD"/>
    <w:rsid w:val="009B1C30"/>
    <w:rsid w:val="009B1ED7"/>
    <w:rsid w:val="009B2E72"/>
    <w:rsid w:val="009B2FE3"/>
    <w:rsid w:val="009B4262"/>
    <w:rsid w:val="009B4430"/>
    <w:rsid w:val="009B5100"/>
    <w:rsid w:val="009B55ED"/>
    <w:rsid w:val="009B6195"/>
    <w:rsid w:val="009B7765"/>
    <w:rsid w:val="009B7BD7"/>
    <w:rsid w:val="009B7BD9"/>
    <w:rsid w:val="009B7C3C"/>
    <w:rsid w:val="009C01FC"/>
    <w:rsid w:val="009C0228"/>
    <w:rsid w:val="009C06BD"/>
    <w:rsid w:val="009C1C04"/>
    <w:rsid w:val="009C1D39"/>
    <w:rsid w:val="009C273A"/>
    <w:rsid w:val="009C2C6B"/>
    <w:rsid w:val="009C3492"/>
    <w:rsid w:val="009C389B"/>
    <w:rsid w:val="009C38E1"/>
    <w:rsid w:val="009C4285"/>
    <w:rsid w:val="009C46F7"/>
    <w:rsid w:val="009C4829"/>
    <w:rsid w:val="009C4A85"/>
    <w:rsid w:val="009C53E3"/>
    <w:rsid w:val="009C582D"/>
    <w:rsid w:val="009C58DB"/>
    <w:rsid w:val="009C6288"/>
    <w:rsid w:val="009C6667"/>
    <w:rsid w:val="009C69C1"/>
    <w:rsid w:val="009C702C"/>
    <w:rsid w:val="009C7AA9"/>
    <w:rsid w:val="009C7BF3"/>
    <w:rsid w:val="009C7DD5"/>
    <w:rsid w:val="009C7E39"/>
    <w:rsid w:val="009D04F4"/>
    <w:rsid w:val="009D1813"/>
    <w:rsid w:val="009D1922"/>
    <w:rsid w:val="009D1F37"/>
    <w:rsid w:val="009D29B2"/>
    <w:rsid w:val="009D3534"/>
    <w:rsid w:val="009D3A2E"/>
    <w:rsid w:val="009D4315"/>
    <w:rsid w:val="009D4B77"/>
    <w:rsid w:val="009D5049"/>
    <w:rsid w:val="009D5FC5"/>
    <w:rsid w:val="009D6009"/>
    <w:rsid w:val="009D61F3"/>
    <w:rsid w:val="009D6295"/>
    <w:rsid w:val="009D6654"/>
    <w:rsid w:val="009D68F8"/>
    <w:rsid w:val="009D6ED0"/>
    <w:rsid w:val="009D7D2C"/>
    <w:rsid w:val="009D7DE2"/>
    <w:rsid w:val="009D7F7E"/>
    <w:rsid w:val="009E0DB2"/>
    <w:rsid w:val="009E0DCE"/>
    <w:rsid w:val="009E0FA8"/>
    <w:rsid w:val="009E124F"/>
    <w:rsid w:val="009E12F3"/>
    <w:rsid w:val="009E1379"/>
    <w:rsid w:val="009E1441"/>
    <w:rsid w:val="009E167E"/>
    <w:rsid w:val="009E17A8"/>
    <w:rsid w:val="009E19EF"/>
    <w:rsid w:val="009E207B"/>
    <w:rsid w:val="009E227D"/>
    <w:rsid w:val="009E22C3"/>
    <w:rsid w:val="009E25E8"/>
    <w:rsid w:val="009E2899"/>
    <w:rsid w:val="009E2B9E"/>
    <w:rsid w:val="009E304C"/>
    <w:rsid w:val="009E38CA"/>
    <w:rsid w:val="009E40D2"/>
    <w:rsid w:val="009E4689"/>
    <w:rsid w:val="009E4A37"/>
    <w:rsid w:val="009E4B64"/>
    <w:rsid w:val="009E4D27"/>
    <w:rsid w:val="009E5019"/>
    <w:rsid w:val="009E5270"/>
    <w:rsid w:val="009E56A1"/>
    <w:rsid w:val="009E5765"/>
    <w:rsid w:val="009E59BF"/>
    <w:rsid w:val="009E5D67"/>
    <w:rsid w:val="009E5DB5"/>
    <w:rsid w:val="009E603A"/>
    <w:rsid w:val="009E668F"/>
    <w:rsid w:val="009E6893"/>
    <w:rsid w:val="009E78D5"/>
    <w:rsid w:val="009E7C05"/>
    <w:rsid w:val="009E7D8C"/>
    <w:rsid w:val="009F1B47"/>
    <w:rsid w:val="009F1F77"/>
    <w:rsid w:val="009F2803"/>
    <w:rsid w:val="009F328D"/>
    <w:rsid w:val="009F32BF"/>
    <w:rsid w:val="009F3825"/>
    <w:rsid w:val="009F3887"/>
    <w:rsid w:val="009F3890"/>
    <w:rsid w:val="009F3B5E"/>
    <w:rsid w:val="009F3E97"/>
    <w:rsid w:val="009F4058"/>
    <w:rsid w:val="009F45E7"/>
    <w:rsid w:val="009F4936"/>
    <w:rsid w:val="009F55FC"/>
    <w:rsid w:val="009F5EFC"/>
    <w:rsid w:val="009F6C11"/>
    <w:rsid w:val="009F7A16"/>
    <w:rsid w:val="009F7B24"/>
    <w:rsid w:val="009F7DE9"/>
    <w:rsid w:val="00A00716"/>
    <w:rsid w:val="00A00A40"/>
    <w:rsid w:val="00A00C9B"/>
    <w:rsid w:val="00A0118F"/>
    <w:rsid w:val="00A01278"/>
    <w:rsid w:val="00A01AA0"/>
    <w:rsid w:val="00A01BB2"/>
    <w:rsid w:val="00A02328"/>
    <w:rsid w:val="00A02685"/>
    <w:rsid w:val="00A02810"/>
    <w:rsid w:val="00A028AB"/>
    <w:rsid w:val="00A02CD7"/>
    <w:rsid w:val="00A03790"/>
    <w:rsid w:val="00A040E6"/>
    <w:rsid w:val="00A04682"/>
    <w:rsid w:val="00A0497A"/>
    <w:rsid w:val="00A04E9E"/>
    <w:rsid w:val="00A04ECD"/>
    <w:rsid w:val="00A04F1B"/>
    <w:rsid w:val="00A0501B"/>
    <w:rsid w:val="00A058BC"/>
    <w:rsid w:val="00A06A8E"/>
    <w:rsid w:val="00A06D56"/>
    <w:rsid w:val="00A07662"/>
    <w:rsid w:val="00A07A63"/>
    <w:rsid w:val="00A07D32"/>
    <w:rsid w:val="00A101B5"/>
    <w:rsid w:val="00A101EB"/>
    <w:rsid w:val="00A11586"/>
    <w:rsid w:val="00A116EB"/>
    <w:rsid w:val="00A11A8B"/>
    <w:rsid w:val="00A12190"/>
    <w:rsid w:val="00A12671"/>
    <w:rsid w:val="00A12A9B"/>
    <w:rsid w:val="00A13AD8"/>
    <w:rsid w:val="00A13E34"/>
    <w:rsid w:val="00A14609"/>
    <w:rsid w:val="00A14947"/>
    <w:rsid w:val="00A14B23"/>
    <w:rsid w:val="00A14CF5"/>
    <w:rsid w:val="00A1502D"/>
    <w:rsid w:val="00A1539E"/>
    <w:rsid w:val="00A155B2"/>
    <w:rsid w:val="00A159FB"/>
    <w:rsid w:val="00A15BE1"/>
    <w:rsid w:val="00A1643D"/>
    <w:rsid w:val="00A168E8"/>
    <w:rsid w:val="00A16ACD"/>
    <w:rsid w:val="00A170CD"/>
    <w:rsid w:val="00A1717E"/>
    <w:rsid w:val="00A20C7C"/>
    <w:rsid w:val="00A21319"/>
    <w:rsid w:val="00A217A9"/>
    <w:rsid w:val="00A21FDD"/>
    <w:rsid w:val="00A22739"/>
    <w:rsid w:val="00A228DE"/>
    <w:rsid w:val="00A22C09"/>
    <w:rsid w:val="00A23400"/>
    <w:rsid w:val="00A237D0"/>
    <w:rsid w:val="00A23E24"/>
    <w:rsid w:val="00A23FCD"/>
    <w:rsid w:val="00A24368"/>
    <w:rsid w:val="00A2484C"/>
    <w:rsid w:val="00A24DD2"/>
    <w:rsid w:val="00A25606"/>
    <w:rsid w:val="00A25961"/>
    <w:rsid w:val="00A25A25"/>
    <w:rsid w:val="00A26690"/>
    <w:rsid w:val="00A26989"/>
    <w:rsid w:val="00A26A81"/>
    <w:rsid w:val="00A26C42"/>
    <w:rsid w:val="00A27313"/>
    <w:rsid w:val="00A273BA"/>
    <w:rsid w:val="00A27CC2"/>
    <w:rsid w:val="00A30309"/>
    <w:rsid w:val="00A3075C"/>
    <w:rsid w:val="00A31B62"/>
    <w:rsid w:val="00A324D6"/>
    <w:rsid w:val="00A32523"/>
    <w:rsid w:val="00A3289D"/>
    <w:rsid w:val="00A32A54"/>
    <w:rsid w:val="00A32A83"/>
    <w:rsid w:val="00A32D3A"/>
    <w:rsid w:val="00A33149"/>
    <w:rsid w:val="00A33769"/>
    <w:rsid w:val="00A33DDC"/>
    <w:rsid w:val="00A33EBC"/>
    <w:rsid w:val="00A33EE1"/>
    <w:rsid w:val="00A34530"/>
    <w:rsid w:val="00A34582"/>
    <w:rsid w:val="00A3485B"/>
    <w:rsid w:val="00A34B64"/>
    <w:rsid w:val="00A3506B"/>
    <w:rsid w:val="00A35128"/>
    <w:rsid w:val="00A35DDC"/>
    <w:rsid w:val="00A35F11"/>
    <w:rsid w:val="00A35F56"/>
    <w:rsid w:val="00A3603C"/>
    <w:rsid w:val="00A36415"/>
    <w:rsid w:val="00A36458"/>
    <w:rsid w:val="00A3679A"/>
    <w:rsid w:val="00A368DB"/>
    <w:rsid w:val="00A3796E"/>
    <w:rsid w:val="00A37DAC"/>
    <w:rsid w:val="00A37ECC"/>
    <w:rsid w:val="00A4002B"/>
    <w:rsid w:val="00A40396"/>
    <w:rsid w:val="00A41C24"/>
    <w:rsid w:val="00A42197"/>
    <w:rsid w:val="00A423AA"/>
    <w:rsid w:val="00A4241A"/>
    <w:rsid w:val="00A42441"/>
    <w:rsid w:val="00A42B13"/>
    <w:rsid w:val="00A42B49"/>
    <w:rsid w:val="00A43323"/>
    <w:rsid w:val="00A439D8"/>
    <w:rsid w:val="00A43BA3"/>
    <w:rsid w:val="00A44436"/>
    <w:rsid w:val="00A444EE"/>
    <w:rsid w:val="00A44AE5"/>
    <w:rsid w:val="00A44E50"/>
    <w:rsid w:val="00A44FCF"/>
    <w:rsid w:val="00A45676"/>
    <w:rsid w:val="00A45D87"/>
    <w:rsid w:val="00A4618E"/>
    <w:rsid w:val="00A465ED"/>
    <w:rsid w:val="00A4722E"/>
    <w:rsid w:val="00A479B0"/>
    <w:rsid w:val="00A47AA3"/>
    <w:rsid w:val="00A47B57"/>
    <w:rsid w:val="00A503FF"/>
    <w:rsid w:val="00A50694"/>
    <w:rsid w:val="00A506BD"/>
    <w:rsid w:val="00A50A10"/>
    <w:rsid w:val="00A51084"/>
    <w:rsid w:val="00A514A9"/>
    <w:rsid w:val="00A51717"/>
    <w:rsid w:val="00A51A3E"/>
    <w:rsid w:val="00A52170"/>
    <w:rsid w:val="00A52F24"/>
    <w:rsid w:val="00A532BA"/>
    <w:rsid w:val="00A53CCC"/>
    <w:rsid w:val="00A53EC6"/>
    <w:rsid w:val="00A53FAB"/>
    <w:rsid w:val="00A54AFE"/>
    <w:rsid w:val="00A55503"/>
    <w:rsid w:val="00A55567"/>
    <w:rsid w:val="00A55BBF"/>
    <w:rsid w:val="00A55C0F"/>
    <w:rsid w:val="00A55CA3"/>
    <w:rsid w:val="00A560E8"/>
    <w:rsid w:val="00A601B1"/>
    <w:rsid w:val="00A604A8"/>
    <w:rsid w:val="00A60817"/>
    <w:rsid w:val="00A60B77"/>
    <w:rsid w:val="00A60DF3"/>
    <w:rsid w:val="00A61028"/>
    <w:rsid w:val="00A6195A"/>
    <w:rsid w:val="00A61AFD"/>
    <w:rsid w:val="00A61B8D"/>
    <w:rsid w:val="00A61EA3"/>
    <w:rsid w:val="00A61EAA"/>
    <w:rsid w:val="00A62FD3"/>
    <w:rsid w:val="00A6392F"/>
    <w:rsid w:val="00A63D3F"/>
    <w:rsid w:val="00A63FDD"/>
    <w:rsid w:val="00A645B6"/>
    <w:rsid w:val="00A650A4"/>
    <w:rsid w:val="00A65167"/>
    <w:rsid w:val="00A654E4"/>
    <w:rsid w:val="00A65C54"/>
    <w:rsid w:val="00A65DE7"/>
    <w:rsid w:val="00A65F58"/>
    <w:rsid w:val="00A661EE"/>
    <w:rsid w:val="00A667C6"/>
    <w:rsid w:val="00A66904"/>
    <w:rsid w:val="00A66B8C"/>
    <w:rsid w:val="00A6792D"/>
    <w:rsid w:val="00A67FFD"/>
    <w:rsid w:val="00A70B70"/>
    <w:rsid w:val="00A7233A"/>
    <w:rsid w:val="00A72359"/>
    <w:rsid w:val="00A7241E"/>
    <w:rsid w:val="00A72E32"/>
    <w:rsid w:val="00A73213"/>
    <w:rsid w:val="00A7325E"/>
    <w:rsid w:val="00A73563"/>
    <w:rsid w:val="00A739A5"/>
    <w:rsid w:val="00A73E26"/>
    <w:rsid w:val="00A74B16"/>
    <w:rsid w:val="00A74C20"/>
    <w:rsid w:val="00A74C34"/>
    <w:rsid w:val="00A74DA6"/>
    <w:rsid w:val="00A76791"/>
    <w:rsid w:val="00A7696F"/>
    <w:rsid w:val="00A774F7"/>
    <w:rsid w:val="00A777F4"/>
    <w:rsid w:val="00A80162"/>
    <w:rsid w:val="00A80BA1"/>
    <w:rsid w:val="00A8114E"/>
    <w:rsid w:val="00A813A6"/>
    <w:rsid w:val="00A8180C"/>
    <w:rsid w:val="00A81813"/>
    <w:rsid w:val="00A81C77"/>
    <w:rsid w:val="00A81D34"/>
    <w:rsid w:val="00A8248F"/>
    <w:rsid w:val="00A8269A"/>
    <w:rsid w:val="00A82EDB"/>
    <w:rsid w:val="00A8301E"/>
    <w:rsid w:val="00A830C0"/>
    <w:rsid w:val="00A830ED"/>
    <w:rsid w:val="00A8340B"/>
    <w:rsid w:val="00A83F68"/>
    <w:rsid w:val="00A8422A"/>
    <w:rsid w:val="00A843CE"/>
    <w:rsid w:val="00A846EF"/>
    <w:rsid w:val="00A84DA9"/>
    <w:rsid w:val="00A85782"/>
    <w:rsid w:val="00A858B4"/>
    <w:rsid w:val="00A85CE5"/>
    <w:rsid w:val="00A86600"/>
    <w:rsid w:val="00A86E3D"/>
    <w:rsid w:val="00A8713F"/>
    <w:rsid w:val="00A874BE"/>
    <w:rsid w:val="00A87B14"/>
    <w:rsid w:val="00A87F2D"/>
    <w:rsid w:val="00A87FA1"/>
    <w:rsid w:val="00A90235"/>
    <w:rsid w:val="00A908B4"/>
    <w:rsid w:val="00A90AE3"/>
    <w:rsid w:val="00A90BA1"/>
    <w:rsid w:val="00A90E42"/>
    <w:rsid w:val="00A9123B"/>
    <w:rsid w:val="00A91655"/>
    <w:rsid w:val="00A9223E"/>
    <w:rsid w:val="00A92531"/>
    <w:rsid w:val="00A92916"/>
    <w:rsid w:val="00A92BBD"/>
    <w:rsid w:val="00A93072"/>
    <w:rsid w:val="00A932F3"/>
    <w:rsid w:val="00A934B5"/>
    <w:rsid w:val="00A936FA"/>
    <w:rsid w:val="00A94474"/>
    <w:rsid w:val="00A947D4"/>
    <w:rsid w:val="00A94931"/>
    <w:rsid w:val="00A94C69"/>
    <w:rsid w:val="00A94FF9"/>
    <w:rsid w:val="00A9547B"/>
    <w:rsid w:val="00A95B50"/>
    <w:rsid w:val="00A95D1A"/>
    <w:rsid w:val="00A9603D"/>
    <w:rsid w:val="00A96103"/>
    <w:rsid w:val="00A9686D"/>
    <w:rsid w:val="00A96930"/>
    <w:rsid w:val="00A96C33"/>
    <w:rsid w:val="00A96CDA"/>
    <w:rsid w:val="00A96D0B"/>
    <w:rsid w:val="00A973F3"/>
    <w:rsid w:val="00A97A9A"/>
    <w:rsid w:val="00A97E76"/>
    <w:rsid w:val="00AA050A"/>
    <w:rsid w:val="00AA0671"/>
    <w:rsid w:val="00AA126F"/>
    <w:rsid w:val="00AA1404"/>
    <w:rsid w:val="00AA15D1"/>
    <w:rsid w:val="00AA1C97"/>
    <w:rsid w:val="00AA20A6"/>
    <w:rsid w:val="00AA2101"/>
    <w:rsid w:val="00AA2531"/>
    <w:rsid w:val="00AA2F4A"/>
    <w:rsid w:val="00AA31F7"/>
    <w:rsid w:val="00AA578E"/>
    <w:rsid w:val="00AA64AC"/>
    <w:rsid w:val="00AA68F4"/>
    <w:rsid w:val="00AA698D"/>
    <w:rsid w:val="00AA6DCD"/>
    <w:rsid w:val="00AA7110"/>
    <w:rsid w:val="00AA77EC"/>
    <w:rsid w:val="00AA7B3A"/>
    <w:rsid w:val="00AA7C0D"/>
    <w:rsid w:val="00AB0A68"/>
    <w:rsid w:val="00AB0D89"/>
    <w:rsid w:val="00AB0E69"/>
    <w:rsid w:val="00AB0F42"/>
    <w:rsid w:val="00AB0F6E"/>
    <w:rsid w:val="00AB1A5E"/>
    <w:rsid w:val="00AB1AA6"/>
    <w:rsid w:val="00AB1AC5"/>
    <w:rsid w:val="00AB1AE7"/>
    <w:rsid w:val="00AB1B52"/>
    <w:rsid w:val="00AB1E09"/>
    <w:rsid w:val="00AB2261"/>
    <w:rsid w:val="00AB236E"/>
    <w:rsid w:val="00AB273B"/>
    <w:rsid w:val="00AB2902"/>
    <w:rsid w:val="00AB2B25"/>
    <w:rsid w:val="00AB3DF9"/>
    <w:rsid w:val="00AB3ED9"/>
    <w:rsid w:val="00AB4200"/>
    <w:rsid w:val="00AB42ED"/>
    <w:rsid w:val="00AB43CE"/>
    <w:rsid w:val="00AB4445"/>
    <w:rsid w:val="00AB45B7"/>
    <w:rsid w:val="00AB4BEE"/>
    <w:rsid w:val="00AB4E07"/>
    <w:rsid w:val="00AB529D"/>
    <w:rsid w:val="00AB5330"/>
    <w:rsid w:val="00AB53BA"/>
    <w:rsid w:val="00AB5C5D"/>
    <w:rsid w:val="00AB5E4C"/>
    <w:rsid w:val="00AB61AA"/>
    <w:rsid w:val="00AB6A28"/>
    <w:rsid w:val="00AB6C3E"/>
    <w:rsid w:val="00AB7252"/>
    <w:rsid w:val="00AB75D8"/>
    <w:rsid w:val="00AB7747"/>
    <w:rsid w:val="00AB7986"/>
    <w:rsid w:val="00AB79A4"/>
    <w:rsid w:val="00AB79FA"/>
    <w:rsid w:val="00AC0232"/>
    <w:rsid w:val="00AC09EC"/>
    <w:rsid w:val="00AC0E13"/>
    <w:rsid w:val="00AC0E7B"/>
    <w:rsid w:val="00AC14B1"/>
    <w:rsid w:val="00AC14CE"/>
    <w:rsid w:val="00AC1510"/>
    <w:rsid w:val="00AC164E"/>
    <w:rsid w:val="00AC1DB2"/>
    <w:rsid w:val="00AC1F84"/>
    <w:rsid w:val="00AC269B"/>
    <w:rsid w:val="00AC2A56"/>
    <w:rsid w:val="00AC2D45"/>
    <w:rsid w:val="00AC2DA1"/>
    <w:rsid w:val="00AC2E56"/>
    <w:rsid w:val="00AC3007"/>
    <w:rsid w:val="00AC3301"/>
    <w:rsid w:val="00AC3464"/>
    <w:rsid w:val="00AC3814"/>
    <w:rsid w:val="00AC4012"/>
    <w:rsid w:val="00AC4155"/>
    <w:rsid w:val="00AC4CEC"/>
    <w:rsid w:val="00AC50E2"/>
    <w:rsid w:val="00AC5906"/>
    <w:rsid w:val="00AC5AE5"/>
    <w:rsid w:val="00AC6208"/>
    <w:rsid w:val="00AC65CF"/>
    <w:rsid w:val="00AC66DF"/>
    <w:rsid w:val="00AC6AA4"/>
    <w:rsid w:val="00AC6C63"/>
    <w:rsid w:val="00AC6CEC"/>
    <w:rsid w:val="00AC6D54"/>
    <w:rsid w:val="00AC76A7"/>
    <w:rsid w:val="00AC7C71"/>
    <w:rsid w:val="00AC7D1F"/>
    <w:rsid w:val="00AC7E7B"/>
    <w:rsid w:val="00AC7F28"/>
    <w:rsid w:val="00AD055E"/>
    <w:rsid w:val="00AD07B6"/>
    <w:rsid w:val="00AD089F"/>
    <w:rsid w:val="00AD0AA3"/>
    <w:rsid w:val="00AD10D8"/>
    <w:rsid w:val="00AD1470"/>
    <w:rsid w:val="00AD1DBF"/>
    <w:rsid w:val="00AD2479"/>
    <w:rsid w:val="00AD2BF4"/>
    <w:rsid w:val="00AD33C7"/>
    <w:rsid w:val="00AD3482"/>
    <w:rsid w:val="00AD399D"/>
    <w:rsid w:val="00AD436B"/>
    <w:rsid w:val="00AD44B7"/>
    <w:rsid w:val="00AD47A7"/>
    <w:rsid w:val="00AD53F4"/>
    <w:rsid w:val="00AD54DE"/>
    <w:rsid w:val="00AD5EE7"/>
    <w:rsid w:val="00AD6000"/>
    <w:rsid w:val="00AD64CD"/>
    <w:rsid w:val="00AD68E5"/>
    <w:rsid w:val="00AD7D43"/>
    <w:rsid w:val="00AD7DD9"/>
    <w:rsid w:val="00AE00C0"/>
    <w:rsid w:val="00AE0300"/>
    <w:rsid w:val="00AE15A3"/>
    <w:rsid w:val="00AE2B4D"/>
    <w:rsid w:val="00AE3595"/>
    <w:rsid w:val="00AE3C7A"/>
    <w:rsid w:val="00AE40F0"/>
    <w:rsid w:val="00AE4427"/>
    <w:rsid w:val="00AE454A"/>
    <w:rsid w:val="00AE493A"/>
    <w:rsid w:val="00AE4A2B"/>
    <w:rsid w:val="00AE52E0"/>
    <w:rsid w:val="00AE56B7"/>
    <w:rsid w:val="00AE59A3"/>
    <w:rsid w:val="00AE5DF4"/>
    <w:rsid w:val="00AE6024"/>
    <w:rsid w:val="00AE602C"/>
    <w:rsid w:val="00AE63D5"/>
    <w:rsid w:val="00AE66D5"/>
    <w:rsid w:val="00AE67C4"/>
    <w:rsid w:val="00AE6C10"/>
    <w:rsid w:val="00AE6CFB"/>
    <w:rsid w:val="00AE748D"/>
    <w:rsid w:val="00AE778B"/>
    <w:rsid w:val="00AE7CBF"/>
    <w:rsid w:val="00AE7DDF"/>
    <w:rsid w:val="00AF0177"/>
    <w:rsid w:val="00AF040D"/>
    <w:rsid w:val="00AF06AA"/>
    <w:rsid w:val="00AF080D"/>
    <w:rsid w:val="00AF0CBF"/>
    <w:rsid w:val="00AF0D71"/>
    <w:rsid w:val="00AF10E1"/>
    <w:rsid w:val="00AF1B52"/>
    <w:rsid w:val="00AF1E88"/>
    <w:rsid w:val="00AF1E8C"/>
    <w:rsid w:val="00AF23F2"/>
    <w:rsid w:val="00AF2413"/>
    <w:rsid w:val="00AF257F"/>
    <w:rsid w:val="00AF2EE8"/>
    <w:rsid w:val="00AF33CF"/>
    <w:rsid w:val="00AF35E6"/>
    <w:rsid w:val="00AF3B52"/>
    <w:rsid w:val="00AF42A3"/>
    <w:rsid w:val="00AF4A95"/>
    <w:rsid w:val="00AF4CFD"/>
    <w:rsid w:val="00AF4D50"/>
    <w:rsid w:val="00AF564D"/>
    <w:rsid w:val="00AF5FE6"/>
    <w:rsid w:val="00AF6179"/>
    <w:rsid w:val="00AF6231"/>
    <w:rsid w:val="00AF65D2"/>
    <w:rsid w:val="00AF6A89"/>
    <w:rsid w:val="00AF7388"/>
    <w:rsid w:val="00AF7706"/>
    <w:rsid w:val="00AF7A97"/>
    <w:rsid w:val="00B00466"/>
    <w:rsid w:val="00B0062A"/>
    <w:rsid w:val="00B0085A"/>
    <w:rsid w:val="00B00E12"/>
    <w:rsid w:val="00B00EB3"/>
    <w:rsid w:val="00B010DF"/>
    <w:rsid w:val="00B011A1"/>
    <w:rsid w:val="00B019B9"/>
    <w:rsid w:val="00B01E63"/>
    <w:rsid w:val="00B01F10"/>
    <w:rsid w:val="00B01FA3"/>
    <w:rsid w:val="00B020A9"/>
    <w:rsid w:val="00B0211E"/>
    <w:rsid w:val="00B0283F"/>
    <w:rsid w:val="00B02EFD"/>
    <w:rsid w:val="00B02F0A"/>
    <w:rsid w:val="00B03489"/>
    <w:rsid w:val="00B03758"/>
    <w:rsid w:val="00B03D1A"/>
    <w:rsid w:val="00B04B5D"/>
    <w:rsid w:val="00B04F5B"/>
    <w:rsid w:val="00B05247"/>
    <w:rsid w:val="00B06586"/>
    <w:rsid w:val="00B068A8"/>
    <w:rsid w:val="00B068B4"/>
    <w:rsid w:val="00B06E2E"/>
    <w:rsid w:val="00B06F04"/>
    <w:rsid w:val="00B07744"/>
    <w:rsid w:val="00B07CB7"/>
    <w:rsid w:val="00B07E8B"/>
    <w:rsid w:val="00B10B1D"/>
    <w:rsid w:val="00B115D4"/>
    <w:rsid w:val="00B116A2"/>
    <w:rsid w:val="00B1183C"/>
    <w:rsid w:val="00B1295A"/>
    <w:rsid w:val="00B12E1B"/>
    <w:rsid w:val="00B13D5D"/>
    <w:rsid w:val="00B13FEC"/>
    <w:rsid w:val="00B140CC"/>
    <w:rsid w:val="00B149C5"/>
    <w:rsid w:val="00B14C48"/>
    <w:rsid w:val="00B157CD"/>
    <w:rsid w:val="00B15A3E"/>
    <w:rsid w:val="00B15B90"/>
    <w:rsid w:val="00B162BA"/>
    <w:rsid w:val="00B16767"/>
    <w:rsid w:val="00B16CA5"/>
    <w:rsid w:val="00B17360"/>
    <w:rsid w:val="00B174E1"/>
    <w:rsid w:val="00B17B11"/>
    <w:rsid w:val="00B17C2A"/>
    <w:rsid w:val="00B17FE4"/>
    <w:rsid w:val="00B2098C"/>
    <w:rsid w:val="00B20A45"/>
    <w:rsid w:val="00B20E8E"/>
    <w:rsid w:val="00B21198"/>
    <w:rsid w:val="00B2203A"/>
    <w:rsid w:val="00B2213C"/>
    <w:rsid w:val="00B2224F"/>
    <w:rsid w:val="00B2296E"/>
    <w:rsid w:val="00B229B2"/>
    <w:rsid w:val="00B22C5C"/>
    <w:rsid w:val="00B22D3A"/>
    <w:rsid w:val="00B22DE5"/>
    <w:rsid w:val="00B22E2D"/>
    <w:rsid w:val="00B22EE8"/>
    <w:rsid w:val="00B22F2A"/>
    <w:rsid w:val="00B2332B"/>
    <w:rsid w:val="00B23378"/>
    <w:rsid w:val="00B236A0"/>
    <w:rsid w:val="00B2378B"/>
    <w:rsid w:val="00B23D5B"/>
    <w:rsid w:val="00B243FD"/>
    <w:rsid w:val="00B24E34"/>
    <w:rsid w:val="00B24F30"/>
    <w:rsid w:val="00B2533A"/>
    <w:rsid w:val="00B25B4C"/>
    <w:rsid w:val="00B25D54"/>
    <w:rsid w:val="00B2657B"/>
    <w:rsid w:val="00B266D9"/>
    <w:rsid w:val="00B26A2C"/>
    <w:rsid w:val="00B26AE6"/>
    <w:rsid w:val="00B26EA0"/>
    <w:rsid w:val="00B2723A"/>
    <w:rsid w:val="00B277B0"/>
    <w:rsid w:val="00B2796A"/>
    <w:rsid w:val="00B27A21"/>
    <w:rsid w:val="00B27A9D"/>
    <w:rsid w:val="00B30529"/>
    <w:rsid w:val="00B30724"/>
    <w:rsid w:val="00B30E6B"/>
    <w:rsid w:val="00B3187A"/>
    <w:rsid w:val="00B319FE"/>
    <w:rsid w:val="00B31ABF"/>
    <w:rsid w:val="00B31DFF"/>
    <w:rsid w:val="00B32B66"/>
    <w:rsid w:val="00B32F0C"/>
    <w:rsid w:val="00B33BE3"/>
    <w:rsid w:val="00B33EC6"/>
    <w:rsid w:val="00B34264"/>
    <w:rsid w:val="00B3437C"/>
    <w:rsid w:val="00B35AFC"/>
    <w:rsid w:val="00B36B10"/>
    <w:rsid w:val="00B36F7D"/>
    <w:rsid w:val="00B37076"/>
    <w:rsid w:val="00B371B9"/>
    <w:rsid w:val="00B3754D"/>
    <w:rsid w:val="00B37912"/>
    <w:rsid w:val="00B37940"/>
    <w:rsid w:val="00B37BAE"/>
    <w:rsid w:val="00B37F82"/>
    <w:rsid w:val="00B40494"/>
    <w:rsid w:val="00B4083C"/>
    <w:rsid w:val="00B40F70"/>
    <w:rsid w:val="00B40FA7"/>
    <w:rsid w:val="00B41AC9"/>
    <w:rsid w:val="00B4237B"/>
    <w:rsid w:val="00B42466"/>
    <w:rsid w:val="00B425EB"/>
    <w:rsid w:val="00B42893"/>
    <w:rsid w:val="00B43629"/>
    <w:rsid w:val="00B43BC1"/>
    <w:rsid w:val="00B43D66"/>
    <w:rsid w:val="00B447A1"/>
    <w:rsid w:val="00B44FA0"/>
    <w:rsid w:val="00B45265"/>
    <w:rsid w:val="00B45B8D"/>
    <w:rsid w:val="00B45C59"/>
    <w:rsid w:val="00B45D40"/>
    <w:rsid w:val="00B46096"/>
    <w:rsid w:val="00B46348"/>
    <w:rsid w:val="00B47211"/>
    <w:rsid w:val="00B4744D"/>
    <w:rsid w:val="00B47465"/>
    <w:rsid w:val="00B47909"/>
    <w:rsid w:val="00B479C7"/>
    <w:rsid w:val="00B47A1B"/>
    <w:rsid w:val="00B47D17"/>
    <w:rsid w:val="00B47E02"/>
    <w:rsid w:val="00B47F85"/>
    <w:rsid w:val="00B501CE"/>
    <w:rsid w:val="00B5134C"/>
    <w:rsid w:val="00B51DA8"/>
    <w:rsid w:val="00B51DB0"/>
    <w:rsid w:val="00B533C3"/>
    <w:rsid w:val="00B53402"/>
    <w:rsid w:val="00B534F5"/>
    <w:rsid w:val="00B53B5D"/>
    <w:rsid w:val="00B53C5D"/>
    <w:rsid w:val="00B5487B"/>
    <w:rsid w:val="00B54A78"/>
    <w:rsid w:val="00B54ACA"/>
    <w:rsid w:val="00B54C48"/>
    <w:rsid w:val="00B54CFF"/>
    <w:rsid w:val="00B553A5"/>
    <w:rsid w:val="00B55AB0"/>
    <w:rsid w:val="00B55D89"/>
    <w:rsid w:val="00B567AC"/>
    <w:rsid w:val="00B56C0C"/>
    <w:rsid w:val="00B57A2F"/>
    <w:rsid w:val="00B60288"/>
    <w:rsid w:val="00B6055E"/>
    <w:rsid w:val="00B605C8"/>
    <w:rsid w:val="00B62482"/>
    <w:rsid w:val="00B62BD3"/>
    <w:rsid w:val="00B6317D"/>
    <w:rsid w:val="00B63570"/>
    <w:rsid w:val="00B637F7"/>
    <w:rsid w:val="00B63D23"/>
    <w:rsid w:val="00B640AA"/>
    <w:rsid w:val="00B64E91"/>
    <w:rsid w:val="00B6524D"/>
    <w:rsid w:val="00B65F05"/>
    <w:rsid w:val="00B6615D"/>
    <w:rsid w:val="00B6623E"/>
    <w:rsid w:val="00B6659B"/>
    <w:rsid w:val="00B668C8"/>
    <w:rsid w:val="00B6757B"/>
    <w:rsid w:val="00B675FD"/>
    <w:rsid w:val="00B67E22"/>
    <w:rsid w:val="00B70D77"/>
    <w:rsid w:val="00B712F2"/>
    <w:rsid w:val="00B71318"/>
    <w:rsid w:val="00B7145C"/>
    <w:rsid w:val="00B72644"/>
    <w:rsid w:val="00B727BC"/>
    <w:rsid w:val="00B72844"/>
    <w:rsid w:val="00B72889"/>
    <w:rsid w:val="00B731F8"/>
    <w:rsid w:val="00B73299"/>
    <w:rsid w:val="00B73314"/>
    <w:rsid w:val="00B738CA"/>
    <w:rsid w:val="00B73A2B"/>
    <w:rsid w:val="00B73C17"/>
    <w:rsid w:val="00B73F20"/>
    <w:rsid w:val="00B74040"/>
    <w:rsid w:val="00B74371"/>
    <w:rsid w:val="00B747E1"/>
    <w:rsid w:val="00B74EA7"/>
    <w:rsid w:val="00B75149"/>
    <w:rsid w:val="00B754E2"/>
    <w:rsid w:val="00B75631"/>
    <w:rsid w:val="00B75930"/>
    <w:rsid w:val="00B76814"/>
    <w:rsid w:val="00B76C90"/>
    <w:rsid w:val="00B7723F"/>
    <w:rsid w:val="00B80394"/>
    <w:rsid w:val="00B80534"/>
    <w:rsid w:val="00B8067D"/>
    <w:rsid w:val="00B808B0"/>
    <w:rsid w:val="00B81727"/>
    <w:rsid w:val="00B8179D"/>
    <w:rsid w:val="00B82CA7"/>
    <w:rsid w:val="00B82ED6"/>
    <w:rsid w:val="00B835C9"/>
    <w:rsid w:val="00B83786"/>
    <w:rsid w:val="00B83BEE"/>
    <w:rsid w:val="00B83C09"/>
    <w:rsid w:val="00B83F04"/>
    <w:rsid w:val="00B8433C"/>
    <w:rsid w:val="00B84370"/>
    <w:rsid w:val="00B84978"/>
    <w:rsid w:val="00B84C7D"/>
    <w:rsid w:val="00B857D4"/>
    <w:rsid w:val="00B85E1C"/>
    <w:rsid w:val="00B85E6A"/>
    <w:rsid w:val="00B860F7"/>
    <w:rsid w:val="00B86853"/>
    <w:rsid w:val="00B86C3F"/>
    <w:rsid w:val="00B86CB3"/>
    <w:rsid w:val="00B86FD5"/>
    <w:rsid w:val="00B871C4"/>
    <w:rsid w:val="00B872E2"/>
    <w:rsid w:val="00B87491"/>
    <w:rsid w:val="00B87AF4"/>
    <w:rsid w:val="00B87D11"/>
    <w:rsid w:val="00B87EAB"/>
    <w:rsid w:val="00B907B4"/>
    <w:rsid w:val="00B90AB8"/>
    <w:rsid w:val="00B911B7"/>
    <w:rsid w:val="00B9135A"/>
    <w:rsid w:val="00B9189E"/>
    <w:rsid w:val="00B91B9F"/>
    <w:rsid w:val="00B92BD1"/>
    <w:rsid w:val="00B92F16"/>
    <w:rsid w:val="00B934D5"/>
    <w:rsid w:val="00B93863"/>
    <w:rsid w:val="00B93B66"/>
    <w:rsid w:val="00B93F97"/>
    <w:rsid w:val="00B9496C"/>
    <w:rsid w:val="00B953A3"/>
    <w:rsid w:val="00B95582"/>
    <w:rsid w:val="00B95675"/>
    <w:rsid w:val="00B95BE9"/>
    <w:rsid w:val="00B95C70"/>
    <w:rsid w:val="00B96B05"/>
    <w:rsid w:val="00B96E51"/>
    <w:rsid w:val="00B97BF2"/>
    <w:rsid w:val="00BA0531"/>
    <w:rsid w:val="00BA1079"/>
    <w:rsid w:val="00BA140A"/>
    <w:rsid w:val="00BA16E3"/>
    <w:rsid w:val="00BA23FA"/>
    <w:rsid w:val="00BA24BA"/>
    <w:rsid w:val="00BA26C4"/>
    <w:rsid w:val="00BA29E9"/>
    <w:rsid w:val="00BA310F"/>
    <w:rsid w:val="00BA3173"/>
    <w:rsid w:val="00BA362C"/>
    <w:rsid w:val="00BA37BD"/>
    <w:rsid w:val="00BA3B93"/>
    <w:rsid w:val="00BA44B5"/>
    <w:rsid w:val="00BA4957"/>
    <w:rsid w:val="00BA5B8A"/>
    <w:rsid w:val="00BA6DE5"/>
    <w:rsid w:val="00BA7142"/>
    <w:rsid w:val="00BA71C3"/>
    <w:rsid w:val="00BA7CCA"/>
    <w:rsid w:val="00BA7D42"/>
    <w:rsid w:val="00BA7FDA"/>
    <w:rsid w:val="00BB00C9"/>
    <w:rsid w:val="00BB11AF"/>
    <w:rsid w:val="00BB142C"/>
    <w:rsid w:val="00BB1E9B"/>
    <w:rsid w:val="00BB2156"/>
    <w:rsid w:val="00BB219D"/>
    <w:rsid w:val="00BB22A8"/>
    <w:rsid w:val="00BB237C"/>
    <w:rsid w:val="00BB23C0"/>
    <w:rsid w:val="00BB2A44"/>
    <w:rsid w:val="00BB2AD5"/>
    <w:rsid w:val="00BB302C"/>
    <w:rsid w:val="00BB30CE"/>
    <w:rsid w:val="00BB33B7"/>
    <w:rsid w:val="00BB3B6F"/>
    <w:rsid w:val="00BB3DC8"/>
    <w:rsid w:val="00BB4174"/>
    <w:rsid w:val="00BB41A3"/>
    <w:rsid w:val="00BB45F8"/>
    <w:rsid w:val="00BB4E3B"/>
    <w:rsid w:val="00BB507B"/>
    <w:rsid w:val="00BB6278"/>
    <w:rsid w:val="00BB6477"/>
    <w:rsid w:val="00BB76FB"/>
    <w:rsid w:val="00BC021A"/>
    <w:rsid w:val="00BC0286"/>
    <w:rsid w:val="00BC0296"/>
    <w:rsid w:val="00BC09DA"/>
    <w:rsid w:val="00BC0F98"/>
    <w:rsid w:val="00BC1C51"/>
    <w:rsid w:val="00BC232C"/>
    <w:rsid w:val="00BC2C5B"/>
    <w:rsid w:val="00BC32DC"/>
    <w:rsid w:val="00BC35B6"/>
    <w:rsid w:val="00BC3753"/>
    <w:rsid w:val="00BC3C0E"/>
    <w:rsid w:val="00BC3CE1"/>
    <w:rsid w:val="00BC4A50"/>
    <w:rsid w:val="00BC550B"/>
    <w:rsid w:val="00BC6482"/>
    <w:rsid w:val="00BC67C6"/>
    <w:rsid w:val="00BC68B3"/>
    <w:rsid w:val="00BC6E5C"/>
    <w:rsid w:val="00BC73AA"/>
    <w:rsid w:val="00BC74C4"/>
    <w:rsid w:val="00BC7859"/>
    <w:rsid w:val="00BC7EC9"/>
    <w:rsid w:val="00BD0536"/>
    <w:rsid w:val="00BD0D09"/>
    <w:rsid w:val="00BD0E39"/>
    <w:rsid w:val="00BD116A"/>
    <w:rsid w:val="00BD1B51"/>
    <w:rsid w:val="00BD1DB1"/>
    <w:rsid w:val="00BD2334"/>
    <w:rsid w:val="00BD2C45"/>
    <w:rsid w:val="00BD31EA"/>
    <w:rsid w:val="00BD4596"/>
    <w:rsid w:val="00BD4AC0"/>
    <w:rsid w:val="00BD560D"/>
    <w:rsid w:val="00BD5FDF"/>
    <w:rsid w:val="00BD63AF"/>
    <w:rsid w:val="00BD6796"/>
    <w:rsid w:val="00BD71A0"/>
    <w:rsid w:val="00BD790C"/>
    <w:rsid w:val="00BD795F"/>
    <w:rsid w:val="00BD7BAF"/>
    <w:rsid w:val="00BD7DE0"/>
    <w:rsid w:val="00BE00A1"/>
    <w:rsid w:val="00BE05A1"/>
    <w:rsid w:val="00BE10AD"/>
    <w:rsid w:val="00BE1405"/>
    <w:rsid w:val="00BE1EA1"/>
    <w:rsid w:val="00BE1ED4"/>
    <w:rsid w:val="00BE21D1"/>
    <w:rsid w:val="00BE21E9"/>
    <w:rsid w:val="00BE234F"/>
    <w:rsid w:val="00BE23A0"/>
    <w:rsid w:val="00BE312D"/>
    <w:rsid w:val="00BE47A7"/>
    <w:rsid w:val="00BE51BC"/>
    <w:rsid w:val="00BE5BDB"/>
    <w:rsid w:val="00BE5D50"/>
    <w:rsid w:val="00BE5D57"/>
    <w:rsid w:val="00BE5F64"/>
    <w:rsid w:val="00BE6144"/>
    <w:rsid w:val="00BE6599"/>
    <w:rsid w:val="00BE6E51"/>
    <w:rsid w:val="00BE7384"/>
    <w:rsid w:val="00BE738E"/>
    <w:rsid w:val="00BE7821"/>
    <w:rsid w:val="00BE7B53"/>
    <w:rsid w:val="00BE7E68"/>
    <w:rsid w:val="00BE7F06"/>
    <w:rsid w:val="00BF00EC"/>
    <w:rsid w:val="00BF02EB"/>
    <w:rsid w:val="00BF06D5"/>
    <w:rsid w:val="00BF113E"/>
    <w:rsid w:val="00BF119C"/>
    <w:rsid w:val="00BF1AAD"/>
    <w:rsid w:val="00BF1C20"/>
    <w:rsid w:val="00BF1D41"/>
    <w:rsid w:val="00BF1F6E"/>
    <w:rsid w:val="00BF20BF"/>
    <w:rsid w:val="00BF2527"/>
    <w:rsid w:val="00BF2535"/>
    <w:rsid w:val="00BF2BFA"/>
    <w:rsid w:val="00BF2C84"/>
    <w:rsid w:val="00BF314C"/>
    <w:rsid w:val="00BF3438"/>
    <w:rsid w:val="00BF34BD"/>
    <w:rsid w:val="00BF3DE7"/>
    <w:rsid w:val="00BF4506"/>
    <w:rsid w:val="00BF47F0"/>
    <w:rsid w:val="00BF512B"/>
    <w:rsid w:val="00BF5589"/>
    <w:rsid w:val="00BF58C3"/>
    <w:rsid w:val="00BF59B7"/>
    <w:rsid w:val="00BF5D48"/>
    <w:rsid w:val="00BF6148"/>
    <w:rsid w:val="00BF691B"/>
    <w:rsid w:val="00BF69CD"/>
    <w:rsid w:val="00BF6E7F"/>
    <w:rsid w:val="00BF73DB"/>
    <w:rsid w:val="00BF790D"/>
    <w:rsid w:val="00BF7CDE"/>
    <w:rsid w:val="00C00286"/>
    <w:rsid w:val="00C00588"/>
    <w:rsid w:val="00C00CD7"/>
    <w:rsid w:val="00C0161B"/>
    <w:rsid w:val="00C01B92"/>
    <w:rsid w:val="00C02596"/>
    <w:rsid w:val="00C03B7D"/>
    <w:rsid w:val="00C042AE"/>
    <w:rsid w:val="00C043AA"/>
    <w:rsid w:val="00C045C4"/>
    <w:rsid w:val="00C04F6A"/>
    <w:rsid w:val="00C058C7"/>
    <w:rsid w:val="00C05A59"/>
    <w:rsid w:val="00C05EC8"/>
    <w:rsid w:val="00C06029"/>
    <w:rsid w:val="00C06493"/>
    <w:rsid w:val="00C06C01"/>
    <w:rsid w:val="00C0774F"/>
    <w:rsid w:val="00C079BB"/>
    <w:rsid w:val="00C07DF6"/>
    <w:rsid w:val="00C101A5"/>
    <w:rsid w:val="00C101B0"/>
    <w:rsid w:val="00C10268"/>
    <w:rsid w:val="00C1055C"/>
    <w:rsid w:val="00C10578"/>
    <w:rsid w:val="00C10D25"/>
    <w:rsid w:val="00C10D35"/>
    <w:rsid w:val="00C1111E"/>
    <w:rsid w:val="00C11318"/>
    <w:rsid w:val="00C113B3"/>
    <w:rsid w:val="00C119E7"/>
    <w:rsid w:val="00C11A79"/>
    <w:rsid w:val="00C13072"/>
    <w:rsid w:val="00C1324A"/>
    <w:rsid w:val="00C132A6"/>
    <w:rsid w:val="00C135BC"/>
    <w:rsid w:val="00C13C6C"/>
    <w:rsid w:val="00C14695"/>
    <w:rsid w:val="00C14A77"/>
    <w:rsid w:val="00C150A0"/>
    <w:rsid w:val="00C15323"/>
    <w:rsid w:val="00C15A55"/>
    <w:rsid w:val="00C15C95"/>
    <w:rsid w:val="00C15EAD"/>
    <w:rsid w:val="00C16461"/>
    <w:rsid w:val="00C167BD"/>
    <w:rsid w:val="00C16B47"/>
    <w:rsid w:val="00C16C2E"/>
    <w:rsid w:val="00C16F3B"/>
    <w:rsid w:val="00C1726A"/>
    <w:rsid w:val="00C1772C"/>
    <w:rsid w:val="00C179C9"/>
    <w:rsid w:val="00C17D8E"/>
    <w:rsid w:val="00C20194"/>
    <w:rsid w:val="00C2033B"/>
    <w:rsid w:val="00C20A2D"/>
    <w:rsid w:val="00C20FE6"/>
    <w:rsid w:val="00C21A51"/>
    <w:rsid w:val="00C22220"/>
    <w:rsid w:val="00C22867"/>
    <w:rsid w:val="00C228CC"/>
    <w:rsid w:val="00C23663"/>
    <w:rsid w:val="00C2401F"/>
    <w:rsid w:val="00C24325"/>
    <w:rsid w:val="00C24537"/>
    <w:rsid w:val="00C24754"/>
    <w:rsid w:val="00C24787"/>
    <w:rsid w:val="00C24F8E"/>
    <w:rsid w:val="00C25098"/>
    <w:rsid w:val="00C2518A"/>
    <w:rsid w:val="00C2596A"/>
    <w:rsid w:val="00C259EA"/>
    <w:rsid w:val="00C25BCB"/>
    <w:rsid w:val="00C26215"/>
    <w:rsid w:val="00C265EB"/>
    <w:rsid w:val="00C27233"/>
    <w:rsid w:val="00C274E2"/>
    <w:rsid w:val="00C27537"/>
    <w:rsid w:val="00C27741"/>
    <w:rsid w:val="00C27AD6"/>
    <w:rsid w:val="00C27E2A"/>
    <w:rsid w:val="00C30718"/>
    <w:rsid w:val="00C30914"/>
    <w:rsid w:val="00C31085"/>
    <w:rsid w:val="00C314D3"/>
    <w:rsid w:val="00C31DCC"/>
    <w:rsid w:val="00C322DA"/>
    <w:rsid w:val="00C32409"/>
    <w:rsid w:val="00C328FB"/>
    <w:rsid w:val="00C328FE"/>
    <w:rsid w:val="00C33507"/>
    <w:rsid w:val="00C34048"/>
    <w:rsid w:val="00C3438E"/>
    <w:rsid w:val="00C34687"/>
    <w:rsid w:val="00C34BC1"/>
    <w:rsid w:val="00C353E0"/>
    <w:rsid w:val="00C3552F"/>
    <w:rsid w:val="00C35784"/>
    <w:rsid w:val="00C35975"/>
    <w:rsid w:val="00C35D05"/>
    <w:rsid w:val="00C35D0C"/>
    <w:rsid w:val="00C35DA1"/>
    <w:rsid w:val="00C36191"/>
    <w:rsid w:val="00C362E8"/>
    <w:rsid w:val="00C36A17"/>
    <w:rsid w:val="00C36FF1"/>
    <w:rsid w:val="00C37095"/>
    <w:rsid w:val="00C3719C"/>
    <w:rsid w:val="00C373D0"/>
    <w:rsid w:val="00C37B67"/>
    <w:rsid w:val="00C4045F"/>
    <w:rsid w:val="00C420C5"/>
    <w:rsid w:val="00C42706"/>
    <w:rsid w:val="00C42942"/>
    <w:rsid w:val="00C42AE9"/>
    <w:rsid w:val="00C42CAF"/>
    <w:rsid w:val="00C42EBE"/>
    <w:rsid w:val="00C43AB1"/>
    <w:rsid w:val="00C43E3C"/>
    <w:rsid w:val="00C43EA4"/>
    <w:rsid w:val="00C4409D"/>
    <w:rsid w:val="00C448B5"/>
    <w:rsid w:val="00C44D36"/>
    <w:rsid w:val="00C44E49"/>
    <w:rsid w:val="00C44E72"/>
    <w:rsid w:val="00C44F68"/>
    <w:rsid w:val="00C450ED"/>
    <w:rsid w:val="00C45400"/>
    <w:rsid w:val="00C4582A"/>
    <w:rsid w:val="00C45A06"/>
    <w:rsid w:val="00C465B3"/>
    <w:rsid w:val="00C46AC8"/>
    <w:rsid w:val="00C46EAA"/>
    <w:rsid w:val="00C47849"/>
    <w:rsid w:val="00C47E5B"/>
    <w:rsid w:val="00C50E58"/>
    <w:rsid w:val="00C51977"/>
    <w:rsid w:val="00C51F10"/>
    <w:rsid w:val="00C52A86"/>
    <w:rsid w:val="00C5308D"/>
    <w:rsid w:val="00C53097"/>
    <w:rsid w:val="00C53389"/>
    <w:rsid w:val="00C53523"/>
    <w:rsid w:val="00C53A3E"/>
    <w:rsid w:val="00C53FDF"/>
    <w:rsid w:val="00C547C4"/>
    <w:rsid w:val="00C54D3C"/>
    <w:rsid w:val="00C5507B"/>
    <w:rsid w:val="00C553E2"/>
    <w:rsid w:val="00C555FA"/>
    <w:rsid w:val="00C55BE6"/>
    <w:rsid w:val="00C567BA"/>
    <w:rsid w:val="00C61343"/>
    <w:rsid w:val="00C614B9"/>
    <w:rsid w:val="00C618FA"/>
    <w:rsid w:val="00C61967"/>
    <w:rsid w:val="00C61E18"/>
    <w:rsid w:val="00C61E4B"/>
    <w:rsid w:val="00C62292"/>
    <w:rsid w:val="00C62FBA"/>
    <w:rsid w:val="00C6379C"/>
    <w:rsid w:val="00C63F96"/>
    <w:rsid w:val="00C6416C"/>
    <w:rsid w:val="00C64BFF"/>
    <w:rsid w:val="00C64DB5"/>
    <w:rsid w:val="00C64DD3"/>
    <w:rsid w:val="00C655AF"/>
    <w:rsid w:val="00C658BD"/>
    <w:rsid w:val="00C65E80"/>
    <w:rsid w:val="00C66DC4"/>
    <w:rsid w:val="00C674C5"/>
    <w:rsid w:val="00C6776A"/>
    <w:rsid w:val="00C704B6"/>
    <w:rsid w:val="00C704E9"/>
    <w:rsid w:val="00C70983"/>
    <w:rsid w:val="00C70DD0"/>
    <w:rsid w:val="00C711AB"/>
    <w:rsid w:val="00C7193D"/>
    <w:rsid w:val="00C71E61"/>
    <w:rsid w:val="00C71F59"/>
    <w:rsid w:val="00C72BC7"/>
    <w:rsid w:val="00C72BE4"/>
    <w:rsid w:val="00C72CD0"/>
    <w:rsid w:val="00C73E8A"/>
    <w:rsid w:val="00C73FCE"/>
    <w:rsid w:val="00C745D6"/>
    <w:rsid w:val="00C74878"/>
    <w:rsid w:val="00C748A1"/>
    <w:rsid w:val="00C74F2A"/>
    <w:rsid w:val="00C750FB"/>
    <w:rsid w:val="00C75640"/>
    <w:rsid w:val="00C75ED8"/>
    <w:rsid w:val="00C762DB"/>
    <w:rsid w:val="00C763C9"/>
    <w:rsid w:val="00C76994"/>
    <w:rsid w:val="00C76D47"/>
    <w:rsid w:val="00C76E18"/>
    <w:rsid w:val="00C76FC1"/>
    <w:rsid w:val="00C76FCF"/>
    <w:rsid w:val="00C77147"/>
    <w:rsid w:val="00C775E7"/>
    <w:rsid w:val="00C77615"/>
    <w:rsid w:val="00C777A4"/>
    <w:rsid w:val="00C77C68"/>
    <w:rsid w:val="00C80057"/>
    <w:rsid w:val="00C80572"/>
    <w:rsid w:val="00C81506"/>
    <w:rsid w:val="00C818F7"/>
    <w:rsid w:val="00C82232"/>
    <w:rsid w:val="00C82913"/>
    <w:rsid w:val="00C82D73"/>
    <w:rsid w:val="00C82EC6"/>
    <w:rsid w:val="00C82EDA"/>
    <w:rsid w:val="00C8307B"/>
    <w:rsid w:val="00C833B2"/>
    <w:rsid w:val="00C833B5"/>
    <w:rsid w:val="00C84143"/>
    <w:rsid w:val="00C84162"/>
    <w:rsid w:val="00C84522"/>
    <w:rsid w:val="00C84A8D"/>
    <w:rsid w:val="00C854B6"/>
    <w:rsid w:val="00C8653D"/>
    <w:rsid w:val="00C86E8B"/>
    <w:rsid w:val="00C86EED"/>
    <w:rsid w:val="00C8784C"/>
    <w:rsid w:val="00C87BCC"/>
    <w:rsid w:val="00C87FFC"/>
    <w:rsid w:val="00C900E1"/>
    <w:rsid w:val="00C90606"/>
    <w:rsid w:val="00C9071D"/>
    <w:rsid w:val="00C90865"/>
    <w:rsid w:val="00C91063"/>
    <w:rsid w:val="00C91BEF"/>
    <w:rsid w:val="00C91C14"/>
    <w:rsid w:val="00C91C43"/>
    <w:rsid w:val="00C91F4B"/>
    <w:rsid w:val="00C9272B"/>
    <w:rsid w:val="00C92AE3"/>
    <w:rsid w:val="00C93E52"/>
    <w:rsid w:val="00C94390"/>
    <w:rsid w:val="00C943AB"/>
    <w:rsid w:val="00C94D4F"/>
    <w:rsid w:val="00C951B3"/>
    <w:rsid w:val="00C951D1"/>
    <w:rsid w:val="00C95212"/>
    <w:rsid w:val="00C953A0"/>
    <w:rsid w:val="00C95D94"/>
    <w:rsid w:val="00C95FD1"/>
    <w:rsid w:val="00C960D3"/>
    <w:rsid w:val="00C96130"/>
    <w:rsid w:val="00C963AD"/>
    <w:rsid w:val="00C96719"/>
    <w:rsid w:val="00C96733"/>
    <w:rsid w:val="00C96995"/>
    <w:rsid w:val="00C96CD5"/>
    <w:rsid w:val="00C971A3"/>
    <w:rsid w:val="00C972B1"/>
    <w:rsid w:val="00C975E6"/>
    <w:rsid w:val="00C976C8"/>
    <w:rsid w:val="00C97B10"/>
    <w:rsid w:val="00C97B7E"/>
    <w:rsid w:val="00CA0AC4"/>
    <w:rsid w:val="00CA1155"/>
    <w:rsid w:val="00CA1202"/>
    <w:rsid w:val="00CA17D0"/>
    <w:rsid w:val="00CA18D7"/>
    <w:rsid w:val="00CA2405"/>
    <w:rsid w:val="00CA2703"/>
    <w:rsid w:val="00CA2868"/>
    <w:rsid w:val="00CA28BC"/>
    <w:rsid w:val="00CA294A"/>
    <w:rsid w:val="00CA2CCE"/>
    <w:rsid w:val="00CA3232"/>
    <w:rsid w:val="00CA39F6"/>
    <w:rsid w:val="00CA3C7D"/>
    <w:rsid w:val="00CA3C87"/>
    <w:rsid w:val="00CA3C9B"/>
    <w:rsid w:val="00CA3E85"/>
    <w:rsid w:val="00CA4068"/>
    <w:rsid w:val="00CA4361"/>
    <w:rsid w:val="00CA43FD"/>
    <w:rsid w:val="00CA48E9"/>
    <w:rsid w:val="00CA4A57"/>
    <w:rsid w:val="00CA4B23"/>
    <w:rsid w:val="00CA4C4D"/>
    <w:rsid w:val="00CA4CC4"/>
    <w:rsid w:val="00CA4F2B"/>
    <w:rsid w:val="00CA5231"/>
    <w:rsid w:val="00CA582E"/>
    <w:rsid w:val="00CA5874"/>
    <w:rsid w:val="00CA5879"/>
    <w:rsid w:val="00CA58D8"/>
    <w:rsid w:val="00CA5B70"/>
    <w:rsid w:val="00CA5BD0"/>
    <w:rsid w:val="00CA5CF8"/>
    <w:rsid w:val="00CA5DDA"/>
    <w:rsid w:val="00CA5E57"/>
    <w:rsid w:val="00CA6379"/>
    <w:rsid w:val="00CA6429"/>
    <w:rsid w:val="00CA6698"/>
    <w:rsid w:val="00CA6901"/>
    <w:rsid w:val="00CA6F44"/>
    <w:rsid w:val="00CA73AC"/>
    <w:rsid w:val="00CA73F2"/>
    <w:rsid w:val="00CA7D49"/>
    <w:rsid w:val="00CA7EF8"/>
    <w:rsid w:val="00CB03E7"/>
    <w:rsid w:val="00CB0482"/>
    <w:rsid w:val="00CB08D1"/>
    <w:rsid w:val="00CB0BE8"/>
    <w:rsid w:val="00CB0CE0"/>
    <w:rsid w:val="00CB1282"/>
    <w:rsid w:val="00CB14B7"/>
    <w:rsid w:val="00CB19C7"/>
    <w:rsid w:val="00CB2272"/>
    <w:rsid w:val="00CB2278"/>
    <w:rsid w:val="00CB242A"/>
    <w:rsid w:val="00CB2E33"/>
    <w:rsid w:val="00CB3112"/>
    <w:rsid w:val="00CB4680"/>
    <w:rsid w:val="00CB4D2B"/>
    <w:rsid w:val="00CB51E1"/>
    <w:rsid w:val="00CB61F0"/>
    <w:rsid w:val="00CB6230"/>
    <w:rsid w:val="00CB71D0"/>
    <w:rsid w:val="00CB7D1E"/>
    <w:rsid w:val="00CC01B4"/>
    <w:rsid w:val="00CC022F"/>
    <w:rsid w:val="00CC0480"/>
    <w:rsid w:val="00CC1138"/>
    <w:rsid w:val="00CC18C4"/>
    <w:rsid w:val="00CC1E6E"/>
    <w:rsid w:val="00CC1F64"/>
    <w:rsid w:val="00CC2606"/>
    <w:rsid w:val="00CC31B0"/>
    <w:rsid w:val="00CC3483"/>
    <w:rsid w:val="00CC3C8F"/>
    <w:rsid w:val="00CC4279"/>
    <w:rsid w:val="00CC489B"/>
    <w:rsid w:val="00CC4EF9"/>
    <w:rsid w:val="00CC5E37"/>
    <w:rsid w:val="00CC5EF5"/>
    <w:rsid w:val="00CC66F6"/>
    <w:rsid w:val="00CC6B76"/>
    <w:rsid w:val="00CC6CF2"/>
    <w:rsid w:val="00CC6F60"/>
    <w:rsid w:val="00CC7092"/>
    <w:rsid w:val="00CC724A"/>
    <w:rsid w:val="00CC734A"/>
    <w:rsid w:val="00CC74AB"/>
    <w:rsid w:val="00CC789F"/>
    <w:rsid w:val="00CC7D0E"/>
    <w:rsid w:val="00CD0BB3"/>
    <w:rsid w:val="00CD108E"/>
    <w:rsid w:val="00CD1306"/>
    <w:rsid w:val="00CD16AD"/>
    <w:rsid w:val="00CD1C77"/>
    <w:rsid w:val="00CD1F30"/>
    <w:rsid w:val="00CD29E5"/>
    <w:rsid w:val="00CD2BCD"/>
    <w:rsid w:val="00CD2C64"/>
    <w:rsid w:val="00CD2C78"/>
    <w:rsid w:val="00CD3572"/>
    <w:rsid w:val="00CD3619"/>
    <w:rsid w:val="00CD37D7"/>
    <w:rsid w:val="00CD39AB"/>
    <w:rsid w:val="00CD3A46"/>
    <w:rsid w:val="00CD3A4C"/>
    <w:rsid w:val="00CD3AF9"/>
    <w:rsid w:val="00CD3F90"/>
    <w:rsid w:val="00CD3F92"/>
    <w:rsid w:val="00CD4CA9"/>
    <w:rsid w:val="00CD58B7"/>
    <w:rsid w:val="00CD6246"/>
    <w:rsid w:val="00CD66D7"/>
    <w:rsid w:val="00CD6BED"/>
    <w:rsid w:val="00CD7B5E"/>
    <w:rsid w:val="00CD7CB7"/>
    <w:rsid w:val="00CE00D5"/>
    <w:rsid w:val="00CE0596"/>
    <w:rsid w:val="00CE109F"/>
    <w:rsid w:val="00CE10E9"/>
    <w:rsid w:val="00CE128B"/>
    <w:rsid w:val="00CE1B9C"/>
    <w:rsid w:val="00CE1CAF"/>
    <w:rsid w:val="00CE1E77"/>
    <w:rsid w:val="00CE261E"/>
    <w:rsid w:val="00CE2910"/>
    <w:rsid w:val="00CE316F"/>
    <w:rsid w:val="00CE3E08"/>
    <w:rsid w:val="00CE415C"/>
    <w:rsid w:val="00CE44CA"/>
    <w:rsid w:val="00CE4F67"/>
    <w:rsid w:val="00CE5393"/>
    <w:rsid w:val="00CE5F94"/>
    <w:rsid w:val="00CE5F9F"/>
    <w:rsid w:val="00CE6E4D"/>
    <w:rsid w:val="00CE6F2E"/>
    <w:rsid w:val="00CE7448"/>
    <w:rsid w:val="00CE7BF3"/>
    <w:rsid w:val="00CE7C36"/>
    <w:rsid w:val="00CE7D34"/>
    <w:rsid w:val="00CE7E12"/>
    <w:rsid w:val="00CF05E0"/>
    <w:rsid w:val="00CF0F2B"/>
    <w:rsid w:val="00CF1479"/>
    <w:rsid w:val="00CF154E"/>
    <w:rsid w:val="00CF157B"/>
    <w:rsid w:val="00CF1FEF"/>
    <w:rsid w:val="00CF24EA"/>
    <w:rsid w:val="00CF2625"/>
    <w:rsid w:val="00CF2B42"/>
    <w:rsid w:val="00CF3139"/>
    <w:rsid w:val="00CF32D1"/>
    <w:rsid w:val="00CF36BE"/>
    <w:rsid w:val="00CF3745"/>
    <w:rsid w:val="00CF39C3"/>
    <w:rsid w:val="00CF3DB1"/>
    <w:rsid w:val="00CF40B7"/>
    <w:rsid w:val="00CF5A4E"/>
    <w:rsid w:val="00CF5AAB"/>
    <w:rsid w:val="00CF5BD4"/>
    <w:rsid w:val="00CF6000"/>
    <w:rsid w:val="00CF6A59"/>
    <w:rsid w:val="00CF71CC"/>
    <w:rsid w:val="00CF7347"/>
    <w:rsid w:val="00CF75DE"/>
    <w:rsid w:val="00CF7613"/>
    <w:rsid w:val="00CF7792"/>
    <w:rsid w:val="00CF7B3C"/>
    <w:rsid w:val="00D002C6"/>
    <w:rsid w:val="00D003D4"/>
    <w:rsid w:val="00D003F3"/>
    <w:rsid w:val="00D003F6"/>
    <w:rsid w:val="00D0125A"/>
    <w:rsid w:val="00D01AFC"/>
    <w:rsid w:val="00D01DF5"/>
    <w:rsid w:val="00D02FB7"/>
    <w:rsid w:val="00D0361A"/>
    <w:rsid w:val="00D0364F"/>
    <w:rsid w:val="00D038DD"/>
    <w:rsid w:val="00D03ED5"/>
    <w:rsid w:val="00D04374"/>
    <w:rsid w:val="00D04420"/>
    <w:rsid w:val="00D04441"/>
    <w:rsid w:val="00D04A31"/>
    <w:rsid w:val="00D04CF9"/>
    <w:rsid w:val="00D058EF"/>
    <w:rsid w:val="00D05911"/>
    <w:rsid w:val="00D05A79"/>
    <w:rsid w:val="00D05A9F"/>
    <w:rsid w:val="00D05CB4"/>
    <w:rsid w:val="00D05E6E"/>
    <w:rsid w:val="00D06834"/>
    <w:rsid w:val="00D06985"/>
    <w:rsid w:val="00D06D48"/>
    <w:rsid w:val="00D07CB9"/>
    <w:rsid w:val="00D10055"/>
    <w:rsid w:val="00D10130"/>
    <w:rsid w:val="00D110B0"/>
    <w:rsid w:val="00D11C02"/>
    <w:rsid w:val="00D12068"/>
    <w:rsid w:val="00D12E56"/>
    <w:rsid w:val="00D13391"/>
    <w:rsid w:val="00D134CB"/>
    <w:rsid w:val="00D1376E"/>
    <w:rsid w:val="00D13912"/>
    <w:rsid w:val="00D14909"/>
    <w:rsid w:val="00D14D2E"/>
    <w:rsid w:val="00D14E9A"/>
    <w:rsid w:val="00D151D5"/>
    <w:rsid w:val="00D152E9"/>
    <w:rsid w:val="00D1580D"/>
    <w:rsid w:val="00D15C61"/>
    <w:rsid w:val="00D15F31"/>
    <w:rsid w:val="00D160A1"/>
    <w:rsid w:val="00D16239"/>
    <w:rsid w:val="00D16680"/>
    <w:rsid w:val="00D170C2"/>
    <w:rsid w:val="00D17D93"/>
    <w:rsid w:val="00D20665"/>
    <w:rsid w:val="00D20D7F"/>
    <w:rsid w:val="00D20FF5"/>
    <w:rsid w:val="00D212D1"/>
    <w:rsid w:val="00D213DF"/>
    <w:rsid w:val="00D2180C"/>
    <w:rsid w:val="00D22029"/>
    <w:rsid w:val="00D223D7"/>
    <w:rsid w:val="00D22DBE"/>
    <w:rsid w:val="00D23527"/>
    <w:rsid w:val="00D2385A"/>
    <w:rsid w:val="00D23B5D"/>
    <w:rsid w:val="00D243D7"/>
    <w:rsid w:val="00D2454B"/>
    <w:rsid w:val="00D24845"/>
    <w:rsid w:val="00D24AC6"/>
    <w:rsid w:val="00D24C4C"/>
    <w:rsid w:val="00D24CC5"/>
    <w:rsid w:val="00D255EC"/>
    <w:rsid w:val="00D25845"/>
    <w:rsid w:val="00D25E57"/>
    <w:rsid w:val="00D26A36"/>
    <w:rsid w:val="00D27DAF"/>
    <w:rsid w:val="00D27F67"/>
    <w:rsid w:val="00D301EA"/>
    <w:rsid w:val="00D307A6"/>
    <w:rsid w:val="00D308ED"/>
    <w:rsid w:val="00D310F8"/>
    <w:rsid w:val="00D3118F"/>
    <w:rsid w:val="00D31333"/>
    <w:rsid w:val="00D313F1"/>
    <w:rsid w:val="00D315FE"/>
    <w:rsid w:val="00D31834"/>
    <w:rsid w:val="00D31C8C"/>
    <w:rsid w:val="00D3218F"/>
    <w:rsid w:val="00D32563"/>
    <w:rsid w:val="00D326C9"/>
    <w:rsid w:val="00D327E0"/>
    <w:rsid w:val="00D33032"/>
    <w:rsid w:val="00D3361B"/>
    <w:rsid w:val="00D33E91"/>
    <w:rsid w:val="00D33F72"/>
    <w:rsid w:val="00D3409B"/>
    <w:rsid w:val="00D353D7"/>
    <w:rsid w:val="00D35C5B"/>
    <w:rsid w:val="00D36377"/>
    <w:rsid w:val="00D364E1"/>
    <w:rsid w:val="00D36D86"/>
    <w:rsid w:val="00D375CA"/>
    <w:rsid w:val="00D37637"/>
    <w:rsid w:val="00D37F21"/>
    <w:rsid w:val="00D4037D"/>
    <w:rsid w:val="00D40944"/>
    <w:rsid w:val="00D41C39"/>
    <w:rsid w:val="00D41FA3"/>
    <w:rsid w:val="00D4202C"/>
    <w:rsid w:val="00D4211A"/>
    <w:rsid w:val="00D428AA"/>
    <w:rsid w:val="00D42B05"/>
    <w:rsid w:val="00D42F94"/>
    <w:rsid w:val="00D4357C"/>
    <w:rsid w:val="00D43967"/>
    <w:rsid w:val="00D439CF"/>
    <w:rsid w:val="00D444B9"/>
    <w:rsid w:val="00D449CC"/>
    <w:rsid w:val="00D44E94"/>
    <w:rsid w:val="00D4538D"/>
    <w:rsid w:val="00D4639D"/>
    <w:rsid w:val="00D46444"/>
    <w:rsid w:val="00D46D75"/>
    <w:rsid w:val="00D46F44"/>
    <w:rsid w:val="00D47C8E"/>
    <w:rsid w:val="00D50204"/>
    <w:rsid w:val="00D50A34"/>
    <w:rsid w:val="00D50CFF"/>
    <w:rsid w:val="00D50D82"/>
    <w:rsid w:val="00D51106"/>
    <w:rsid w:val="00D51740"/>
    <w:rsid w:val="00D51F6F"/>
    <w:rsid w:val="00D53404"/>
    <w:rsid w:val="00D5362E"/>
    <w:rsid w:val="00D53833"/>
    <w:rsid w:val="00D53AB9"/>
    <w:rsid w:val="00D53EFA"/>
    <w:rsid w:val="00D54474"/>
    <w:rsid w:val="00D549A8"/>
    <w:rsid w:val="00D55301"/>
    <w:rsid w:val="00D55C85"/>
    <w:rsid w:val="00D56503"/>
    <w:rsid w:val="00D57010"/>
    <w:rsid w:val="00D573EB"/>
    <w:rsid w:val="00D57CF7"/>
    <w:rsid w:val="00D604FA"/>
    <w:rsid w:val="00D60F41"/>
    <w:rsid w:val="00D61884"/>
    <w:rsid w:val="00D618B5"/>
    <w:rsid w:val="00D618F9"/>
    <w:rsid w:val="00D62008"/>
    <w:rsid w:val="00D623F7"/>
    <w:rsid w:val="00D62437"/>
    <w:rsid w:val="00D62F9D"/>
    <w:rsid w:val="00D63019"/>
    <w:rsid w:val="00D632A4"/>
    <w:rsid w:val="00D63427"/>
    <w:rsid w:val="00D6395C"/>
    <w:rsid w:val="00D64074"/>
    <w:rsid w:val="00D64330"/>
    <w:rsid w:val="00D650F9"/>
    <w:rsid w:val="00D66014"/>
    <w:rsid w:val="00D663BA"/>
    <w:rsid w:val="00D66968"/>
    <w:rsid w:val="00D66A1D"/>
    <w:rsid w:val="00D67577"/>
    <w:rsid w:val="00D67DC3"/>
    <w:rsid w:val="00D70216"/>
    <w:rsid w:val="00D705A0"/>
    <w:rsid w:val="00D714D6"/>
    <w:rsid w:val="00D71EEE"/>
    <w:rsid w:val="00D71EFB"/>
    <w:rsid w:val="00D71F7B"/>
    <w:rsid w:val="00D723F7"/>
    <w:rsid w:val="00D7297C"/>
    <w:rsid w:val="00D72AE3"/>
    <w:rsid w:val="00D72F51"/>
    <w:rsid w:val="00D73134"/>
    <w:rsid w:val="00D738DA"/>
    <w:rsid w:val="00D73DFA"/>
    <w:rsid w:val="00D74432"/>
    <w:rsid w:val="00D746A1"/>
    <w:rsid w:val="00D74D16"/>
    <w:rsid w:val="00D74EA6"/>
    <w:rsid w:val="00D753CA"/>
    <w:rsid w:val="00D75706"/>
    <w:rsid w:val="00D758D9"/>
    <w:rsid w:val="00D75C4E"/>
    <w:rsid w:val="00D7653F"/>
    <w:rsid w:val="00D7658B"/>
    <w:rsid w:val="00D76AE2"/>
    <w:rsid w:val="00D7722D"/>
    <w:rsid w:val="00D778A5"/>
    <w:rsid w:val="00D77D20"/>
    <w:rsid w:val="00D80176"/>
    <w:rsid w:val="00D80184"/>
    <w:rsid w:val="00D8033E"/>
    <w:rsid w:val="00D8038B"/>
    <w:rsid w:val="00D804AE"/>
    <w:rsid w:val="00D808D4"/>
    <w:rsid w:val="00D8099E"/>
    <w:rsid w:val="00D809C4"/>
    <w:rsid w:val="00D810BC"/>
    <w:rsid w:val="00D81341"/>
    <w:rsid w:val="00D81994"/>
    <w:rsid w:val="00D824CF"/>
    <w:rsid w:val="00D8258C"/>
    <w:rsid w:val="00D82B66"/>
    <w:rsid w:val="00D82E20"/>
    <w:rsid w:val="00D83482"/>
    <w:rsid w:val="00D83F0F"/>
    <w:rsid w:val="00D845E6"/>
    <w:rsid w:val="00D84DFB"/>
    <w:rsid w:val="00D84EFE"/>
    <w:rsid w:val="00D85099"/>
    <w:rsid w:val="00D852F0"/>
    <w:rsid w:val="00D8552B"/>
    <w:rsid w:val="00D858CE"/>
    <w:rsid w:val="00D85D17"/>
    <w:rsid w:val="00D85EB1"/>
    <w:rsid w:val="00D85EF1"/>
    <w:rsid w:val="00D86383"/>
    <w:rsid w:val="00D872BC"/>
    <w:rsid w:val="00D87506"/>
    <w:rsid w:val="00D8755E"/>
    <w:rsid w:val="00D9034B"/>
    <w:rsid w:val="00D90B6F"/>
    <w:rsid w:val="00D911E7"/>
    <w:rsid w:val="00D9182C"/>
    <w:rsid w:val="00D9195C"/>
    <w:rsid w:val="00D91B57"/>
    <w:rsid w:val="00D924F2"/>
    <w:rsid w:val="00D931EF"/>
    <w:rsid w:val="00D9383F"/>
    <w:rsid w:val="00D93B00"/>
    <w:rsid w:val="00D93BA4"/>
    <w:rsid w:val="00D94809"/>
    <w:rsid w:val="00D94900"/>
    <w:rsid w:val="00D94A7C"/>
    <w:rsid w:val="00D94D09"/>
    <w:rsid w:val="00D9514D"/>
    <w:rsid w:val="00D95785"/>
    <w:rsid w:val="00D95896"/>
    <w:rsid w:val="00D95BA3"/>
    <w:rsid w:val="00D95BAB"/>
    <w:rsid w:val="00D95C75"/>
    <w:rsid w:val="00D96E7F"/>
    <w:rsid w:val="00D96E95"/>
    <w:rsid w:val="00DA0179"/>
    <w:rsid w:val="00DA01E5"/>
    <w:rsid w:val="00DA0953"/>
    <w:rsid w:val="00DA09E6"/>
    <w:rsid w:val="00DA0B79"/>
    <w:rsid w:val="00DA1435"/>
    <w:rsid w:val="00DA1761"/>
    <w:rsid w:val="00DA1DCC"/>
    <w:rsid w:val="00DA260D"/>
    <w:rsid w:val="00DA26A3"/>
    <w:rsid w:val="00DA3390"/>
    <w:rsid w:val="00DA3465"/>
    <w:rsid w:val="00DA3BBD"/>
    <w:rsid w:val="00DA4174"/>
    <w:rsid w:val="00DA42F1"/>
    <w:rsid w:val="00DA464D"/>
    <w:rsid w:val="00DA46FD"/>
    <w:rsid w:val="00DA6172"/>
    <w:rsid w:val="00DA61EF"/>
    <w:rsid w:val="00DA6FDB"/>
    <w:rsid w:val="00DA718A"/>
    <w:rsid w:val="00DA73A4"/>
    <w:rsid w:val="00DB099A"/>
    <w:rsid w:val="00DB0FB6"/>
    <w:rsid w:val="00DB1001"/>
    <w:rsid w:val="00DB119E"/>
    <w:rsid w:val="00DB1FCD"/>
    <w:rsid w:val="00DB2983"/>
    <w:rsid w:val="00DB29A4"/>
    <w:rsid w:val="00DB29BA"/>
    <w:rsid w:val="00DB3414"/>
    <w:rsid w:val="00DB346F"/>
    <w:rsid w:val="00DB352E"/>
    <w:rsid w:val="00DB4145"/>
    <w:rsid w:val="00DB4788"/>
    <w:rsid w:val="00DB47AD"/>
    <w:rsid w:val="00DB5C1D"/>
    <w:rsid w:val="00DB5E2D"/>
    <w:rsid w:val="00DB61B0"/>
    <w:rsid w:val="00DB673A"/>
    <w:rsid w:val="00DB7525"/>
    <w:rsid w:val="00DC0026"/>
    <w:rsid w:val="00DC02B9"/>
    <w:rsid w:val="00DC0D42"/>
    <w:rsid w:val="00DC0E5F"/>
    <w:rsid w:val="00DC0F9D"/>
    <w:rsid w:val="00DC1257"/>
    <w:rsid w:val="00DC1737"/>
    <w:rsid w:val="00DC25D6"/>
    <w:rsid w:val="00DC2CED"/>
    <w:rsid w:val="00DC2FE9"/>
    <w:rsid w:val="00DC3229"/>
    <w:rsid w:val="00DC3617"/>
    <w:rsid w:val="00DC380B"/>
    <w:rsid w:val="00DC3DC0"/>
    <w:rsid w:val="00DC4B1D"/>
    <w:rsid w:val="00DC53D7"/>
    <w:rsid w:val="00DC5B2B"/>
    <w:rsid w:val="00DC6522"/>
    <w:rsid w:val="00DC65A4"/>
    <w:rsid w:val="00DC65ED"/>
    <w:rsid w:val="00DC6D7D"/>
    <w:rsid w:val="00DC6F38"/>
    <w:rsid w:val="00DC6F91"/>
    <w:rsid w:val="00DC71C9"/>
    <w:rsid w:val="00DC73EB"/>
    <w:rsid w:val="00DC7419"/>
    <w:rsid w:val="00DC7820"/>
    <w:rsid w:val="00DC7C7A"/>
    <w:rsid w:val="00DD0135"/>
    <w:rsid w:val="00DD0173"/>
    <w:rsid w:val="00DD1478"/>
    <w:rsid w:val="00DD1A0A"/>
    <w:rsid w:val="00DD1BD4"/>
    <w:rsid w:val="00DD2638"/>
    <w:rsid w:val="00DD318D"/>
    <w:rsid w:val="00DD336E"/>
    <w:rsid w:val="00DD3D3B"/>
    <w:rsid w:val="00DD3E60"/>
    <w:rsid w:val="00DD4525"/>
    <w:rsid w:val="00DD4B1D"/>
    <w:rsid w:val="00DD5964"/>
    <w:rsid w:val="00DD5DCC"/>
    <w:rsid w:val="00DD60A2"/>
    <w:rsid w:val="00DD60E6"/>
    <w:rsid w:val="00DD65B8"/>
    <w:rsid w:val="00DD7142"/>
    <w:rsid w:val="00DD71FA"/>
    <w:rsid w:val="00DD732B"/>
    <w:rsid w:val="00DD73C5"/>
    <w:rsid w:val="00DD7AB6"/>
    <w:rsid w:val="00DD7E01"/>
    <w:rsid w:val="00DD7E4A"/>
    <w:rsid w:val="00DD7FD1"/>
    <w:rsid w:val="00DE0245"/>
    <w:rsid w:val="00DE0A07"/>
    <w:rsid w:val="00DE0B3E"/>
    <w:rsid w:val="00DE1CE1"/>
    <w:rsid w:val="00DE1D8F"/>
    <w:rsid w:val="00DE2185"/>
    <w:rsid w:val="00DE2424"/>
    <w:rsid w:val="00DE2426"/>
    <w:rsid w:val="00DE2751"/>
    <w:rsid w:val="00DE30EC"/>
    <w:rsid w:val="00DE3599"/>
    <w:rsid w:val="00DE41C5"/>
    <w:rsid w:val="00DE4378"/>
    <w:rsid w:val="00DE4615"/>
    <w:rsid w:val="00DE5D6D"/>
    <w:rsid w:val="00DE6724"/>
    <w:rsid w:val="00DE6959"/>
    <w:rsid w:val="00DE6A84"/>
    <w:rsid w:val="00DE7A8A"/>
    <w:rsid w:val="00DE7D50"/>
    <w:rsid w:val="00DF02A4"/>
    <w:rsid w:val="00DF039F"/>
    <w:rsid w:val="00DF0449"/>
    <w:rsid w:val="00DF0C15"/>
    <w:rsid w:val="00DF0CB7"/>
    <w:rsid w:val="00DF0E24"/>
    <w:rsid w:val="00DF1837"/>
    <w:rsid w:val="00DF1A7F"/>
    <w:rsid w:val="00DF1EBA"/>
    <w:rsid w:val="00DF2484"/>
    <w:rsid w:val="00DF2C3F"/>
    <w:rsid w:val="00DF2E12"/>
    <w:rsid w:val="00DF3396"/>
    <w:rsid w:val="00DF3C51"/>
    <w:rsid w:val="00DF4737"/>
    <w:rsid w:val="00DF4738"/>
    <w:rsid w:val="00DF4E31"/>
    <w:rsid w:val="00DF514A"/>
    <w:rsid w:val="00DF5D98"/>
    <w:rsid w:val="00DF6342"/>
    <w:rsid w:val="00DF6531"/>
    <w:rsid w:val="00DF6690"/>
    <w:rsid w:val="00DF6804"/>
    <w:rsid w:val="00DF6948"/>
    <w:rsid w:val="00DF6A10"/>
    <w:rsid w:val="00DF6C93"/>
    <w:rsid w:val="00DF6EC2"/>
    <w:rsid w:val="00DF72DE"/>
    <w:rsid w:val="00DF73ED"/>
    <w:rsid w:val="00DF749F"/>
    <w:rsid w:val="00DF7614"/>
    <w:rsid w:val="00DF7647"/>
    <w:rsid w:val="00E000BF"/>
    <w:rsid w:val="00E00267"/>
    <w:rsid w:val="00E00803"/>
    <w:rsid w:val="00E01D4A"/>
    <w:rsid w:val="00E021BC"/>
    <w:rsid w:val="00E022B9"/>
    <w:rsid w:val="00E024D2"/>
    <w:rsid w:val="00E02786"/>
    <w:rsid w:val="00E02D00"/>
    <w:rsid w:val="00E0358D"/>
    <w:rsid w:val="00E038FC"/>
    <w:rsid w:val="00E04030"/>
    <w:rsid w:val="00E04323"/>
    <w:rsid w:val="00E04621"/>
    <w:rsid w:val="00E04C96"/>
    <w:rsid w:val="00E04E01"/>
    <w:rsid w:val="00E05147"/>
    <w:rsid w:val="00E054B5"/>
    <w:rsid w:val="00E05E49"/>
    <w:rsid w:val="00E066B3"/>
    <w:rsid w:val="00E06876"/>
    <w:rsid w:val="00E06CBA"/>
    <w:rsid w:val="00E06F54"/>
    <w:rsid w:val="00E06FCA"/>
    <w:rsid w:val="00E070A2"/>
    <w:rsid w:val="00E0721A"/>
    <w:rsid w:val="00E07405"/>
    <w:rsid w:val="00E0752F"/>
    <w:rsid w:val="00E07594"/>
    <w:rsid w:val="00E07955"/>
    <w:rsid w:val="00E07AF6"/>
    <w:rsid w:val="00E07DA5"/>
    <w:rsid w:val="00E102BD"/>
    <w:rsid w:val="00E102EE"/>
    <w:rsid w:val="00E1053A"/>
    <w:rsid w:val="00E10AE5"/>
    <w:rsid w:val="00E11595"/>
    <w:rsid w:val="00E119DE"/>
    <w:rsid w:val="00E11EDA"/>
    <w:rsid w:val="00E124CF"/>
    <w:rsid w:val="00E12543"/>
    <w:rsid w:val="00E126B1"/>
    <w:rsid w:val="00E127B2"/>
    <w:rsid w:val="00E13177"/>
    <w:rsid w:val="00E132A0"/>
    <w:rsid w:val="00E134CD"/>
    <w:rsid w:val="00E1392D"/>
    <w:rsid w:val="00E13AD4"/>
    <w:rsid w:val="00E142FF"/>
    <w:rsid w:val="00E14677"/>
    <w:rsid w:val="00E1472E"/>
    <w:rsid w:val="00E1493D"/>
    <w:rsid w:val="00E14F69"/>
    <w:rsid w:val="00E15A72"/>
    <w:rsid w:val="00E15B65"/>
    <w:rsid w:val="00E16246"/>
    <w:rsid w:val="00E1625C"/>
    <w:rsid w:val="00E16C73"/>
    <w:rsid w:val="00E206B7"/>
    <w:rsid w:val="00E20977"/>
    <w:rsid w:val="00E213AB"/>
    <w:rsid w:val="00E215FA"/>
    <w:rsid w:val="00E21C30"/>
    <w:rsid w:val="00E222E7"/>
    <w:rsid w:val="00E22888"/>
    <w:rsid w:val="00E22E43"/>
    <w:rsid w:val="00E2317F"/>
    <w:rsid w:val="00E23C22"/>
    <w:rsid w:val="00E2406E"/>
    <w:rsid w:val="00E24489"/>
    <w:rsid w:val="00E25CDA"/>
    <w:rsid w:val="00E26122"/>
    <w:rsid w:val="00E2656A"/>
    <w:rsid w:val="00E2688E"/>
    <w:rsid w:val="00E26A7A"/>
    <w:rsid w:val="00E26C9E"/>
    <w:rsid w:val="00E26DBB"/>
    <w:rsid w:val="00E27124"/>
    <w:rsid w:val="00E27244"/>
    <w:rsid w:val="00E2744B"/>
    <w:rsid w:val="00E27574"/>
    <w:rsid w:val="00E2793F"/>
    <w:rsid w:val="00E27DBE"/>
    <w:rsid w:val="00E302B9"/>
    <w:rsid w:val="00E30CE7"/>
    <w:rsid w:val="00E315D0"/>
    <w:rsid w:val="00E320BB"/>
    <w:rsid w:val="00E32BAE"/>
    <w:rsid w:val="00E32C33"/>
    <w:rsid w:val="00E3322A"/>
    <w:rsid w:val="00E336E3"/>
    <w:rsid w:val="00E34327"/>
    <w:rsid w:val="00E34A08"/>
    <w:rsid w:val="00E353D1"/>
    <w:rsid w:val="00E3541A"/>
    <w:rsid w:val="00E35523"/>
    <w:rsid w:val="00E35656"/>
    <w:rsid w:val="00E356A7"/>
    <w:rsid w:val="00E356AB"/>
    <w:rsid w:val="00E3582A"/>
    <w:rsid w:val="00E35A8F"/>
    <w:rsid w:val="00E35EC9"/>
    <w:rsid w:val="00E360A5"/>
    <w:rsid w:val="00E36AA7"/>
    <w:rsid w:val="00E36F55"/>
    <w:rsid w:val="00E36FA0"/>
    <w:rsid w:val="00E37185"/>
    <w:rsid w:val="00E3765E"/>
    <w:rsid w:val="00E40D56"/>
    <w:rsid w:val="00E412D0"/>
    <w:rsid w:val="00E419BF"/>
    <w:rsid w:val="00E41FD1"/>
    <w:rsid w:val="00E4235B"/>
    <w:rsid w:val="00E4253C"/>
    <w:rsid w:val="00E42CBF"/>
    <w:rsid w:val="00E42D7F"/>
    <w:rsid w:val="00E43075"/>
    <w:rsid w:val="00E43B01"/>
    <w:rsid w:val="00E43C5B"/>
    <w:rsid w:val="00E44558"/>
    <w:rsid w:val="00E45205"/>
    <w:rsid w:val="00E45247"/>
    <w:rsid w:val="00E45328"/>
    <w:rsid w:val="00E4537E"/>
    <w:rsid w:val="00E455B7"/>
    <w:rsid w:val="00E45E0D"/>
    <w:rsid w:val="00E46D97"/>
    <w:rsid w:val="00E46EB1"/>
    <w:rsid w:val="00E47250"/>
    <w:rsid w:val="00E47304"/>
    <w:rsid w:val="00E476AB"/>
    <w:rsid w:val="00E508A2"/>
    <w:rsid w:val="00E50DA8"/>
    <w:rsid w:val="00E51105"/>
    <w:rsid w:val="00E513D0"/>
    <w:rsid w:val="00E51832"/>
    <w:rsid w:val="00E5189B"/>
    <w:rsid w:val="00E51BA7"/>
    <w:rsid w:val="00E5284E"/>
    <w:rsid w:val="00E52B38"/>
    <w:rsid w:val="00E52CA9"/>
    <w:rsid w:val="00E53036"/>
    <w:rsid w:val="00E536D1"/>
    <w:rsid w:val="00E53BB3"/>
    <w:rsid w:val="00E53CA8"/>
    <w:rsid w:val="00E53EE4"/>
    <w:rsid w:val="00E54054"/>
    <w:rsid w:val="00E5419D"/>
    <w:rsid w:val="00E542B9"/>
    <w:rsid w:val="00E54999"/>
    <w:rsid w:val="00E555F1"/>
    <w:rsid w:val="00E55B7A"/>
    <w:rsid w:val="00E560D5"/>
    <w:rsid w:val="00E56322"/>
    <w:rsid w:val="00E56C63"/>
    <w:rsid w:val="00E5735A"/>
    <w:rsid w:val="00E5753E"/>
    <w:rsid w:val="00E57915"/>
    <w:rsid w:val="00E60472"/>
    <w:rsid w:val="00E60982"/>
    <w:rsid w:val="00E60B13"/>
    <w:rsid w:val="00E61AF5"/>
    <w:rsid w:val="00E61D75"/>
    <w:rsid w:val="00E6217E"/>
    <w:rsid w:val="00E626FA"/>
    <w:rsid w:val="00E6298F"/>
    <w:rsid w:val="00E62C62"/>
    <w:rsid w:val="00E62E95"/>
    <w:rsid w:val="00E63864"/>
    <w:rsid w:val="00E63976"/>
    <w:rsid w:val="00E63CA1"/>
    <w:rsid w:val="00E63DE5"/>
    <w:rsid w:val="00E64305"/>
    <w:rsid w:val="00E6460C"/>
    <w:rsid w:val="00E654C1"/>
    <w:rsid w:val="00E65591"/>
    <w:rsid w:val="00E65D97"/>
    <w:rsid w:val="00E662A3"/>
    <w:rsid w:val="00E662C7"/>
    <w:rsid w:val="00E668A1"/>
    <w:rsid w:val="00E673E2"/>
    <w:rsid w:val="00E67708"/>
    <w:rsid w:val="00E67E57"/>
    <w:rsid w:val="00E67F5B"/>
    <w:rsid w:val="00E7077D"/>
    <w:rsid w:val="00E70E02"/>
    <w:rsid w:val="00E70FE7"/>
    <w:rsid w:val="00E714F0"/>
    <w:rsid w:val="00E719B1"/>
    <w:rsid w:val="00E71AC2"/>
    <w:rsid w:val="00E71F7B"/>
    <w:rsid w:val="00E72A5A"/>
    <w:rsid w:val="00E73354"/>
    <w:rsid w:val="00E7380E"/>
    <w:rsid w:val="00E73DF0"/>
    <w:rsid w:val="00E73E4F"/>
    <w:rsid w:val="00E74438"/>
    <w:rsid w:val="00E74EA4"/>
    <w:rsid w:val="00E74F0B"/>
    <w:rsid w:val="00E75144"/>
    <w:rsid w:val="00E7557C"/>
    <w:rsid w:val="00E75715"/>
    <w:rsid w:val="00E75B22"/>
    <w:rsid w:val="00E75C72"/>
    <w:rsid w:val="00E75FD3"/>
    <w:rsid w:val="00E76A1B"/>
    <w:rsid w:val="00E76B44"/>
    <w:rsid w:val="00E76E63"/>
    <w:rsid w:val="00E774CB"/>
    <w:rsid w:val="00E7793A"/>
    <w:rsid w:val="00E7795D"/>
    <w:rsid w:val="00E8018D"/>
    <w:rsid w:val="00E80195"/>
    <w:rsid w:val="00E81C5F"/>
    <w:rsid w:val="00E81F0F"/>
    <w:rsid w:val="00E82323"/>
    <w:rsid w:val="00E8255E"/>
    <w:rsid w:val="00E82A9F"/>
    <w:rsid w:val="00E82AA9"/>
    <w:rsid w:val="00E83542"/>
    <w:rsid w:val="00E83771"/>
    <w:rsid w:val="00E83D3B"/>
    <w:rsid w:val="00E83ED4"/>
    <w:rsid w:val="00E8407F"/>
    <w:rsid w:val="00E84130"/>
    <w:rsid w:val="00E844F7"/>
    <w:rsid w:val="00E846B3"/>
    <w:rsid w:val="00E846D5"/>
    <w:rsid w:val="00E8494D"/>
    <w:rsid w:val="00E84D6E"/>
    <w:rsid w:val="00E857AA"/>
    <w:rsid w:val="00E85E32"/>
    <w:rsid w:val="00E867AF"/>
    <w:rsid w:val="00E86CCB"/>
    <w:rsid w:val="00E86D77"/>
    <w:rsid w:val="00E8726A"/>
    <w:rsid w:val="00E87A68"/>
    <w:rsid w:val="00E87B1C"/>
    <w:rsid w:val="00E9015C"/>
    <w:rsid w:val="00E90B4A"/>
    <w:rsid w:val="00E90BB3"/>
    <w:rsid w:val="00E91194"/>
    <w:rsid w:val="00E911C9"/>
    <w:rsid w:val="00E91268"/>
    <w:rsid w:val="00E91AD4"/>
    <w:rsid w:val="00E91C0D"/>
    <w:rsid w:val="00E9242D"/>
    <w:rsid w:val="00E9292A"/>
    <w:rsid w:val="00E92BB6"/>
    <w:rsid w:val="00E932AD"/>
    <w:rsid w:val="00E93413"/>
    <w:rsid w:val="00E93694"/>
    <w:rsid w:val="00E93974"/>
    <w:rsid w:val="00E93EB0"/>
    <w:rsid w:val="00E94CBE"/>
    <w:rsid w:val="00E95D7C"/>
    <w:rsid w:val="00E95ED6"/>
    <w:rsid w:val="00E9636B"/>
    <w:rsid w:val="00E96AC8"/>
    <w:rsid w:val="00E96BE8"/>
    <w:rsid w:val="00E96D67"/>
    <w:rsid w:val="00E96D6A"/>
    <w:rsid w:val="00E96DBE"/>
    <w:rsid w:val="00E97F11"/>
    <w:rsid w:val="00E97FC1"/>
    <w:rsid w:val="00EA0107"/>
    <w:rsid w:val="00EA0C56"/>
    <w:rsid w:val="00EA0D72"/>
    <w:rsid w:val="00EA1037"/>
    <w:rsid w:val="00EA12CE"/>
    <w:rsid w:val="00EA166A"/>
    <w:rsid w:val="00EA17A6"/>
    <w:rsid w:val="00EA1898"/>
    <w:rsid w:val="00EA1D26"/>
    <w:rsid w:val="00EA1E24"/>
    <w:rsid w:val="00EA20E1"/>
    <w:rsid w:val="00EA2A1A"/>
    <w:rsid w:val="00EA3049"/>
    <w:rsid w:val="00EA3073"/>
    <w:rsid w:val="00EA3BC1"/>
    <w:rsid w:val="00EA3E9C"/>
    <w:rsid w:val="00EA40CE"/>
    <w:rsid w:val="00EA4798"/>
    <w:rsid w:val="00EA4A10"/>
    <w:rsid w:val="00EA4C2E"/>
    <w:rsid w:val="00EA4F9F"/>
    <w:rsid w:val="00EA5238"/>
    <w:rsid w:val="00EA549F"/>
    <w:rsid w:val="00EA5931"/>
    <w:rsid w:val="00EA5A16"/>
    <w:rsid w:val="00EA5C80"/>
    <w:rsid w:val="00EA61F1"/>
    <w:rsid w:val="00EA68C8"/>
    <w:rsid w:val="00EA75D8"/>
    <w:rsid w:val="00EB00C7"/>
    <w:rsid w:val="00EB03EB"/>
    <w:rsid w:val="00EB0781"/>
    <w:rsid w:val="00EB118B"/>
    <w:rsid w:val="00EB138B"/>
    <w:rsid w:val="00EB165B"/>
    <w:rsid w:val="00EB17B0"/>
    <w:rsid w:val="00EB21D3"/>
    <w:rsid w:val="00EB23B7"/>
    <w:rsid w:val="00EB26D9"/>
    <w:rsid w:val="00EB2BDE"/>
    <w:rsid w:val="00EB2E47"/>
    <w:rsid w:val="00EB331C"/>
    <w:rsid w:val="00EB3D2F"/>
    <w:rsid w:val="00EB40B4"/>
    <w:rsid w:val="00EB4114"/>
    <w:rsid w:val="00EB4151"/>
    <w:rsid w:val="00EB41D0"/>
    <w:rsid w:val="00EB5255"/>
    <w:rsid w:val="00EB526B"/>
    <w:rsid w:val="00EB5983"/>
    <w:rsid w:val="00EB5B8E"/>
    <w:rsid w:val="00EB5C47"/>
    <w:rsid w:val="00EB667A"/>
    <w:rsid w:val="00EB6E51"/>
    <w:rsid w:val="00EB7219"/>
    <w:rsid w:val="00EB764C"/>
    <w:rsid w:val="00EB7CF1"/>
    <w:rsid w:val="00EC15CB"/>
    <w:rsid w:val="00EC1E48"/>
    <w:rsid w:val="00EC23A4"/>
    <w:rsid w:val="00EC2A31"/>
    <w:rsid w:val="00EC2B86"/>
    <w:rsid w:val="00EC32E5"/>
    <w:rsid w:val="00EC3FB1"/>
    <w:rsid w:val="00EC46D0"/>
    <w:rsid w:val="00EC47D7"/>
    <w:rsid w:val="00EC48DA"/>
    <w:rsid w:val="00EC4BA7"/>
    <w:rsid w:val="00EC4E47"/>
    <w:rsid w:val="00EC5014"/>
    <w:rsid w:val="00EC529D"/>
    <w:rsid w:val="00EC596C"/>
    <w:rsid w:val="00EC60AA"/>
    <w:rsid w:val="00EC6214"/>
    <w:rsid w:val="00EC645E"/>
    <w:rsid w:val="00EC6C68"/>
    <w:rsid w:val="00EC6E32"/>
    <w:rsid w:val="00EC7018"/>
    <w:rsid w:val="00EC7082"/>
    <w:rsid w:val="00EC73CA"/>
    <w:rsid w:val="00EC758B"/>
    <w:rsid w:val="00EC7C98"/>
    <w:rsid w:val="00EC7DF3"/>
    <w:rsid w:val="00ED05CC"/>
    <w:rsid w:val="00ED05EF"/>
    <w:rsid w:val="00ED0639"/>
    <w:rsid w:val="00ED0D59"/>
    <w:rsid w:val="00ED1399"/>
    <w:rsid w:val="00ED1612"/>
    <w:rsid w:val="00ED196F"/>
    <w:rsid w:val="00ED1991"/>
    <w:rsid w:val="00ED20AB"/>
    <w:rsid w:val="00ED20E6"/>
    <w:rsid w:val="00ED268F"/>
    <w:rsid w:val="00ED2D7A"/>
    <w:rsid w:val="00ED2DF4"/>
    <w:rsid w:val="00ED2F78"/>
    <w:rsid w:val="00ED4173"/>
    <w:rsid w:val="00ED4D01"/>
    <w:rsid w:val="00ED572C"/>
    <w:rsid w:val="00ED58D3"/>
    <w:rsid w:val="00ED5C93"/>
    <w:rsid w:val="00ED6084"/>
    <w:rsid w:val="00ED6F61"/>
    <w:rsid w:val="00ED751F"/>
    <w:rsid w:val="00ED78AE"/>
    <w:rsid w:val="00ED7F86"/>
    <w:rsid w:val="00EE029C"/>
    <w:rsid w:val="00EE07FD"/>
    <w:rsid w:val="00EE0F01"/>
    <w:rsid w:val="00EE0FD9"/>
    <w:rsid w:val="00EE1538"/>
    <w:rsid w:val="00EE1705"/>
    <w:rsid w:val="00EE17C8"/>
    <w:rsid w:val="00EE1D36"/>
    <w:rsid w:val="00EE248D"/>
    <w:rsid w:val="00EE2A6B"/>
    <w:rsid w:val="00EE2F1E"/>
    <w:rsid w:val="00EE31AB"/>
    <w:rsid w:val="00EE37E5"/>
    <w:rsid w:val="00EE45E7"/>
    <w:rsid w:val="00EE463D"/>
    <w:rsid w:val="00EE488C"/>
    <w:rsid w:val="00EE5299"/>
    <w:rsid w:val="00EE5358"/>
    <w:rsid w:val="00EE5590"/>
    <w:rsid w:val="00EE56BF"/>
    <w:rsid w:val="00EE5B44"/>
    <w:rsid w:val="00EE6744"/>
    <w:rsid w:val="00EE68BA"/>
    <w:rsid w:val="00EE6A90"/>
    <w:rsid w:val="00EE74E3"/>
    <w:rsid w:val="00EE75FD"/>
    <w:rsid w:val="00EE7D24"/>
    <w:rsid w:val="00EE7D6B"/>
    <w:rsid w:val="00EE7F72"/>
    <w:rsid w:val="00EF0C60"/>
    <w:rsid w:val="00EF0CAC"/>
    <w:rsid w:val="00EF0F53"/>
    <w:rsid w:val="00EF217D"/>
    <w:rsid w:val="00EF225B"/>
    <w:rsid w:val="00EF2E9A"/>
    <w:rsid w:val="00EF3101"/>
    <w:rsid w:val="00EF313B"/>
    <w:rsid w:val="00EF344B"/>
    <w:rsid w:val="00EF3549"/>
    <w:rsid w:val="00EF35BA"/>
    <w:rsid w:val="00EF4055"/>
    <w:rsid w:val="00EF4755"/>
    <w:rsid w:val="00EF5435"/>
    <w:rsid w:val="00EF5A3B"/>
    <w:rsid w:val="00EF67C2"/>
    <w:rsid w:val="00EF68F3"/>
    <w:rsid w:val="00EF7135"/>
    <w:rsid w:val="00F00CA3"/>
    <w:rsid w:val="00F00D74"/>
    <w:rsid w:val="00F01023"/>
    <w:rsid w:val="00F0144D"/>
    <w:rsid w:val="00F017BF"/>
    <w:rsid w:val="00F02261"/>
    <w:rsid w:val="00F027DB"/>
    <w:rsid w:val="00F02DF9"/>
    <w:rsid w:val="00F04102"/>
    <w:rsid w:val="00F047E8"/>
    <w:rsid w:val="00F04A77"/>
    <w:rsid w:val="00F04F2F"/>
    <w:rsid w:val="00F052BE"/>
    <w:rsid w:val="00F05DDD"/>
    <w:rsid w:val="00F060C7"/>
    <w:rsid w:val="00F061DE"/>
    <w:rsid w:val="00F067B5"/>
    <w:rsid w:val="00F06DCF"/>
    <w:rsid w:val="00F0728F"/>
    <w:rsid w:val="00F0789E"/>
    <w:rsid w:val="00F105F2"/>
    <w:rsid w:val="00F10949"/>
    <w:rsid w:val="00F10DE4"/>
    <w:rsid w:val="00F11149"/>
    <w:rsid w:val="00F1154A"/>
    <w:rsid w:val="00F115A6"/>
    <w:rsid w:val="00F11AD1"/>
    <w:rsid w:val="00F11EEB"/>
    <w:rsid w:val="00F1203B"/>
    <w:rsid w:val="00F125E7"/>
    <w:rsid w:val="00F12B50"/>
    <w:rsid w:val="00F13033"/>
    <w:rsid w:val="00F134AA"/>
    <w:rsid w:val="00F13622"/>
    <w:rsid w:val="00F13B56"/>
    <w:rsid w:val="00F14026"/>
    <w:rsid w:val="00F148FA"/>
    <w:rsid w:val="00F14A7A"/>
    <w:rsid w:val="00F158FF"/>
    <w:rsid w:val="00F15A5F"/>
    <w:rsid w:val="00F15EC6"/>
    <w:rsid w:val="00F16598"/>
    <w:rsid w:val="00F168B9"/>
    <w:rsid w:val="00F17156"/>
    <w:rsid w:val="00F178B2"/>
    <w:rsid w:val="00F1799C"/>
    <w:rsid w:val="00F2013E"/>
    <w:rsid w:val="00F206CE"/>
    <w:rsid w:val="00F2077E"/>
    <w:rsid w:val="00F20957"/>
    <w:rsid w:val="00F21631"/>
    <w:rsid w:val="00F226B7"/>
    <w:rsid w:val="00F2277C"/>
    <w:rsid w:val="00F22985"/>
    <w:rsid w:val="00F230BB"/>
    <w:rsid w:val="00F23CDE"/>
    <w:rsid w:val="00F242F3"/>
    <w:rsid w:val="00F24382"/>
    <w:rsid w:val="00F245CB"/>
    <w:rsid w:val="00F24646"/>
    <w:rsid w:val="00F24715"/>
    <w:rsid w:val="00F248A7"/>
    <w:rsid w:val="00F24B62"/>
    <w:rsid w:val="00F24F07"/>
    <w:rsid w:val="00F25017"/>
    <w:rsid w:val="00F25260"/>
    <w:rsid w:val="00F25944"/>
    <w:rsid w:val="00F2676E"/>
    <w:rsid w:val="00F2754C"/>
    <w:rsid w:val="00F27B0F"/>
    <w:rsid w:val="00F30D66"/>
    <w:rsid w:val="00F312AF"/>
    <w:rsid w:val="00F31907"/>
    <w:rsid w:val="00F31940"/>
    <w:rsid w:val="00F3217D"/>
    <w:rsid w:val="00F32235"/>
    <w:rsid w:val="00F32B5F"/>
    <w:rsid w:val="00F33399"/>
    <w:rsid w:val="00F3367A"/>
    <w:rsid w:val="00F33755"/>
    <w:rsid w:val="00F3383E"/>
    <w:rsid w:val="00F339C0"/>
    <w:rsid w:val="00F33B20"/>
    <w:rsid w:val="00F33B5A"/>
    <w:rsid w:val="00F3459B"/>
    <w:rsid w:val="00F34604"/>
    <w:rsid w:val="00F347C6"/>
    <w:rsid w:val="00F354BA"/>
    <w:rsid w:val="00F35A0A"/>
    <w:rsid w:val="00F35B71"/>
    <w:rsid w:val="00F35CF1"/>
    <w:rsid w:val="00F35D7B"/>
    <w:rsid w:val="00F35FE1"/>
    <w:rsid w:val="00F36018"/>
    <w:rsid w:val="00F3661F"/>
    <w:rsid w:val="00F37741"/>
    <w:rsid w:val="00F37BD9"/>
    <w:rsid w:val="00F40018"/>
    <w:rsid w:val="00F402C1"/>
    <w:rsid w:val="00F404C7"/>
    <w:rsid w:val="00F40A70"/>
    <w:rsid w:val="00F40C9D"/>
    <w:rsid w:val="00F4130E"/>
    <w:rsid w:val="00F41C03"/>
    <w:rsid w:val="00F41EA7"/>
    <w:rsid w:val="00F422B5"/>
    <w:rsid w:val="00F425CD"/>
    <w:rsid w:val="00F42D3E"/>
    <w:rsid w:val="00F438BD"/>
    <w:rsid w:val="00F43B1D"/>
    <w:rsid w:val="00F43C77"/>
    <w:rsid w:val="00F44381"/>
    <w:rsid w:val="00F44CE1"/>
    <w:rsid w:val="00F44DA1"/>
    <w:rsid w:val="00F44DE2"/>
    <w:rsid w:val="00F45774"/>
    <w:rsid w:val="00F465A7"/>
    <w:rsid w:val="00F465E8"/>
    <w:rsid w:val="00F4686E"/>
    <w:rsid w:val="00F46873"/>
    <w:rsid w:val="00F4737E"/>
    <w:rsid w:val="00F5038C"/>
    <w:rsid w:val="00F50639"/>
    <w:rsid w:val="00F50B7C"/>
    <w:rsid w:val="00F50CA7"/>
    <w:rsid w:val="00F50D0B"/>
    <w:rsid w:val="00F50EA9"/>
    <w:rsid w:val="00F50F2C"/>
    <w:rsid w:val="00F5108F"/>
    <w:rsid w:val="00F51139"/>
    <w:rsid w:val="00F51161"/>
    <w:rsid w:val="00F5123B"/>
    <w:rsid w:val="00F51D79"/>
    <w:rsid w:val="00F51FA4"/>
    <w:rsid w:val="00F521AF"/>
    <w:rsid w:val="00F52919"/>
    <w:rsid w:val="00F52D02"/>
    <w:rsid w:val="00F52E2E"/>
    <w:rsid w:val="00F538EA"/>
    <w:rsid w:val="00F53DD6"/>
    <w:rsid w:val="00F53EDD"/>
    <w:rsid w:val="00F5427B"/>
    <w:rsid w:val="00F54525"/>
    <w:rsid w:val="00F5455E"/>
    <w:rsid w:val="00F54636"/>
    <w:rsid w:val="00F549DA"/>
    <w:rsid w:val="00F54C29"/>
    <w:rsid w:val="00F54E1F"/>
    <w:rsid w:val="00F550E6"/>
    <w:rsid w:val="00F55690"/>
    <w:rsid w:val="00F55A2C"/>
    <w:rsid w:val="00F5614A"/>
    <w:rsid w:val="00F575A8"/>
    <w:rsid w:val="00F57752"/>
    <w:rsid w:val="00F57AFC"/>
    <w:rsid w:val="00F57CC8"/>
    <w:rsid w:val="00F60018"/>
    <w:rsid w:val="00F60265"/>
    <w:rsid w:val="00F60458"/>
    <w:rsid w:val="00F606AF"/>
    <w:rsid w:val="00F6071F"/>
    <w:rsid w:val="00F6093D"/>
    <w:rsid w:val="00F61484"/>
    <w:rsid w:val="00F62440"/>
    <w:rsid w:val="00F62777"/>
    <w:rsid w:val="00F62B6F"/>
    <w:rsid w:val="00F630D8"/>
    <w:rsid w:val="00F63294"/>
    <w:rsid w:val="00F634E4"/>
    <w:rsid w:val="00F6383C"/>
    <w:rsid w:val="00F640C5"/>
    <w:rsid w:val="00F64148"/>
    <w:rsid w:val="00F645FF"/>
    <w:rsid w:val="00F64956"/>
    <w:rsid w:val="00F64CFF"/>
    <w:rsid w:val="00F64E48"/>
    <w:rsid w:val="00F65238"/>
    <w:rsid w:val="00F662F0"/>
    <w:rsid w:val="00F664CB"/>
    <w:rsid w:val="00F66922"/>
    <w:rsid w:val="00F66C23"/>
    <w:rsid w:val="00F66FF8"/>
    <w:rsid w:val="00F702ED"/>
    <w:rsid w:val="00F705DB"/>
    <w:rsid w:val="00F70DCF"/>
    <w:rsid w:val="00F719B6"/>
    <w:rsid w:val="00F71A9A"/>
    <w:rsid w:val="00F71C0A"/>
    <w:rsid w:val="00F72220"/>
    <w:rsid w:val="00F73040"/>
    <w:rsid w:val="00F736C3"/>
    <w:rsid w:val="00F73F96"/>
    <w:rsid w:val="00F74345"/>
    <w:rsid w:val="00F745A6"/>
    <w:rsid w:val="00F749CF"/>
    <w:rsid w:val="00F74CDD"/>
    <w:rsid w:val="00F755A0"/>
    <w:rsid w:val="00F758E0"/>
    <w:rsid w:val="00F759ED"/>
    <w:rsid w:val="00F75F6A"/>
    <w:rsid w:val="00F761DC"/>
    <w:rsid w:val="00F76694"/>
    <w:rsid w:val="00F76EF2"/>
    <w:rsid w:val="00F7753C"/>
    <w:rsid w:val="00F801CB"/>
    <w:rsid w:val="00F80A0A"/>
    <w:rsid w:val="00F80BD7"/>
    <w:rsid w:val="00F80D6C"/>
    <w:rsid w:val="00F81A09"/>
    <w:rsid w:val="00F81D3A"/>
    <w:rsid w:val="00F81E81"/>
    <w:rsid w:val="00F821A4"/>
    <w:rsid w:val="00F822AA"/>
    <w:rsid w:val="00F8235C"/>
    <w:rsid w:val="00F828FE"/>
    <w:rsid w:val="00F82B19"/>
    <w:rsid w:val="00F82B5F"/>
    <w:rsid w:val="00F831CB"/>
    <w:rsid w:val="00F831F9"/>
    <w:rsid w:val="00F8367D"/>
    <w:rsid w:val="00F84B64"/>
    <w:rsid w:val="00F84E1B"/>
    <w:rsid w:val="00F84E22"/>
    <w:rsid w:val="00F8697C"/>
    <w:rsid w:val="00F86D57"/>
    <w:rsid w:val="00F87029"/>
    <w:rsid w:val="00F87743"/>
    <w:rsid w:val="00F87A43"/>
    <w:rsid w:val="00F87FBB"/>
    <w:rsid w:val="00F90262"/>
    <w:rsid w:val="00F903F6"/>
    <w:rsid w:val="00F9062C"/>
    <w:rsid w:val="00F90D7F"/>
    <w:rsid w:val="00F91425"/>
    <w:rsid w:val="00F9212D"/>
    <w:rsid w:val="00F926FF"/>
    <w:rsid w:val="00F9271E"/>
    <w:rsid w:val="00F9279E"/>
    <w:rsid w:val="00F92C92"/>
    <w:rsid w:val="00F92FF6"/>
    <w:rsid w:val="00F9304D"/>
    <w:rsid w:val="00F9306D"/>
    <w:rsid w:val="00F93C1D"/>
    <w:rsid w:val="00F93F46"/>
    <w:rsid w:val="00F947F0"/>
    <w:rsid w:val="00F951EF"/>
    <w:rsid w:val="00F95621"/>
    <w:rsid w:val="00F9602E"/>
    <w:rsid w:val="00F960AD"/>
    <w:rsid w:val="00F96329"/>
    <w:rsid w:val="00F965DA"/>
    <w:rsid w:val="00F967B6"/>
    <w:rsid w:val="00F97F82"/>
    <w:rsid w:val="00FA0BF5"/>
    <w:rsid w:val="00FA12FC"/>
    <w:rsid w:val="00FA17F8"/>
    <w:rsid w:val="00FA298C"/>
    <w:rsid w:val="00FA30C6"/>
    <w:rsid w:val="00FA3142"/>
    <w:rsid w:val="00FA346B"/>
    <w:rsid w:val="00FA34A0"/>
    <w:rsid w:val="00FA372C"/>
    <w:rsid w:val="00FA3849"/>
    <w:rsid w:val="00FA38A5"/>
    <w:rsid w:val="00FA3DAB"/>
    <w:rsid w:val="00FA3FF2"/>
    <w:rsid w:val="00FA406A"/>
    <w:rsid w:val="00FA41CC"/>
    <w:rsid w:val="00FA4563"/>
    <w:rsid w:val="00FA5666"/>
    <w:rsid w:val="00FA5761"/>
    <w:rsid w:val="00FA615D"/>
    <w:rsid w:val="00FA615E"/>
    <w:rsid w:val="00FA65DD"/>
    <w:rsid w:val="00FA6860"/>
    <w:rsid w:val="00FA6997"/>
    <w:rsid w:val="00FA6B04"/>
    <w:rsid w:val="00FA79FF"/>
    <w:rsid w:val="00FB02C8"/>
    <w:rsid w:val="00FB0760"/>
    <w:rsid w:val="00FB086D"/>
    <w:rsid w:val="00FB0AD9"/>
    <w:rsid w:val="00FB0C10"/>
    <w:rsid w:val="00FB0CD8"/>
    <w:rsid w:val="00FB0EE9"/>
    <w:rsid w:val="00FB12E7"/>
    <w:rsid w:val="00FB1515"/>
    <w:rsid w:val="00FB1F16"/>
    <w:rsid w:val="00FB2B94"/>
    <w:rsid w:val="00FB2D0E"/>
    <w:rsid w:val="00FB2F45"/>
    <w:rsid w:val="00FB2F4D"/>
    <w:rsid w:val="00FB2FA8"/>
    <w:rsid w:val="00FB311B"/>
    <w:rsid w:val="00FB39D0"/>
    <w:rsid w:val="00FB3BAF"/>
    <w:rsid w:val="00FB3BE4"/>
    <w:rsid w:val="00FB3F7F"/>
    <w:rsid w:val="00FB428E"/>
    <w:rsid w:val="00FB42EF"/>
    <w:rsid w:val="00FB44F7"/>
    <w:rsid w:val="00FB4587"/>
    <w:rsid w:val="00FB503A"/>
    <w:rsid w:val="00FB516C"/>
    <w:rsid w:val="00FB5806"/>
    <w:rsid w:val="00FB58A8"/>
    <w:rsid w:val="00FB5DF3"/>
    <w:rsid w:val="00FB5EE8"/>
    <w:rsid w:val="00FB65DC"/>
    <w:rsid w:val="00FB7143"/>
    <w:rsid w:val="00FB73BC"/>
    <w:rsid w:val="00FB7C31"/>
    <w:rsid w:val="00FC005A"/>
    <w:rsid w:val="00FC0206"/>
    <w:rsid w:val="00FC04EE"/>
    <w:rsid w:val="00FC0AA0"/>
    <w:rsid w:val="00FC1912"/>
    <w:rsid w:val="00FC1D76"/>
    <w:rsid w:val="00FC1FBC"/>
    <w:rsid w:val="00FC20D6"/>
    <w:rsid w:val="00FC2287"/>
    <w:rsid w:val="00FC23D0"/>
    <w:rsid w:val="00FC27FC"/>
    <w:rsid w:val="00FC2998"/>
    <w:rsid w:val="00FC2A63"/>
    <w:rsid w:val="00FC2B43"/>
    <w:rsid w:val="00FC2B75"/>
    <w:rsid w:val="00FC2EEF"/>
    <w:rsid w:val="00FC3BEB"/>
    <w:rsid w:val="00FC3C9A"/>
    <w:rsid w:val="00FC3DD1"/>
    <w:rsid w:val="00FC3FC0"/>
    <w:rsid w:val="00FC4384"/>
    <w:rsid w:val="00FC52B6"/>
    <w:rsid w:val="00FC52F7"/>
    <w:rsid w:val="00FC60A6"/>
    <w:rsid w:val="00FC6674"/>
    <w:rsid w:val="00FC69A2"/>
    <w:rsid w:val="00FD0236"/>
    <w:rsid w:val="00FD079B"/>
    <w:rsid w:val="00FD0CED"/>
    <w:rsid w:val="00FD113F"/>
    <w:rsid w:val="00FD14EC"/>
    <w:rsid w:val="00FD18F4"/>
    <w:rsid w:val="00FD1BC1"/>
    <w:rsid w:val="00FD2576"/>
    <w:rsid w:val="00FD28B0"/>
    <w:rsid w:val="00FD2EE1"/>
    <w:rsid w:val="00FD3E51"/>
    <w:rsid w:val="00FD4610"/>
    <w:rsid w:val="00FD54DB"/>
    <w:rsid w:val="00FD56EF"/>
    <w:rsid w:val="00FD57CE"/>
    <w:rsid w:val="00FD5D1E"/>
    <w:rsid w:val="00FD619F"/>
    <w:rsid w:val="00FD695B"/>
    <w:rsid w:val="00FD6C95"/>
    <w:rsid w:val="00FD6FC5"/>
    <w:rsid w:val="00FD70FD"/>
    <w:rsid w:val="00FD7189"/>
    <w:rsid w:val="00FD72E3"/>
    <w:rsid w:val="00FD7A41"/>
    <w:rsid w:val="00FD7F7C"/>
    <w:rsid w:val="00FD7FB0"/>
    <w:rsid w:val="00FE0B87"/>
    <w:rsid w:val="00FE0D60"/>
    <w:rsid w:val="00FE1CE7"/>
    <w:rsid w:val="00FE1DC5"/>
    <w:rsid w:val="00FE21A0"/>
    <w:rsid w:val="00FE22B5"/>
    <w:rsid w:val="00FE22DD"/>
    <w:rsid w:val="00FE2D64"/>
    <w:rsid w:val="00FE3158"/>
    <w:rsid w:val="00FE3C6F"/>
    <w:rsid w:val="00FE3CA7"/>
    <w:rsid w:val="00FE3CF4"/>
    <w:rsid w:val="00FE436F"/>
    <w:rsid w:val="00FE4389"/>
    <w:rsid w:val="00FE4BF1"/>
    <w:rsid w:val="00FE4C7E"/>
    <w:rsid w:val="00FE4CF2"/>
    <w:rsid w:val="00FE50B8"/>
    <w:rsid w:val="00FE587B"/>
    <w:rsid w:val="00FE5B39"/>
    <w:rsid w:val="00FE5CC2"/>
    <w:rsid w:val="00FE73B8"/>
    <w:rsid w:val="00FE7EAD"/>
    <w:rsid w:val="00FF0502"/>
    <w:rsid w:val="00FF1115"/>
    <w:rsid w:val="00FF1347"/>
    <w:rsid w:val="00FF1825"/>
    <w:rsid w:val="00FF1FE1"/>
    <w:rsid w:val="00FF2550"/>
    <w:rsid w:val="00FF3530"/>
    <w:rsid w:val="00FF3592"/>
    <w:rsid w:val="00FF38BC"/>
    <w:rsid w:val="00FF3CD4"/>
    <w:rsid w:val="00FF4DD3"/>
    <w:rsid w:val="00FF5A96"/>
    <w:rsid w:val="00FF6308"/>
    <w:rsid w:val="00FF7221"/>
    <w:rsid w:val="00FF7462"/>
    <w:rsid w:val="00FF7530"/>
    <w:rsid w:val="00FF761A"/>
    <w:rsid w:val="00FF7B56"/>
    <w:rsid w:val="01290F7E"/>
    <w:rsid w:val="012D2A2A"/>
    <w:rsid w:val="0150576A"/>
    <w:rsid w:val="015D1E09"/>
    <w:rsid w:val="01E30C5F"/>
    <w:rsid w:val="02442C9C"/>
    <w:rsid w:val="02534155"/>
    <w:rsid w:val="02697903"/>
    <w:rsid w:val="02F96569"/>
    <w:rsid w:val="03651A54"/>
    <w:rsid w:val="03EA7B21"/>
    <w:rsid w:val="03F520B9"/>
    <w:rsid w:val="04045B3B"/>
    <w:rsid w:val="041A299B"/>
    <w:rsid w:val="04742754"/>
    <w:rsid w:val="04C866BD"/>
    <w:rsid w:val="05131B0A"/>
    <w:rsid w:val="052278BB"/>
    <w:rsid w:val="054F11C7"/>
    <w:rsid w:val="05843D0A"/>
    <w:rsid w:val="05A92A1D"/>
    <w:rsid w:val="05B47256"/>
    <w:rsid w:val="05F83EAE"/>
    <w:rsid w:val="063E7D85"/>
    <w:rsid w:val="06DC7496"/>
    <w:rsid w:val="07016EB2"/>
    <w:rsid w:val="071276A3"/>
    <w:rsid w:val="07293586"/>
    <w:rsid w:val="07295285"/>
    <w:rsid w:val="072E4FB8"/>
    <w:rsid w:val="07636392"/>
    <w:rsid w:val="07770C56"/>
    <w:rsid w:val="079A3CF2"/>
    <w:rsid w:val="07B35D39"/>
    <w:rsid w:val="07BF564D"/>
    <w:rsid w:val="07E81FC9"/>
    <w:rsid w:val="082962CE"/>
    <w:rsid w:val="092217DD"/>
    <w:rsid w:val="093A7294"/>
    <w:rsid w:val="09776422"/>
    <w:rsid w:val="09C00789"/>
    <w:rsid w:val="09DA2040"/>
    <w:rsid w:val="0A263993"/>
    <w:rsid w:val="0A2D3AC2"/>
    <w:rsid w:val="0A415398"/>
    <w:rsid w:val="0A5C2780"/>
    <w:rsid w:val="0A750904"/>
    <w:rsid w:val="0AA755DF"/>
    <w:rsid w:val="0B120D44"/>
    <w:rsid w:val="0B383019"/>
    <w:rsid w:val="0B555929"/>
    <w:rsid w:val="0B7047F9"/>
    <w:rsid w:val="0B9E48B8"/>
    <w:rsid w:val="0BD27BF6"/>
    <w:rsid w:val="0C3B3C7D"/>
    <w:rsid w:val="0CAB2EAE"/>
    <w:rsid w:val="0CB4412B"/>
    <w:rsid w:val="0CCC599E"/>
    <w:rsid w:val="0D056603"/>
    <w:rsid w:val="0D621C7D"/>
    <w:rsid w:val="0D951880"/>
    <w:rsid w:val="0DA1596F"/>
    <w:rsid w:val="0DC119CB"/>
    <w:rsid w:val="0DE01021"/>
    <w:rsid w:val="0E1C2E40"/>
    <w:rsid w:val="0E5E4831"/>
    <w:rsid w:val="0E73034D"/>
    <w:rsid w:val="0EA3673B"/>
    <w:rsid w:val="0EDB4628"/>
    <w:rsid w:val="0EF341BC"/>
    <w:rsid w:val="0EFF0405"/>
    <w:rsid w:val="0F13775A"/>
    <w:rsid w:val="0F225B97"/>
    <w:rsid w:val="0F3550C8"/>
    <w:rsid w:val="0F552568"/>
    <w:rsid w:val="0F5F45FE"/>
    <w:rsid w:val="0F950C0B"/>
    <w:rsid w:val="0F95746B"/>
    <w:rsid w:val="0F9A112B"/>
    <w:rsid w:val="106D2F64"/>
    <w:rsid w:val="10B63710"/>
    <w:rsid w:val="10F10820"/>
    <w:rsid w:val="10FE4BED"/>
    <w:rsid w:val="111C2F7A"/>
    <w:rsid w:val="11665CA1"/>
    <w:rsid w:val="1199745A"/>
    <w:rsid w:val="11A65E59"/>
    <w:rsid w:val="12093C55"/>
    <w:rsid w:val="12281DB7"/>
    <w:rsid w:val="135B4107"/>
    <w:rsid w:val="13951726"/>
    <w:rsid w:val="13AB7A26"/>
    <w:rsid w:val="14396509"/>
    <w:rsid w:val="14BA600C"/>
    <w:rsid w:val="14DD2C3C"/>
    <w:rsid w:val="151C4634"/>
    <w:rsid w:val="15CE4D52"/>
    <w:rsid w:val="16087E1D"/>
    <w:rsid w:val="1651022B"/>
    <w:rsid w:val="16FA3301"/>
    <w:rsid w:val="175411AB"/>
    <w:rsid w:val="176B2342"/>
    <w:rsid w:val="17701D14"/>
    <w:rsid w:val="17735226"/>
    <w:rsid w:val="189F624C"/>
    <w:rsid w:val="190730F2"/>
    <w:rsid w:val="193257CD"/>
    <w:rsid w:val="19B906A4"/>
    <w:rsid w:val="19C73A77"/>
    <w:rsid w:val="1A1C66C0"/>
    <w:rsid w:val="1A3E4011"/>
    <w:rsid w:val="1A3F7F72"/>
    <w:rsid w:val="1A42393B"/>
    <w:rsid w:val="1A593B4E"/>
    <w:rsid w:val="1AAD45DE"/>
    <w:rsid w:val="1AC52FF2"/>
    <w:rsid w:val="1B046F80"/>
    <w:rsid w:val="1B071A43"/>
    <w:rsid w:val="1B1C0922"/>
    <w:rsid w:val="1B254F07"/>
    <w:rsid w:val="1B3267B5"/>
    <w:rsid w:val="1B40161D"/>
    <w:rsid w:val="1B441859"/>
    <w:rsid w:val="1B4A6761"/>
    <w:rsid w:val="1B51749F"/>
    <w:rsid w:val="1B6606B1"/>
    <w:rsid w:val="1B9E77DD"/>
    <w:rsid w:val="1BA84A19"/>
    <w:rsid w:val="1C047D65"/>
    <w:rsid w:val="1C5E7925"/>
    <w:rsid w:val="1CFD070F"/>
    <w:rsid w:val="1D1A12F0"/>
    <w:rsid w:val="1D553B5C"/>
    <w:rsid w:val="1D5F6196"/>
    <w:rsid w:val="1D6132A5"/>
    <w:rsid w:val="1D8E56D5"/>
    <w:rsid w:val="1DA2324A"/>
    <w:rsid w:val="1DDD7D99"/>
    <w:rsid w:val="1DFD1B43"/>
    <w:rsid w:val="1DFF01B9"/>
    <w:rsid w:val="1E5B0BDF"/>
    <w:rsid w:val="1E7A43DA"/>
    <w:rsid w:val="1E86425F"/>
    <w:rsid w:val="1E900C2C"/>
    <w:rsid w:val="1ECE1E37"/>
    <w:rsid w:val="1F5456DE"/>
    <w:rsid w:val="1FA37E2C"/>
    <w:rsid w:val="1FAC5655"/>
    <w:rsid w:val="1FD006D7"/>
    <w:rsid w:val="1FE7539E"/>
    <w:rsid w:val="20105B63"/>
    <w:rsid w:val="20671BE0"/>
    <w:rsid w:val="20963CB8"/>
    <w:rsid w:val="20A81A1B"/>
    <w:rsid w:val="20B07FB6"/>
    <w:rsid w:val="20B646FB"/>
    <w:rsid w:val="213B74B1"/>
    <w:rsid w:val="215A2310"/>
    <w:rsid w:val="21A51475"/>
    <w:rsid w:val="21CB6405"/>
    <w:rsid w:val="21D27FE9"/>
    <w:rsid w:val="21DC6EC2"/>
    <w:rsid w:val="21DE318A"/>
    <w:rsid w:val="21EF5B80"/>
    <w:rsid w:val="22341BA8"/>
    <w:rsid w:val="223948DE"/>
    <w:rsid w:val="22576990"/>
    <w:rsid w:val="229B6AFB"/>
    <w:rsid w:val="22AC1FCB"/>
    <w:rsid w:val="22D12F02"/>
    <w:rsid w:val="22F47480"/>
    <w:rsid w:val="233465AA"/>
    <w:rsid w:val="23A16047"/>
    <w:rsid w:val="23BD5497"/>
    <w:rsid w:val="23D3145D"/>
    <w:rsid w:val="23D34A58"/>
    <w:rsid w:val="23DE1C48"/>
    <w:rsid w:val="23EF31DC"/>
    <w:rsid w:val="240210CD"/>
    <w:rsid w:val="24253226"/>
    <w:rsid w:val="247C63A4"/>
    <w:rsid w:val="24BF09F7"/>
    <w:rsid w:val="24D85F70"/>
    <w:rsid w:val="24E82562"/>
    <w:rsid w:val="250C4C4A"/>
    <w:rsid w:val="251903EC"/>
    <w:rsid w:val="252D53FE"/>
    <w:rsid w:val="25EC2D81"/>
    <w:rsid w:val="260B4133"/>
    <w:rsid w:val="2621323D"/>
    <w:rsid w:val="26C77F87"/>
    <w:rsid w:val="26CE3129"/>
    <w:rsid w:val="270612F7"/>
    <w:rsid w:val="271B1344"/>
    <w:rsid w:val="273C35D0"/>
    <w:rsid w:val="277057A2"/>
    <w:rsid w:val="27BE4D86"/>
    <w:rsid w:val="27DD1CA8"/>
    <w:rsid w:val="281C4746"/>
    <w:rsid w:val="286B1BB5"/>
    <w:rsid w:val="28BC00F7"/>
    <w:rsid w:val="28C82B19"/>
    <w:rsid w:val="28F1480E"/>
    <w:rsid w:val="29057462"/>
    <w:rsid w:val="290B578D"/>
    <w:rsid w:val="29206EB8"/>
    <w:rsid w:val="29595666"/>
    <w:rsid w:val="29874881"/>
    <w:rsid w:val="29E325E0"/>
    <w:rsid w:val="2A452503"/>
    <w:rsid w:val="2A45762F"/>
    <w:rsid w:val="2A6B2CD2"/>
    <w:rsid w:val="2A985CAA"/>
    <w:rsid w:val="2ABA0C68"/>
    <w:rsid w:val="2B3A6011"/>
    <w:rsid w:val="2B6F1D08"/>
    <w:rsid w:val="2B8B150B"/>
    <w:rsid w:val="2BA936A8"/>
    <w:rsid w:val="2BDB487A"/>
    <w:rsid w:val="2BDD3CFB"/>
    <w:rsid w:val="2C101269"/>
    <w:rsid w:val="2C315A5A"/>
    <w:rsid w:val="2C44572F"/>
    <w:rsid w:val="2C4B1C25"/>
    <w:rsid w:val="2C6B6500"/>
    <w:rsid w:val="2CBC6B50"/>
    <w:rsid w:val="2D9E56F5"/>
    <w:rsid w:val="2DDD2762"/>
    <w:rsid w:val="2DDD45F4"/>
    <w:rsid w:val="2E0F16E3"/>
    <w:rsid w:val="2E424CB4"/>
    <w:rsid w:val="2E667F96"/>
    <w:rsid w:val="2E8226AB"/>
    <w:rsid w:val="2E8362D8"/>
    <w:rsid w:val="2F1F0932"/>
    <w:rsid w:val="2F5105FC"/>
    <w:rsid w:val="2F6A2794"/>
    <w:rsid w:val="2FA95001"/>
    <w:rsid w:val="2FD065E6"/>
    <w:rsid w:val="2FD66AE2"/>
    <w:rsid w:val="2FD96870"/>
    <w:rsid w:val="30580BC9"/>
    <w:rsid w:val="30A423FB"/>
    <w:rsid w:val="30CA01B4"/>
    <w:rsid w:val="30DF69C9"/>
    <w:rsid w:val="311E2ED7"/>
    <w:rsid w:val="315619EE"/>
    <w:rsid w:val="315C449C"/>
    <w:rsid w:val="31A64643"/>
    <w:rsid w:val="31B82709"/>
    <w:rsid w:val="31D05482"/>
    <w:rsid w:val="320457AA"/>
    <w:rsid w:val="32046528"/>
    <w:rsid w:val="320B4127"/>
    <w:rsid w:val="32400B34"/>
    <w:rsid w:val="32436F61"/>
    <w:rsid w:val="329E6876"/>
    <w:rsid w:val="32E17E07"/>
    <w:rsid w:val="333015F2"/>
    <w:rsid w:val="334B6320"/>
    <w:rsid w:val="33D934D4"/>
    <w:rsid w:val="33FE2F6A"/>
    <w:rsid w:val="340E07E5"/>
    <w:rsid w:val="34235BF7"/>
    <w:rsid w:val="349110D6"/>
    <w:rsid w:val="34BC0E05"/>
    <w:rsid w:val="351D1843"/>
    <w:rsid w:val="353A0F5E"/>
    <w:rsid w:val="358C5FA8"/>
    <w:rsid w:val="35C15DF1"/>
    <w:rsid w:val="35FF7AE2"/>
    <w:rsid w:val="36074A7F"/>
    <w:rsid w:val="36923549"/>
    <w:rsid w:val="36B75FBF"/>
    <w:rsid w:val="36BD0C45"/>
    <w:rsid w:val="36C263DC"/>
    <w:rsid w:val="36CC5ED8"/>
    <w:rsid w:val="36D54E7F"/>
    <w:rsid w:val="37187253"/>
    <w:rsid w:val="37E00298"/>
    <w:rsid w:val="38271E0A"/>
    <w:rsid w:val="38420E2A"/>
    <w:rsid w:val="38B302F9"/>
    <w:rsid w:val="38F12CD3"/>
    <w:rsid w:val="38F94775"/>
    <w:rsid w:val="3918273F"/>
    <w:rsid w:val="392971ED"/>
    <w:rsid w:val="39325651"/>
    <w:rsid w:val="394B7113"/>
    <w:rsid w:val="39540139"/>
    <w:rsid w:val="39847037"/>
    <w:rsid w:val="39E4715E"/>
    <w:rsid w:val="3A25790A"/>
    <w:rsid w:val="3A86126C"/>
    <w:rsid w:val="3A872856"/>
    <w:rsid w:val="3AB75076"/>
    <w:rsid w:val="3B0F0020"/>
    <w:rsid w:val="3B3763D1"/>
    <w:rsid w:val="3BBE2852"/>
    <w:rsid w:val="3BE23E09"/>
    <w:rsid w:val="3C2F6E1E"/>
    <w:rsid w:val="3C302E2D"/>
    <w:rsid w:val="3C4F64BA"/>
    <w:rsid w:val="3C614F2B"/>
    <w:rsid w:val="3CB6466C"/>
    <w:rsid w:val="3CDA245A"/>
    <w:rsid w:val="3CDF1806"/>
    <w:rsid w:val="3D1E06B7"/>
    <w:rsid w:val="3DE7298E"/>
    <w:rsid w:val="3E495A28"/>
    <w:rsid w:val="3ED27061"/>
    <w:rsid w:val="3EDA0523"/>
    <w:rsid w:val="3F1D55B8"/>
    <w:rsid w:val="3F3B5E57"/>
    <w:rsid w:val="3F3E1078"/>
    <w:rsid w:val="3FDE7EE7"/>
    <w:rsid w:val="407A6407"/>
    <w:rsid w:val="409B2DAA"/>
    <w:rsid w:val="40FF506A"/>
    <w:rsid w:val="41994793"/>
    <w:rsid w:val="41B9630E"/>
    <w:rsid w:val="41EC6FB9"/>
    <w:rsid w:val="4200449D"/>
    <w:rsid w:val="42270CEC"/>
    <w:rsid w:val="423A3BCC"/>
    <w:rsid w:val="424E57D2"/>
    <w:rsid w:val="42875014"/>
    <w:rsid w:val="428949CC"/>
    <w:rsid w:val="42B26C49"/>
    <w:rsid w:val="42E134BC"/>
    <w:rsid w:val="433A6FE6"/>
    <w:rsid w:val="43480868"/>
    <w:rsid w:val="4350713C"/>
    <w:rsid w:val="436653E0"/>
    <w:rsid w:val="43C4431A"/>
    <w:rsid w:val="43F0419D"/>
    <w:rsid w:val="44301541"/>
    <w:rsid w:val="44AB4F09"/>
    <w:rsid w:val="44B951CC"/>
    <w:rsid w:val="44CD14E0"/>
    <w:rsid w:val="44F20B0B"/>
    <w:rsid w:val="44FD17A7"/>
    <w:rsid w:val="45140D01"/>
    <w:rsid w:val="452E5F4C"/>
    <w:rsid w:val="45612018"/>
    <w:rsid w:val="45723C7C"/>
    <w:rsid w:val="458946E9"/>
    <w:rsid w:val="45A47C0E"/>
    <w:rsid w:val="45B5503D"/>
    <w:rsid w:val="45CA1F3E"/>
    <w:rsid w:val="45D76E13"/>
    <w:rsid w:val="464D4B7E"/>
    <w:rsid w:val="46577FD6"/>
    <w:rsid w:val="468E6D57"/>
    <w:rsid w:val="46960488"/>
    <w:rsid w:val="46D955A7"/>
    <w:rsid w:val="47133957"/>
    <w:rsid w:val="47A07E0C"/>
    <w:rsid w:val="481C620A"/>
    <w:rsid w:val="4870272E"/>
    <w:rsid w:val="48AF39A4"/>
    <w:rsid w:val="48E320F8"/>
    <w:rsid w:val="48FF3E1F"/>
    <w:rsid w:val="49101EC6"/>
    <w:rsid w:val="494A4FF4"/>
    <w:rsid w:val="49DC7715"/>
    <w:rsid w:val="49EA3B0F"/>
    <w:rsid w:val="4A023139"/>
    <w:rsid w:val="4A28475B"/>
    <w:rsid w:val="4A520A07"/>
    <w:rsid w:val="4A7B576F"/>
    <w:rsid w:val="4ABE3D80"/>
    <w:rsid w:val="4AC60109"/>
    <w:rsid w:val="4AF561A9"/>
    <w:rsid w:val="4B0F7073"/>
    <w:rsid w:val="4B583C56"/>
    <w:rsid w:val="4C4A0649"/>
    <w:rsid w:val="4C7E5ECA"/>
    <w:rsid w:val="4C876AA5"/>
    <w:rsid w:val="4CF91016"/>
    <w:rsid w:val="4D0A1392"/>
    <w:rsid w:val="4D0E00FB"/>
    <w:rsid w:val="4D176606"/>
    <w:rsid w:val="4D4A7427"/>
    <w:rsid w:val="4D59036B"/>
    <w:rsid w:val="4DE73DB1"/>
    <w:rsid w:val="4DEC4FB0"/>
    <w:rsid w:val="4DF6509F"/>
    <w:rsid w:val="4E075D8A"/>
    <w:rsid w:val="4EC00FAD"/>
    <w:rsid w:val="4F9843DC"/>
    <w:rsid w:val="4FC62A8C"/>
    <w:rsid w:val="4FE20F0D"/>
    <w:rsid w:val="4FE51552"/>
    <w:rsid w:val="50013D3B"/>
    <w:rsid w:val="50497B34"/>
    <w:rsid w:val="50504C4B"/>
    <w:rsid w:val="5053752A"/>
    <w:rsid w:val="506972BF"/>
    <w:rsid w:val="509C6E7C"/>
    <w:rsid w:val="50BA7426"/>
    <w:rsid w:val="50C76EAB"/>
    <w:rsid w:val="5133751E"/>
    <w:rsid w:val="5162104E"/>
    <w:rsid w:val="51A82DC5"/>
    <w:rsid w:val="52A62BD2"/>
    <w:rsid w:val="52E74EC7"/>
    <w:rsid w:val="53606055"/>
    <w:rsid w:val="537B527C"/>
    <w:rsid w:val="5399581E"/>
    <w:rsid w:val="53A039CC"/>
    <w:rsid w:val="53A1505A"/>
    <w:rsid w:val="53F50F2E"/>
    <w:rsid w:val="54063E08"/>
    <w:rsid w:val="543437E8"/>
    <w:rsid w:val="547F57B8"/>
    <w:rsid w:val="54951C84"/>
    <w:rsid w:val="54A749AC"/>
    <w:rsid w:val="54F73313"/>
    <w:rsid w:val="54F80955"/>
    <w:rsid w:val="552B1373"/>
    <w:rsid w:val="555170A7"/>
    <w:rsid w:val="5587536D"/>
    <w:rsid w:val="559A700D"/>
    <w:rsid w:val="559B174B"/>
    <w:rsid w:val="559C0DCD"/>
    <w:rsid w:val="55CE0CF4"/>
    <w:rsid w:val="564B262E"/>
    <w:rsid w:val="56772BFE"/>
    <w:rsid w:val="56B22A9C"/>
    <w:rsid w:val="5728477E"/>
    <w:rsid w:val="575408EA"/>
    <w:rsid w:val="579B705F"/>
    <w:rsid w:val="57B72A76"/>
    <w:rsid w:val="57C3426C"/>
    <w:rsid w:val="57CE1F93"/>
    <w:rsid w:val="588743D1"/>
    <w:rsid w:val="5887701A"/>
    <w:rsid w:val="58925DF9"/>
    <w:rsid w:val="589D33AA"/>
    <w:rsid w:val="59C0439F"/>
    <w:rsid w:val="59D87621"/>
    <w:rsid w:val="5A104695"/>
    <w:rsid w:val="5A386F4E"/>
    <w:rsid w:val="5A7151A4"/>
    <w:rsid w:val="5A903DEF"/>
    <w:rsid w:val="5A9164F8"/>
    <w:rsid w:val="5AA94496"/>
    <w:rsid w:val="5ABE2233"/>
    <w:rsid w:val="5B79228F"/>
    <w:rsid w:val="5BD57C30"/>
    <w:rsid w:val="5BDF5D95"/>
    <w:rsid w:val="5BED7A8A"/>
    <w:rsid w:val="5BFE7528"/>
    <w:rsid w:val="5C673641"/>
    <w:rsid w:val="5C7F2224"/>
    <w:rsid w:val="5D7A55A8"/>
    <w:rsid w:val="5DB04015"/>
    <w:rsid w:val="5E2467F1"/>
    <w:rsid w:val="5E273154"/>
    <w:rsid w:val="5EE04DE6"/>
    <w:rsid w:val="5EE53048"/>
    <w:rsid w:val="5F1A2B43"/>
    <w:rsid w:val="5F8215CF"/>
    <w:rsid w:val="5FB837BB"/>
    <w:rsid w:val="5FE91459"/>
    <w:rsid w:val="60630DE6"/>
    <w:rsid w:val="60B57257"/>
    <w:rsid w:val="60CC405A"/>
    <w:rsid w:val="61174194"/>
    <w:rsid w:val="6138446C"/>
    <w:rsid w:val="61497B2C"/>
    <w:rsid w:val="61963666"/>
    <w:rsid w:val="61E215D8"/>
    <w:rsid w:val="62091090"/>
    <w:rsid w:val="621B3775"/>
    <w:rsid w:val="62315ED8"/>
    <w:rsid w:val="62364782"/>
    <w:rsid w:val="626B2406"/>
    <w:rsid w:val="629F6FB6"/>
    <w:rsid w:val="634D5A41"/>
    <w:rsid w:val="637301A8"/>
    <w:rsid w:val="6394356A"/>
    <w:rsid w:val="63C61B2C"/>
    <w:rsid w:val="63CE4280"/>
    <w:rsid w:val="63D40BE9"/>
    <w:rsid w:val="64102431"/>
    <w:rsid w:val="64162907"/>
    <w:rsid w:val="6429154F"/>
    <w:rsid w:val="64984643"/>
    <w:rsid w:val="64A5243A"/>
    <w:rsid w:val="64F531DE"/>
    <w:rsid w:val="65373578"/>
    <w:rsid w:val="655C29BA"/>
    <w:rsid w:val="65721DDE"/>
    <w:rsid w:val="65A75ABB"/>
    <w:rsid w:val="65DF6369"/>
    <w:rsid w:val="661D5B86"/>
    <w:rsid w:val="66917C39"/>
    <w:rsid w:val="66CA1659"/>
    <w:rsid w:val="66FE624E"/>
    <w:rsid w:val="671F124A"/>
    <w:rsid w:val="677A33C6"/>
    <w:rsid w:val="67BE4E07"/>
    <w:rsid w:val="67FC60FE"/>
    <w:rsid w:val="681F6961"/>
    <w:rsid w:val="68610A2F"/>
    <w:rsid w:val="68805514"/>
    <w:rsid w:val="68A225AE"/>
    <w:rsid w:val="68A727A1"/>
    <w:rsid w:val="68B44968"/>
    <w:rsid w:val="69316E2F"/>
    <w:rsid w:val="69397411"/>
    <w:rsid w:val="694E2071"/>
    <w:rsid w:val="695518DE"/>
    <w:rsid w:val="69577272"/>
    <w:rsid w:val="69766163"/>
    <w:rsid w:val="697A3B33"/>
    <w:rsid w:val="699B4C9D"/>
    <w:rsid w:val="69AD1566"/>
    <w:rsid w:val="69D44760"/>
    <w:rsid w:val="69DA276B"/>
    <w:rsid w:val="69EE06C1"/>
    <w:rsid w:val="6A044B0E"/>
    <w:rsid w:val="6A09196D"/>
    <w:rsid w:val="6A1F0B19"/>
    <w:rsid w:val="6A36667C"/>
    <w:rsid w:val="6A520EC7"/>
    <w:rsid w:val="6A9A31E6"/>
    <w:rsid w:val="6AAF0A00"/>
    <w:rsid w:val="6AC0542B"/>
    <w:rsid w:val="6AEA47C2"/>
    <w:rsid w:val="6AF87E20"/>
    <w:rsid w:val="6B1D7580"/>
    <w:rsid w:val="6B322639"/>
    <w:rsid w:val="6B743384"/>
    <w:rsid w:val="6B9C0ED5"/>
    <w:rsid w:val="6BCE135A"/>
    <w:rsid w:val="6BCE2E4D"/>
    <w:rsid w:val="6BEE1720"/>
    <w:rsid w:val="6C0C3C30"/>
    <w:rsid w:val="6C14425C"/>
    <w:rsid w:val="6C3D3DF2"/>
    <w:rsid w:val="6C636C38"/>
    <w:rsid w:val="6C6D0118"/>
    <w:rsid w:val="6C8E6367"/>
    <w:rsid w:val="6D1E68A9"/>
    <w:rsid w:val="6D4D759B"/>
    <w:rsid w:val="6DAC046F"/>
    <w:rsid w:val="6DB34098"/>
    <w:rsid w:val="6DB452D9"/>
    <w:rsid w:val="6DB545B6"/>
    <w:rsid w:val="6DCC0323"/>
    <w:rsid w:val="6DE02FB4"/>
    <w:rsid w:val="6E514CED"/>
    <w:rsid w:val="6E8B27F4"/>
    <w:rsid w:val="6EB563D5"/>
    <w:rsid w:val="6EC12E29"/>
    <w:rsid w:val="6ED92677"/>
    <w:rsid w:val="6F225983"/>
    <w:rsid w:val="6F240D41"/>
    <w:rsid w:val="6F74201A"/>
    <w:rsid w:val="6FAD6493"/>
    <w:rsid w:val="6FC56F8A"/>
    <w:rsid w:val="6FF444F6"/>
    <w:rsid w:val="6FFC5590"/>
    <w:rsid w:val="700953A5"/>
    <w:rsid w:val="700D5997"/>
    <w:rsid w:val="701632CF"/>
    <w:rsid w:val="705D39B8"/>
    <w:rsid w:val="706D1DD0"/>
    <w:rsid w:val="70856B87"/>
    <w:rsid w:val="70D527EE"/>
    <w:rsid w:val="70E9053C"/>
    <w:rsid w:val="712E2321"/>
    <w:rsid w:val="71497328"/>
    <w:rsid w:val="715B5300"/>
    <w:rsid w:val="71D27F8A"/>
    <w:rsid w:val="72553024"/>
    <w:rsid w:val="726F6CC7"/>
    <w:rsid w:val="72F7446B"/>
    <w:rsid w:val="73122968"/>
    <w:rsid w:val="731F5D5E"/>
    <w:rsid w:val="738F44AC"/>
    <w:rsid w:val="73C51AD5"/>
    <w:rsid w:val="73DE775A"/>
    <w:rsid w:val="741E793C"/>
    <w:rsid w:val="742F3CB1"/>
    <w:rsid w:val="743D36F7"/>
    <w:rsid w:val="744D1A56"/>
    <w:rsid w:val="745E3944"/>
    <w:rsid w:val="749F1A34"/>
    <w:rsid w:val="74E72829"/>
    <w:rsid w:val="74F73FCF"/>
    <w:rsid w:val="751809F5"/>
    <w:rsid w:val="752124FA"/>
    <w:rsid w:val="75645316"/>
    <w:rsid w:val="75720A58"/>
    <w:rsid w:val="75757FCD"/>
    <w:rsid w:val="75D014E0"/>
    <w:rsid w:val="760D4E9A"/>
    <w:rsid w:val="7635099D"/>
    <w:rsid w:val="76635DD9"/>
    <w:rsid w:val="76744183"/>
    <w:rsid w:val="76B949B4"/>
    <w:rsid w:val="76C174E4"/>
    <w:rsid w:val="76D771FE"/>
    <w:rsid w:val="77494068"/>
    <w:rsid w:val="77762421"/>
    <w:rsid w:val="779D35E3"/>
    <w:rsid w:val="77B56B1F"/>
    <w:rsid w:val="77CD1DEF"/>
    <w:rsid w:val="780F09F4"/>
    <w:rsid w:val="782E0736"/>
    <w:rsid w:val="78997A19"/>
    <w:rsid w:val="78A90480"/>
    <w:rsid w:val="79107C54"/>
    <w:rsid w:val="79BE0C60"/>
    <w:rsid w:val="79D84715"/>
    <w:rsid w:val="7A350DAD"/>
    <w:rsid w:val="7A364017"/>
    <w:rsid w:val="7A813065"/>
    <w:rsid w:val="7A8265E1"/>
    <w:rsid w:val="7B197C15"/>
    <w:rsid w:val="7B4377F6"/>
    <w:rsid w:val="7B686D42"/>
    <w:rsid w:val="7B841746"/>
    <w:rsid w:val="7B9831A9"/>
    <w:rsid w:val="7BF97C4B"/>
    <w:rsid w:val="7C292468"/>
    <w:rsid w:val="7C6C5AC7"/>
    <w:rsid w:val="7C8039C6"/>
    <w:rsid w:val="7CC6544B"/>
    <w:rsid w:val="7D0239FF"/>
    <w:rsid w:val="7D5E40CD"/>
    <w:rsid w:val="7DC876B8"/>
    <w:rsid w:val="7DCD56F2"/>
    <w:rsid w:val="7DDD04D5"/>
    <w:rsid w:val="7E734F9B"/>
    <w:rsid w:val="7E960D93"/>
    <w:rsid w:val="7EAC7ABB"/>
    <w:rsid w:val="7F001CE7"/>
    <w:rsid w:val="7F472845"/>
    <w:rsid w:val="7FAEBEB3"/>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semiHidden="0" w:name="heading 2" w:locked="1"/>
    <w:lsdException w:qFormat="1" w:uiPriority="0" w:semiHidden="0" w:name="heading 3" w:locked="1"/>
    <w:lsdException w:qFormat="1" w:uiPriority="9" w:semiHidden="0" w:name="heading 4" w:locked="1"/>
    <w:lsdException w:qFormat="1" w:uiPriority="9" w:semiHidden="0" w:name="heading 5" w:locked="1"/>
    <w:lsdException w:qFormat="1" w:uiPriority="9" w:semiHidden="0" w:name="heading 6" w:locked="1"/>
    <w:lsdException w:qFormat="1" w:uiPriority="9" w:semiHidden="0" w:name="heading 7" w:locked="1"/>
    <w:lsdException w:qFormat="1" w:uiPriority="9" w:semiHidden="0" w:name="heading 8" w:locked="1"/>
    <w:lsdException w:qFormat="1" w:uiPriority="9" w:semiHidden="0" w:name="heading 9" w:locked="1"/>
    <w:lsdException w:qFormat="1" w:uiPriority="99" w:semiHidden="0" w:name="index 1" w:locked="1"/>
    <w:lsdException w:qFormat="1"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qFormat="1" w:unhideWhenUsed="0" w:uiPriority="0" w:semiHidden="0" w:name="Normal Indent" w:locked="1"/>
    <w:lsdException w:qFormat="1" w:unhideWhenUsed="0" w:uiPriority="0" w:semiHidden="0" w:name="footnote text" w:locked="1"/>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ocked="1"/>
    <w:lsdException w:qFormat="1" w:uiPriority="0" w:semiHidden="0" w:name="caption" w:locked="1"/>
    <w:lsdException w:qFormat="1" w:uiPriority="99" w:semiHidden="0" w:name="table of figures" w:locked="1"/>
    <w:lsdException w:unhideWhenUsed="0" w:uiPriority="0" w:semiHidden="0" w:name="envelope address" w:locked="1"/>
    <w:lsdException w:unhideWhenUsed="0" w:uiPriority="0" w:semiHidden="0" w:name="envelope return" w:locked="1"/>
    <w:lsdException w:qFormat="1"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qFormat="1" w:uiPriority="0" w:semiHidden="0" w:name="endnote reference" w:locked="1"/>
    <w:lsdException w:qFormat="1" w:uiPriority="0" w:semiHidden="0" w:name="endnote text" w:locked="1"/>
    <w:lsdException w:unhideWhenUsed="0" w:uiPriority="0" w:semiHidden="0" w:name="table of authorities" w:locked="1"/>
    <w:lsdException w:qFormat="1" w:unhideWhenUsed="0" w:uiPriority="0" w:semiHidden="0" w:name="macro" w:locked="1"/>
    <w:lsdException w:qFormat="1" w:unhideWhenUsed="0" w:uiPriority="99"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qFormat="1"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1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99" w:semiHidden="0" w:name="Body Text First Indent" w:locked="1"/>
    <w:lsdException w:qFormat="1" w:unhideWhenUsed="0" w:uiPriority="0" w:semiHidden="0" w:name="Body Text First Indent 2" w:locked="1"/>
    <w:lsdException w:qFormat="1" w:unhideWhenUsed="0" w:uiPriority="0" w:semiHidden="0" w:name="Note Heading" w:locked="1"/>
    <w:lsdException w:qFormat="1" w:unhideWhenUsed="0" w:uiPriority="99" w:semiHidden="0" w:name="Body Text 2" w:locked="1"/>
    <w:lsdException w:qFormat="1"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99" w:semiHidden="0" w:name="Hyperlink" w:locked="1"/>
    <w:lsdException w:qFormat="1" w:uiPriority="99" w:semiHidden="0" w:name="FollowedHyperlink" w:locked="1"/>
    <w:lsdException w:qFormat="1" w:unhideWhenUsed="0" w:uiPriority="0" w:semiHidden="0" w:name="Strong" w:locked="1"/>
    <w:lsdException w:qFormat="1" w:unhideWhenUsed="0" w:uiPriority="20" w:semiHidden="0" w:name="Emphasis" w:locked="1"/>
    <w:lsdException w:qFormat="1" w:unhideWhenUsed="0" w:uiPriority="99"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semiHidden="0" w:name="annotation subject"/>
    <w:lsdException w:qFormat="1" w:unhideWhenUsed="0" w:uiPriority="0" w:semiHidden="0" w:name="Table Simple 1" w:locked="1"/>
    <w:lsdException w:uiPriority="0" w:name="Table Simple 2" w:locked="1"/>
    <w:lsdException w:uiPriority="0" w:name="Table Simple 3" w:locked="1"/>
    <w:lsdException w:qFormat="1" w:unhideWhenUsed="0" w:uiPriority="0" w:semiHidden="0" w:name="Table Classic 1" w:locked="1"/>
    <w:lsdException w:qFormat="1" w:unhideWhenUsed="0" w:uiPriority="0" w:semiHidden="0" w:name="Table Classic 2" w:locked="1"/>
    <w:lsdException w:uiPriority="0" w:name="Table Classic 3" w:locked="1"/>
    <w:lsdException w:uiPriority="0" w:name="Table Classic 4" w:locked="1"/>
    <w:lsdException w:qFormat="1" w:unhideWhenUsed="0" w:uiPriority="0" w:semiHidden="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qFormat="1" w:unhideWhenUsed="0" w:uiPriority="99" w:semiHidden="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99" w:semiHidden="0" w:name="Balloon Text"/>
    <w:lsdException w:qFormat="1" w:unhideWhenUsed="0" w:uiPriority="0" w:semiHidden="0" w:name="Table Grid"/>
    <w:lsdException w:qFormat="1" w:unhideWhenUsed="0" w:uiPriority="0" w:semiHidden="0" w:name="Table Theme" w:locked="1"/>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94"/>
    <w:qFormat/>
    <w:locked/>
    <w:uiPriority w:val="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2"/>
    <w:basedOn w:val="1"/>
    <w:next w:val="1"/>
    <w:link w:val="89"/>
    <w:unhideWhenUsed/>
    <w:qFormat/>
    <w:locked/>
    <w:uiPriority w:val="9"/>
    <w:pPr>
      <w:keepNext/>
      <w:keepLines/>
      <w:spacing w:before="260" w:after="260" w:line="416" w:lineRule="auto"/>
      <w:outlineLvl w:val="1"/>
    </w:pPr>
    <w:rPr>
      <w:rFonts w:ascii="Calibri Light" w:hAnsi="Calibri Light"/>
      <w:b/>
      <w:bCs/>
      <w:sz w:val="28"/>
      <w:szCs w:val="32"/>
    </w:rPr>
  </w:style>
  <w:style w:type="paragraph" w:styleId="5">
    <w:name w:val="heading 3"/>
    <w:basedOn w:val="1"/>
    <w:next w:val="1"/>
    <w:link w:val="90"/>
    <w:unhideWhenUsed/>
    <w:qFormat/>
    <w:locked/>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91"/>
    <w:unhideWhenUsed/>
    <w:qFormat/>
    <w:locked/>
    <w:uiPriority w:val="9"/>
    <w:pPr>
      <w:keepNext/>
      <w:keepLines/>
      <w:spacing w:before="280" w:after="290" w:line="376" w:lineRule="auto"/>
      <w:outlineLvl w:val="3"/>
    </w:pPr>
    <w:rPr>
      <w:rFonts w:ascii="Calibri Light" w:hAnsi="Calibri Light"/>
      <w:b/>
      <w:bCs/>
      <w:sz w:val="28"/>
      <w:szCs w:val="28"/>
    </w:rPr>
  </w:style>
  <w:style w:type="paragraph" w:styleId="7">
    <w:name w:val="heading 5"/>
    <w:basedOn w:val="1"/>
    <w:next w:val="1"/>
    <w:link w:val="92"/>
    <w:unhideWhenUsed/>
    <w:qFormat/>
    <w:locked/>
    <w:uiPriority w:val="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171"/>
    <w:unhideWhenUsed/>
    <w:qFormat/>
    <w:locked/>
    <w:uiPriority w:val="9"/>
    <w:pPr>
      <w:keepNext/>
      <w:keepLines/>
      <w:spacing w:before="40" w:line="360" w:lineRule="auto"/>
      <w:ind w:firstLine="200" w:firstLineChars="200"/>
      <w:outlineLvl w:val="5"/>
    </w:pPr>
    <w:rPr>
      <w:rFonts w:ascii="Times New Roman" w:hAnsi="Times New Roman" w:cstheme="majorBidi"/>
      <w:b/>
      <w:bCs/>
      <w:color w:val="2F5597" w:themeColor="accent1" w:themeShade="BF"/>
      <w:sz w:val="24"/>
    </w:rPr>
  </w:style>
  <w:style w:type="paragraph" w:styleId="9">
    <w:name w:val="heading 7"/>
    <w:basedOn w:val="1"/>
    <w:next w:val="1"/>
    <w:link w:val="172"/>
    <w:unhideWhenUsed/>
    <w:qFormat/>
    <w:locked/>
    <w:uiPriority w:val="9"/>
    <w:pPr>
      <w:keepNext/>
      <w:keepLines/>
      <w:spacing w:before="40" w:line="360" w:lineRule="auto"/>
      <w:ind w:firstLine="200" w:firstLineChars="200"/>
      <w:outlineLvl w:val="6"/>
    </w:pPr>
    <w:rPr>
      <w:rFonts w:ascii="Times New Roman" w:hAnsi="Times New Roman" w:cstheme="majorBidi"/>
      <w:b/>
      <w:bCs/>
      <w:color w:val="595959" w:themeColor="text1" w:themeTint="A6"/>
      <w:sz w:val="24"/>
      <w14:textFill>
        <w14:solidFill>
          <w14:schemeClr w14:val="tx1">
            <w14:lumMod w14:val="65000"/>
            <w14:lumOff w14:val="35000"/>
          </w14:schemeClr>
        </w14:solidFill>
      </w14:textFill>
    </w:rPr>
  </w:style>
  <w:style w:type="paragraph" w:styleId="10">
    <w:name w:val="heading 8"/>
    <w:basedOn w:val="1"/>
    <w:next w:val="1"/>
    <w:link w:val="173"/>
    <w:unhideWhenUsed/>
    <w:qFormat/>
    <w:locked/>
    <w:uiPriority w:val="9"/>
    <w:pPr>
      <w:keepNext/>
      <w:keepLines/>
      <w:spacing w:line="360" w:lineRule="auto"/>
      <w:ind w:firstLine="200" w:firstLineChars="200"/>
      <w:outlineLvl w:val="7"/>
    </w:pPr>
    <w:rPr>
      <w:rFonts w:ascii="Times New Roman" w:hAnsi="Times New Roman" w:cstheme="majorBidi"/>
      <w:color w:val="595959" w:themeColor="text1" w:themeTint="A6"/>
      <w:sz w:val="24"/>
      <w14:textFill>
        <w14:solidFill>
          <w14:schemeClr w14:val="tx1">
            <w14:lumMod w14:val="65000"/>
            <w14:lumOff w14:val="35000"/>
          </w14:schemeClr>
        </w14:solidFill>
      </w14:textFill>
    </w:rPr>
  </w:style>
  <w:style w:type="paragraph" w:styleId="11">
    <w:name w:val="heading 9"/>
    <w:basedOn w:val="1"/>
    <w:next w:val="1"/>
    <w:link w:val="174"/>
    <w:unhideWhenUsed/>
    <w:qFormat/>
    <w:locked/>
    <w:uiPriority w:val="9"/>
    <w:pPr>
      <w:keepNext/>
      <w:keepLines/>
      <w:spacing w:line="360" w:lineRule="auto"/>
      <w:ind w:firstLine="200" w:firstLineChars="200"/>
      <w:outlineLvl w:val="8"/>
    </w:pPr>
    <w:rPr>
      <w:rFonts w:ascii="Times New Roman" w:hAnsi="Times New Roman" w:eastAsiaTheme="majorEastAsia" w:cstheme="majorBidi"/>
      <w:color w:val="595959" w:themeColor="text1" w:themeTint="A6"/>
      <w:sz w:val="24"/>
      <w14:textFill>
        <w14:solidFill>
          <w14:schemeClr w14:val="tx1">
            <w14:lumMod w14:val="65000"/>
            <w14:lumOff w14:val="35000"/>
          </w14:schemeClr>
        </w14:solidFill>
      </w14:textFill>
    </w:rPr>
  </w:style>
  <w:style w:type="character" w:default="1" w:styleId="63">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2">
    <w:name w:val="macro"/>
    <w:link w:val="184"/>
    <w:qFormat/>
    <w:locked/>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Courier New"/>
      <w:kern w:val="2"/>
      <w:sz w:val="24"/>
      <w:szCs w:val="24"/>
      <w:lang w:val="en-US" w:eastAsia="zh-CN" w:bidi="ar-SA"/>
    </w:rPr>
  </w:style>
  <w:style w:type="paragraph" w:styleId="12">
    <w:name w:val="toc 7"/>
    <w:basedOn w:val="1"/>
    <w:next w:val="1"/>
    <w:unhideWhenUsed/>
    <w:qFormat/>
    <w:locked/>
    <w:uiPriority w:val="39"/>
    <w:pPr>
      <w:ind w:left="2520" w:leftChars="1200" w:firstLine="200" w:firstLineChars="200"/>
    </w:pPr>
    <w:rPr>
      <w:szCs w:val="22"/>
    </w:rPr>
  </w:style>
  <w:style w:type="paragraph" w:styleId="13">
    <w:name w:val="Note Heading"/>
    <w:next w:val="14"/>
    <w:link w:val="330"/>
    <w:qFormat/>
    <w:locked/>
    <w:uiPriority w:val="0"/>
    <w:pPr>
      <w:spacing w:before="156" w:beforeLines="50" w:line="360" w:lineRule="auto"/>
      <w:jc w:val="center"/>
    </w:pPr>
    <w:rPr>
      <w:rFonts w:ascii="Arial" w:hAnsi="Arial" w:eastAsia="黑体" w:cs="Times New Roman"/>
      <w:kern w:val="2"/>
      <w:sz w:val="21"/>
      <w:szCs w:val="24"/>
      <w:lang w:val="en-US" w:eastAsia="zh-CN" w:bidi="ar-SA"/>
    </w:rPr>
  </w:style>
  <w:style w:type="paragraph" w:styleId="14">
    <w:name w:val="Body Text"/>
    <w:basedOn w:val="1"/>
    <w:next w:val="1"/>
    <w:link w:val="74"/>
    <w:qFormat/>
    <w:uiPriority w:val="0"/>
    <w:pPr>
      <w:widowControl/>
      <w:snapToGrid w:val="0"/>
      <w:spacing w:before="60" w:after="160" w:line="259" w:lineRule="auto"/>
      <w:ind w:right="113"/>
    </w:pPr>
    <w:rPr>
      <w:kern w:val="0"/>
      <w:sz w:val="18"/>
      <w:szCs w:val="20"/>
    </w:rPr>
  </w:style>
  <w:style w:type="paragraph" w:styleId="15">
    <w:name w:val="List Bullet 4"/>
    <w:basedOn w:val="1"/>
    <w:qFormat/>
    <w:locked/>
    <w:uiPriority w:val="0"/>
    <w:pPr>
      <w:widowControl/>
      <w:numPr>
        <w:ilvl w:val="0"/>
        <w:numId w:val="1"/>
      </w:numPr>
      <w:tabs>
        <w:tab w:val="clear" w:pos="1620"/>
      </w:tabs>
      <w:spacing w:before="50" w:beforeLines="50" w:after="50" w:afterLines="50" w:line="400" w:lineRule="exact"/>
      <w:ind w:left="0" w:firstLine="0"/>
      <w:contextualSpacing/>
      <w:jc w:val="left"/>
    </w:pPr>
    <w:rPr>
      <w:rFonts w:ascii="Arial" w:hAnsi="Arial" w:cs="宋体"/>
      <w:kern w:val="0"/>
      <w:sz w:val="24"/>
    </w:rPr>
  </w:style>
  <w:style w:type="paragraph" w:styleId="16">
    <w:name w:val="Normal Indent"/>
    <w:basedOn w:val="1"/>
    <w:link w:val="186"/>
    <w:qFormat/>
    <w:locked/>
    <w:uiPriority w:val="0"/>
    <w:pPr>
      <w:ind w:firstLine="420" w:firstLineChars="200"/>
    </w:pPr>
    <w:rPr>
      <w:rFonts w:ascii="Times New Roman" w:hAnsi="Times New Roman"/>
      <w:szCs w:val="20"/>
    </w:rPr>
  </w:style>
  <w:style w:type="paragraph" w:styleId="17">
    <w:name w:val="caption"/>
    <w:basedOn w:val="1"/>
    <w:next w:val="1"/>
    <w:link w:val="114"/>
    <w:unhideWhenUsed/>
    <w:qFormat/>
    <w:locked/>
    <w:uiPriority w:val="0"/>
    <w:rPr>
      <w:rFonts w:ascii="Calibri Light" w:hAnsi="Calibri Light" w:eastAsia="黑体"/>
      <w:sz w:val="20"/>
      <w:szCs w:val="20"/>
    </w:rPr>
  </w:style>
  <w:style w:type="paragraph" w:styleId="18">
    <w:name w:val="Document Map"/>
    <w:basedOn w:val="1"/>
    <w:link w:val="187"/>
    <w:qFormat/>
    <w:locked/>
    <w:uiPriority w:val="99"/>
    <w:pPr>
      <w:spacing w:line="360" w:lineRule="auto"/>
      <w:ind w:firstLine="200" w:firstLineChars="200"/>
    </w:pPr>
    <w:rPr>
      <w:rFonts w:ascii="宋体" w:hAnsi="Times New Roman"/>
      <w:sz w:val="18"/>
      <w:szCs w:val="18"/>
    </w:rPr>
  </w:style>
  <w:style w:type="paragraph" w:styleId="19">
    <w:name w:val="toa heading"/>
    <w:basedOn w:val="1"/>
    <w:next w:val="1"/>
    <w:qFormat/>
    <w:locked/>
    <w:uiPriority w:val="99"/>
    <w:pPr>
      <w:spacing w:before="120"/>
    </w:pPr>
    <w:rPr>
      <w:rFonts w:ascii="Arial" w:hAnsi="Arial" w:cs="Arial"/>
      <w:sz w:val="24"/>
    </w:rPr>
  </w:style>
  <w:style w:type="paragraph" w:styleId="20">
    <w:name w:val="annotation text"/>
    <w:basedOn w:val="1"/>
    <w:link w:val="78"/>
    <w:qFormat/>
    <w:uiPriority w:val="99"/>
    <w:pPr>
      <w:jc w:val="left"/>
    </w:pPr>
    <w:rPr>
      <w:kern w:val="0"/>
      <w:sz w:val="24"/>
      <w:szCs w:val="20"/>
    </w:rPr>
  </w:style>
  <w:style w:type="paragraph" w:styleId="21">
    <w:name w:val="Body Text 3"/>
    <w:basedOn w:val="1"/>
    <w:link w:val="98"/>
    <w:qFormat/>
    <w:locked/>
    <w:uiPriority w:val="0"/>
    <w:pPr>
      <w:spacing w:after="120" w:line="240" w:lineRule="atLeast"/>
    </w:pPr>
    <w:rPr>
      <w:rFonts w:ascii="Times New Roman" w:hAnsi="Times New Roman"/>
      <w:sz w:val="16"/>
      <w:szCs w:val="16"/>
    </w:rPr>
  </w:style>
  <w:style w:type="paragraph" w:styleId="22">
    <w:name w:val="Body Text Indent"/>
    <w:basedOn w:val="1"/>
    <w:next w:val="23"/>
    <w:link w:val="75"/>
    <w:qFormat/>
    <w:uiPriority w:val="0"/>
    <w:pPr>
      <w:spacing w:after="120"/>
      <w:ind w:left="420" w:leftChars="200"/>
    </w:pPr>
    <w:rPr>
      <w:kern w:val="0"/>
      <w:sz w:val="24"/>
      <w:szCs w:val="20"/>
    </w:rPr>
  </w:style>
  <w:style w:type="paragraph" w:styleId="23">
    <w:name w:val="header"/>
    <w:basedOn w:val="1"/>
    <w:next w:val="24"/>
    <w:link w:val="81"/>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24">
    <w:name w:val="样式5"/>
    <w:basedOn w:val="16"/>
    <w:link w:val="373"/>
    <w:qFormat/>
    <w:uiPriority w:val="0"/>
    <w:pPr>
      <w:adjustRightInd w:val="0"/>
      <w:snapToGrid w:val="0"/>
      <w:spacing w:line="480" w:lineRule="exact"/>
      <w:ind w:firstLine="200" w:firstLineChars="200"/>
    </w:pPr>
    <w:rPr>
      <w:rFonts w:ascii="Times New Roman" w:hAnsi="Times New Roman"/>
      <w:sz w:val="26"/>
      <w:szCs w:val="26"/>
    </w:rPr>
  </w:style>
  <w:style w:type="paragraph" w:styleId="25">
    <w:name w:val="Block Text"/>
    <w:basedOn w:val="1"/>
    <w:link w:val="161"/>
    <w:qFormat/>
    <w:locked/>
    <w:uiPriority w:val="0"/>
    <w:pPr>
      <w:spacing w:line="360" w:lineRule="exact"/>
      <w:ind w:left="-57" w:right="-57"/>
    </w:pPr>
    <w:rPr>
      <w:rFonts w:ascii="Times New Roman" w:hAnsi="Times New Roman"/>
      <w:sz w:val="18"/>
      <w:szCs w:val="20"/>
    </w:rPr>
  </w:style>
  <w:style w:type="paragraph" w:styleId="26">
    <w:name w:val="toc 5"/>
    <w:basedOn w:val="1"/>
    <w:next w:val="1"/>
    <w:unhideWhenUsed/>
    <w:qFormat/>
    <w:locked/>
    <w:uiPriority w:val="39"/>
    <w:pPr>
      <w:ind w:left="1680" w:leftChars="800" w:firstLine="200" w:firstLineChars="200"/>
    </w:pPr>
    <w:rPr>
      <w:szCs w:val="22"/>
    </w:rPr>
  </w:style>
  <w:style w:type="paragraph" w:styleId="27">
    <w:name w:val="toc 3"/>
    <w:basedOn w:val="1"/>
    <w:next w:val="1"/>
    <w:qFormat/>
    <w:locked/>
    <w:uiPriority w:val="39"/>
    <w:pPr>
      <w:tabs>
        <w:tab w:val="left" w:pos="1134"/>
        <w:tab w:val="right" w:leader="dot" w:pos="8302"/>
      </w:tabs>
      <w:spacing w:line="360" w:lineRule="auto"/>
      <w:ind w:left="240" w:firstLine="240" w:firstLineChars="200"/>
    </w:pPr>
    <w:rPr>
      <w:rFonts w:ascii="Times New Roman" w:hAnsi="Times New Roman"/>
      <w:sz w:val="24"/>
    </w:rPr>
  </w:style>
  <w:style w:type="paragraph" w:styleId="28">
    <w:name w:val="Plain Text"/>
    <w:basedOn w:val="1"/>
    <w:link w:val="99"/>
    <w:qFormat/>
    <w:locked/>
    <w:uiPriority w:val="0"/>
    <w:rPr>
      <w:rFonts w:ascii="宋体" w:hAnsi="Courier New" w:cs="Courier New"/>
      <w:szCs w:val="21"/>
    </w:rPr>
  </w:style>
  <w:style w:type="paragraph" w:styleId="29">
    <w:name w:val="List Bullet 5"/>
    <w:basedOn w:val="1"/>
    <w:qFormat/>
    <w:locked/>
    <w:uiPriority w:val="0"/>
    <w:pPr>
      <w:tabs>
        <w:tab w:val="left" w:pos="2040"/>
      </w:tabs>
      <w:ind w:left="144"/>
    </w:pPr>
  </w:style>
  <w:style w:type="paragraph" w:styleId="30">
    <w:name w:val="toc 8"/>
    <w:basedOn w:val="1"/>
    <w:next w:val="1"/>
    <w:unhideWhenUsed/>
    <w:qFormat/>
    <w:locked/>
    <w:uiPriority w:val="39"/>
    <w:pPr>
      <w:ind w:left="2940" w:leftChars="1400" w:firstLine="200" w:firstLineChars="200"/>
    </w:pPr>
    <w:rPr>
      <w:szCs w:val="22"/>
    </w:rPr>
  </w:style>
  <w:style w:type="paragraph" w:styleId="31">
    <w:name w:val="Date"/>
    <w:basedOn w:val="1"/>
    <w:next w:val="1"/>
    <w:link w:val="86"/>
    <w:qFormat/>
    <w:uiPriority w:val="0"/>
    <w:pPr>
      <w:ind w:left="100" w:leftChars="2500"/>
    </w:pPr>
    <w:rPr>
      <w:kern w:val="0"/>
      <w:sz w:val="24"/>
      <w:szCs w:val="20"/>
    </w:rPr>
  </w:style>
  <w:style w:type="paragraph" w:styleId="32">
    <w:name w:val="Body Text Indent 2"/>
    <w:basedOn w:val="1"/>
    <w:link w:val="135"/>
    <w:qFormat/>
    <w:locked/>
    <w:uiPriority w:val="0"/>
    <w:pPr>
      <w:spacing w:after="120" w:line="480" w:lineRule="auto"/>
      <w:ind w:left="420" w:leftChars="200"/>
    </w:pPr>
    <w:rPr>
      <w:rFonts w:ascii="Times New Roman" w:hAnsi="Times New Roman"/>
      <w:szCs w:val="20"/>
    </w:rPr>
  </w:style>
  <w:style w:type="paragraph" w:styleId="33">
    <w:name w:val="endnote text"/>
    <w:basedOn w:val="1"/>
    <w:link w:val="190"/>
    <w:unhideWhenUsed/>
    <w:qFormat/>
    <w:locked/>
    <w:uiPriority w:val="0"/>
    <w:pPr>
      <w:snapToGrid w:val="0"/>
      <w:spacing w:line="360" w:lineRule="auto"/>
      <w:ind w:firstLine="200" w:firstLineChars="200"/>
      <w:jc w:val="left"/>
    </w:pPr>
    <w:rPr>
      <w:rFonts w:ascii="Times New Roman" w:hAnsi="Times New Roman"/>
      <w:sz w:val="24"/>
    </w:rPr>
  </w:style>
  <w:style w:type="paragraph" w:styleId="34">
    <w:name w:val="Balloon Text"/>
    <w:basedOn w:val="1"/>
    <w:link w:val="76"/>
    <w:qFormat/>
    <w:uiPriority w:val="99"/>
    <w:rPr>
      <w:kern w:val="0"/>
      <w:sz w:val="18"/>
      <w:szCs w:val="20"/>
    </w:rPr>
  </w:style>
  <w:style w:type="paragraph" w:styleId="35">
    <w:name w:val="footer"/>
    <w:basedOn w:val="1"/>
    <w:link w:val="72"/>
    <w:qFormat/>
    <w:uiPriority w:val="0"/>
    <w:pPr>
      <w:tabs>
        <w:tab w:val="center" w:pos="4153"/>
        <w:tab w:val="right" w:pos="8306"/>
      </w:tabs>
      <w:snapToGrid w:val="0"/>
      <w:jc w:val="left"/>
    </w:pPr>
    <w:rPr>
      <w:kern w:val="0"/>
      <w:sz w:val="18"/>
      <w:szCs w:val="20"/>
    </w:rPr>
  </w:style>
  <w:style w:type="paragraph" w:styleId="36">
    <w:name w:val="toc 1"/>
    <w:basedOn w:val="1"/>
    <w:next w:val="1"/>
    <w:qFormat/>
    <w:locked/>
    <w:uiPriority w:val="39"/>
    <w:pPr>
      <w:tabs>
        <w:tab w:val="left" w:pos="284"/>
        <w:tab w:val="right" w:leader="dot" w:pos="8302"/>
      </w:tabs>
      <w:spacing w:line="360" w:lineRule="auto"/>
      <w:ind w:firstLine="200" w:firstLineChars="200"/>
      <w:jc w:val="center"/>
    </w:pPr>
    <w:rPr>
      <w:rFonts w:ascii="楷体" w:hAnsi="楷体"/>
      <w:sz w:val="24"/>
    </w:rPr>
  </w:style>
  <w:style w:type="paragraph" w:styleId="37">
    <w:name w:val="toc 4"/>
    <w:basedOn w:val="1"/>
    <w:next w:val="1"/>
    <w:unhideWhenUsed/>
    <w:qFormat/>
    <w:locked/>
    <w:uiPriority w:val="39"/>
    <w:pPr>
      <w:ind w:left="1260" w:leftChars="600" w:firstLine="200" w:firstLineChars="200"/>
    </w:pPr>
    <w:rPr>
      <w:szCs w:val="22"/>
    </w:rPr>
  </w:style>
  <w:style w:type="paragraph" w:styleId="38">
    <w:name w:val="index heading"/>
    <w:basedOn w:val="1"/>
    <w:next w:val="39"/>
    <w:qFormat/>
    <w:locked/>
    <w:uiPriority w:val="0"/>
    <w:rPr>
      <w:rFonts w:ascii="Times New Roman" w:hAnsi="Times New Roman"/>
    </w:rPr>
  </w:style>
  <w:style w:type="paragraph" w:styleId="39">
    <w:name w:val="index 1"/>
    <w:basedOn w:val="1"/>
    <w:next w:val="1"/>
    <w:autoRedefine/>
    <w:unhideWhenUsed/>
    <w:qFormat/>
    <w:locked/>
    <w:uiPriority w:val="99"/>
    <w:pPr>
      <w:spacing w:line="360" w:lineRule="auto"/>
      <w:ind w:firstLine="200" w:firstLineChars="200"/>
    </w:pPr>
    <w:rPr>
      <w:rFonts w:ascii="Times New Roman" w:hAnsi="Times New Roman"/>
      <w:sz w:val="24"/>
    </w:rPr>
  </w:style>
  <w:style w:type="paragraph" w:styleId="40">
    <w:name w:val="Subtitle"/>
    <w:basedOn w:val="1"/>
    <w:next w:val="1"/>
    <w:link w:val="177"/>
    <w:qFormat/>
    <w:locked/>
    <w:uiPriority w:val="0"/>
    <w:pPr>
      <w:spacing w:after="160" w:line="360" w:lineRule="auto"/>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1">
    <w:name w:val="footnote text"/>
    <w:basedOn w:val="1"/>
    <w:link w:val="191"/>
    <w:qFormat/>
    <w:locked/>
    <w:uiPriority w:val="0"/>
    <w:pPr>
      <w:snapToGrid w:val="0"/>
      <w:spacing w:line="360" w:lineRule="auto"/>
      <w:ind w:firstLine="200" w:firstLineChars="200"/>
      <w:jc w:val="left"/>
    </w:pPr>
    <w:rPr>
      <w:rFonts w:ascii="Times New Roman" w:hAnsi="Times New Roman"/>
      <w:sz w:val="18"/>
      <w:szCs w:val="18"/>
    </w:rPr>
  </w:style>
  <w:style w:type="paragraph" w:styleId="42">
    <w:name w:val="toc 6"/>
    <w:basedOn w:val="1"/>
    <w:next w:val="1"/>
    <w:unhideWhenUsed/>
    <w:qFormat/>
    <w:locked/>
    <w:uiPriority w:val="39"/>
    <w:pPr>
      <w:ind w:left="2100" w:leftChars="1000" w:firstLine="200" w:firstLineChars="200"/>
    </w:pPr>
    <w:rPr>
      <w:szCs w:val="22"/>
    </w:rPr>
  </w:style>
  <w:style w:type="paragraph" w:styleId="43">
    <w:name w:val="Body Text Indent 3"/>
    <w:basedOn w:val="1"/>
    <w:link w:val="102"/>
    <w:qFormat/>
    <w:locked/>
    <w:uiPriority w:val="0"/>
    <w:pPr>
      <w:spacing w:line="360" w:lineRule="auto"/>
      <w:ind w:firstLine="480"/>
    </w:pPr>
    <w:rPr>
      <w:rFonts w:ascii="Times New Roman" w:hAnsi="Times New Roman"/>
      <w:sz w:val="24"/>
    </w:rPr>
  </w:style>
  <w:style w:type="paragraph" w:styleId="44">
    <w:name w:val="table of figures"/>
    <w:basedOn w:val="1"/>
    <w:next w:val="1"/>
    <w:unhideWhenUsed/>
    <w:qFormat/>
    <w:locked/>
    <w:uiPriority w:val="99"/>
    <w:pPr>
      <w:spacing w:line="360" w:lineRule="auto"/>
      <w:ind w:left="200" w:leftChars="200"/>
    </w:pPr>
    <w:rPr>
      <w:rFonts w:ascii="Times New Roman" w:hAnsi="Times New Roman"/>
      <w:b/>
      <w:sz w:val="24"/>
    </w:rPr>
  </w:style>
  <w:style w:type="paragraph" w:styleId="45">
    <w:name w:val="toc 2"/>
    <w:basedOn w:val="1"/>
    <w:next w:val="1"/>
    <w:qFormat/>
    <w:locked/>
    <w:uiPriority w:val="39"/>
    <w:pPr>
      <w:tabs>
        <w:tab w:val="left" w:pos="709"/>
        <w:tab w:val="right" w:leader="dot" w:pos="8302"/>
      </w:tabs>
      <w:spacing w:line="360" w:lineRule="auto"/>
      <w:ind w:left="200" w:leftChars="200" w:firstLine="200" w:firstLineChars="200"/>
    </w:pPr>
    <w:rPr>
      <w:rFonts w:ascii="Times New Roman" w:hAnsi="Times New Roman"/>
      <w:sz w:val="24"/>
    </w:rPr>
  </w:style>
  <w:style w:type="paragraph" w:styleId="46">
    <w:name w:val="toc 9"/>
    <w:basedOn w:val="1"/>
    <w:next w:val="1"/>
    <w:unhideWhenUsed/>
    <w:qFormat/>
    <w:locked/>
    <w:uiPriority w:val="39"/>
    <w:pPr>
      <w:ind w:left="3360" w:leftChars="1600" w:firstLine="200" w:firstLineChars="200"/>
    </w:pPr>
    <w:rPr>
      <w:szCs w:val="22"/>
    </w:rPr>
  </w:style>
  <w:style w:type="paragraph" w:styleId="47">
    <w:name w:val="Body Text 2"/>
    <w:basedOn w:val="1"/>
    <w:link w:val="103"/>
    <w:qFormat/>
    <w:locked/>
    <w:uiPriority w:val="99"/>
    <w:pPr>
      <w:spacing w:after="120" w:line="480" w:lineRule="auto"/>
    </w:pPr>
    <w:rPr>
      <w:rFonts w:ascii="Times New Roman" w:hAnsi="Times New Roman"/>
      <w:szCs w:val="20"/>
    </w:rPr>
  </w:style>
  <w:style w:type="paragraph" w:styleId="48">
    <w:name w:val="HTML Preformatted"/>
    <w:basedOn w:val="1"/>
    <w:link w:val="192"/>
    <w:qFormat/>
    <w:locked/>
    <w:uiPriority w:val="0"/>
    <w:pPr>
      <w:spacing w:line="360" w:lineRule="auto"/>
      <w:ind w:firstLine="200" w:firstLineChars="200"/>
    </w:pPr>
    <w:rPr>
      <w:rFonts w:ascii="Courier New" w:hAnsi="Courier New" w:cs="Courier New"/>
      <w:sz w:val="20"/>
      <w:szCs w:val="20"/>
    </w:rPr>
  </w:style>
  <w:style w:type="paragraph" w:styleId="49">
    <w:name w:val="Normal (Web)"/>
    <w:basedOn w:val="1"/>
    <w:link w:val="77"/>
    <w:qFormat/>
    <w:uiPriority w:val="0"/>
    <w:pPr>
      <w:widowControl/>
      <w:spacing w:before="100" w:beforeAutospacing="1" w:after="100" w:afterAutospacing="1"/>
      <w:jc w:val="left"/>
    </w:pPr>
    <w:rPr>
      <w:rFonts w:ascii="宋体" w:hAnsi="宋体"/>
      <w:kern w:val="0"/>
      <w:sz w:val="24"/>
      <w:szCs w:val="20"/>
    </w:rPr>
  </w:style>
  <w:style w:type="paragraph" w:styleId="50">
    <w:name w:val="index 2"/>
    <w:basedOn w:val="1"/>
    <w:next w:val="1"/>
    <w:qFormat/>
    <w:locked/>
    <w:uiPriority w:val="0"/>
    <w:pPr>
      <w:widowControl/>
      <w:spacing w:before="50" w:beforeLines="50" w:after="50" w:afterLines="50" w:line="400" w:lineRule="exact"/>
      <w:ind w:left="200" w:leftChars="200"/>
      <w:jc w:val="left"/>
    </w:pPr>
    <w:rPr>
      <w:rFonts w:ascii="Arial" w:hAnsi="Arial" w:cs="宋体"/>
      <w:kern w:val="0"/>
      <w:sz w:val="24"/>
    </w:rPr>
  </w:style>
  <w:style w:type="paragraph" w:styleId="51">
    <w:name w:val="Title"/>
    <w:basedOn w:val="1"/>
    <w:next w:val="1"/>
    <w:link w:val="104"/>
    <w:qFormat/>
    <w:locked/>
    <w:uiPriority w:val="10"/>
    <w:pPr>
      <w:spacing w:before="240" w:after="60" w:line="240" w:lineRule="atLeast"/>
      <w:jc w:val="center"/>
      <w:outlineLvl w:val="0"/>
    </w:pPr>
    <w:rPr>
      <w:rFonts w:ascii="Cambria" w:hAnsi="Cambria"/>
      <w:b/>
      <w:bCs/>
      <w:sz w:val="32"/>
      <w:szCs w:val="32"/>
    </w:rPr>
  </w:style>
  <w:style w:type="paragraph" w:styleId="52">
    <w:name w:val="annotation subject"/>
    <w:basedOn w:val="20"/>
    <w:next w:val="20"/>
    <w:link w:val="73"/>
    <w:qFormat/>
    <w:uiPriority w:val="0"/>
    <w:rPr>
      <w:b/>
    </w:rPr>
  </w:style>
  <w:style w:type="paragraph" w:styleId="53">
    <w:name w:val="Body Text First Indent"/>
    <w:basedOn w:val="14"/>
    <w:link w:val="195"/>
    <w:qFormat/>
    <w:locked/>
    <w:uiPriority w:val="99"/>
    <w:pPr>
      <w:widowControl w:val="0"/>
      <w:snapToGrid/>
      <w:spacing w:before="0" w:after="120" w:line="240" w:lineRule="auto"/>
      <w:ind w:right="0" w:firstLine="420" w:firstLineChars="100"/>
    </w:pPr>
    <w:rPr>
      <w:rFonts w:ascii="Times New Roman" w:hAnsi="Times New Roman"/>
      <w:kern w:val="2"/>
      <w:sz w:val="21"/>
      <w:szCs w:val="24"/>
    </w:rPr>
  </w:style>
  <w:style w:type="paragraph" w:styleId="54">
    <w:name w:val="Body Text First Indent 2"/>
    <w:basedOn w:val="22"/>
    <w:next w:val="1"/>
    <w:link w:val="168"/>
    <w:qFormat/>
    <w:locked/>
    <w:uiPriority w:val="0"/>
    <w:pPr>
      <w:ind w:firstLine="420" w:firstLineChars="200"/>
    </w:pPr>
    <w:rPr>
      <w:kern w:val="2"/>
      <w:sz w:val="21"/>
      <w:szCs w:val="24"/>
    </w:rPr>
  </w:style>
  <w:style w:type="table" w:styleId="56">
    <w:name w:val="Table Grid"/>
    <w:basedOn w:val="5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57">
    <w:name w:val="Table Theme"/>
    <w:basedOn w:val="55"/>
    <w:qFormat/>
    <w:locked/>
    <w:uiPriority w:val="0"/>
    <w:pPr>
      <w:widowControl w:val="0"/>
      <w:spacing w:beforeLines="20" w:afterLines="20"/>
      <w:jc w:val="center"/>
    </w:pPr>
    <w:rPr>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style>
  <w:style w:type="table" w:styleId="58">
    <w:name w:val="Table Colorful 1"/>
    <w:basedOn w:val="55"/>
    <w:qFormat/>
    <w:locked/>
    <w:uiPriority w:val="0"/>
    <w:pPr>
      <w:widowControl w:val="0"/>
      <w:spacing w:line="360" w:lineRule="auto"/>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59">
    <w:name w:val="Table Elegant"/>
    <w:basedOn w:val="55"/>
    <w:qFormat/>
    <w:locked/>
    <w:uiPriority w:val="99"/>
    <w:pPr>
      <w:widowControl w:val="0"/>
      <w:spacing w:beforeLines="20" w:afterLines="20"/>
      <w:jc w:val="center"/>
    </w:pPr>
    <w:rPr>
      <w:sz w:val="21"/>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vAlign w:val="center"/>
    </w:tcPr>
    <w:tblStylePr w:type="firstRow">
      <w:rPr>
        <w:caps/>
        <w:color w:val="auto"/>
      </w:rPr>
      <w:tblPr/>
      <w:tcPr>
        <w:tcBorders>
          <w:top w:val="nil"/>
          <w:left w:val="nil"/>
          <w:bottom w:val="nil"/>
          <w:right w:val="nil"/>
          <w:insideH w:val="nil"/>
          <w:insideV w:val="nil"/>
          <w:tl2br w:val="nil"/>
          <w:tr2bl w:val="nil"/>
        </w:tcBorders>
      </w:tcPr>
    </w:tblStylePr>
  </w:style>
  <w:style w:type="table" w:styleId="60">
    <w:name w:val="Table Classic 1"/>
    <w:basedOn w:val="55"/>
    <w:qFormat/>
    <w:locked/>
    <w:uiPriority w:val="0"/>
    <w:pPr>
      <w:widowControl w:val="0"/>
      <w:spacing w:line="360" w:lineRule="auto"/>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61">
    <w:name w:val="Table Classic 2"/>
    <w:basedOn w:val="55"/>
    <w:qFormat/>
    <w:locked/>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62">
    <w:name w:val="Table Simple 1"/>
    <w:basedOn w:val="55"/>
    <w:qFormat/>
    <w:locked/>
    <w:uiPriority w:val="0"/>
    <w:pPr>
      <w:widowControl w:val="0"/>
      <w:jc w:val="both"/>
    </w:pPr>
    <w:tblPr>
      <w:tblBorders>
        <w:top w:val="single" w:color="008000" w:sz="12" w:space="0"/>
        <w:bottom w:val="single" w:color="008000" w:sz="12" w:space="0"/>
      </w:tblBorders>
    </w:tbl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character" w:styleId="64">
    <w:name w:val="Strong"/>
    <w:qFormat/>
    <w:locked/>
    <w:uiPriority w:val="0"/>
    <w:rPr>
      <w:b/>
      <w:bCs/>
    </w:rPr>
  </w:style>
  <w:style w:type="character" w:styleId="65">
    <w:name w:val="endnote reference"/>
    <w:unhideWhenUsed/>
    <w:qFormat/>
    <w:locked/>
    <w:uiPriority w:val="0"/>
    <w:rPr>
      <w:vertAlign w:val="superscript"/>
    </w:rPr>
  </w:style>
  <w:style w:type="character" w:styleId="66">
    <w:name w:val="page number"/>
    <w:basedOn w:val="63"/>
    <w:qFormat/>
    <w:locked/>
    <w:uiPriority w:val="0"/>
  </w:style>
  <w:style w:type="character" w:styleId="67">
    <w:name w:val="FollowedHyperlink"/>
    <w:unhideWhenUsed/>
    <w:qFormat/>
    <w:locked/>
    <w:uiPriority w:val="99"/>
    <w:rPr>
      <w:color w:val="954F72"/>
      <w:u w:val="single"/>
    </w:rPr>
  </w:style>
  <w:style w:type="character" w:styleId="68">
    <w:name w:val="Emphasis"/>
    <w:qFormat/>
    <w:locked/>
    <w:uiPriority w:val="20"/>
  </w:style>
  <w:style w:type="character" w:styleId="69">
    <w:name w:val="Hyperlink"/>
    <w:qFormat/>
    <w:locked/>
    <w:uiPriority w:val="99"/>
    <w:rPr>
      <w:color w:val="0563C1"/>
      <w:u w:val="single"/>
    </w:rPr>
  </w:style>
  <w:style w:type="character" w:styleId="70">
    <w:name w:val="annotation reference"/>
    <w:qFormat/>
    <w:uiPriority w:val="0"/>
    <w:rPr>
      <w:sz w:val="21"/>
    </w:rPr>
  </w:style>
  <w:style w:type="character" w:styleId="71">
    <w:name w:val="footnote reference"/>
    <w:qFormat/>
    <w:locked/>
    <w:uiPriority w:val="0"/>
    <w:rPr>
      <w:vertAlign w:val="superscript"/>
    </w:rPr>
  </w:style>
  <w:style w:type="character" w:customStyle="1" w:styleId="72">
    <w:name w:val="页脚 字符1"/>
    <w:link w:val="35"/>
    <w:qFormat/>
    <w:locked/>
    <w:uiPriority w:val="0"/>
    <w:rPr>
      <w:sz w:val="18"/>
    </w:rPr>
  </w:style>
  <w:style w:type="character" w:customStyle="1" w:styleId="73">
    <w:name w:val="批注主题 字符"/>
    <w:link w:val="52"/>
    <w:qFormat/>
    <w:locked/>
    <w:uiPriority w:val="0"/>
    <w:rPr>
      <w:rFonts w:ascii="Times New Roman" w:hAnsi="Times New Roman" w:eastAsia="宋体"/>
      <w:b/>
      <w:kern w:val="2"/>
      <w:sz w:val="24"/>
    </w:rPr>
  </w:style>
  <w:style w:type="character" w:customStyle="1" w:styleId="74">
    <w:name w:val="正文文本 字符"/>
    <w:link w:val="14"/>
    <w:qFormat/>
    <w:locked/>
    <w:uiPriority w:val="0"/>
    <w:rPr>
      <w:sz w:val="18"/>
    </w:rPr>
  </w:style>
  <w:style w:type="character" w:customStyle="1" w:styleId="75">
    <w:name w:val="正文文本缩进 字符"/>
    <w:link w:val="22"/>
    <w:qFormat/>
    <w:locked/>
    <w:uiPriority w:val="0"/>
    <w:rPr>
      <w:rFonts w:ascii="Times New Roman" w:hAnsi="Times New Roman" w:eastAsia="宋体"/>
      <w:sz w:val="24"/>
    </w:rPr>
  </w:style>
  <w:style w:type="character" w:customStyle="1" w:styleId="76">
    <w:name w:val="批注框文本 字符"/>
    <w:link w:val="34"/>
    <w:qFormat/>
    <w:locked/>
    <w:uiPriority w:val="99"/>
    <w:rPr>
      <w:rFonts w:ascii="Times New Roman" w:hAnsi="Times New Roman" w:eastAsia="宋体"/>
      <w:sz w:val="18"/>
    </w:rPr>
  </w:style>
  <w:style w:type="character" w:customStyle="1" w:styleId="77">
    <w:name w:val="普通(网站) 字符"/>
    <w:link w:val="49"/>
    <w:qFormat/>
    <w:locked/>
    <w:uiPriority w:val="0"/>
    <w:rPr>
      <w:rFonts w:ascii="宋体" w:hAnsi="宋体" w:eastAsia="宋体"/>
      <w:sz w:val="24"/>
    </w:rPr>
  </w:style>
  <w:style w:type="character" w:customStyle="1" w:styleId="78">
    <w:name w:val="批注文字 字符"/>
    <w:link w:val="20"/>
    <w:qFormat/>
    <w:locked/>
    <w:uiPriority w:val="99"/>
    <w:rPr>
      <w:rFonts w:ascii="Times New Roman" w:hAnsi="Times New Roman" w:eastAsia="宋体"/>
      <w:sz w:val="24"/>
    </w:rPr>
  </w:style>
  <w:style w:type="character" w:customStyle="1" w:styleId="79">
    <w:name w:val="批注文字 字符1"/>
    <w:semiHidden/>
    <w:qFormat/>
    <w:uiPriority w:val="0"/>
    <w:rPr>
      <w:rFonts w:ascii="Times New Roman" w:hAnsi="Times New Roman" w:eastAsia="宋体"/>
      <w:sz w:val="24"/>
    </w:rPr>
  </w:style>
  <w:style w:type="character" w:customStyle="1" w:styleId="80">
    <w:name w:val="页脚 字符"/>
    <w:basedOn w:val="63"/>
    <w:qFormat/>
    <w:uiPriority w:val="0"/>
  </w:style>
  <w:style w:type="character" w:customStyle="1" w:styleId="81">
    <w:name w:val="页眉 字符"/>
    <w:link w:val="23"/>
    <w:qFormat/>
    <w:locked/>
    <w:uiPriority w:val="0"/>
    <w:rPr>
      <w:sz w:val="18"/>
    </w:rPr>
  </w:style>
  <w:style w:type="character" w:customStyle="1" w:styleId="82">
    <w:name w:val="正文文本 字符1"/>
    <w:semiHidden/>
    <w:qFormat/>
    <w:uiPriority w:val="0"/>
    <w:rPr>
      <w:rFonts w:ascii="Times New Roman" w:hAnsi="Times New Roman" w:eastAsia="宋体"/>
      <w:sz w:val="24"/>
    </w:rPr>
  </w:style>
  <w:style w:type="character" w:customStyle="1" w:styleId="83">
    <w:name w:val="表格 Char"/>
    <w:link w:val="84"/>
    <w:qFormat/>
    <w:locked/>
    <w:uiPriority w:val="0"/>
    <w:rPr>
      <w:rFonts w:ascii="宋体"/>
      <w:sz w:val="21"/>
    </w:rPr>
  </w:style>
  <w:style w:type="paragraph" w:customStyle="1" w:styleId="84">
    <w:name w:val="表格"/>
    <w:basedOn w:val="28"/>
    <w:next w:val="1"/>
    <w:link w:val="83"/>
    <w:qFormat/>
    <w:uiPriority w:val="0"/>
    <w:pPr>
      <w:adjustRightInd w:val="0"/>
      <w:snapToGrid w:val="0"/>
      <w:spacing w:beforeLines="10" w:afterLines="10" w:line="259" w:lineRule="auto"/>
      <w:jc w:val="center"/>
    </w:pPr>
    <w:rPr>
      <w:rFonts w:ascii="宋体"/>
      <w:kern w:val="0"/>
      <w:szCs w:val="20"/>
    </w:rPr>
  </w:style>
  <w:style w:type="character" w:customStyle="1" w:styleId="85">
    <w:name w:val="日期 字符"/>
    <w:qFormat/>
    <w:uiPriority w:val="0"/>
    <w:rPr>
      <w:rFonts w:ascii="Times New Roman" w:hAnsi="Times New Roman" w:eastAsia="宋体"/>
      <w:sz w:val="24"/>
    </w:rPr>
  </w:style>
  <w:style w:type="character" w:customStyle="1" w:styleId="86">
    <w:name w:val="日期 字符1"/>
    <w:link w:val="31"/>
    <w:qFormat/>
    <w:locked/>
    <w:uiPriority w:val="0"/>
    <w:rPr>
      <w:rFonts w:ascii="Times New Roman" w:hAnsi="Times New Roman" w:eastAsia="宋体"/>
      <w:sz w:val="24"/>
    </w:rPr>
  </w:style>
  <w:style w:type="paragraph" w:customStyle="1" w:styleId="87">
    <w:name w:val="正文_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89">
    <w:name w:val="标题 2 字符"/>
    <w:link w:val="4"/>
    <w:qFormat/>
    <w:uiPriority w:val="9"/>
    <w:rPr>
      <w:rFonts w:ascii="Calibri Light" w:hAnsi="Calibri Light"/>
      <w:b/>
      <w:bCs/>
      <w:kern w:val="2"/>
      <w:sz w:val="28"/>
      <w:szCs w:val="32"/>
    </w:rPr>
  </w:style>
  <w:style w:type="character" w:customStyle="1" w:styleId="90">
    <w:name w:val="标题 3 字符"/>
    <w:link w:val="5"/>
    <w:qFormat/>
    <w:uiPriority w:val="0"/>
    <w:rPr>
      <w:rFonts w:ascii="Times New Roman" w:hAnsi="Times New Roman"/>
      <w:b/>
      <w:bCs/>
      <w:kern w:val="2"/>
      <w:sz w:val="32"/>
      <w:szCs w:val="32"/>
    </w:rPr>
  </w:style>
  <w:style w:type="character" w:customStyle="1" w:styleId="91">
    <w:name w:val="标题 4 字符"/>
    <w:link w:val="6"/>
    <w:qFormat/>
    <w:uiPriority w:val="9"/>
    <w:rPr>
      <w:rFonts w:ascii="Calibri Light" w:hAnsi="Calibri Light"/>
      <w:b/>
      <w:bCs/>
      <w:kern w:val="2"/>
      <w:sz w:val="28"/>
      <w:szCs w:val="28"/>
    </w:rPr>
  </w:style>
  <w:style w:type="character" w:customStyle="1" w:styleId="92">
    <w:name w:val="标题 5 字符"/>
    <w:link w:val="7"/>
    <w:qFormat/>
    <w:uiPriority w:val="9"/>
    <w:rPr>
      <w:rFonts w:ascii="Times New Roman" w:hAnsi="Times New Roman"/>
      <w:b/>
      <w:bCs/>
      <w:kern w:val="2"/>
      <w:sz w:val="28"/>
      <w:szCs w:val="28"/>
    </w:rPr>
  </w:style>
  <w:style w:type="table" w:customStyle="1" w:styleId="93">
    <w:name w:val="表环评格式1"/>
    <w:basedOn w:val="55"/>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4">
    <w:name w:val="标题 1 字符"/>
    <w:link w:val="3"/>
    <w:qFormat/>
    <w:uiPriority w:val="9"/>
    <w:rPr>
      <w:rFonts w:eastAsia="黑体"/>
      <w:b/>
      <w:bCs/>
      <w:color w:val="000000"/>
      <w:kern w:val="44"/>
      <w:sz w:val="30"/>
      <w:szCs w:val="30"/>
    </w:rPr>
  </w:style>
  <w:style w:type="paragraph" w:customStyle="1" w:styleId="95">
    <w:name w:val="标题 21"/>
    <w:basedOn w:val="1"/>
    <w:next w:val="1"/>
    <w:unhideWhenUsed/>
    <w:qFormat/>
    <w:uiPriority w:val="9"/>
    <w:pPr>
      <w:keepNext/>
      <w:keepLines/>
      <w:outlineLvl w:val="1"/>
    </w:pPr>
    <w:rPr>
      <w:rFonts w:ascii="Calibri Light" w:hAnsi="Calibri Light"/>
      <w:b/>
      <w:bCs/>
      <w:sz w:val="28"/>
      <w:szCs w:val="32"/>
    </w:rPr>
  </w:style>
  <w:style w:type="paragraph" w:customStyle="1" w:styleId="96">
    <w:name w:val="标题 41"/>
    <w:basedOn w:val="1"/>
    <w:next w:val="1"/>
    <w:semiHidden/>
    <w:unhideWhenUsed/>
    <w:qFormat/>
    <w:uiPriority w:val="0"/>
    <w:pPr>
      <w:keepNext/>
      <w:keepLines/>
      <w:spacing w:before="280" w:after="290" w:line="376" w:lineRule="auto"/>
      <w:outlineLvl w:val="3"/>
    </w:pPr>
    <w:rPr>
      <w:rFonts w:ascii="Calibri Light" w:hAnsi="Calibri Light"/>
      <w:b/>
      <w:bCs/>
      <w:sz w:val="28"/>
      <w:szCs w:val="28"/>
    </w:rPr>
  </w:style>
  <w:style w:type="paragraph" w:customStyle="1" w:styleId="97">
    <w:name w:val="题注1"/>
    <w:basedOn w:val="1"/>
    <w:next w:val="1"/>
    <w:unhideWhenUsed/>
    <w:qFormat/>
    <w:uiPriority w:val="0"/>
    <w:rPr>
      <w:rFonts w:ascii="Calibri Light" w:hAnsi="Calibri Light" w:eastAsia="黑体"/>
      <w:sz w:val="20"/>
      <w:szCs w:val="20"/>
    </w:rPr>
  </w:style>
  <w:style w:type="character" w:customStyle="1" w:styleId="98">
    <w:name w:val="正文文本 3 字符"/>
    <w:link w:val="21"/>
    <w:qFormat/>
    <w:uiPriority w:val="0"/>
    <w:rPr>
      <w:rFonts w:ascii="Times New Roman" w:hAnsi="Times New Roman"/>
      <w:kern w:val="2"/>
      <w:sz w:val="16"/>
      <w:szCs w:val="16"/>
    </w:rPr>
  </w:style>
  <w:style w:type="character" w:customStyle="1" w:styleId="99">
    <w:name w:val="纯文本 字符"/>
    <w:link w:val="28"/>
    <w:qFormat/>
    <w:uiPriority w:val="0"/>
    <w:rPr>
      <w:rFonts w:ascii="宋体" w:hAnsi="Courier New" w:cs="Courier New"/>
      <w:kern w:val="2"/>
      <w:sz w:val="21"/>
      <w:szCs w:val="21"/>
    </w:rPr>
  </w:style>
  <w:style w:type="paragraph" w:customStyle="1" w:styleId="100">
    <w:name w:val="批注框文本1"/>
    <w:basedOn w:val="1"/>
    <w:next w:val="34"/>
    <w:unhideWhenUsed/>
    <w:qFormat/>
    <w:uiPriority w:val="99"/>
    <w:rPr>
      <w:sz w:val="18"/>
      <w:szCs w:val="18"/>
    </w:rPr>
  </w:style>
  <w:style w:type="paragraph" w:customStyle="1" w:styleId="101">
    <w:name w:val="目录 11"/>
    <w:basedOn w:val="1"/>
    <w:next w:val="1"/>
    <w:unhideWhenUsed/>
    <w:qFormat/>
    <w:uiPriority w:val="39"/>
    <w:pPr>
      <w:spacing w:line="360" w:lineRule="auto"/>
    </w:pPr>
    <w:rPr>
      <w:rFonts w:eastAsia="Times New Roman"/>
      <w:sz w:val="24"/>
      <w:szCs w:val="22"/>
    </w:rPr>
  </w:style>
  <w:style w:type="character" w:customStyle="1" w:styleId="102">
    <w:name w:val="正文文本缩进 3 字符"/>
    <w:link w:val="43"/>
    <w:qFormat/>
    <w:uiPriority w:val="0"/>
    <w:rPr>
      <w:rFonts w:ascii="Times New Roman" w:hAnsi="Times New Roman"/>
      <w:kern w:val="2"/>
      <w:sz w:val="24"/>
      <w:szCs w:val="24"/>
    </w:rPr>
  </w:style>
  <w:style w:type="character" w:customStyle="1" w:styleId="103">
    <w:name w:val="正文文本 2 字符"/>
    <w:link w:val="47"/>
    <w:qFormat/>
    <w:uiPriority w:val="99"/>
    <w:rPr>
      <w:rFonts w:ascii="Times New Roman" w:hAnsi="Times New Roman"/>
      <w:kern w:val="2"/>
      <w:sz w:val="21"/>
    </w:rPr>
  </w:style>
  <w:style w:type="character" w:customStyle="1" w:styleId="104">
    <w:name w:val="标题 字符"/>
    <w:link w:val="51"/>
    <w:qFormat/>
    <w:uiPriority w:val="10"/>
    <w:rPr>
      <w:rFonts w:ascii="Cambria" w:hAnsi="Cambria"/>
      <w:b/>
      <w:bCs/>
      <w:kern w:val="2"/>
      <w:sz w:val="32"/>
      <w:szCs w:val="32"/>
    </w:rPr>
  </w:style>
  <w:style w:type="paragraph" w:customStyle="1" w:styleId="105">
    <w:name w:val="批注主题1"/>
    <w:basedOn w:val="20"/>
    <w:next w:val="20"/>
    <w:unhideWhenUsed/>
    <w:qFormat/>
    <w:uiPriority w:val="99"/>
    <w:rPr>
      <w:b/>
      <w:bCs/>
      <w:kern w:val="2"/>
      <w:sz w:val="21"/>
      <w:szCs w:val="22"/>
    </w:rPr>
  </w:style>
  <w:style w:type="character" w:customStyle="1" w:styleId="106">
    <w:name w:val="超链接1"/>
    <w:unhideWhenUsed/>
    <w:qFormat/>
    <w:uiPriority w:val="99"/>
    <w:rPr>
      <w:color w:val="0563C1"/>
      <w:u w:val="single"/>
    </w:rPr>
  </w:style>
  <w:style w:type="paragraph" w:customStyle="1" w:styleId="107">
    <w:name w:val="表格文字"/>
    <w:basedOn w:val="28"/>
    <w:link w:val="212"/>
    <w:qFormat/>
    <w:uiPriority w:val="0"/>
    <w:pPr>
      <w:adjustRightInd w:val="0"/>
      <w:spacing w:line="360" w:lineRule="atLeast"/>
      <w:jc w:val="center"/>
      <w:textAlignment w:val="baseline"/>
    </w:pPr>
    <w:rPr>
      <w:kern w:val="0"/>
    </w:rPr>
  </w:style>
  <w:style w:type="table" w:customStyle="1" w:styleId="108">
    <w:name w:val="德阳表格式1"/>
    <w:basedOn w:val="55"/>
    <w:qFormat/>
    <w:uiPriority w:val="0"/>
    <w:pPr>
      <w:widowControl w:val="0"/>
      <w:adjustRightInd w:val="0"/>
      <w:snapToGrid w:val="0"/>
      <w:spacing w:line="360" w:lineRule="atLeast"/>
    </w:pPr>
    <w:rPr>
      <w:rFonts w:ascii="宋体" w:hAnsi="宋体"/>
      <w:color w:val="000000"/>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报告表正文"/>
    <w:basedOn w:val="1"/>
    <w:qFormat/>
    <w:uiPriority w:val="0"/>
    <w:pPr>
      <w:adjustRightInd w:val="0"/>
      <w:spacing w:line="312" w:lineRule="auto"/>
      <w:ind w:left="113" w:right="113" w:firstLine="482"/>
      <w:jc w:val="left"/>
      <w:textAlignment w:val="baseline"/>
    </w:pPr>
    <w:rPr>
      <w:rFonts w:ascii="Times New Roman" w:hAnsi="Times New Roman"/>
      <w:kern w:val="0"/>
      <w:sz w:val="24"/>
      <w:szCs w:val="20"/>
    </w:rPr>
  </w:style>
  <w:style w:type="paragraph" w:customStyle="1" w:styleId="110">
    <w:name w:val="表格首行"/>
    <w:basedOn w:val="1"/>
    <w:next w:val="3"/>
    <w:qFormat/>
    <w:uiPriority w:val="0"/>
    <w:pPr>
      <w:adjustRightInd w:val="0"/>
      <w:jc w:val="center"/>
    </w:pPr>
    <w:rPr>
      <w:rFonts w:ascii="Times New Roman" w:hAnsi="Times New Roman" w:cs="宋体"/>
      <w:b/>
      <w:szCs w:val="20"/>
    </w:rPr>
  </w:style>
  <w:style w:type="paragraph" w:customStyle="1" w:styleId="111">
    <w:name w:val="表格内容"/>
    <w:basedOn w:val="1"/>
    <w:next w:val="3"/>
    <w:link w:val="225"/>
    <w:qFormat/>
    <w:uiPriority w:val="0"/>
    <w:pPr>
      <w:adjustRightInd w:val="0"/>
      <w:jc w:val="center"/>
    </w:pPr>
    <w:rPr>
      <w:rFonts w:ascii="Times New Roman" w:hAnsi="Times New Roman" w:cs="Courier New"/>
      <w:szCs w:val="21"/>
    </w:rPr>
  </w:style>
  <w:style w:type="paragraph" w:customStyle="1" w:styleId="112">
    <w:name w:val="样式2"/>
    <w:basedOn w:val="1"/>
    <w:link w:val="196"/>
    <w:qFormat/>
    <w:uiPriority w:val="0"/>
    <w:pPr>
      <w:adjustRightInd w:val="0"/>
      <w:spacing w:line="240" w:lineRule="atLeast"/>
      <w:ind w:left="170"/>
      <w:jc w:val="left"/>
      <w:textAlignment w:val="baseline"/>
    </w:pPr>
    <w:rPr>
      <w:rFonts w:ascii="Times New Roman" w:hAnsi="Times New Roman"/>
      <w:b/>
      <w:kern w:val="0"/>
      <w:sz w:val="24"/>
      <w:szCs w:val="20"/>
    </w:rPr>
  </w:style>
  <w:style w:type="paragraph" w:customStyle="1" w:styleId="113">
    <w:name w:val="表头图尾"/>
    <w:basedOn w:val="1"/>
    <w:qFormat/>
    <w:uiPriority w:val="0"/>
    <w:pPr>
      <w:jc w:val="center"/>
    </w:pPr>
    <w:rPr>
      <w:rFonts w:ascii="Times New Roman" w:hAnsi="Times New Roman"/>
      <w:b/>
      <w:szCs w:val="20"/>
    </w:rPr>
  </w:style>
  <w:style w:type="character" w:customStyle="1" w:styleId="114">
    <w:name w:val="题注 字符"/>
    <w:link w:val="17"/>
    <w:qFormat/>
    <w:uiPriority w:val="0"/>
    <w:rPr>
      <w:rFonts w:ascii="Calibri Light" w:hAnsi="Calibri Light" w:eastAsia="黑体"/>
      <w:kern w:val="2"/>
    </w:rPr>
  </w:style>
  <w:style w:type="paragraph" w:customStyle="1" w:styleId="115">
    <w:name w:val="电镀正文"/>
    <w:basedOn w:val="16"/>
    <w:qFormat/>
    <w:uiPriority w:val="0"/>
    <w:pPr>
      <w:spacing w:line="400" w:lineRule="exact"/>
      <w:ind w:firstLine="200"/>
    </w:pPr>
    <w:rPr>
      <w:sz w:val="24"/>
      <w:szCs w:val="24"/>
    </w:rPr>
  </w:style>
  <w:style w:type="paragraph" w:customStyle="1" w:styleId="116">
    <w:name w:val="列出段落"/>
    <w:basedOn w:val="1"/>
    <w:qFormat/>
    <w:uiPriority w:val="34"/>
    <w:pPr>
      <w:ind w:firstLine="420" w:firstLineChars="200"/>
    </w:pPr>
    <w:rPr>
      <w:rFonts w:ascii="Times New Roman" w:hAnsi="Times New Roman"/>
      <w:szCs w:val="20"/>
    </w:rPr>
  </w:style>
  <w:style w:type="paragraph" w:customStyle="1" w:styleId="117">
    <w:name w:val="Table Paragraph"/>
    <w:basedOn w:val="1"/>
    <w:qFormat/>
    <w:uiPriority w:val="1"/>
    <w:pPr>
      <w:jc w:val="center"/>
    </w:pPr>
    <w:rPr>
      <w:rFonts w:ascii="宋体" w:hAnsi="宋体" w:cs="宋体"/>
      <w:kern w:val="0"/>
      <w:sz w:val="22"/>
      <w:szCs w:val="22"/>
      <w:lang w:eastAsia="en-US"/>
    </w:rPr>
  </w:style>
  <w:style w:type="paragraph" w:customStyle="1" w:styleId="118">
    <w:name w:val="列出段落1"/>
    <w:basedOn w:val="1"/>
    <w:qFormat/>
    <w:uiPriority w:val="34"/>
    <w:pPr>
      <w:spacing w:line="360" w:lineRule="auto"/>
      <w:ind w:firstLine="420" w:firstLineChars="200"/>
      <w:jc w:val="left"/>
    </w:pPr>
    <w:rPr>
      <w:rFonts w:ascii="Times New Roman" w:hAnsi="Times New Roman"/>
      <w:sz w:val="24"/>
    </w:rPr>
  </w:style>
  <w:style w:type="paragraph" w:customStyle="1" w:styleId="119">
    <w:name w:val="p0"/>
    <w:basedOn w:val="1"/>
    <w:qFormat/>
    <w:uiPriority w:val="0"/>
    <w:pPr>
      <w:widowControl/>
    </w:pPr>
    <w:rPr>
      <w:rFonts w:ascii="Times New Roman" w:hAnsi="Times New Roman"/>
      <w:kern w:val="0"/>
      <w:szCs w:val="21"/>
    </w:rPr>
  </w:style>
  <w:style w:type="paragraph" w:customStyle="1" w:styleId="120">
    <w:name w:val="_Style 4"/>
    <w:basedOn w:val="1"/>
    <w:qFormat/>
    <w:uiPriority w:val="99"/>
    <w:pPr>
      <w:spacing w:line="240" w:lineRule="atLeast"/>
      <w:ind w:firstLine="420"/>
    </w:pPr>
    <w:rPr>
      <w:szCs w:val="20"/>
    </w:rPr>
  </w:style>
  <w:style w:type="paragraph" w:customStyle="1" w:styleId="12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styleId="122">
    <w:name w:val="Placeholder Text"/>
    <w:qFormat/>
    <w:uiPriority w:val="99"/>
    <w:rPr>
      <w:color w:val="808080"/>
    </w:rPr>
  </w:style>
  <w:style w:type="character" w:customStyle="1" w:styleId="123">
    <w:name w:val="show-img-bd"/>
    <w:qFormat/>
    <w:uiPriority w:val="0"/>
  </w:style>
  <w:style w:type="paragraph" w:customStyle="1" w:styleId="124">
    <w:name w:val="TOC 标题1"/>
    <w:basedOn w:val="3"/>
    <w:next w:val="1"/>
    <w:unhideWhenUsed/>
    <w:qFormat/>
    <w:uiPriority w:val="39"/>
    <w:pPr>
      <w:keepLines/>
      <w:widowControl/>
      <w:overflowPunct/>
      <w:snapToGrid/>
      <w:spacing w:before="240" w:after="0"/>
      <w:ind w:left="0" w:firstLine="0"/>
      <w:jc w:val="left"/>
      <w:outlineLvl w:val="9"/>
    </w:pPr>
    <w:rPr>
      <w:rFonts w:ascii="Calibri Light" w:hAnsi="Calibri Light" w:eastAsia="宋体"/>
      <w:b w:val="0"/>
      <w:bCs w:val="0"/>
      <w:color w:val="2E74B5"/>
      <w:kern w:val="0"/>
      <w:sz w:val="32"/>
      <w:szCs w:val="32"/>
    </w:rPr>
  </w:style>
  <w:style w:type="character" w:customStyle="1" w:styleId="125">
    <w:name w:val="样式 表中文字 + 小四 Char"/>
    <w:link w:val="126"/>
    <w:qFormat/>
    <w:uiPriority w:val="0"/>
    <w:rPr>
      <w:rFonts w:ascii="宋体" w:hAnsi="宋体"/>
      <w:sz w:val="18"/>
      <w:szCs w:val="18"/>
    </w:rPr>
  </w:style>
  <w:style w:type="paragraph" w:customStyle="1" w:styleId="126">
    <w:name w:val="样式 表中文字 + 小四"/>
    <w:basedOn w:val="1"/>
    <w:link w:val="125"/>
    <w:qFormat/>
    <w:uiPriority w:val="0"/>
    <w:pPr>
      <w:snapToGrid w:val="0"/>
      <w:ind w:right="-27" w:rightChars="-13"/>
      <w:jc w:val="center"/>
    </w:pPr>
    <w:rPr>
      <w:rFonts w:ascii="宋体" w:hAnsi="宋体"/>
      <w:kern w:val="0"/>
      <w:sz w:val="18"/>
      <w:szCs w:val="18"/>
    </w:rPr>
  </w:style>
  <w:style w:type="paragraph" w:customStyle="1" w:styleId="127">
    <w:name w:val="报告表格"/>
    <w:basedOn w:val="1"/>
    <w:qFormat/>
    <w:uiPriority w:val="0"/>
    <w:pPr>
      <w:autoSpaceDE w:val="0"/>
      <w:autoSpaceDN w:val="0"/>
      <w:adjustRightInd w:val="0"/>
      <w:spacing w:before="40" w:after="40"/>
      <w:jc w:val="center"/>
    </w:pPr>
    <w:rPr>
      <w:rFonts w:ascii="Times New Roman" w:hAnsi="Times New Roman"/>
      <w:kern w:val="0"/>
      <w:szCs w:val="20"/>
    </w:rPr>
  </w:style>
  <w:style w:type="character" w:customStyle="1" w:styleId="128">
    <w:name w:val="表标题 Char"/>
    <w:link w:val="129"/>
    <w:qFormat/>
    <w:uiPriority w:val="0"/>
    <w:rPr>
      <w:rFonts w:ascii="黑体" w:hAnsi="Gloucester MT Extra Condensed" w:eastAsia="黑体" w:cs="Arial"/>
      <w:bCs/>
      <w:sz w:val="24"/>
      <w:szCs w:val="21"/>
    </w:rPr>
  </w:style>
  <w:style w:type="paragraph" w:customStyle="1" w:styleId="129">
    <w:name w:val="表标题"/>
    <w:basedOn w:val="1"/>
    <w:link w:val="128"/>
    <w:qFormat/>
    <w:uiPriority w:val="0"/>
    <w:pPr>
      <w:widowControl/>
      <w:snapToGrid w:val="0"/>
      <w:spacing w:before="120" w:afterLines="50"/>
      <w:ind w:firstLine="482"/>
      <w:jc w:val="center"/>
    </w:pPr>
    <w:rPr>
      <w:rFonts w:ascii="黑体" w:hAnsi="Gloucester MT Extra Condensed" w:eastAsia="黑体" w:cs="Arial"/>
      <w:bCs/>
      <w:kern w:val="0"/>
      <w:sz w:val="24"/>
      <w:szCs w:val="21"/>
    </w:rPr>
  </w:style>
  <w:style w:type="character" w:customStyle="1" w:styleId="130">
    <w:name w:val="报告 Char Char"/>
    <w:link w:val="131"/>
    <w:qFormat/>
    <w:uiPriority w:val="0"/>
    <w:rPr>
      <w:sz w:val="24"/>
    </w:rPr>
  </w:style>
  <w:style w:type="paragraph" w:customStyle="1" w:styleId="131">
    <w:name w:val="报告"/>
    <w:basedOn w:val="1"/>
    <w:link w:val="130"/>
    <w:qFormat/>
    <w:uiPriority w:val="0"/>
    <w:pPr>
      <w:adjustRightInd w:val="0"/>
      <w:spacing w:line="360" w:lineRule="auto"/>
      <w:ind w:firstLine="505" w:firstLineChars="200"/>
      <w:jc w:val="left"/>
      <w:textAlignment w:val="baseline"/>
    </w:pPr>
    <w:rPr>
      <w:kern w:val="0"/>
      <w:sz w:val="24"/>
      <w:szCs w:val="20"/>
    </w:rPr>
  </w:style>
  <w:style w:type="paragraph" w:customStyle="1" w:styleId="132">
    <w:name w:val="_Style 6"/>
    <w:basedOn w:val="1"/>
    <w:qFormat/>
    <w:uiPriority w:val="0"/>
    <w:rPr>
      <w:rFonts w:ascii="Times New Roman" w:hAnsi="Times New Roman" w:eastAsia="华文中宋"/>
      <w:kern w:val="0"/>
      <w:sz w:val="24"/>
      <w:szCs w:val="20"/>
    </w:rPr>
  </w:style>
  <w:style w:type="paragraph" w:customStyle="1" w:styleId="133">
    <w:name w:val="我的正文"/>
    <w:basedOn w:val="1"/>
    <w:link w:val="134"/>
    <w:qFormat/>
    <w:uiPriority w:val="0"/>
    <w:pPr>
      <w:widowControl/>
      <w:kinsoku w:val="0"/>
      <w:overflowPunct w:val="0"/>
      <w:autoSpaceDE w:val="0"/>
      <w:autoSpaceDN w:val="0"/>
      <w:spacing w:line="360" w:lineRule="auto"/>
      <w:ind w:firstLine="200" w:firstLineChars="200"/>
    </w:pPr>
    <w:rPr>
      <w:rFonts w:ascii="Times New Roman" w:hAnsi="Times New Roman"/>
      <w:sz w:val="24"/>
    </w:rPr>
  </w:style>
  <w:style w:type="character" w:customStyle="1" w:styleId="134">
    <w:name w:val="我的正文 字符"/>
    <w:link w:val="133"/>
    <w:qFormat/>
    <w:uiPriority w:val="0"/>
    <w:rPr>
      <w:rFonts w:ascii="Times New Roman" w:hAnsi="Times New Roman"/>
      <w:kern w:val="2"/>
      <w:sz w:val="24"/>
      <w:szCs w:val="24"/>
    </w:rPr>
  </w:style>
  <w:style w:type="character" w:customStyle="1" w:styleId="135">
    <w:name w:val="正文文本缩进 2 字符"/>
    <w:link w:val="32"/>
    <w:qFormat/>
    <w:uiPriority w:val="99"/>
    <w:rPr>
      <w:rFonts w:ascii="Times New Roman" w:hAnsi="Times New Roman"/>
      <w:kern w:val="2"/>
      <w:sz w:val="21"/>
    </w:rPr>
  </w:style>
  <w:style w:type="paragraph" w:customStyle="1" w:styleId="136">
    <w:name w:val="环科院正文 Char Char"/>
    <w:basedOn w:val="1"/>
    <w:qFormat/>
    <w:uiPriority w:val="0"/>
    <w:pPr>
      <w:spacing w:line="300" w:lineRule="auto"/>
      <w:ind w:firstLine="480" w:firstLineChars="200"/>
    </w:pPr>
    <w:rPr>
      <w:rFonts w:ascii="宋体" w:hAnsi="宋体"/>
      <w:bCs/>
      <w:kern w:val="0"/>
      <w:sz w:val="24"/>
    </w:rPr>
  </w:style>
  <w:style w:type="character" w:customStyle="1" w:styleId="137">
    <w:name w:val="批注框文本 Char1"/>
    <w:semiHidden/>
    <w:qFormat/>
    <w:uiPriority w:val="99"/>
    <w:rPr>
      <w:sz w:val="18"/>
      <w:szCs w:val="18"/>
    </w:rPr>
  </w:style>
  <w:style w:type="character" w:customStyle="1" w:styleId="138">
    <w:name w:val="超链接2"/>
    <w:unhideWhenUsed/>
    <w:qFormat/>
    <w:uiPriority w:val="99"/>
    <w:rPr>
      <w:color w:val="0000FF"/>
      <w:u w:val="single"/>
    </w:rPr>
  </w:style>
  <w:style w:type="character" w:customStyle="1" w:styleId="139">
    <w:name w:val="标题 2 Char1"/>
    <w:semiHidden/>
    <w:qFormat/>
    <w:uiPriority w:val="9"/>
    <w:rPr>
      <w:rFonts w:ascii="Cambria" w:hAnsi="Cambria" w:eastAsia="宋体" w:cs="Times New Roman"/>
      <w:b/>
      <w:bCs/>
      <w:sz w:val="32"/>
      <w:szCs w:val="32"/>
    </w:rPr>
  </w:style>
  <w:style w:type="character" w:customStyle="1" w:styleId="140">
    <w:name w:val="标题 4 Char1"/>
    <w:semiHidden/>
    <w:qFormat/>
    <w:uiPriority w:val="9"/>
    <w:rPr>
      <w:rFonts w:ascii="Cambria" w:hAnsi="Cambria" w:eastAsia="宋体" w:cs="Times New Roman"/>
      <w:b/>
      <w:bCs/>
      <w:sz w:val="28"/>
      <w:szCs w:val="28"/>
    </w:rPr>
  </w:style>
  <w:style w:type="character" w:customStyle="1" w:styleId="141">
    <w:name w:val="批注主题 Char1"/>
    <w:semiHidden/>
    <w:qFormat/>
    <w:uiPriority w:val="99"/>
    <w:rPr>
      <w:rFonts w:ascii="Times New Roman" w:hAnsi="Times New Roman" w:eastAsia="宋体" w:cs="Times New Roman"/>
      <w:b/>
      <w:bCs/>
      <w:sz w:val="24"/>
      <w:szCs w:val="20"/>
    </w:rPr>
  </w:style>
  <w:style w:type="paragraph" w:customStyle="1" w:styleId="142">
    <w:name w:val="目录 12"/>
    <w:basedOn w:val="1"/>
    <w:next w:val="1"/>
    <w:unhideWhenUsed/>
    <w:qFormat/>
    <w:uiPriority w:val="39"/>
    <w:pPr>
      <w:spacing w:line="360" w:lineRule="auto"/>
    </w:pPr>
    <w:rPr>
      <w:rFonts w:eastAsia="Times New Roman"/>
      <w:sz w:val="24"/>
      <w:szCs w:val="22"/>
    </w:rPr>
  </w:style>
  <w:style w:type="paragraph" w:customStyle="1" w:styleId="143">
    <w:name w:val="目录 13"/>
    <w:basedOn w:val="1"/>
    <w:next w:val="1"/>
    <w:unhideWhenUsed/>
    <w:qFormat/>
    <w:uiPriority w:val="39"/>
    <w:pPr>
      <w:spacing w:line="360" w:lineRule="auto"/>
    </w:pPr>
    <w:rPr>
      <w:rFonts w:eastAsia="Times New Roman"/>
      <w:sz w:val="24"/>
      <w:szCs w:val="22"/>
    </w:rPr>
  </w:style>
  <w:style w:type="table" w:customStyle="1" w:styleId="144">
    <w:name w:val="表环评格式2"/>
    <w:basedOn w:val="55"/>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5">
    <w:name w:val="德阳表格式11"/>
    <w:basedOn w:val="55"/>
    <w:qFormat/>
    <w:uiPriority w:val="0"/>
    <w:pPr>
      <w:widowControl w:val="0"/>
      <w:adjustRightInd w:val="0"/>
      <w:snapToGrid w:val="0"/>
      <w:spacing w:line="360" w:lineRule="atLeast"/>
    </w:pPr>
    <w:rPr>
      <w:rFonts w:ascii="宋体" w:hAnsi="宋体"/>
      <w:color w:val="000000"/>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6">
    <w:name w:val="表格格式00"/>
    <w:qFormat/>
    <w:uiPriority w:val="0"/>
    <w:pPr>
      <w:adjustRightInd w:val="0"/>
      <w:snapToGrid w:val="0"/>
      <w:spacing w:line="360" w:lineRule="exact"/>
      <w:jc w:val="center"/>
    </w:pPr>
    <w:rPr>
      <w:rFonts w:ascii="Calibri" w:hAnsi="Calibri" w:eastAsia="宋体" w:cs="Times New Roman"/>
      <w:spacing w:val="10"/>
      <w:kern w:val="2"/>
      <w:sz w:val="21"/>
      <w:szCs w:val="21"/>
      <w:lang w:val="en-US" w:eastAsia="zh-CN" w:bidi="ar-SA"/>
    </w:rPr>
  </w:style>
  <w:style w:type="paragraph" w:customStyle="1" w:styleId="147">
    <w:name w:val="Normal_0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148">
    <w:name w:val="Table Grid_0"/>
    <w:basedOn w:val="55"/>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9">
    <w:name w:val="inner2andpoint1"/>
    <w:qFormat/>
    <w:uiPriority w:val="0"/>
    <w:rPr>
      <w:rFonts w:hint="default" w:ascii="Algerian" w:hAnsi="Algerian"/>
      <w:b/>
      <w:bCs/>
    </w:rPr>
  </w:style>
  <w:style w:type="character" w:customStyle="1" w:styleId="150">
    <w:name w:val="【正文】 Char"/>
    <w:link w:val="151"/>
    <w:qFormat/>
    <w:uiPriority w:val="0"/>
    <w:rPr>
      <w:rFonts w:cs="宋体"/>
      <w:sz w:val="24"/>
    </w:rPr>
  </w:style>
  <w:style w:type="paragraph" w:customStyle="1" w:styleId="151">
    <w:name w:val="【正文】"/>
    <w:basedOn w:val="1"/>
    <w:link w:val="150"/>
    <w:qFormat/>
    <w:uiPriority w:val="0"/>
    <w:pPr>
      <w:spacing w:line="440" w:lineRule="exact"/>
      <w:ind w:firstLine="544" w:firstLineChars="200"/>
    </w:pPr>
    <w:rPr>
      <w:rFonts w:cs="宋体"/>
      <w:kern w:val="0"/>
      <w:sz w:val="24"/>
      <w:szCs w:val="20"/>
    </w:rPr>
  </w:style>
  <w:style w:type="paragraph" w:customStyle="1" w:styleId="152">
    <w:name w:val="Normal_0"/>
    <w:qFormat/>
    <w:uiPriority w:val="0"/>
    <w:pPr>
      <w:widowControl w:val="0"/>
      <w:spacing w:line="360" w:lineRule="auto"/>
      <w:ind w:firstLine="200" w:firstLineChars="200"/>
      <w:jc w:val="both"/>
    </w:pPr>
    <w:rPr>
      <w:rFonts w:ascii="Times New Roman" w:hAnsi="Times New Roman" w:eastAsia="仿宋" w:cs="Times New Roman"/>
      <w:kern w:val="2"/>
      <w:sz w:val="28"/>
      <w:szCs w:val="21"/>
      <w:lang w:val="en-US" w:eastAsia="zh-CN" w:bidi="ar-SA"/>
    </w:rPr>
  </w:style>
  <w:style w:type="table" w:customStyle="1" w:styleId="153">
    <w:name w:val="网格型21"/>
    <w:basedOn w:val="55"/>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4">
    <w:name w:val="题注 字符1"/>
    <w:qFormat/>
    <w:uiPriority w:val="0"/>
    <w:rPr>
      <w:kern w:val="2"/>
      <w:sz w:val="21"/>
    </w:rPr>
  </w:style>
  <w:style w:type="paragraph" w:styleId="155">
    <w:name w:val="List Paragraph"/>
    <w:basedOn w:val="1"/>
    <w:link w:val="536"/>
    <w:qFormat/>
    <w:uiPriority w:val="34"/>
    <w:pPr>
      <w:ind w:firstLine="420" w:firstLineChars="200"/>
    </w:pPr>
  </w:style>
  <w:style w:type="paragraph" w:customStyle="1" w:styleId="156">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57">
    <w:name w:val="表内字 字符"/>
    <w:link w:val="158"/>
    <w:qFormat/>
    <w:uiPriority w:val="0"/>
    <w:rPr>
      <w:rFonts w:ascii="Times New Roman" w:hAnsi="Times New Roman" w:cs="宋体"/>
      <w:bCs/>
      <w:kern w:val="2"/>
      <w:sz w:val="21"/>
      <w:szCs w:val="21"/>
    </w:rPr>
  </w:style>
  <w:style w:type="paragraph" w:customStyle="1" w:styleId="158">
    <w:name w:val="表内字"/>
    <w:basedOn w:val="1"/>
    <w:link w:val="157"/>
    <w:qFormat/>
    <w:uiPriority w:val="0"/>
    <w:pPr>
      <w:snapToGrid w:val="0"/>
      <w:jc w:val="center"/>
    </w:pPr>
    <w:rPr>
      <w:rFonts w:ascii="Times New Roman" w:hAnsi="Times New Roman" w:cs="宋体"/>
      <w:bCs/>
      <w:szCs w:val="21"/>
    </w:rPr>
  </w:style>
  <w:style w:type="character" w:customStyle="1" w:styleId="159">
    <w:name w:val="正文文本 (3)_"/>
    <w:link w:val="160"/>
    <w:qFormat/>
    <w:uiPriority w:val="0"/>
    <w:rPr>
      <w:rFonts w:ascii="MingLiU" w:hAnsi="MingLiU" w:eastAsia="MingLiU" w:cs="MingLiU"/>
      <w:sz w:val="60"/>
      <w:szCs w:val="60"/>
      <w:shd w:val="clear" w:color="auto" w:fill="FFFFFF"/>
    </w:rPr>
  </w:style>
  <w:style w:type="paragraph" w:customStyle="1" w:styleId="160">
    <w:name w:val="正文文本 (3)"/>
    <w:basedOn w:val="1"/>
    <w:link w:val="159"/>
    <w:qFormat/>
    <w:uiPriority w:val="0"/>
    <w:pPr>
      <w:shd w:val="clear" w:color="auto" w:fill="FFFFFF"/>
      <w:spacing w:before="360" w:after="240" w:line="0" w:lineRule="atLeast"/>
      <w:jc w:val="distribute"/>
    </w:pPr>
    <w:rPr>
      <w:rFonts w:ascii="MingLiU" w:hAnsi="MingLiU" w:eastAsia="MingLiU" w:cs="MingLiU"/>
      <w:kern w:val="0"/>
      <w:sz w:val="60"/>
      <w:szCs w:val="60"/>
    </w:rPr>
  </w:style>
  <w:style w:type="character" w:customStyle="1" w:styleId="161">
    <w:name w:val="文本块 字符"/>
    <w:link w:val="25"/>
    <w:qFormat/>
    <w:uiPriority w:val="0"/>
    <w:rPr>
      <w:rFonts w:ascii="Times New Roman" w:hAnsi="Times New Roman"/>
      <w:kern w:val="2"/>
      <w:sz w:val="18"/>
    </w:rPr>
  </w:style>
  <w:style w:type="character" w:customStyle="1" w:styleId="162">
    <w:name w:val="未处理的提及1"/>
    <w:basedOn w:val="63"/>
    <w:unhideWhenUsed/>
    <w:qFormat/>
    <w:uiPriority w:val="99"/>
    <w:rPr>
      <w:color w:val="605E5C"/>
      <w:shd w:val="clear" w:color="auto" w:fill="E1DFDD"/>
    </w:rPr>
  </w:style>
  <w:style w:type="table" w:customStyle="1" w:styleId="163">
    <w:name w:val="Table Normal"/>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164">
    <w:name w:val="样式4"/>
    <w:basedOn w:val="1"/>
    <w:qFormat/>
    <w:uiPriority w:val="0"/>
    <w:rPr>
      <w:rFonts w:ascii="Times New Roman" w:hAnsi="Times New Roman" w:eastAsia="黑体"/>
      <w:b/>
      <w:sz w:val="24"/>
    </w:rPr>
  </w:style>
  <w:style w:type="paragraph" w:customStyle="1" w:styleId="165">
    <w:name w:val="纯文本1"/>
    <w:qFormat/>
    <w:uiPriority w:val="0"/>
    <w:pPr>
      <w:widowControl w:val="0"/>
      <w:adjustRightInd w:val="0"/>
      <w:spacing w:line="360" w:lineRule="auto"/>
      <w:ind w:firstLine="465"/>
      <w:jc w:val="both"/>
    </w:pPr>
    <w:rPr>
      <w:rFonts w:ascii="宋体" w:hAnsi="Courier New" w:eastAsia="宋体" w:cs="Times New Roman"/>
      <w:kern w:val="2"/>
      <w:sz w:val="24"/>
      <w:lang w:val="en-US" w:eastAsia="zh-CN" w:bidi="ar-SA"/>
    </w:rPr>
  </w:style>
  <w:style w:type="paragraph" w:customStyle="1" w:styleId="166">
    <w:name w:val="表格5号中"/>
    <w:basedOn w:val="1"/>
    <w:link w:val="167"/>
    <w:qFormat/>
    <w:uiPriority w:val="0"/>
    <w:pPr>
      <w:widowControl/>
      <w:tabs>
        <w:tab w:val="left" w:pos="307"/>
      </w:tabs>
      <w:spacing w:line="276" w:lineRule="auto"/>
      <w:ind w:right="19" w:rightChars="8"/>
      <w:jc w:val="center"/>
    </w:pPr>
    <w:rPr>
      <w:rFonts w:ascii="Times New Roman" w:hAnsi="Times New Roman"/>
      <w:color w:val="000000"/>
      <w:sz w:val="24"/>
    </w:rPr>
  </w:style>
  <w:style w:type="character" w:customStyle="1" w:styleId="167">
    <w:name w:val="表格5号中 字符"/>
    <w:basedOn w:val="63"/>
    <w:link w:val="166"/>
    <w:autoRedefine/>
    <w:qFormat/>
    <w:uiPriority w:val="0"/>
    <w:rPr>
      <w:rFonts w:ascii="Times New Roman" w:hAnsi="Times New Roman"/>
      <w:color w:val="000000"/>
      <w:kern w:val="2"/>
      <w:sz w:val="24"/>
      <w:szCs w:val="24"/>
    </w:rPr>
  </w:style>
  <w:style w:type="character" w:customStyle="1" w:styleId="168">
    <w:name w:val="正文文本首行缩进 2 字符"/>
    <w:basedOn w:val="75"/>
    <w:link w:val="54"/>
    <w:qFormat/>
    <w:uiPriority w:val="0"/>
    <w:rPr>
      <w:rFonts w:ascii="Times New Roman" w:hAnsi="Times New Roman" w:eastAsia="宋体"/>
      <w:kern w:val="2"/>
      <w:sz w:val="21"/>
      <w:szCs w:val="24"/>
    </w:rPr>
  </w:style>
  <w:style w:type="character" w:customStyle="1" w:styleId="169">
    <w:name w:val="正文1 Char"/>
    <w:link w:val="170"/>
    <w:qFormat/>
    <w:uiPriority w:val="0"/>
    <w:rPr>
      <w:rFonts w:hAnsi="宋体"/>
      <w:sz w:val="28"/>
      <w:szCs w:val="28"/>
    </w:rPr>
  </w:style>
  <w:style w:type="paragraph" w:customStyle="1" w:styleId="170">
    <w:name w:val="正文1"/>
    <w:basedOn w:val="1"/>
    <w:link w:val="169"/>
    <w:qFormat/>
    <w:uiPriority w:val="0"/>
    <w:pPr>
      <w:widowControl/>
      <w:spacing w:line="540" w:lineRule="exact"/>
      <w:ind w:firstLine="560" w:firstLineChars="200"/>
      <w:jc w:val="center"/>
    </w:pPr>
    <w:rPr>
      <w:rFonts w:ascii="Times New Roman" w:hAnsi="宋体"/>
      <w:kern w:val="0"/>
      <w:sz w:val="28"/>
      <w:szCs w:val="28"/>
    </w:rPr>
  </w:style>
  <w:style w:type="character" w:customStyle="1" w:styleId="171">
    <w:name w:val="标题 6 字符"/>
    <w:basedOn w:val="63"/>
    <w:link w:val="8"/>
    <w:qFormat/>
    <w:uiPriority w:val="9"/>
    <w:rPr>
      <w:rFonts w:cstheme="majorBidi"/>
      <w:b/>
      <w:bCs/>
      <w:color w:val="2F5597" w:themeColor="accent1" w:themeShade="BF"/>
      <w:kern w:val="2"/>
      <w:sz w:val="24"/>
      <w:szCs w:val="24"/>
    </w:rPr>
  </w:style>
  <w:style w:type="character" w:customStyle="1" w:styleId="172">
    <w:name w:val="标题 7 字符"/>
    <w:basedOn w:val="63"/>
    <w:link w:val="9"/>
    <w:qFormat/>
    <w:uiPriority w:val="9"/>
    <w:rPr>
      <w:rFonts w:cstheme="majorBidi"/>
      <w:b/>
      <w:bCs/>
      <w:color w:val="595959" w:themeColor="text1" w:themeTint="A6"/>
      <w:kern w:val="2"/>
      <w:sz w:val="24"/>
      <w:szCs w:val="24"/>
      <w14:textFill>
        <w14:solidFill>
          <w14:schemeClr w14:val="tx1">
            <w14:lumMod w14:val="65000"/>
            <w14:lumOff w14:val="35000"/>
          </w14:schemeClr>
        </w14:solidFill>
      </w14:textFill>
    </w:rPr>
  </w:style>
  <w:style w:type="character" w:customStyle="1" w:styleId="173">
    <w:name w:val="标题 8 字符"/>
    <w:basedOn w:val="63"/>
    <w:link w:val="10"/>
    <w:qFormat/>
    <w:uiPriority w:val="9"/>
    <w:rPr>
      <w:rFonts w:cstheme="majorBidi"/>
      <w:color w:val="595959" w:themeColor="text1" w:themeTint="A6"/>
      <w:kern w:val="2"/>
      <w:sz w:val="24"/>
      <w:szCs w:val="24"/>
      <w14:textFill>
        <w14:solidFill>
          <w14:schemeClr w14:val="tx1">
            <w14:lumMod w14:val="65000"/>
            <w14:lumOff w14:val="35000"/>
          </w14:schemeClr>
        </w14:solidFill>
      </w14:textFill>
    </w:rPr>
  </w:style>
  <w:style w:type="character" w:customStyle="1" w:styleId="174">
    <w:name w:val="标题 9 字符"/>
    <w:basedOn w:val="63"/>
    <w:link w:val="11"/>
    <w:qFormat/>
    <w:uiPriority w:val="9"/>
    <w:rPr>
      <w:rFonts w:eastAsiaTheme="majorEastAsia" w:cstheme="majorBidi"/>
      <w:color w:val="595959" w:themeColor="text1" w:themeTint="A6"/>
      <w:kern w:val="2"/>
      <w:sz w:val="24"/>
      <w:szCs w:val="24"/>
      <w14:textFill>
        <w14:solidFill>
          <w14:schemeClr w14:val="tx1">
            <w14:lumMod w14:val="65000"/>
            <w14:lumOff w14:val="35000"/>
          </w14:schemeClr>
        </w14:solidFill>
      </w14:textFill>
    </w:rPr>
  </w:style>
  <w:style w:type="character" w:customStyle="1" w:styleId="175">
    <w:name w:val="未处理的提及2"/>
    <w:basedOn w:val="63"/>
    <w:unhideWhenUsed/>
    <w:qFormat/>
    <w:uiPriority w:val="99"/>
    <w:rPr>
      <w:color w:val="605E5C"/>
      <w:shd w:val="clear" w:color="auto" w:fill="E1DFDD"/>
    </w:rPr>
  </w:style>
  <w:style w:type="character" w:customStyle="1" w:styleId="176">
    <w:name w:val="页眉 字符1"/>
    <w:qFormat/>
    <w:uiPriority w:val="0"/>
    <w:rPr>
      <w:rFonts w:ascii="Times New Roman" w:hAnsi="Times New Roman" w:eastAsia="宋体" w:cs="Times New Roman"/>
      <w:sz w:val="18"/>
      <w:szCs w:val="18"/>
      <w14:ligatures w14:val="none"/>
    </w:rPr>
  </w:style>
  <w:style w:type="character" w:customStyle="1" w:styleId="177">
    <w:name w:val="副标题 字符"/>
    <w:basedOn w:val="63"/>
    <w:link w:val="40"/>
    <w:qFormat/>
    <w:uiPriority w:val="0"/>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78">
    <w:name w:val="Quote"/>
    <w:basedOn w:val="1"/>
    <w:next w:val="1"/>
    <w:link w:val="179"/>
    <w:qFormat/>
    <w:uiPriority w:val="29"/>
    <w:pPr>
      <w:spacing w:before="160" w:after="160" w:line="360" w:lineRule="auto"/>
      <w:ind w:firstLine="200" w:firstLineChars="200"/>
      <w:jc w:val="center"/>
    </w:pPr>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179">
    <w:name w:val="引用 字符"/>
    <w:basedOn w:val="63"/>
    <w:link w:val="178"/>
    <w:qFormat/>
    <w:uiPriority w:val="29"/>
    <w:rPr>
      <w:i/>
      <w:iCs/>
      <w:color w:val="404040" w:themeColor="text1" w:themeTint="BF"/>
      <w:kern w:val="2"/>
      <w:sz w:val="24"/>
      <w:szCs w:val="24"/>
      <w14:textFill>
        <w14:solidFill>
          <w14:schemeClr w14:val="tx1">
            <w14:lumMod w14:val="75000"/>
            <w14:lumOff w14:val="25000"/>
          </w14:schemeClr>
        </w14:solidFill>
      </w14:textFill>
    </w:rPr>
  </w:style>
  <w:style w:type="character" w:customStyle="1" w:styleId="180">
    <w:name w:val="明显强调1"/>
    <w:basedOn w:val="63"/>
    <w:qFormat/>
    <w:uiPriority w:val="21"/>
    <w:rPr>
      <w:i/>
      <w:iCs/>
      <w:color w:val="2F5597" w:themeColor="accent1" w:themeShade="BF"/>
    </w:rPr>
  </w:style>
  <w:style w:type="paragraph" w:styleId="181">
    <w:name w:val="Intense Quote"/>
    <w:basedOn w:val="1"/>
    <w:next w:val="1"/>
    <w:link w:val="182"/>
    <w:qFormat/>
    <w:uiPriority w:val="30"/>
    <w:pPr>
      <w:pBdr>
        <w:top w:val="single" w:color="2F5496" w:themeColor="accent1" w:themeShade="BF" w:sz="4" w:space="10"/>
        <w:bottom w:val="single" w:color="2F5496" w:themeColor="accent1" w:themeShade="BF" w:sz="4" w:space="10"/>
      </w:pBdr>
      <w:spacing w:before="360" w:after="360" w:line="360" w:lineRule="auto"/>
      <w:ind w:left="864" w:right="864" w:firstLine="200" w:firstLineChars="200"/>
      <w:jc w:val="center"/>
    </w:pPr>
    <w:rPr>
      <w:rFonts w:ascii="Times New Roman" w:hAnsi="Times New Roman"/>
      <w:i/>
      <w:iCs/>
      <w:color w:val="2F5597" w:themeColor="accent1" w:themeShade="BF"/>
      <w:sz w:val="24"/>
    </w:rPr>
  </w:style>
  <w:style w:type="character" w:customStyle="1" w:styleId="182">
    <w:name w:val="明显引用 字符"/>
    <w:basedOn w:val="63"/>
    <w:link w:val="181"/>
    <w:qFormat/>
    <w:uiPriority w:val="30"/>
    <w:rPr>
      <w:i/>
      <w:iCs/>
      <w:color w:val="2F5597" w:themeColor="accent1" w:themeShade="BF"/>
      <w:kern w:val="2"/>
      <w:sz w:val="24"/>
      <w:szCs w:val="24"/>
    </w:rPr>
  </w:style>
  <w:style w:type="character" w:customStyle="1" w:styleId="183">
    <w:name w:val="明显参考1"/>
    <w:basedOn w:val="63"/>
    <w:qFormat/>
    <w:uiPriority w:val="32"/>
    <w:rPr>
      <w:b/>
      <w:bCs/>
      <w:smallCaps/>
      <w:color w:val="2F5597" w:themeColor="accent1" w:themeShade="BF"/>
      <w:spacing w:val="5"/>
    </w:rPr>
  </w:style>
  <w:style w:type="character" w:customStyle="1" w:styleId="184">
    <w:name w:val="宏文本 字符"/>
    <w:basedOn w:val="63"/>
    <w:link w:val="2"/>
    <w:qFormat/>
    <w:uiPriority w:val="0"/>
    <w:rPr>
      <w:rFonts w:ascii="Courier New" w:hAnsi="Courier New" w:cs="Courier New"/>
      <w:kern w:val="2"/>
      <w:sz w:val="24"/>
      <w:szCs w:val="24"/>
    </w:rPr>
  </w:style>
  <w:style w:type="character" w:customStyle="1" w:styleId="185">
    <w:name w:val="标题 3 字符1"/>
    <w:qFormat/>
    <w:uiPriority w:val="0"/>
    <w:rPr>
      <w:b/>
      <w:bCs/>
      <w:kern w:val="2"/>
      <w:sz w:val="24"/>
      <w:szCs w:val="32"/>
    </w:rPr>
  </w:style>
  <w:style w:type="character" w:customStyle="1" w:styleId="186">
    <w:name w:val="正文缩进 字符2"/>
    <w:link w:val="16"/>
    <w:qFormat/>
    <w:uiPriority w:val="0"/>
    <w:rPr>
      <w:kern w:val="2"/>
      <w:sz w:val="21"/>
    </w:rPr>
  </w:style>
  <w:style w:type="character" w:customStyle="1" w:styleId="187">
    <w:name w:val="文档结构图 字符"/>
    <w:basedOn w:val="63"/>
    <w:link w:val="18"/>
    <w:qFormat/>
    <w:uiPriority w:val="99"/>
    <w:rPr>
      <w:rFonts w:ascii="宋体"/>
      <w:kern w:val="2"/>
      <w:sz w:val="18"/>
      <w:szCs w:val="18"/>
    </w:rPr>
  </w:style>
  <w:style w:type="character" w:customStyle="1" w:styleId="188">
    <w:name w:val="纯文本 字符1"/>
    <w:qFormat/>
    <w:uiPriority w:val="0"/>
    <w:rPr>
      <w:rFonts w:ascii="宋体" w:hAnsi="Courier New" w:eastAsia="宋体" w:cs="Times New Roman"/>
      <w:szCs w:val="20"/>
      <w14:ligatures w14:val="none"/>
    </w:rPr>
  </w:style>
  <w:style w:type="character" w:customStyle="1" w:styleId="189">
    <w:name w:val="正文文本缩进 2 字符1"/>
    <w:qFormat/>
    <w:uiPriority w:val="0"/>
    <w:rPr>
      <w:rFonts w:ascii="Times New Roman" w:hAnsi="Times New Roman" w:eastAsia="宋体" w:cs="Times New Roman"/>
      <w:sz w:val="24"/>
      <w:szCs w:val="24"/>
      <w14:ligatures w14:val="none"/>
    </w:rPr>
  </w:style>
  <w:style w:type="character" w:customStyle="1" w:styleId="190">
    <w:name w:val="尾注文本 字符"/>
    <w:basedOn w:val="63"/>
    <w:link w:val="33"/>
    <w:qFormat/>
    <w:uiPriority w:val="0"/>
    <w:rPr>
      <w:kern w:val="2"/>
      <w:sz w:val="24"/>
      <w:szCs w:val="24"/>
    </w:rPr>
  </w:style>
  <w:style w:type="character" w:customStyle="1" w:styleId="191">
    <w:name w:val="脚注文本 字符"/>
    <w:basedOn w:val="63"/>
    <w:link w:val="41"/>
    <w:qFormat/>
    <w:uiPriority w:val="0"/>
    <w:rPr>
      <w:kern w:val="2"/>
      <w:sz w:val="18"/>
      <w:szCs w:val="18"/>
    </w:rPr>
  </w:style>
  <w:style w:type="character" w:customStyle="1" w:styleId="192">
    <w:name w:val="HTML 预设格式 字符"/>
    <w:basedOn w:val="63"/>
    <w:link w:val="48"/>
    <w:qFormat/>
    <w:uiPriority w:val="0"/>
    <w:rPr>
      <w:rFonts w:ascii="Courier New" w:hAnsi="Courier New" w:cs="Courier New"/>
      <w:kern w:val="2"/>
    </w:rPr>
  </w:style>
  <w:style w:type="character" w:customStyle="1" w:styleId="193">
    <w:name w:val="普通(网站) 字符2"/>
    <w:qFormat/>
    <w:uiPriority w:val="0"/>
    <w:rPr>
      <w:rFonts w:ascii="宋体" w:hAnsi="宋体" w:eastAsia="宋体" w:cs="宋体"/>
      <w:kern w:val="0"/>
      <w:sz w:val="24"/>
      <w:szCs w:val="24"/>
      <w14:ligatures w14:val="none"/>
    </w:rPr>
  </w:style>
  <w:style w:type="character" w:customStyle="1" w:styleId="194">
    <w:name w:val="标题 字符1"/>
    <w:qFormat/>
    <w:uiPriority w:val="0"/>
    <w:rPr>
      <w:rFonts w:ascii="Cambria" w:hAnsi="Cambria" w:cs="Times New Roman"/>
      <w:b/>
      <w:bCs/>
      <w:kern w:val="2"/>
      <w:sz w:val="32"/>
      <w:szCs w:val="32"/>
    </w:rPr>
  </w:style>
  <w:style w:type="character" w:customStyle="1" w:styleId="195">
    <w:name w:val="正文文本首行缩进 字符"/>
    <w:basedOn w:val="74"/>
    <w:link w:val="53"/>
    <w:qFormat/>
    <w:uiPriority w:val="99"/>
    <w:rPr>
      <w:kern w:val="2"/>
      <w:sz w:val="21"/>
      <w:szCs w:val="24"/>
    </w:rPr>
  </w:style>
  <w:style w:type="character" w:customStyle="1" w:styleId="196">
    <w:name w:val="样式2 Char"/>
    <w:link w:val="112"/>
    <w:qFormat/>
    <w:uiPriority w:val="0"/>
    <w:rPr>
      <w:b/>
      <w:sz w:val="24"/>
    </w:rPr>
  </w:style>
  <w:style w:type="character" w:customStyle="1" w:styleId="197">
    <w:name w:val="表图 Char"/>
    <w:link w:val="198"/>
    <w:qFormat/>
    <w:uiPriority w:val="0"/>
    <w:rPr>
      <w:szCs w:val="24"/>
    </w:rPr>
  </w:style>
  <w:style w:type="paragraph" w:customStyle="1" w:styleId="198">
    <w:name w:val="表图"/>
    <w:basedOn w:val="1"/>
    <w:link w:val="197"/>
    <w:qFormat/>
    <w:uiPriority w:val="0"/>
    <w:pPr>
      <w:widowControl/>
      <w:adjustRightInd w:val="0"/>
      <w:snapToGrid w:val="0"/>
      <w:spacing w:line="320" w:lineRule="atLeast"/>
      <w:jc w:val="center"/>
    </w:pPr>
    <w:rPr>
      <w:rFonts w:ascii="Times New Roman" w:hAnsi="Times New Roman"/>
      <w:kern w:val="0"/>
      <w:sz w:val="20"/>
    </w:rPr>
  </w:style>
  <w:style w:type="character" w:customStyle="1" w:styleId="199">
    <w:name w:val="样式 宋体"/>
    <w:qFormat/>
    <w:uiPriority w:val="99"/>
    <w:rPr>
      <w:rFonts w:ascii="Times New Roman" w:hAnsi="Times New Roman" w:eastAsia="宋体"/>
      <w:sz w:val="24"/>
      <w:vertAlign w:val="baseline"/>
    </w:rPr>
  </w:style>
  <w:style w:type="character" w:customStyle="1" w:styleId="200">
    <w:name w:val="表格、图片名 Char"/>
    <w:link w:val="201"/>
    <w:qFormat/>
    <w:locked/>
    <w:uiPriority w:val="99"/>
    <w:rPr>
      <w:rFonts w:eastAsia="黑体"/>
    </w:rPr>
  </w:style>
  <w:style w:type="paragraph" w:customStyle="1" w:styleId="201">
    <w:name w:val="表格、图片名"/>
    <w:basedOn w:val="1"/>
    <w:link w:val="200"/>
    <w:qFormat/>
    <w:uiPriority w:val="99"/>
    <w:pPr>
      <w:spacing w:line="360" w:lineRule="auto"/>
      <w:ind w:firstLine="480" w:firstLineChars="200"/>
      <w:jc w:val="center"/>
    </w:pPr>
    <w:rPr>
      <w:rFonts w:ascii="Times New Roman" w:hAnsi="Times New Roman" w:eastAsia="黑体"/>
      <w:kern w:val="0"/>
      <w:sz w:val="20"/>
      <w:szCs w:val="20"/>
    </w:rPr>
  </w:style>
  <w:style w:type="character" w:customStyle="1" w:styleId="202">
    <w:name w:val="正文首行缩进 Char"/>
    <w:qFormat/>
    <w:uiPriority w:val="99"/>
    <w:rPr>
      <w:kern w:val="2"/>
      <w:sz w:val="24"/>
      <w:szCs w:val="24"/>
    </w:rPr>
  </w:style>
  <w:style w:type="character" w:customStyle="1" w:styleId="203">
    <w:name w:val="正文文本 (2)_"/>
    <w:link w:val="204"/>
    <w:qFormat/>
    <w:uiPriority w:val="0"/>
    <w:rPr>
      <w:rFonts w:ascii="MingLiU" w:hAnsi="MingLiU" w:eastAsia="MingLiU" w:cs="MingLiU"/>
      <w:sz w:val="22"/>
      <w:shd w:val="clear" w:color="auto" w:fill="FFFFFF"/>
    </w:rPr>
  </w:style>
  <w:style w:type="paragraph" w:customStyle="1" w:styleId="204">
    <w:name w:val="正文文本 (2)"/>
    <w:basedOn w:val="1"/>
    <w:link w:val="203"/>
    <w:qFormat/>
    <w:uiPriority w:val="0"/>
    <w:pPr>
      <w:shd w:val="clear" w:color="auto" w:fill="FFFFFF"/>
      <w:spacing w:before="240" w:line="466" w:lineRule="exact"/>
      <w:jc w:val="left"/>
    </w:pPr>
    <w:rPr>
      <w:rFonts w:ascii="MingLiU" w:hAnsi="MingLiU" w:eastAsia="MingLiU" w:cs="MingLiU"/>
      <w:kern w:val="0"/>
      <w:sz w:val="22"/>
      <w:szCs w:val="20"/>
    </w:rPr>
  </w:style>
  <w:style w:type="character" w:customStyle="1" w:styleId="205">
    <w:name w:val="正文文本 (2) + 粗体"/>
    <w:qFormat/>
    <w:uiPriority w:val="0"/>
    <w:rPr>
      <w:rFonts w:ascii="MingLiU" w:hAnsi="MingLiU" w:eastAsia="MingLiU" w:cs="MingLiU"/>
      <w:b/>
      <w:bCs/>
      <w:color w:val="000000"/>
      <w:spacing w:val="0"/>
      <w:w w:val="100"/>
      <w:position w:val="0"/>
      <w:sz w:val="22"/>
      <w:szCs w:val="22"/>
      <w:shd w:val="clear" w:color="auto" w:fill="FFFFFF"/>
      <w:lang w:val="zh-TW" w:eastAsia="zh-TW" w:bidi="zh-TW"/>
    </w:rPr>
  </w:style>
  <w:style w:type="character" w:customStyle="1" w:styleId="206">
    <w:name w:val="正文文本 (2) + 10 pt"/>
    <w:qFormat/>
    <w:uiPriority w:val="0"/>
    <w:rPr>
      <w:rFonts w:ascii="MingLiU" w:hAnsi="MingLiU" w:eastAsia="MingLiU" w:cs="MingLiU"/>
      <w:b/>
      <w:bCs/>
      <w:color w:val="000000"/>
      <w:spacing w:val="-30"/>
      <w:w w:val="100"/>
      <w:position w:val="0"/>
      <w:sz w:val="20"/>
      <w:szCs w:val="20"/>
      <w:shd w:val="clear" w:color="auto" w:fill="FFFFFF"/>
      <w:lang w:val="en-US" w:eastAsia="en-US" w:bidi="en-US"/>
    </w:rPr>
  </w:style>
  <w:style w:type="character" w:customStyle="1" w:styleId="207">
    <w:name w:val="正文文本 (2) + Georgia"/>
    <w:qFormat/>
    <w:uiPriority w:val="0"/>
    <w:rPr>
      <w:rFonts w:ascii="Georgia" w:hAnsi="Georgia" w:eastAsia="Georgia" w:cs="Georgia"/>
      <w:color w:val="000000"/>
      <w:spacing w:val="0"/>
      <w:w w:val="100"/>
      <w:position w:val="0"/>
      <w:sz w:val="22"/>
      <w:szCs w:val="22"/>
      <w:u w:val="none"/>
      <w:shd w:val="clear" w:color="auto" w:fill="FFFFFF"/>
      <w:lang w:val="en-US" w:eastAsia="en-US" w:bidi="en-US"/>
    </w:rPr>
  </w:style>
  <w:style w:type="character" w:customStyle="1" w:styleId="208">
    <w:name w:val="description"/>
    <w:qFormat/>
    <w:uiPriority w:val="0"/>
  </w:style>
  <w:style w:type="character" w:customStyle="1" w:styleId="209">
    <w:name w:val="不明显强调1"/>
    <w:qFormat/>
    <w:uiPriority w:val="19"/>
    <w:rPr>
      <w:i/>
      <w:iCs/>
      <w:color w:val="808080"/>
    </w:rPr>
  </w:style>
  <w:style w:type="character" w:customStyle="1" w:styleId="210">
    <w:name w:val="表内容 Char"/>
    <w:link w:val="211"/>
    <w:qFormat/>
    <w:uiPriority w:val="0"/>
    <w:rPr>
      <w:szCs w:val="24"/>
    </w:rPr>
  </w:style>
  <w:style w:type="paragraph" w:customStyle="1" w:styleId="211">
    <w:name w:val="表内容"/>
    <w:basedOn w:val="1"/>
    <w:link w:val="210"/>
    <w:qFormat/>
    <w:uiPriority w:val="0"/>
    <w:pPr>
      <w:jc w:val="center"/>
    </w:pPr>
    <w:rPr>
      <w:rFonts w:ascii="Times New Roman" w:hAnsi="Times New Roman"/>
      <w:kern w:val="0"/>
      <w:sz w:val="20"/>
    </w:rPr>
  </w:style>
  <w:style w:type="character" w:customStyle="1" w:styleId="212">
    <w:name w:val="表格文字 Char"/>
    <w:link w:val="107"/>
    <w:qFormat/>
    <w:uiPriority w:val="0"/>
    <w:rPr>
      <w:rFonts w:ascii="宋体" w:hAnsi="Courier New" w:cs="Courier New"/>
      <w:sz w:val="21"/>
      <w:szCs w:val="21"/>
    </w:rPr>
  </w:style>
  <w:style w:type="character" w:customStyle="1" w:styleId="213">
    <w:name w:val="纯文本 Char1"/>
    <w:qFormat/>
    <w:uiPriority w:val="0"/>
    <w:rPr>
      <w:rFonts w:ascii="宋体" w:hAnsi="Courier New" w:cs="Courier New"/>
      <w:kern w:val="2"/>
      <w:sz w:val="21"/>
      <w:szCs w:val="21"/>
    </w:rPr>
  </w:style>
  <w:style w:type="character" w:customStyle="1" w:styleId="214">
    <w:name w:val="正文文本 (2) + 间距 1 pt"/>
    <w:qFormat/>
    <w:uiPriority w:val="0"/>
    <w:rPr>
      <w:rFonts w:ascii="MingLiU" w:hAnsi="MingLiU" w:eastAsia="MingLiU" w:cs="MingLiU"/>
      <w:color w:val="000000"/>
      <w:spacing w:val="30"/>
      <w:w w:val="100"/>
      <w:position w:val="0"/>
      <w:sz w:val="14"/>
      <w:szCs w:val="14"/>
      <w:u w:val="none"/>
      <w:shd w:val="clear" w:color="auto" w:fill="FFFFFF"/>
      <w:lang w:val="zh-TW" w:eastAsia="zh-TW" w:bidi="zh-TW"/>
    </w:rPr>
  </w:style>
  <w:style w:type="character" w:customStyle="1" w:styleId="215">
    <w:name w:val="表头 Char"/>
    <w:link w:val="216"/>
    <w:qFormat/>
    <w:uiPriority w:val="0"/>
    <w:rPr>
      <w:b/>
      <w:sz w:val="24"/>
      <w:szCs w:val="24"/>
    </w:rPr>
  </w:style>
  <w:style w:type="paragraph" w:customStyle="1" w:styleId="216">
    <w:name w:val="表头"/>
    <w:basedOn w:val="1"/>
    <w:link w:val="215"/>
    <w:qFormat/>
    <w:uiPriority w:val="0"/>
    <w:pPr>
      <w:spacing w:beforeLines="50"/>
      <w:jc w:val="center"/>
    </w:pPr>
    <w:rPr>
      <w:rFonts w:ascii="Times New Roman" w:hAnsi="Times New Roman"/>
      <w:b/>
      <w:kern w:val="0"/>
      <w:sz w:val="24"/>
    </w:rPr>
  </w:style>
  <w:style w:type="character" w:customStyle="1" w:styleId="217">
    <w:name w:val="正文+宋体 Char"/>
    <w:link w:val="218"/>
    <w:qFormat/>
    <w:uiPriority w:val="0"/>
    <w:rPr>
      <w:rFonts w:ascii="宋体" w:hAnsi="宋体"/>
      <w:sz w:val="24"/>
    </w:rPr>
  </w:style>
  <w:style w:type="paragraph" w:customStyle="1" w:styleId="218">
    <w:name w:val="正文+宋体"/>
    <w:basedOn w:val="14"/>
    <w:link w:val="217"/>
    <w:qFormat/>
    <w:uiPriority w:val="0"/>
    <w:pPr>
      <w:widowControl w:val="0"/>
      <w:snapToGrid/>
      <w:spacing w:before="0" w:after="0" w:line="360" w:lineRule="auto"/>
      <w:ind w:right="0" w:firstLine="480" w:firstLineChars="200"/>
    </w:pPr>
    <w:rPr>
      <w:rFonts w:ascii="宋体" w:hAnsi="宋体"/>
      <w:sz w:val="24"/>
    </w:rPr>
  </w:style>
  <w:style w:type="character" w:customStyle="1" w:styleId="219">
    <w:name w:val="文本正文3 Char"/>
    <w:link w:val="220"/>
    <w:qFormat/>
    <w:uiPriority w:val="0"/>
    <w:rPr>
      <w:sz w:val="24"/>
      <w:szCs w:val="21"/>
    </w:rPr>
  </w:style>
  <w:style w:type="paragraph" w:customStyle="1" w:styleId="220">
    <w:name w:val="文本正文3"/>
    <w:link w:val="219"/>
    <w:qFormat/>
    <w:uiPriority w:val="0"/>
    <w:pPr>
      <w:spacing w:line="360" w:lineRule="auto"/>
      <w:ind w:firstLine="177" w:firstLineChars="177"/>
    </w:pPr>
    <w:rPr>
      <w:rFonts w:ascii="Times New Roman" w:hAnsi="Times New Roman" w:eastAsia="宋体" w:cs="Times New Roman"/>
      <w:sz w:val="24"/>
      <w:szCs w:val="21"/>
      <w:lang w:val="en-US" w:eastAsia="zh-CN" w:bidi="ar-SA"/>
    </w:rPr>
  </w:style>
  <w:style w:type="character" w:customStyle="1" w:styleId="221">
    <w:name w:val="图表 Char"/>
    <w:link w:val="222"/>
    <w:qFormat/>
    <w:uiPriority w:val="0"/>
  </w:style>
  <w:style w:type="paragraph" w:customStyle="1" w:styleId="222">
    <w:name w:val="图表"/>
    <w:basedOn w:val="1"/>
    <w:link w:val="221"/>
    <w:qFormat/>
    <w:uiPriority w:val="0"/>
    <w:pPr>
      <w:adjustRightInd w:val="0"/>
      <w:snapToGrid w:val="0"/>
      <w:spacing w:line="280" w:lineRule="exact"/>
      <w:jc w:val="center"/>
    </w:pPr>
    <w:rPr>
      <w:rFonts w:ascii="Times New Roman" w:hAnsi="Times New Roman"/>
      <w:kern w:val="0"/>
      <w:sz w:val="20"/>
      <w:szCs w:val="20"/>
    </w:rPr>
  </w:style>
  <w:style w:type="character" w:customStyle="1" w:styleId="223">
    <w:name w:val="表格正文 Char"/>
    <w:link w:val="224"/>
    <w:qFormat/>
    <w:uiPriority w:val="0"/>
    <w:rPr>
      <w:szCs w:val="21"/>
    </w:rPr>
  </w:style>
  <w:style w:type="paragraph" w:customStyle="1" w:styleId="224">
    <w:name w:val="表格正文"/>
    <w:link w:val="223"/>
    <w:qFormat/>
    <w:uiPriority w:val="0"/>
    <w:pPr>
      <w:spacing w:line="400" w:lineRule="exact"/>
      <w:jc w:val="both"/>
    </w:pPr>
    <w:rPr>
      <w:rFonts w:ascii="Times New Roman" w:hAnsi="Times New Roman" w:eastAsia="宋体" w:cs="Times New Roman"/>
      <w:szCs w:val="21"/>
      <w:lang w:val="en-US" w:eastAsia="zh-CN" w:bidi="ar-SA"/>
    </w:rPr>
  </w:style>
  <w:style w:type="character" w:customStyle="1" w:styleId="225">
    <w:name w:val="表格内容 Char"/>
    <w:link w:val="111"/>
    <w:qFormat/>
    <w:locked/>
    <w:uiPriority w:val="99"/>
    <w:rPr>
      <w:rFonts w:cs="Courier New"/>
      <w:kern w:val="2"/>
      <w:sz w:val="21"/>
      <w:szCs w:val="21"/>
    </w:rPr>
  </w:style>
  <w:style w:type="character" w:customStyle="1" w:styleId="226">
    <w:name w:val="正文文本 (3) + FrankRuehl"/>
    <w:qFormat/>
    <w:uiPriority w:val="0"/>
    <w:rPr>
      <w:rFonts w:ascii="FrankRuehl" w:hAnsi="FrankRuehl" w:eastAsia="FrankRuehl" w:cs="FrankRuehl"/>
      <w:b/>
      <w:bCs/>
      <w:color w:val="000000"/>
      <w:spacing w:val="0"/>
      <w:w w:val="100"/>
      <w:position w:val="0"/>
      <w:sz w:val="66"/>
      <w:szCs w:val="66"/>
      <w:shd w:val="clear" w:color="auto" w:fill="FFFFFF"/>
      <w:lang w:val="en-US" w:eastAsia="en-US" w:bidi="en-US"/>
    </w:rPr>
  </w:style>
  <w:style w:type="character" w:customStyle="1" w:styleId="227">
    <w:name w:val="正文文本 (3) + 间距 -2 pt"/>
    <w:qFormat/>
    <w:uiPriority w:val="0"/>
    <w:rPr>
      <w:rFonts w:ascii="MingLiU" w:hAnsi="MingLiU" w:eastAsia="MingLiU" w:cs="MingLiU"/>
      <w:color w:val="000000"/>
      <w:spacing w:val="-40"/>
      <w:w w:val="100"/>
      <w:position w:val="0"/>
      <w:sz w:val="60"/>
      <w:szCs w:val="60"/>
      <w:shd w:val="clear" w:color="auto" w:fill="FFFFFF"/>
      <w:lang w:val="zh-TW" w:eastAsia="zh-TW" w:bidi="zh-TW"/>
    </w:rPr>
  </w:style>
  <w:style w:type="character" w:customStyle="1" w:styleId="228">
    <w:name w:val="正文文本 (2) + 间距 2 pt"/>
    <w:qFormat/>
    <w:uiPriority w:val="0"/>
    <w:rPr>
      <w:rFonts w:ascii="MingLiU" w:hAnsi="MingLiU" w:eastAsia="MingLiU" w:cs="MingLiU"/>
      <w:color w:val="000000"/>
      <w:spacing w:val="40"/>
      <w:w w:val="100"/>
      <w:position w:val="0"/>
      <w:sz w:val="22"/>
      <w:szCs w:val="22"/>
      <w:u w:val="none"/>
      <w:shd w:val="clear" w:color="auto" w:fill="FFFFFF"/>
      <w:lang w:val="zh-TW" w:eastAsia="zh-TW" w:bidi="zh-TW"/>
    </w:rPr>
  </w:style>
  <w:style w:type="character" w:customStyle="1" w:styleId="229">
    <w:name w:val="fcc正文 Char"/>
    <w:link w:val="230"/>
    <w:qFormat/>
    <w:uiPriority w:val="0"/>
    <w:rPr>
      <w:sz w:val="24"/>
    </w:rPr>
  </w:style>
  <w:style w:type="paragraph" w:customStyle="1" w:styleId="230">
    <w:name w:val="fcc正文"/>
    <w:basedOn w:val="1"/>
    <w:link w:val="229"/>
    <w:qFormat/>
    <w:uiPriority w:val="0"/>
    <w:pPr>
      <w:spacing w:line="360" w:lineRule="auto"/>
      <w:ind w:firstLine="200" w:firstLineChars="200"/>
    </w:pPr>
    <w:rPr>
      <w:rFonts w:ascii="Times New Roman" w:hAnsi="Times New Roman"/>
      <w:kern w:val="0"/>
      <w:sz w:val="24"/>
      <w:szCs w:val="20"/>
    </w:rPr>
  </w:style>
  <w:style w:type="character" w:customStyle="1" w:styleId="231">
    <w:name w:val="正文文本缩进 Char1"/>
    <w:semiHidden/>
    <w:qFormat/>
    <w:uiPriority w:val="99"/>
    <w:rPr>
      <w:rFonts w:ascii="Times New Roman" w:hAnsi="Times New Roman" w:eastAsia="宋体"/>
      <w:sz w:val="24"/>
    </w:rPr>
  </w:style>
  <w:style w:type="character" w:customStyle="1" w:styleId="232">
    <w:name w:val="abc"/>
    <w:qFormat/>
    <w:uiPriority w:val="0"/>
  </w:style>
  <w:style w:type="character" w:customStyle="1" w:styleId="233">
    <w:name w:val="图表题 Char"/>
    <w:link w:val="234"/>
    <w:qFormat/>
    <w:uiPriority w:val="0"/>
    <w:rPr>
      <w:rFonts w:eastAsia="黑体"/>
      <w:sz w:val="24"/>
    </w:rPr>
  </w:style>
  <w:style w:type="paragraph" w:customStyle="1" w:styleId="234">
    <w:name w:val="图表题"/>
    <w:basedOn w:val="1"/>
    <w:next w:val="1"/>
    <w:link w:val="233"/>
    <w:qFormat/>
    <w:uiPriority w:val="0"/>
    <w:pPr>
      <w:adjustRightInd w:val="0"/>
      <w:snapToGrid w:val="0"/>
      <w:spacing w:line="360" w:lineRule="auto"/>
      <w:jc w:val="center"/>
    </w:pPr>
    <w:rPr>
      <w:rFonts w:ascii="Times New Roman" w:hAnsi="Times New Roman" w:eastAsia="黑体"/>
      <w:kern w:val="0"/>
      <w:sz w:val="24"/>
      <w:szCs w:val="20"/>
    </w:rPr>
  </w:style>
  <w:style w:type="character" w:customStyle="1" w:styleId="235">
    <w:name w:val="标题4 Char"/>
    <w:link w:val="236"/>
    <w:qFormat/>
    <w:uiPriority w:val="0"/>
    <w:rPr>
      <w:rFonts w:cs="宋体"/>
      <w:sz w:val="24"/>
    </w:rPr>
  </w:style>
  <w:style w:type="paragraph" w:customStyle="1" w:styleId="236">
    <w:name w:val="标题4"/>
    <w:basedOn w:val="1"/>
    <w:link w:val="235"/>
    <w:qFormat/>
    <w:uiPriority w:val="0"/>
    <w:pPr>
      <w:spacing w:line="360" w:lineRule="auto"/>
      <w:ind w:firstLine="200" w:firstLineChars="200"/>
    </w:pPr>
    <w:rPr>
      <w:rFonts w:ascii="Times New Roman" w:hAnsi="Times New Roman" w:cs="宋体"/>
      <w:kern w:val="0"/>
      <w:sz w:val="24"/>
      <w:szCs w:val="20"/>
    </w:rPr>
  </w:style>
  <w:style w:type="character" w:customStyle="1" w:styleId="237">
    <w:name w:val="正文文本 (2) + 间距 0 pt"/>
    <w:qFormat/>
    <w:uiPriority w:val="0"/>
    <w:rPr>
      <w:rFonts w:ascii="MingLiU" w:hAnsi="MingLiU" w:eastAsia="MingLiU" w:cs="MingLiU"/>
      <w:color w:val="000000"/>
      <w:spacing w:val="-10"/>
      <w:w w:val="100"/>
      <w:position w:val="0"/>
      <w:sz w:val="14"/>
      <w:szCs w:val="14"/>
      <w:u w:val="none"/>
      <w:lang w:val="en-US" w:eastAsia="en-US" w:bidi="en-US"/>
    </w:rPr>
  </w:style>
  <w:style w:type="character" w:customStyle="1" w:styleId="238">
    <w:name w:val="apple-converted-space"/>
    <w:qFormat/>
    <w:uiPriority w:val="0"/>
  </w:style>
  <w:style w:type="paragraph" w:styleId="239">
    <w:name w:val="No Spacing"/>
    <w:link w:val="441"/>
    <w:qFormat/>
    <w:uiPriority w:val="1"/>
    <w:pPr>
      <w:widowControl w:val="0"/>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40">
    <w:name w:val="TOC 标题2"/>
    <w:basedOn w:val="3"/>
    <w:next w:val="1"/>
    <w:qFormat/>
    <w:uiPriority w:val="39"/>
    <w:pPr>
      <w:keepLines/>
      <w:widowControl/>
      <w:overflowPunct/>
      <w:adjustRightInd w:val="0"/>
      <w:spacing w:before="0" w:after="0" w:line="276" w:lineRule="auto"/>
      <w:ind w:left="0" w:firstLine="0"/>
      <w:jc w:val="left"/>
      <w:outlineLvl w:val="9"/>
    </w:pPr>
    <w:rPr>
      <w:rFonts w:ascii="Cambria" w:hAnsi="Cambria" w:eastAsia="宋体"/>
      <w:color w:val="365F91"/>
      <w:kern w:val="0"/>
      <w:sz w:val="28"/>
      <w:szCs w:val="28"/>
    </w:rPr>
  </w:style>
  <w:style w:type="paragraph" w:customStyle="1" w:styleId="241">
    <w:name w:val="环表格"/>
    <w:basedOn w:val="84"/>
    <w:qFormat/>
    <w:uiPriority w:val="0"/>
    <w:pPr>
      <w:spacing w:beforeLines="20" w:afterLines="20" w:line="240" w:lineRule="auto"/>
    </w:pPr>
    <w:rPr>
      <w:rFonts w:asciiTheme="minorHAnsi" w:hAnsiTheme="minorHAnsi" w:eastAsiaTheme="minorEastAsia" w:cstheme="minorBidi"/>
      <w:bCs/>
      <w:kern w:val="2"/>
      <w14:ligatures w14:val="standardContextual"/>
    </w:rPr>
  </w:style>
  <w:style w:type="paragraph" w:customStyle="1" w:styleId="242">
    <w:name w:val="环表题"/>
    <w:basedOn w:val="1"/>
    <w:qFormat/>
    <w:uiPriority w:val="0"/>
    <w:pPr>
      <w:widowControl/>
      <w:adjustRightInd w:val="0"/>
      <w:snapToGrid w:val="0"/>
      <w:spacing w:beforeLines="50"/>
      <w:jc w:val="center"/>
    </w:pPr>
    <w:rPr>
      <w:rFonts w:ascii="Times New Roman" w:hAnsi="Times New Roman"/>
      <w:b/>
      <w:bCs/>
      <w:kern w:val="0"/>
      <w:szCs w:val="21"/>
    </w:rPr>
  </w:style>
  <w:style w:type="paragraph" w:customStyle="1" w:styleId="243">
    <w:name w:val="四级标题1.1.1.1"/>
    <w:basedOn w:val="1"/>
    <w:next w:val="1"/>
    <w:qFormat/>
    <w:uiPriority w:val="0"/>
    <w:pPr>
      <w:keepNext/>
      <w:keepLines/>
      <w:widowControl/>
      <w:adjustRightInd w:val="0"/>
      <w:spacing w:before="40" w:after="40" w:line="360" w:lineRule="auto"/>
      <w:ind w:firstLine="200" w:firstLineChars="200"/>
      <w:textAlignment w:val="baseline"/>
      <w:outlineLvl w:val="3"/>
    </w:pPr>
    <w:rPr>
      <w:rFonts w:ascii="Times New Roman" w:hAnsi="Times New Roman" w:eastAsia="仿宋_GB2312" w:cs="宋体"/>
      <w:b/>
      <w:kern w:val="0"/>
      <w:sz w:val="24"/>
      <w:szCs w:val="28"/>
    </w:rPr>
  </w:style>
  <w:style w:type="paragraph" w:customStyle="1" w:styleId="244">
    <w:name w:val="简单回函地址"/>
    <w:basedOn w:val="1"/>
    <w:qFormat/>
    <w:uiPriority w:val="0"/>
    <w:rPr>
      <w:rFonts w:ascii="Times New Roman" w:hAnsi="Times New Roman"/>
    </w:rPr>
  </w:style>
  <w:style w:type="paragraph" w:customStyle="1" w:styleId="245">
    <w:name w:val="2"/>
    <w:basedOn w:val="1"/>
    <w:next w:val="16"/>
    <w:qFormat/>
    <w:uiPriority w:val="0"/>
    <w:pPr>
      <w:adjustRightInd w:val="0"/>
      <w:snapToGrid w:val="0"/>
      <w:spacing w:line="300" w:lineRule="auto"/>
      <w:ind w:firstLine="200" w:firstLineChars="200"/>
    </w:pPr>
    <w:rPr>
      <w:rFonts w:ascii="仿宋_GB2312" w:hAnsi="Times New Roman" w:eastAsia="仿宋_GB2312"/>
      <w:color w:val="000000"/>
      <w:sz w:val="28"/>
    </w:rPr>
  </w:style>
  <w:style w:type="paragraph" w:customStyle="1" w:styleId="246">
    <w:name w:val="表格文字2"/>
    <w:basedOn w:val="107"/>
    <w:qFormat/>
    <w:uiPriority w:val="0"/>
    <w:pPr>
      <w:spacing w:before="60" w:line="240" w:lineRule="auto"/>
    </w:pPr>
    <w:rPr>
      <w:rFonts w:hAnsiTheme="minorHAnsi" w:eastAsiaTheme="minorEastAsia" w:cstheme="minorBidi"/>
      <w:kern w:val="2"/>
      <w:sz w:val="24"/>
      <w:szCs w:val="22"/>
      <w14:ligatures w14:val="standardContextual"/>
    </w:rPr>
  </w:style>
  <w:style w:type="paragraph" w:customStyle="1" w:styleId="247">
    <w:name w:val="图名"/>
    <w:basedOn w:val="1"/>
    <w:link w:val="560"/>
    <w:qFormat/>
    <w:uiPriority w:val="0"/>
    <w:pPr>
      <w:spacing w:afterLines="50"/>
      <w:jc w:val="center"/>
    </w:pPr>
    <w:rPr>
      <w:rFonts w:ascii="Times New Roman" w:hAnsi="Times New Roman"/>
      <w:b/>
      <w:sz w:val="24"/>
      <w:szCs w:val="21"/>
    </w:rPr>
  </w:style>
  <w:style w:type="paragraph" w:customStyle="1" w:styleId="248">
    <w:name w:val="Char Char Char Char"/>
    <w:basedOn w:val="1"/>
    <w:qFormat/>
    <w:uiPriority w:val="0"/>
    <w:rPr>
      <w:rFonts w:ascii="Times New Roman" w:hAnsi="Times New Roman"/>
    </w:rPr>
  </w:style>
  <w:style w:type="paragraph" w:customStyle="1" w:styleId="249">
    <w:name w:val="000000000表文"/>
    <w:basedOn w:val="1"/>
    <w:qFormat/>
    <w:uiPriority w:val="0"/>
    <w:pPr>
      <w:spacing w:line="360" w:lineRule="auto"/>
      <w:jc w:val="center"/>
    </w:pPr>
    <w:rPr>
      <w:rFonts w:ascii="Times New Roman" w:hAnsi="Times New Roman"/>
      <w:kern w:val="0"/>
      <w:szCs w:val="20"/>
    </w:rPr>
  </w:style>
  <w:style w:type="paragraph" w:customStyle="1" w:styleId="250">
    <w:name w:val="Char Char5"/>
    <w:basedOn w:val="1"/>
    <w:next w:val="1"/>
    <w:qFormat/>
    <w:uiPriority w:val="0"/>
    <w:pPr>
      <w:spacing w:line="360" w:lineRule="auto"/>
      <w:ind w:firstLine="200" w:firstLineChars="200"/>
    </w:pPr>
    <w:rPr>
      <w:rFonts w:ascii="Times New Roman" w:hAnsi="Times New Roman"/>
      <w:szCs w:val="20"/>
    </w:rPr>
  </w:style>
  <w:style w:type="paragraph" w:customStyle="1" w:styleId="251">
    <w:name w:val="样式 标题 4标题 4 Char + 行距: 1.5 倍行距"/>
    <w:basedOn w:val="6"/>
    <w:qFormat/>
    <w:uiPriority w:val="0"/>
    <w:pPr>
      <w:numPr>
        <w:ilvl w:val="3"/>
        <w:numId w:val="2"/>
      </w:numPr>
      <w:tabs>
        <w:tab w:val="left" w:pos="810"/>
      </w:tabs>
      <w:autoSpaceDE w:val="0"/>
      <w:autoSpaceDN w:val="0"/>
      <w:adjustRightInd w:val="0"/>
      <w:snapToGrid w:val="0"/>
      <w:spacing w:before="0" w:after="0" w:line="360" w:lineRule="auto"/>
      <w:ind w:firstLine="200" w:firstLineChars="200"/>
      <w:jc w:val="left"/>
      <w:textAlignment w:val="baseline"/>
    </w:pPr>
    <w:rPr>
      <w:rFonts w:ascii="Times New Roman" w:hAnsi="Times New Roman"/>
      <w:color w:val="000000"/>
      <w:kern w:val="0"/>
      <w:sz w:val="24"/>
      <w:szCs w:val="20"/>
      <w:lang w:val="sq-AL"/>
    </w:rPr>
  </w:style>
  <w:style w:type="paragraph" w:customStyle="1" w:styleId="252">
    <w:name w:val="二级无标题条"/>
    <w:basedOn w:val="1"/>
    <w:qFormat/>
    <w:uiPriority w:val="0"/>
    <w:pPr>
      <w:adjustRightInd w:val="0"/>
      <w:snapToGrid w:val="0"/>
      <w:spacing w:line="360" w:lineRule="auto"/>
    </w:pPr>
    <w:rPr>
      <w:rFonts w:ascii="Times New Roman" w:hAnsi="Times New Roman"/>
      <w:sz w:val="24"/>
      <w:szCs w:val="20"/>
    </w:rPr>
  </w:style>
  <w:style w:type="paragraph" w:customStyle="1" w:styleId="253">
    <w:name w:val="Lux 表格标题"/>
    <w:basedOn w:val="1"/>
    <w:qFormat/>
    <w:uiPriority w:val="0"/>
    <w:pPr>
      <w:spacing w:line="360" w:lineRule="auto"/>
      <w:jc w:val="center"/>
    </w:pPr>
    <w:rPr>
      <w:rFonts w:ascii="Times New Roman" w:hAnsi="Times New Roman"/>
      <w:b/>
      <w:bCs/>
      <w:szCs w:val="21"/>
    </w:rPr>
  </w:style>
  <w:style w:type="paragraph" w:customStyle="1" w:styleId="254">
    <w:name w:val="表文1"/>
    <w:basedOn w:val="1"/>
    <w:qFormat/>
    <w:uiPriority w:val="0"/>
    <w:pPr>
      <w:spacing w:line="500" w:lineRule="exact"/>
    </w:pPr>
    <w:rPr>
      <w:rFonts w:ascii="CG Times" w:hAnsi="CG Times"/>
      <w:szCs w:val="20"/>
    </w:rPr>
  </w:style>
  <w:style w:type="paragraph" w:customStyle="1" w:styleId="255">
    <w:name w:val="8--"/>
    <w:basedOn w:val="1"/>
    <w:qFormat/>
    <w:uiPriority w:val="0"/>
    <w:pPr>
      <w:adjustRightInd w:val="0"/>
      <w:spacing w:line="360" w:lineRule="atLeast"/>
      <w:jc w:val="left"/>
      <w:textAlignment w:val="baseline"/>
    </w:pPr>
    <w:rPr>
      <w:rFonts w:ascii="Times New Roman" w:hAnsi="Times New Roman"/>
      <w:kern w:val="0"/>
      <w:sz w:val="24"/>
      <w:szCs w:val="20"/>
    </w:rPr>
  </w:style>
  <w:style w:type="paragraph" w:customStyle="1" w:styleId="256">
    <w:name w:val="表文"/>
    <w:next w:val="1"/>
    <w:qFormat/>
    <w:uiPriority w:val="0"/>
    <w:pPr>
      <w:spacing w:line="340" w:lineRule="exact"/>
      <w:jc w:val="center"/>
    </w:pPr>
    <w:rPr>
      <w:rFonts w:ascii="宋体" w:hAnsi="宋体" w:eastAsia="宋体" w:cs="Times New Roman"/>
      <w:sz w:val="21"/>
      <w:lang w:val="en-US" w:eastAsia="zh-CN" w:bidi="ar-SA"/>
    </w:rPr>
  </w:style>
  <w:style w:type="paragraph" w:customStyle="1" w:styleId="257">
    <w:name w:val="表头1"/>
    <w:basedOn w:val="1"/>
    <w:next w:val="1"/>
    <w:qFormat/>
    <w:uiPriority w:val="0"/>
    <w:pPr>
      <w:tabs>
        <w:tab w:val="left" w:pos="605"/>
      </w:tabs>
      <w:adjustRightInd w:val="0"/>
      <w:snapToGrid w:val="0"/>
      <w:jc w:val="center"/>
    </w:pPr>
    <w:rPr>
      <w:rFonts w:ascii="Times New Roman" w:hAnsi="Times New Roman" w:eastAsia="黑体"/>
      <w:szCs w:val="21"/>
    </w:rPr>
  </w:style>
  <w:style w:type="paragraph" w:customStyle="1" w:styleId="258">
    <w:name w:val="列出段落2"/>
    <w:basedOn w:val="1"/>
    <w:qFormat/>
    <w:uiPriority w:val="99"/>
    <w:pPr>
      <w:adjustRightInd w:val="0"/>
      <w:snapToGrid w:val="0"/>
      <w:spacing w:line="360" w:lineRule="auto"/>
      <w:ind w:firstLine="420" w:firstLineChars="200"/>
    </w:pPr>
    <w:rPr>
      <w:rFonts w:ascii="Times New Roman" w:hAnsi="Times New Roman"/>
      <w:sz w:val="24"/>
      <w:szCs w:val="20"/>
    </w:rPr>
  </w:style>
  <w:style w:type="paragraph" w:customStyle="1" w:styleId="259">
    <w:name w:val="样式  + 四号 首行缩进:  2 字符"/>
    <w:basedOn w:val="1"/>
    <w:qFormat/>
    <w:uiPriority w:val="0"/>
    <w:pPr>
      <w:adjustRightInd w:val="0"/>
      <w:spacing w:line="360" w:lineRule="auto"/>
      <w:ind w:firstLine="560" w:firstLineChars="200"/>
      <w:textAlignment w:val="baseline"/>
    </w:pPr>
    <w:rPr>
      <w:rFonts w:ascii="Times New Roman" w:hAnsi="Times New Roman"/>
      <w:sz w:val="24"/>
      <w:szCs w:val="20"/>
    </w:rPr>
  </w:style>
  <w:style w:type="paragraph" w:customStyle="1" w:styleId="260">
    <w:name w:val="Char1 Char Char Char"/>
    <w:basedOn w:val="1"/>
    <w:qFormat/>
    <w:uiPriority w:val="99"/>
    <w:pPr>
      <w:widowControl/>
      <w:jc w:val="left"/>
    </w:pPr>
    <w:rPr>
      <w:rFonts w:ascii="Times New Roman" w:hAnsi="Times New Roman"/>
      <w:kern w:val="0"/>
      <w:sz w:val="20"/>
      <w:szCs w:val="20"/>
    </w:rPr>
  </w:style>
  <w:style w:type="paragraph" w:customStyle="1" w:styleId="261">
    <w:name w:val="正文-使用"/>
    <w:basedOn w:val="1"/>
    <w:qFormat/>
    <w:uiPriority w:val="0"/>
    <w:pPr>
      <w:spacing w:line="360" w:lineRule="auto"/>
      <w:ind w:firstLine="482"/>
    </w:pPr>
    <w:rPr>
      <w:rFonts w:ascii="Times New Roman" w:hAnsi="Times New Roman"/>
      <w:sz w:val="24"/>
      <w:szCs w:val="20"/>
    </w:rPr>
  </w:style>
  <w:style w:type="paragraph" w:customStyle="1" w:styleId="262">
    <w:name w:val="正文(首行缩进)"/>
    <w:basedOn w:val="1"/>
    <w:qFormat/>
    <w:uiPriority w:val="0"/>
    <w:pPr>
      <w:spacing w:line="360" w:lineRule="auto"/>
      <w:ind w:firstLine="510"/>
    </w:pPr>
    <w:rPr>
      <w:rFonts w:ascii="宋体" w:hAnsi="Times New Roman"/>
      <w:snapToGrid w:val="0"/>
      <w:kern w:val="0"/>
    </w:rPr>
  </w:style>
  <w:style w:type="table" w:customStyle="1" w:styleId="263">
    <w:name w:val="网格型31"/>
    <w:basedOn w:val="55"/>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64">
    <w:name w:val="Char4 Char Char Char"/>
    <w:basedOn w:val="1"/>
    <w:qFormat/>
    <w:uiPriority w:val="0"/>
    <w:pPr>
      <w:adjustRightInd w:val="0"/>
      <w:snapToGrid w:val="0"/>
      <w:spacing w:line="360" w:lineRule="auto"/>
      <w:ind w:firstLine="200" w:firstLineChars="200"/>
    </w:pPr>
    <w:rPr>
      <w:rFonts w:ascii="Times New Roman" w:hAnsi="Times New Roman"/>
    </w:rPr>
  </w:style>
  <w:style w:type="character" w:customStyle="1" w:styleId="265">
    <w:name w:val="正文缩进 Char1"/>
    <w:qFormat/>
    <w:uiPriority w:val="0"/>
    <w:rPr>
      <w:rFonts w:ascii="宋体" w:hAnsi="宋体" w:eastAsia="宋体"/>
      <w:sz w:val="24"/>
      <w:lang w:val="en-US" w:eastAsia="zh-CN" w:bidi="ar-SA"/>
    </w:rPr>
  </w:style>
  <w:style w:type="paragraph" w:customStyle="1" w:styleId="266">
    <w:name w:val="样式 样式 样式 行距: 固定值 22 磅 + 首行缩进:  2 字符 + 首行缩进:  2 字符"/>
    <w:basedOn w:val="1"/>
    <w:link w:val="267"/>
    <w:qFormat/>
    <w:uiPriority w:val="0"/>
    <w:pPr>
      <w:spacing w:line="480" w:lineRule="exact"/>
      <w:ind w:firstLine="480" w:firstLineChars="200"/>
    </w:pPr>
    <w:rPr>
      <w:rFonts w:ascii="Times New Roman" w:hAnsi="Times New Roman" w:eastAsia="华文中宋"/>
      <w:sz w:val="24"/>
      <w:szCs w:val="20"/>
    </w:rPr>
  </w:style>
  <w:style w:type="character" w:customStyle="1" w:styleId="267">
    <w:name w:val="样式 样式 样式 行距: 固定值 22 磅 + 首行缩进:  2 字符 + 首行缩进:  2 字符 Char"/>
    <w:link w:val="266"/>
    <w:qFormat/>
    <w:uiPriority w:val="0"/>
    <w:rPr>
      <w:rFonts w:eastAsia="华文中宋"/>
      <w:kern w:val="2"/>
      <w:sz w:val="24"/>
    </w:rPr>
  </w:style>
  <w:style w:type="paragraph" w:customStyle="1" w:styleId="268">
    <w:name w:val="正文文本 (2)1"/>
    <w:basedOn w:val="1"/>
    <w:qFormat/>
    <w:uiPriority w:val="0"/>
    <w:pPr>
      <w:shd w:val="clear" w:color="auto" w:fill="FFFFFF"/>
      <w:spacing w:line="612" w:lineRule="exact"/>
      <w:jc w:val="distribute"/>
    </w:pPr>
    <w:rPr>
      <w:rFonts w:ascii="MingLiU" w:hAnsi="Times New Roman" w:eastAsia="MingLiU"/>
      <w:spacing w:val="-10"/>
      <w:kern w:val="0"/>
      <w:sz w:val="29"/>
      <w:szCs w:val="29"/>
      <w:lang w:eastAsia="en-US"/>
    </w:rPr>
  </w:style>
  <w:style w:type="paragraph" w:customStyle="1" w:styleId="269">
    <w:name w:val="表格内"/>
    <w:basedOn w:val="1"/>
    <w:qFormat/>
    <w:uiPriority w:val="0"/>
    <w:pPr>
      <w:jc w:val="center"/>
    </w:pPr>
    <w:rPr>
      <w:rFonts w:ascii="Times New Roman" w:hAnsi="Times New Roman" w:cs="宋体"/>
      <w:szCs w:val="20"/>
    </w:rPr>
  </w:style>
  <w:style w:type="character" w:customStyle="1" w:styleId="270">
    <w:name w:val="正文缩进 字符"/>
    <w:qFormat/>
    <w:uiPriority w:val="0"/>
    <w:rPr>
      <w:rFonts w:ascii="宋体" w:eastAsia="宋体"/>
      <w:kern w:val="2"/>
      <w:sz w:val="26"/>
      <w:szCs w:val="26"/>
      <w:lang w:val="en-US" w:eastAsia="zh-CN" w:bidi="ar-SA"/>
    </w:rPr>
  </w:style>
  <w:style w:type="paragraph" w:customStyle="1" w:styleId="271">
    <w:name w:val="Char"/>
    <w:basedOn w:val="1"/>
    <w:qFormat/>
    <w:uiPriority w:val="0"/>
    <w:pPr>
      <w:widowControl/>
      <w:spacing w:after="160" w:line="240" w:lineRule="exact"/>
      <w:jc w:val="left"/>
    </w:pPr>
    <w:rPr>
      <w:rFonts w:ascii="Times New Roman" w:hAnsi="Times New Roman"/>
    </w:rPr>
  </w:style>
  <w:style w:type="character" w:customStyle="1" w:styleId="272">
    <w:name w:val="33 Char"/>
    <w:link w:val="273"/>
    <w:qFormat/>
    <w:uiPriority w:val="0"/>
    <w:rPr>
      <w:rFonts w:ascii="宋体" w:hAnsi="宋体"/>
      <w:b/>
      <w:sz w:val="28"/>
      <w:szCs w:val="28"/>
    </w:rPr>
  </w:style>
  <w:style w:type="paragraph" w:customStyle="1" w:styleId="273">
    <w:name w:val="33"/>
    <w:basedOn w:val="1"/>
    <w:link w:val="272"/>
    <w:qFormat/>
    <w:uiPriority w:val="0"/>
    <w:pPr>
      <w:adjustRightInd w:val="0"/>
      <w:snapToGrid w:val="0"/>
      <w:spacing w:line="360" w:lineRule="auto"/>
      <w:ind w:firstLine="200" w:firstLineChars="200"/>
    </w:pPr>
    <w:rPr>
      <w:rFonts w:ascii="宋体" w:hAnsi="宋体"/>
      <w:b/>
      <w:kern w:val="0"/>
      <w:sz w:val="28"/>
      <w:szCs w:val="28"/>
    </w:rPr>
  </w:style>
  <w:style w:type="character" w:customStyle="1" w:styleId="274">
    <w:name w:val="高益W Char"/>
    <w:link w:val="275"/>
    <w:qFormat/>
    <w:uiPriority w:val="0"/>
    <w:rPr>
      <w:rFonts w:ascii="宋体" w:hAnsi="宋体" w:cs="Arial"/>
      <w:bCs/>
      <w:sz w:val="28"/>
      <w:szCs w:val="28"/>
    </w:rPr>
  </w:style>
  <w:style w:type="paragraph" w:customStyle="1" w:styleId="275">
    <w:name w:val="高益W"/>
    <w:basedOn w:val="1"/>
    <w:link w:val="274"/>
    <w:qFormat/>
    <w:uiPriority w:val="0"/>
    <w:pPr>
      <w:wordWrap w:val="0"/>
      <w:spacing w:line="360" w:lineRule="auto"/>
      <w:ind w:firstLine="200" w:firstLineChars="200"/>
      <w:jc w:val="left"/>
    </w:pPr>
    <w:rPr>
      <w:rFonts w:ascii="宋体" w:hAnsi="宋体" w:cs="Arial"/>
      <w:bCs/>
      <w:kern w:val="0"/>
      <w:sz w:val="28"/>
      <w:szCs w:val="28"/>
    </w:rPr>
  </w:style>
  <w:style w:type="character" w:customStyle="1" w:styleId="276">
    <w:name w:val="标准样式 Char1"/>
    <w:link w:val="277"/>
    <w:qFormat/>
    <w:uiPriority w:val="0"/>
    <w:rPr>
      <w:rFonts w:ascii="宋体"/>
      <w:sz w:val="28"/>
      <w:szCs w:val="24"/>
    </w:rPr>
  </w:style>
  <w:style w:type="paragraph" w:customStyle="1" w:styleId="277">
    <w:name w:val="标准样式"/>
    <w:next w:val="43"/>
    <w:link w:val="276"/>
    <w:qFormat/>
    <w:uiPriority w:val="0"/>
    <w:pPr>
      <w:widowControl w:val="0"/>
      <w:spacing w:line="600" w:lineRule="exact"/>
      <w:ind w:firstLine="567"/>
      <w:jc w:val="both"/>
    </w:pPr>
    <w:rPr>
      <w:rFonts w:ascii="宋体" w:hAnsi="Times New Roman" w:eastAsia="宋体" w:cs="Times New Roman"/>
      <w:sz w:val="28"/>
      <w:szCs w:val="24"/>
      <w:lang w:val="en-US" w:eastAsia="zh-CN" w:bidi="ar-SA"/>
    </w:rPr>
  </w:style>
  <w:style w:type="paragraph" w:customStyle="1" w:styleId="278">
    <w:name w:val="表格样式"/>
    <w:basedOn w:val="1"/>
    <w:qFormat/>
    <w:uiPriority w:val="0"/>
    <w:pPr>
      <w:adjustRightInd w:val="0"/>
      <w:snapToGrid w:val="0"/>
      <w:jc w:val="center"/>
      <w:textAlignment w:val="center"/>
    </w:pPr>
    <w:rPr>
      <w:rFonts w:ascii="Times New Roman" w:hAnsi="Times New Roman"/>
      <w:sz w:val="28"/>
    </w:rPr>
  </w:style>
  <w:style w:type="paragraph" w:customStyle="1" w:styleId="279">
    <w:name w:val="Zw Char Char Char Char Char Char"/>
    <w:basedOn w:val="1"/>
    <w:qFormat/>
    <w:uiPriority w:val="0"/>
    <w:rPr>
      <w:rFonts w:ascii="宋体" w:hAnsi="宋体" w:cs="宋体"/>
      <w:sz w:val="24"/>
    </w:rPr>
  </w:style>
  <w:style w:type="paragraph" w:customStyle="1" w:styleId="280">
    <w:name w:val="表格字体"/>
    <w:basedOn w:val="170"/>
    <w:qFormat/>
    <w:uiPriority w:val="0"/>
    <w:pPr>
      <w:spacing w:line="320" w:lineRule="exact"/>
      <w:ind w:firstLine="0" w:firstLineChars="0"/>
    </w:pPr>
    <w:rPr>
      <w:rFonts w:hAnsi="Times New Roman" w:cs="Arial"/>
      <w:bCs/>
      <w:kern w:val="2"/>
      <w:sz w:val="22"/>
      <w:szCs w:val="30"/>
    </w:rPr>
  </w:style>
  <w:style w:type="paragraph" w:customStyle="1" w:styleId="281">
    <w:name w:val="表头（新）"/>
    <w:basedOn w:val="170"/>
    <w:qFormat/>
    <w:uiPriority w:val="0"/>
    <w:pPr>
      <w:spacing w:line="480" w:lineRule="exact"/>
      <w:ind w:firstLine="200"/>
    </w:pPr>
    <w:rPr>
      <w:rFonts w:hAnsi="Times New Roman" w:cs="Arial"/>
      <w:b/>
      <w:bCs/>
      <w:kern w:val="2"/>
      <w:sz w:val="21"/>
      <w:szCs w:val="30"/>
    </w:rPr>
  </w:style>
  <w:style w:type="paragraph" w:customStyle="1" w:styleId="282">
    <w:name w:val="Bt1.1"/>
    <w:basedOn w:val="4"/>
    <w:next w:val="1"/>
    <w:qFormat/>
    <w:uiPriority w:val="0"/>
    <w:pPr>
      <w:adjustRightInd w:val="0"/>
      <w:spacing w:before="0" w:after="0" w:line="360" w:lineRule="auto"/>
      <w:ind w:firstLine="200" w:firstLineChars="200"/>
      <w:jc w:val="left"/>
    </w:pPr>
    <w:rPr>
      <w:rFonts w:ascii="Times New Roman" w:hAnsi="Times New Roman"/>
      <w:bCs w:val="0"/>
      <w:snapToGrid w:val="0"/>
      <w:szCs w:val="28"/>
    </w:rPr>
  </w:style>
  <w:style w:type="paragraph" w:customStyle="1" w:styleId="283">
    <w:name w:val="Body Text 22"/>
    <w:qFormat/>
    <w:uiPriority w:val="0"/>
    <w:pPr>
      <w:widowControl w:val="0"/>
      <w:adjustRightInd w:val="0"/>
      <w:spacing w:line="440" w:lineRule="atLeast"/>
      <w:ind w:firstLine="480"/>
      <w:jc w:val="both"/>
      <w:textAlignment w:val="baseline"/>
    </w:pPr>
    <w:rPr>
      <w:rFonts w:ascii="Times New Roman" w:hAnsi="Times New Roman" w:eastAsia="仿宋_GB2312" w:cs="Times New Roman"/>
      <w:kern w:val="2"/>
      <w:sz w:val="24"/>
      <w:lang w:val="en-US" w:eastAsia="zh-CN" w:bidi="ar-SA"/>
    </w:rPr>
  </w:style>
  <w:style w:type="table" w:customStyle="1" w:styleId="284">
    <w:name w:val="标准表格"/>
    <w:basedOn w:val="55"/>
    <w:qFormat/>
    <w:uiPriority w:val="99"/>
    <w:pPr>
      <w:spacing w:before="74"/>
      <w:jc w:val="center"/>
    </w:pPr>
    <w:rPr>
      <w:sz w:val="18"/>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FFFFFF"/>
      <w:vAlign w:val="center"/>
    </w:tcPr>
    <w:tblStylePr w:type="firstRow">
      <w:pPr>
        <w:wordWrap/>
        <w:spacing w:beforeLines="0" w:beforeAutospacing="0" w:afterLines="0" w:afterAutospacing="0" w:line="240" w:lineRule="auto"/>
        <w:ind w:left="0" w:leftChars="0" w:right="0" w:rightChars="0" w:firstLine="0" w:firstLineChars="0"/>
        <w:jc w:val="center"/>
      </w:pPr>
      <w:rPr>
        <w:rFonts w:eastAsia="PMingLiU"/>
        <w:sz w:val="18"/>
      </w:rPr>
      <w:tblPr/>
      <w:trPr>
        <w:tblHeader/>
      </w:trPr>
    </w:tblStylePr>
    <w:tblStylePr w:type="firstCol">
      <w:pPr>
        <w:jc w:val="center"/>
      </w:pPr>
    </w:tblStylePr>
  </w:style>
  <w:style w:type="character" w:customStyle="1" w:styleId="285">
    <w:name w:val="表头 Char1"/>
    <w:qFormat/>
    <w:uiPriority w:val="0"/>
    <w:rPr>
      <w:rFonts w:eastAsia="宋体"/>
      <w:b/>
      <w:kern w:val="2"/>
      <w:sz w:val="24"/>
      <w:lang w:val="en-US" w:eastAsia="zh-CN" w:bidi="ar-SA"/>
    </w:rPr>
  </w:style>
  <w:style w:type="character" w:customStyle="1" w:styleId="286">
    <w:name w:val="!hb1 Char"/>
    <w:link w:val="287"/>
    <w:qFormat/>
    <w:locked/>
    <w:uiPriority w:val="0"/>
    <w:rPr>
      <w:rFonts w:cs="黑体"/>
      <w:bCs/>
      <w:kern w:val="44"/>
      <w:sz w:val="24"/>
      <w:szCs w:val="32"/>
    </w:rPr>
  </w:style>
  <w:style w:type="paragraph" w:customStyle="1" w:styleId="287">
    <w:name w:val="!hb1"/>
    <w:link w:val="286"/>
    <w:qFormat/>
    <w:uiPriority w:val="0"/>
    <w:pPr>
      <w:widowControl w:val="0"/>
      <w:adjustRightInd w:val="0"/>
      <w:spacing w:line="360" w:lineRule="auto"/>
      <w:ind w:firstLine="200" w:firstLineChars="200"/>
      <w:jc w:val="both"/>
      <w:textAlignment w:val="baseline"/>
    </w:pPr>
    <w:rPr>
      <w:rFonts w:ascii="Times New Roman" w:hAnsi="Times New Roman" w:eastAsia="宋体" w:cs="黑体"/>
      <w:bCs/>
      <w:kern w:val="44"/>
      <w:sz w:val="24"/>
      <w:szCs w:val="32"/>
      <w:lang w:val="en-US" w:eastAsia="zh-CN" w:bidi="ar-SA"/>
    </w:rPr>
  </w:style>
  <w:style w:type="paragraph" w:customStyle="1" w:styleId="288">
    <w:name w:val="Char Char Char Char Char Char"/>
    <w:basedOn w:val="1"/>
    <w:next w:val="2"/>
    <w:qFormat/>
    <w:uiPriority w:val="0"/>
    <w:rPr>
      <w:rFonts w:ascii="Times New Roman" w:hAnsi="Times New Roman"/>
    </w:rPr>
  </w:style>
  <w:style w:type="character" w:customStyle="1" w:styleId="289">
    <w:name w:val="0正文 Char"/>
    <w:link w:val="290"/>
    <w:qFormat/>
    <w:locked/>
    <w:uiPriority w:val="0"/>
    <w:rPr>
      <w:color w:val="0000FF"/>
      <w:sz w:val="24"/>
    </w:rPr>
  </w:style>
  <w:style w:type="paragraph" w:customStyle="1" w:styleId="290">
    <w:name w:val="0正文"/>
    <w:basedOn w:val="1"/>
    <w:link w:val="289"/>
    <w:qFormat/>
    <w:uiPriority w:val="0"/>
    <w:pPr>
      <w:spacing w:line="360" w:lineRule="auto"/>
      <w:ind w:firstLine="200" w:firstLineChars="200"/>
    </w:pPr>
    <w:rPr>
      <w:rFonts w:ascii="Times New Roman" w:hAnsi="Times New Roman"/>
      <w:color w:val="0000FF"/>
      <w:kern w:val="0"/>
      <w:sz w:val="24"/>
      <w:szCs w:val="20"/>
    </w:rPr>
  </w:style>
  <w:style w:type="paragraph" w:customStyle="1" w:styleId="291">
    <w:name w:val="表2"/>
    <w:next w:val="1"/>
    <w:qFormat/>
    <w:uiPriority w:val="0"/>
    <w:pPr>
      <w:numPr>
        <w:ilvl w:val="0"/>
        <w:numId w:val="3"/>
      </w:numPr>
      <w:tabs>
        <w:tab w:val="left" w:pos="420"/>
      </w:tabs>
      <w:spacing w:line="360" w:lineRule="auto"/>
      <w:jc w:val="center"/>
    </w:pPr>
    <w:rPr>
      <w:rFonts w:ascii="Times New Roman" w:hAnsi="Times New Roman" w:eastAsia="宋体" w:cs="Times New Roman"/>
      <w:b/>
      <w:kern w:val="2"/>
      <w:sz w:val="24"/>
      <w:szCs w:val="24"/>
      <w:lang w:val="en-US" w:eastAsia="zh-CN" w:bidi="ar-SA"/>
    </w:rPr>
  </w:style>
  <w:style w:type="character" w:customStyle="1" w:styleId="292">
    <w:name w:val="wwwwwww Char"/>
    <w:link w:val="293"/>
    <w:qFormat/>
    <w:locked/>
    <w:uiPriority w:val="0"/>
    <w:rPr>
      <w:sz w:val="24"/>
      <w:szCs w:val="24"/>
    </w:rPr>
  </w:style>
  <w:style w:type="paragraph" w:customStyle="1" w:styleId="293">
    <w:name w:val="wwwwwww"/>
    <w:basedOn w:val="1"/>
    <w:link w:val="292"/>
    <w:qFormat/>
    <w:uiPriority w:val="0"/>
    <w:pPr>
      <w:spacing w:line="440" w:lineRule="exact"/>
      <w:ind w:firstLine="480" w:firstLineChars="200"/>
    </w:pPr>
    <w:rPr>
      <w:rFonts w:ascii="Times New Roman" w:hAnsi="Times New Roman"/>
      <w:kern w:val="0"/>
      <w:sz w:val="24"/>
    </w:rPr>
  </w:style>
  <w:style w:type="paragraph" w:customStyle="1" w:styleId="294">
    <w:name w:val="表中文字"/>
    <w:basedOn w:val="21"/>
    <w:qFormat/>
    <w:uiPriority w:val="0"/>
    <w:pPr>
      <w:spacing w:after="0" w:line="240" w:lineRule="auto"/>
      <w:jc w:val="center"/>
    </w:pPr>
    <w:rPr>
      <w:rFonts w:ascii="宋体"/>
      <w:w w:val="90"/>
      <w:kern w:val="0"/>
      <w:sz w:val="24"/>
      <w:szCs w:val="20"/>
    </w:rPr>
  </w:style>
  <w:style w:type="character" w:customStyle="1" w:styleId="295">
    <w:name w:val="正文缩进 字符1"/>
    <w:qFormat/>
    <w:uiPriority w:val="0"/>
    <w:rPr>
      <w:kern w:val="2"/>
      <w:sz w:val="24"/>
      <w:szCs w:val="24"/>
    </w:rPr>
  </w:style>
  <w:style w:type="paragraph" w:customStyle="1" w:styleId="296">
    <w:name w:val="Char Char2 Char"/>
    <w:basedOn w:val="1"/>
    <w:semiHidden/>
    <w:qFormat/>
    <w:uiPriority w:val="0"/>
    <w:pPr>
      <w:adjustRightInd w:val="0"/>
      <w:snapToGrid w:val="0"/>
      <w:spacing w:line="360" w:lineRule="auto"/>
      <w:ind w:firstLine="200" w:firstLineChars="200"/>
    </w:pPr>
    <w:rPr>
      <w:rFonts w:ascii="Times New Roman" w:hAnsi="Times New Roman" w:cs="宋体"/>
      <w:bCs/>
      <w:sz w:val="24"/>
      <w:szCs w:val="26"/>
    </w:rPr>
  </w:style>
  <w:style w:type="character" w:customStyle="1" w:styleId="297">
    <w:name w:val="普通(网站) 字符1"/>
    <w:qFormat/>
    <w:uiPriority w:val="0"/>
    <w:rPr>
      <w:rFonts w:ascii="宋体" w:hAnsi="宋体"/>
      <w:sz w:val="24"/>
      <w:szCs w:val="24"/>
      <w:lang w:eastAsia="en-US" w:bidi="en-US"/>
    </w:rPr>
  </w:style>
  <w:style w:type="paragraph" w:customStyle="1" w:styleId="298">
    <w:name w:val="正文内容"/>
    <w:basedOn w:val="1"/>
    <w:link w:val="299"/>
    <w:qFormat/>
    <w:uiPriority w:val="0"/>
    <w:pPr>
      <w:autoSpaceDE w:val="0"/>
      <w:autoSpaceDN w:val="0"/>
      <w:ind w:firstLine="200" w:firstLineChars="200"/>
      <w:textAlignment w:val="baseline"/>
    </w:pPr>
    <w:rPr>
      <w:rFonts w:ascii="宋体" w:hAnsi="宋体"/>
      <w:color w:val="000000"/>
      <w:kern w:val="0"/>
      <w:sz w:val="28"/>
      <w:szCs w:val="20"/>
      <w:lang w:val="zh-CN"/>
    </w:rPr>
  </w:style>
  <w:style w:type="character" w:customStyle="1" w:styleId="299">
    <w:name w:val="正文内容 Char"/>
    <w:link w:val="298"/>
    <w:qFormat/>
    <w:uiPriority w:val="0"/>
    <w:rPr>
      <w:rFonts w:ascii="宋体" w:hAnsi="宋体"/>
      <w:color w:val="000000"/>
      <w:sz w:val="28"/>
      <w:lang w:val="zh-CN"/>
    </w:rPr>
  </w:style>
  <w:style w:type="character" w:customStyle="1" w:styleId="300">
    <w:name w:val="格式－正文 Char"/>
    <w:link w:val="301"/>
    <w:qFormat/>
    <w:uiPriority w:val="0"/>
    <w:rPr>
      <w:sz w:val="28"/>
      <w:szCs w:val="24"/>
    </w:rPr>
  </w:style>
  <w:style w:type="paragraph" w:customStyle="1" w:styleId="301">
    <w:name w:val="格式－正文"/>
    <w:basedOn w:val="1"/>
    <w:link w:val="300"/>
    <w:qFormat/>
    <w:uiPriority w:val="0"/>
    <w:pPr>
      <w:spacing w:line="600" w:lineRule="exact"/>
      <w:ind w:firstLine="200" w:firstLineChars="200"/>
    </w:pPr>
    <w:rPr>
      <w:rFonts w:ascii="Times New Roman" w:hAnsi="Times New Roman"/>
      <w:kern w:val="0"/>
      <w:sz w:val="28"/>
    </w:rPr>
  </w:style>
  <w:style w:type="character" w:customStyle="1" w:styleId="302">
    <w:name w:val="font61"/>
    <w:qFormat/>
    <w:uiPriority w:val="0"/>
    <w:rPr>
      <w:rFonts w:hint="eastAsia" w:ascii="宋体" w:hAnsi="宋体" w:eastAsia="宋体" w:cs="宋体"/>
      <w:color w:val="000000"/>
      <w:sz w:val="20"/>
      <w:szCs w:val="20"/>
      <w:u w:val="none"/>
    </w:rPr>
  </w:style>
  <w:style w:type="paragraph" w:customStyle="1" w:styleId="303">
    <w:name w:val="格表"/>
    <w:basedOn w:val="1"/>
    <w:link w:val="304"/>
    <w:qFormat/>
    <w:uiPriority w:val="0"/>
    <w:pPr>
      <w:jc w:val="center"/>
    </w:pPr>
    <w:rPr>
      <w:rFonts w:ascii="Times New Roman" w:hAnsi="Times New Roman"/>
      <w:bCs/>
      <w:szCs w:val="21"/>
    </w:rPr>
  </w:style>
  <w:style w:type="character" w:customStyle="1" w:styleId="304">
    <w:name w:val="格表 Char"/>
    <w:link w:val="303"/>
    <w:qFormat/>
    <w:uiPriority w:val="0"/>
    <w:rPr>
      <w:bCs/>
      <w:kern w:val="2"/>
      <w:sz w:val="21"/>
      <w:szCs w:val="21"/>
    </w:rPr>
  </w:style>
  <w:style w:type="character" w:customStyle="1" w:styleId="305">
    <w:name w:val="fontstyle01"/>
    <w:qFormat/>
    <w:uiPriority w:val="0"/>
    <w:rPr>
      <w:rFonts w:hint="eastAsia" w:ascii="宋体" w:hAnsi="宋体" w:eastAsia="宋体"/>
      <w:color w:val="000000"/>
      <w:sz w:val="24"/>
      <w:szCs w:val="24"/>
    </w:rPr>
  </w:style>
  <w:style w:type="paragraph" w:customStyle="1" w:styleId="306">
    <w:name w:val="修订1"/>
    <w:hidden/>
    <w:unhideWhenUsed/>
    <w:qFormat/>
    <w:uiPriority w:val="99"/>
    <w:rPr>
      <w:rFonts w:ascii="Calibri" w:hAnsi="Calibri" w:eastAsia="宋体" w:cs="Times New Roman"/>
      <w:kern w:val="2"/>
      <w:sz w:val="21"/>
      <w:szCs w:val="24"/>
      <w:lang w:val="en-US" w:eastAsia="zh-CN" w:bidi="ar-SA"/>
    </w:rPr>
  </w:style>
  <w:style w:type="paragraph" w:customStyle="1" w:styleId="307">
    <w:name w:val="修订2"/>
    <w:hidden/>
    <w:unhideWhenUsed/>
    <w:qFormat/>
    <w:uiPriority w:val="99"/>
    <w:rPr>
      <w:rFonts w:ascii="Calibri" w:hAnsi="Calibri" w:eastAsia="宋体" w:cs="Times New Roman"/>
      <w:kern w:val="2"/>
      <w:sz w:val="21"/>
      <w:szCs w:val="24"/>
      <w:lang w:val="en-US" w:eastAsia="zh-CN" w:bidi="ar-SA"/>
    </w:rPr>
  </w:style>
  <w:style w:type="paragraph" w:customStyle="1" w:styleId="308">
    <w:name w:val="修订3"/>
    <w:hidden/>
    <w:unhideWhenUsed/>
    <w:qFormat/>
    <w:uiPriority w:val="99"/>
    <w:rPr>
      <w:rFonts w:ascii="Calibri" w:hAnsi="Calibri" w:eastAsia="宋体" w:cs="Times New Roman"/>
      <w:kern w:val="2"/>
      <w:sz w:val="21"/>
      <w:szCs w:val="24"/>
      <w:lang w:val="en-US" w:eastAsia="zh-CN" w:bidi="ar-SA"/>
    </w:rPr>
  </w:style>
  <w:style w:type="paragraph" w:customStyle="1" w:styleId="309">
    <w:name w:val="修订4"/>
    <w:hidden/>
    <w:unhideWhenUsed/>
    <w:qFormat/>
    <w:uiPriority w:val="99"/>
    <w:rPr>
      <w:rFonts w:ascii="Calibri" w:hAnsi="Calibri" w:eastAsia="宋体" w:cs="Times New Roman"/>
      <w:kern w:val="2"/>
      <w:sz w:val="21"/>
      <w:szCs w:val="24"/>
      <w:lang w:val="en-US" w:eastAsia="zh-CN" w:bidi="ar-SA"/>
    </w:rPr>
  </w:style>
  <w:style w:type="paragraph" w:customStyle="1" w:styleId="310">
    <w:name w:val="正 文"/>
    <w:basedOn w:val="1"/>
    <w:next w:val="1"/>
    <w:qFormat/>
    <w:uiPriority w:val="0"/>
    <w:pPr>
      <w:adjustRightInd w:val="0"/>
      <w:spacing w:line="360" w:lineRule="auto"/>
      <w:ind w:firstLine="480" w:firstLineChars="200"/>
    </w:pPr>
    <w:rPr>
      <w:rFonts w:ascii="Times New Roman" w:hAnsi="Times New Roman" w:cs="宋体"/>
      <w:sz w:val="24"/>
    </w:rPr>
  </w:style>
  <w:style w:type="paragraph" w:customStyle="1" w:styleId="311">
    <w:name w:val="zhengwen"/>
    <w:basedOn w:val="1"/>
    <w:link w:val="312"/>
    <w:qFormat/>
    <w:uiPriority w:val="0"/>
    <w:pPr>
      <w:widowControl/>
      <w:spacing w:before="50" w:beforeLines="50" w:after="50" w:afterLines="50" w:line="400" w:lineRule="atLeast"/>
      <w:ind w:firstLine="200" w:firstLineChars="200"/>
      <w:jc w:val="left"/>
    </w:pPr>
    <w:rPr>
      <w:rFonts w:ascii="Arial" w:hAnsi="Arial" w:cs="宋体"/>
      <w:color w:val="000000"/>
      <w:kern w:val="0"/>
      <w:sz w:val="24"/>
      <w:szCs w:val="28"/>
    </w:rPr>
  </w:style>
  <w:style w:type="character" w:customStyle="1" w:styleId="312">
    <w:name w:val="zhengwen 字符"/>
    <w:link w:val="311"/>
    <w:qFormat/>
    <w:uiPriority w:val="0"/>
    <w:rPr>
      <w:rFonts w:ascii="Arial" w:hAnsi="Arial" w:cs="宋体"/>
      <w:color w:val="000000"/>
      <w:sz w:val="24"/>
      <w:szCs w:val="28"/>
    </w:rPr>
  </w:style>
  <w:style w:type="character" w:customStyle="1" w:styleId="313">
    <w:name w:val="大河表格文字 字符"/>
    <w:link w:val="314"/>
    <w:qFormat/>
    <w:uiPriority w:val="0"/>
    <w:rPr>
      <w:rFonts w:ascii="Arial" w:hAnsi="Arial" w:cs="宋体"/>
      <w:sz w:val="21"/>
      <w:szCs w:val="28"/>
    </w:rPr>
  </w:style>
  <w:style w:type="paragraph" w:customStyle="1" w:styleId="314">
    <w:name w:val="大河表格文字"/>
    <w:basedOn w:val="1"/>
    <w:next w:val="28"/>
    <w:link w:val="313"/>
    <w:qFormat/>
    <w:uiPriority w:val="0"/>
    <w:pPr>
      <w:widowControl/>
      <w:jc w:val="center"/>
    </w:pPr>
    <w:rPr>
      <w:rFonts w:ascii="Arial" w:hAnsi="Arial" w:cs="宋体"/>
      <w:kern w:val="0"/>
      <w:szCs w:val="28"/>
    </w:rPr>
  </w:style>
  <w:style w:type="paragraph" w:customStyle="1" w:styleId="315">
    <w:name w:val="大河表标题"/>
    <w:basedOn w:val="1"/>
    <w:link w:val="316"/>
    <w:qFormat/>
    <w:uiPriority w:val="0"/>
    <w:pPr>
      <w:widowControl/>
      <w:spacing w:before="120" w:beforeLines="50" w:after="156"/>
      <w:ind w:firstLine="482"/>
      <w:jc w:val="center"/>
    </w:pPr>
    <w:rPr>
      <w:rFonts w:ascii="Arial" w:hAnsi="Arial" w:cs="宋体"/>
      <w:kern w:val="0"/>
      <w:szCs w:val="21"/>
    </w:rPr>
  </w:style>
  <w:style w:type="character" w:customStyle="1" w:styleId="316">
    <w:name w:val="大河表标题 字符"/>
    <w:link w:val="315"/>
    <w:qFormat/>
    <w:uiPriority w:val="0"/>
    <w:rPr>
      <w:rFonts w:ascii="Arial" w:hAnsi="Arial" w:cs="宋体"/>
      <w:sz w:val="21"/>
      <w:szCs w:val="21"/>
    </w:rPr>
  </w:style>
  <w:style w:type="character" w:customStyle="1" w:styleId="317">
    <w:name w:val="font11"/>
    <w:basedOn w:val="63"/>
    <w:qFormat/>
    <w:uiPriority w:val="0"/>
    <w:rPr>
      <w:rFonts w:hint="default" w:ascii="Times New Roman" w:hAnsi="Times New Roman" w:cs="Times New Roman"/>
      <w:color w:val="000000"/>
      <w:sz w:val="21"/>
      <w:szCs w:val="21"/>
      <w:u w:val="none"/>
    </w:rPr>
  </w:style>
  <w:style w:type="character" w:customStyle="1" w:styleId="318">
    <w:name w:val="font111"/>
    <w:qFormat/>
    <w:uiPriority w:val="0"/>
    <w:rPr>
      <w:rFonts w:hint="default" w:ascii="Times New Roman" w:hAnsi="Times New Roman" w:cs="Times New Roman"/>
      <w:color w:val="000000"/>
      <w:sz w:val="18"/>
      <w:szCs w:val="18"/>
      <w:u w:val="none"/>
    </w:rPr>
  </w:style>
  <w:style w:type="paragraph" w:customStyle="1" w:styleId="319">
    <w:name w:val="！正文样式"/>
    <w:basedOn w:val="1"/>
    <w:qFormat/>
    <w:uiPriority w:val="0"/>
    <w:pPr>
      <w:widowControl/>
      <w:adjustRightInd w:val="0"/>
      <w:spacing w:before="50" w:beforeLines="50" w:after="50" w:afterLines="50" w:line="400" w:lineRule="atLeast"/>
      <w:ind w:firstLine="482"/>
      <w:jc w:val="left"/>
    </w:pPr>
    <w:rPr>
      <w:rFonts w:ascii="Arial" w:hAnsi="Arial" w:cs="宋体"/>
      <w:kern w:val="0"/>
      <w:sz w:val="24"/>
      <w:szCs w:val="20"/>
    </w:rPr>
  </w:style>
  <w:style w:type="character" w:customStyle="1" w:styleId="320">
    <w:name w:val="注释标题 字符"/>
    <w:basedOn w:val="63"/>
    <w:qFormat/>
    <w:uiPriority w:val="0"/>
    <w:rPr>
      <w:rFonts w:ascii="Calibri" w:hAnsi="Calibri"/>
      <w:kern w:val="2"/>
      <w:sz w:val="21"/>
      <w:szCs w:val="24"/>
    </w:rPr>
  </w:style>
  <w:style w:type="character" w:customStyle="1" w:styleId="321">
    <w:name w:val="标题 3 Char"/>
    <w:qFormat/>
    <w:uiPriority w:val="0"/>
    <w:rPr>
      <w:b/>
      <w:bCs/>
      <w:kern w:val="2"/>
      <w:sz w:val="24"/>
      <w:szCs w:val="32"/>
    </w:rPr>
  </w:style>
  <w:style w:type="character" w:customStyle="1" w:styleId="322">
    <w:name w:val="标题 2 Char"/>
    <w:qFormat/>
    <w:uiPriority w:val="9"/>
    <w:rPr>
      <w:b/>
      <w:bCs/>
      <w:kern w:val="2"/>
      <w:sz w:val="28"/>
      <w:szCs w:val="32"/>
    </w:rPr>
  </w:style>
  <w:style w:type="paragraph" w:customStyle="1" w:styleId="323">
    <w:name w:val="表名图名"/>
    <w:basedOn w:val="1"/>
    <w:qFormat/>
    <w:uiPriority w:val="0"/>
    <w:pPr>
      <w:jc w:val="center"/>
    </w:pPr>
    <w:rPr>
      <w:rFonts w:ascii="Times New Roman" w:hAnsi="Times New Roman" w:eastAsiaTheme="minorEastAsia" w:cstheme="minorBidi"/>
      <w:b/>
    </w:rPr>
  </w:style>
  <w:style w:type="paragraph" w:customStyle="1" w:styleId="324">
    <w:name w:val="3333333"/>
    <w:basedOn w:val="5"/>
    <w:link w:val="325"/>
    <w:qFormat/>
    <w:uiPriority w:val="0"/>
    <w:pPr>
      <w:spacing w:before="0" w:after="0" w:line="440" w:lineRule="exact"/>
    </w:pPr>
    <w:rPr>
      <w:spacing w:val="-8"/>
      <w:kern w:val="0"/>
      <w:sz w:val="24"/>
    </w:rPr>
  </w:style>
  <w:style w:type="character" w:customStyle="1" w:styleId="325">
    <w:name w:val="3333333 Char"/>
    <w:link w:val="324"/>
    <w:qFormat/>
    <w:uiPriority w:val="0"/>
    <w:rPr>
      <w:b/>
      <w:bCs/>
      <w:spacing w:val="-8"/>
      <w:sz w:val="24"/>
      <w:szCs w:val="32"/>
    </w:rPr>
  </w:style>
  <w:style w:type="character" w:customStyle="1" w:styleId="326">
    <w:name w:val="4444 Char"/>
    <w:link w:val="327"/>
    <w:qFormat/>
    <w:uiPriority w:val="0"/>
    <w:rPr>
      <w:b/>
      <w:sz w:val="24"/>
      <w:szCs w:val="24"/>
    </w:rPr>
  </w:style>
  <w:style w:type="paragraph" w:customStyle="1" w:styleId="327">
    <w:name w:val="4444"/>
    <w:basedOn w:val="293"/>
    <w:link w:val="326"/>
    <w:qFormat/>
    <w:uiPriority w:val="0"/>
    <w:pPr>
      <w:ind w:firstLine="482"/>
    </w:pPr>
    <w:rPr>
      <w:b/>
    </w:rPr>
  </w:style>
  <w:style w:type="character" w:customStyle="1" w:styleId="328">
    <w:name w:val="纯文本 字符2"/>
    <w:qFormat/>
    <w:uiPriority w:val="99"/>
    <w:rPr>
      <w:rFonts w:ascii="宋体" w:hAnsi="Courier New"/>
      <w:kern w:val="2"/>
      <w:sz w:val="21"/>
    </w:rPr>
  </w:style>
  <w:style w:type="paragraph" w:customStyle="1" w:styleId="329">
    <w:name w:val="文本文字"/>
    <w:basedOn w:val="1"/>
    <w:qFormat/>
    <w:uiPriority w:val="0"/>
    <w:pPr>
      <w:widowControl/>
      <w:spacing w:line="360" w:lineRule="auto"/>
      <w:ind w:firstLine="200" w:firstLineChars="200"/>
    </w:pPr>
    <w:rPr>
      <w:rFonts w:ascii="Times New Roman" w:hAnsi="Times New Roman"/>
      <w:color w:val="000000"/>
      <w:kern w:val="0"/>
      <w:sz w:val="24"/>
      <w:szCs w:val="22"/>
    </w:rPr>
  </w:style>
  <w:style w:type="character" w:customStyle="1" w:styleId="330">
    <w:name w:val="注释标题 字符1"/>
    <w:link w:val="13"/>
    <w:qFormat/>
    <w:uiPriority w:val="0"/>
    <w:rPr>
      <w:rFonts w:ascii="Arial" w:hAnsi="Arial" w:eastAsia="黑体"/>
      <w:kern w:val="2"/>
      <w:sz w:val="21"/>
      <w:szCs w:val="24"/>
    </w:rPr>
  </w:style>
  <w:style w:type="character" w:customStyle="1" w:styleId="331">
    <w:name w:val="题注 Char"/>
    <w:qFormat/>
    <w:uiPriority w:val="0"/>
    <w:rPr>
      <w:rFonts w:cs="Arial"/>
      <w:kern w:val="2"/>
      <w:sz w:val="21"/>
    </w:rPr>
  </w:style>
  <w:style w:type="character" w:customStyle="1" w:styleId="332">
    <w:name w:val="尾注文本 Char"/>
    <w:semiHidden/>
    <w:qFormat/>
    <w:uiPriority w:val="0"/>
    <w:rPr>
      <w:kern w:val="2"/>
      <w:sz w:val="24"/>
      <w:szCs w:val="24"/>
    </w:rPr>
  </w:style>
  <w:style w:type="character" w:customStyle="1" w:styleId="333">
    <w:name w:val="批注文字 Char"/>
    <w:qFormat/>
    <w:uiPriority w:val="0"/>
    <w:rPr>
      <w:kern w:val="2"/>
      <w:sz w:val="24"/>
      <w:szCs w:val="24"/>
    </w:rPr>
  </w:style>
  <w:style w:type="character" w:customStyle="1" w:styleId="334">
    <w:name w:val="批注主题 Char"/>
    <w:semiHidden/>
    <w:qFormat/>
    <w:uiPriority w:val="0"/>
    <w:rPr>
      <w:b/>
      <w:bCs/>
      <w:kern w:val="2"/>
      <w:sz w:val="24"/>
      <w:szCs w:val="24"/>
    </w:rPr>
  </w:style>
  <w:style w:type="character" w:customStyle="1" w:styleId="335">
    <w:name w:val="页眉 Char"/>
    <w:qFormat/>
    <w:uiPriority w:val="99"/>
    <w:rPr>
      <w:kern w:val="2"/>
      <w:sz w:val="18"/>
      <w:szCs w:val="18"/>
    </w:rPr>
  </w:style>
  <w:style w:type="character" w:customStyle="1" w:styleId="336">
    <w:name w:val="标题 5 Char"/>
    <w:qFormat/>
    <w:uiPriority w:val="9"/>
    <w:rPr>
      <w:b/>
      <w:bCs/>
      <w:kern w:val="2"/>
      <w:sz w:val="28"/>
      <w:szCs w:val="28"/>
    </w:rPr>
  </w:style>
  <w:style w:type="character" w:customStyle="1" w:styleId="337">
    <w:name w:val="页脚 Char"/>
    <w:qFormat/>
    <w:uiPriority w:val="99"/>
    <w:rPr>
      <w:kern w:val="2"/>
      <w:sz w:val="18"/>
      <w:szCs w:val="18"/>
    </w:rPr>
  </w:style>
  <w:style w:type="character" w:customStyle="1" w:styleId="338">
    <w:name w:val="标题 1 Char"/>
    <w:qFormat/>
    <w:uiPriority w:val="9"/>
    <w:rPr>
      <w:b/>
      <w:bCs/>
      <w:kern w:val="44"/>
      <w:sz w:val="30"/>
      <w:szCs w:val="44"/>
    </w:rPr>
  </w:style>
  <w:style w:type="character" w:customStyle="1" w:styleId="339">
    <w:name w:val="标题 4 Char"/>
    <w:qFormat/>
    <w:uiPriority w:val="9"/>
    <w:rPr>
      <w:b/>
      <w:bCs/>
      <w:kern w:val="2"/>
      <w:sz w:val="24"/>
      <w:szCs w:val="24"/>
    </w:rPr>
  </w:style>
  <w:style w:type="character" w:customStyle="1" w:styleId="340">
    <w:name w:val="标题 6 Char"/>
    <w:qFormat/>
    <w:uiPriority w:val="9"/>
    <w:rPr>
      <w:rFonts w:ascii="Arial" w:hAnsi="Arial" w:eastAsia="黑体"/>
      <w:b/>
      <w:bCs/>
      <w:kern w:val="2"/>
      <w:sz w:val="24"/>
      <w:szCs w:val="24"/>
    </w:rPr>
  </w:style>
  <w:style w:type="character" w:customStyle="1" w:styleId="341">
    <w:name w:val="标题 7 Char"/>
    <w:qFormat/>
    <w:uiPriority w:val="0"/>
    <w:rPr>
      <w:b/>
      <w:bCs/>
      <w:kern w:val="2"/>
      <w:sz w:val="24"/>
      <w:szCs w:val="24"/>
    </w:rPr>
  </w:style>
  <w:style w:type="character" w:customStyle="1" w:styleId="342">
    <w:name w:val="标题 8 Char"/>
    <w:qFormat/>
    <w:uiPriority w:val="0"/>
    <w:rPr>
      <w:rFonts w:ascii="Arial" w:hAnsi="Arial" w:eastAsia="黑体"/>
      <w:kern w:val="2"/>
      <w:sz w:val="24"/>
      <w:szCs w:val="24"/>
    </w:rPr>
  </w:style>
  <w:style w:type="character" w:customStyle="1" w:styleId="343">
    <w:name w:val="标题 9 Char"/>
    <w:qFormat/>
    <w:uiPriority w:val="0"/>
    <w:rPr>
      <w:rFonts w:ascii="Arial" w:hAnsi="Arial" w:eastAsia="黑体"/>
      <w:kern w:val="2"/>
      <w:sz w:val="24"/>
      <w:szCs w:val="21"/>
    </w:rPr>
  </w:style>
  <w:style w:type="character" w:customStyle="1" w:styleId="344">
    <w:name w:val="批注框文本 Char"/>
    <w:qFormat/>
    <w:uiPriority w:val="99"/>
    <w:rPr>
      <w:kern w:val="2"/>
      <w:sz w:val="18"/>
      <w:szCs w:val="18"/>
    </w:rPr>
  </w:style>
  <w:style w:type="character" w:customStyle="1" w:styleId="345">
    <w:name w:val="正文文本 Char"/>
    <w:qFormat/>
    <w:uiPriority w:val="0"/>
    <w:rPr>
      <w:kern w:val="2"/>
      <w:sz w:val="24"/>
      <w:szCs w:val="24"/>
    </w:rPr>
  </w:style>
  <w:style w:type="character" w:customStyle="1" w:styleId="346">
    <w:name w:val="正文首行缩进 Char1"/>
    <w:qFormat/>
    <w:uiPriority w:val="0"/>
    <w:rPr>
      <w:kern w:val="2"/>
      <w:sz w:val="21"/>
      <w:szCs w:val="24"/>
    </w:rPr>
  </w:style>
  <w:style w:type="character" w:customStyle="1" w:styleId="347">
    <w:name w:val="脚注文本 Char"/>
    <w:qFormat/>
    <w:uiPriority w:val="0"/>
    <w:rPr>
      <w:kern w:val="2"/>
      <w:sz w:val="18"/>
      <w:szCs w:val="18"/>
    </w:rPr>
  </w:style>
  <w:style w:type="character" w:customStyle="1" w:styleId="348">
    <w:name w:val="正文文本缩进 Char"/>
    <w:qFormat/>
    <w:uiPriority w:val="0"/>
    <w:rPr>
      <w:kern w:val="2"/>
      <w:sz w:val="24"/>
      <w:szCs w:val="24"/>
    </w:rPr>
  </w:style>
  <w:style w:type="character" w:customStyle="1" w:styleId="349">
    <w:name w:val="文档结构图 Char"/>
    <w:qFormat/>
    <w:uiPriority w:val="99"/>
    <w:rPr>
      <w:rFonts w:ascii="宋体"/>
      <w:kern w:val="2"/>
      <w:sz w:val="18"/>
      <w:szCs w:val="18"/>
    </w:rPr>
  </w:style>
  <w:style w:type="character" w:customStyle="1" w:styleId="350">
    <w:name w:val="正文文本缩进 2 Char"/>
    <w:qFormat/>
    <w:uiPriority w:val="99"/>
    <w:rPr>
      <w:kern w:val="2"/>
      <w:sz w:val="24"/>
      <w:szCs w:val="24"/>
    </w:rPr>
  </w:style>
  <w:style w:type="character" w:customStyle="1" w:styleId="351">
    <w:name w:val="副标题 Char"/>
    <w:qFormat/>
    <w:uiPriority w:val="0"/>
    <w:rPr>
      <w:rFonts w:ascii="Cambria" w:hAnsi="Cambria" w:cs="Times New Roman"/>
      <w:b/>
      <w:bCs/>
      <w:kern w:val="28"/>
      <w:sz w:val="32"/>
      <w:szCs w:val="32"/>
    </w:rPr>
  </w:style>
  <w:style w:type="character" w:customStyle="1" w:styleId="352">
    <w:name w:val="正文文本缩进 3 Char"/>
    <w:qFormat/>
    <w:uiPriority w:val="0"/>
    <w:rPr>
      <w:kern w:val="2"/>
      <w:sz w:val="16"/>
      <w:szCs w:val="16"/>
    </w:rPr>
  </w:style>
  <w:style w:type="character" w:customStyle="1" w:styleId="353">
    <w:name w:val="日期 Char"/>
    <w:qFormat/>
    <w:uiPriority w:val="0"/>
    <w:rPr>
      <w:kern w:val="2"/>
      <w:sz w:val="21"/>
    </w:rPr>
  </w:style>
  <w:style w:type="character" w:customStyle="1" w:styleId="354">
    <w:name w:val="标题 Char"/>
    <w:qFormat/>
    <w:uiPriority w:val="0"/>
    <w:rPr>
      <w:rFonts w:ascii="Cambria" w:hAnsi="Cambria" w:cs="Times New Roman"/>
      <w:b/>
      <w:bCs/>
      <w:kern w:val="2"/>
      <w:sz w:val="32"/>
      <w:szCs w:val="32"/>
    </w:rPr>
  </w:style>
  <w:style w:type="character" w:customStyle="1" w:styleId="355">
    <w:name w:val="HTML 预设格式 Char"/>
    <w:qFormat/>
    <w:uiPriority w:val="0"/>
    <w:rPr>
      <w:rFonts w:ascii="Courier New" w:hAnsi="Courier New" w:cs="Courier New"/>
      <w:kern w:val="2"/>
    </w:rPr>
  </w:style>
  <w:style w:type="character" w:customStyle="1" w:styleId="356">
    <w:name w:val="纯文本 Char"/>
    <w:qFormat/>
    <w:uiPriority w:val="0"/>
    <w:rPr>
      <w:rFonts w:ascii="宋体" w:hAnsi="Courier New"/>
      <w:kern w:val="2"/>
      <w:sz w:val="21"/>
    </w:rPr>
  </w:style>
  <w:style w:type="character" w:customStyle="1" w:styleId="357">
    <w:name w:val="引用 Char"/>
    <w:qFormat/>
    <w:uiPriority w:val="29"/>
    <w:rPr>
      <w:i/>
      <w:iCs/>
      <w:color w:val="000000"/>
      <w:kern w:val="2"/>
      <w:sz w:val="24"/>
      <w:szCs w:val="24"/>
    </w:rPr>
  </w:style>
  <w:style w:type="character" w:customStyle="1" w:styleId="358">
    <w:name w:val="正文文本 3 Char"/>
    <w:qFormat/>
    <w:uiPriority w:val="0"/>
    <w:rPr>
      <w:kern w:val="2"/>
      <w:sz w:val="16"/>
      <w:szCs w:val="16"/>
    </w:rPr>
  </w:style>
  <w:style w:type="character" w:customStyle="1" w:styleId="359">
    <w:name w:val="正文文本 2 Char"/>
    <w:semiHidden/>
    <w:qFormat/>
    <w:uiPriority w:val="99"/>
    <w:rPr>
      <w:sz w:val="24"/>
    </w:rPr>
  </w:style>
  <w:style w:type="character" w:customStyle="1" w:styleId="360">
    <w:name w:val="正文缩进 Char"/>
    <w:qFormat/>
    <w:uiPriority w:val="0"/>
    <w:rPr>
      <w:kern w:val="2"/>
      <w:sz w:val="24"/>
      <w:szCs w:val="24"/>
    </w:rPr>
  </w:style>
  <w:style w:type="paragraph" w:customStyle="1" w:styleId="361">
    <w:name w:val="Char4 Char Char Char2"/>
    <w:basedOn w:val="1"/>
    <w:qFormat/>
    <w:uiPriority w:val="0"/>
    <w:pPr>
      <w:adjustRightInd w:val="0"/>
      <w:snapToGrid w:val="0"/>
      <w:spacing w:line="360" w:lineRule="auto"/>
      <w:ind w:firstLine="200" w:firstLineChars="200"/>
    </w:pPr>
    <w:rPr>
      <w:rFonts w:ascii="Times New Roman" w:hAnsi="Times New Roman"/>
    </w:rPr>
  </w:style>
  <w:style w:type="paragraph" w:customStyle="1" w:styleId="362">
    <w:name w:val="Char2"/>
    <w:basedOn w:val="1"/>
    <w:qFormat/>
    <w:uiPriority w:val="0"/>
    <w:pPr>
      <w:widowControl/>
      <w:spacing w:after="160" w:line="240" w:lineRule="exact"/>
      <w:jc w:val="left"/>
    </w:pPr>
    <w:rPr>
      <w:rFonts w:ascii="Times New Roman" w:hAnsi="Times New Roman"/>
    </w:rPr>
  </w:style>
  <w:style w:type="character" w:customStyle="1" w:styleId="363">
    <w:name w:val="普通(网站) Char1"/>
    <w:qFormat/>
    <w:uiPriority w:val="0"/>
    <w:rPr>
      <w:rFonts w:ascii="宋体" w:hAnsi="宋体" w:cs="宋体"/>
      <w:sz w:val="24"/>
      <w:szCs w:val="24"/>
    </w:rPr>
  </w:style>
  <w:style w:type="paragraph" w:customStyle="1" w:styleId="364">
    <w:name w:val="Char4 Char Char Char1"/>
    <w:basedOn w:val="1"/>
    <w:qFormat/>
    <w:uiPriority w:val="0"/>
    <w:pPr>
      <w:adjustRightInd w:val="0"/>
      <w:snapToGrid w:val="0"/>
      <w:spacing w:line="360" w:lineRule="auto"/>
      <w:ind w:firstLine="200" w:firstLineChars="200"/>
    </w:pPr>
    <w:rPr>
      <w:rFonts w:ascii="Times New Roman" w:hAnsi="Times New Roman"/>
    </w:rPr>
  </w:style>
  <w:style w:type="paragraph" w:customStyle="1" w:styleId="365">
    <w:name w:val="Char1"/>
    <w:basedOn w:val="1"/>
    <w:qFormat/>
    <w:uiPriority w:val="0"/>
    <w:pPr>
      <w:widowControl/>
      <w:spacing w:after="160" w:line="240" w:lineRule="exact"/>
      <w:jc w:val="left"/>
    </w:pPr>
    <w:rPr>
      <w:rFonts w:ascii="Times New Roman" w:hAnsi="Times New Roman"/>
    </w:rPr>
  </w:style>
  <w:style w:type="paragraph" w:customStyle="1" w:styleId="366">
    <w:name w:val="C正文"/>
    <w:basedOn w:val="1"/>
    <w:link w:val="367"/>
    <w:qFormat/>
    <w:uiPriority w:val="0"/>
    <w:pPr>
      <w:spacing w:line="360" w:lineRule="auto"/>
      <w:ind w:firstLine="200" w:firstLineChars="200"/>
      <w:contextualSpacing/>
      <w:jc w:val="left"/>
    </w:pPr>
    <w:rPr>
      <w:rFonts w:ascii="Times New Roman" w:hAnsi="Times New Roman"/>
      <w:sz w:val="24"/>
    </w:rPr>
  </w:style>
  <w:style w:type="character" w:customStyle="1" w:styleId="367">
    <w:name w:val="C正文 Char"/>
    <w:link w:val="366"/>
    <w:qFormat/>
    <w:uiPriority w:val="0"/>
    <w:rPr>
      <w:kern w:val="2"/>
      <w:sz w:val="24"/>
      <w:szCs w:val="24"/>
    </w:rPr>
  </w:style>
  <w:style w:type="paragraph" w:customStyle="1" w:styleId="368">
    <w:name w:val="1"/>
    <w:basedOn w:val="1"/>
    <w:next w:val="155"/>
    <w:qFormat/>
    <w:uiPriority w:val="99"/>
    <w:pPr>
      <w:spacing w:line="360" w:lineRule="auto"/>
      <w:ind w:firstLine="420" w:firstLineChars="200"/>
    </w:pPr>
    <w:rPr>
      <w:rFonts w:ascii="Times New Roman" w:hAnsi="Times New Roman"/>
      <w:sz w:val="24"/>
    </w:rPr>
  </w:style>
  <w:style w:type="table" w:customStyle="1" w:styleId="369">
    <w:name w:val="(环评报告表）1"/>
    <w:basedOn w:val="55"/>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70">
    <w:name w:val="正文C表格"/>
    <w:basedOn w:val="1"/>
    <w:qFormat/>
    <w:uiPriority w:val="0"/>
    <w:pPr>
      <w:spacing w:line="360" w:lineRule="auto"/>
      <w:jc w:val="center"/>
    </w:pPr>
    <w:rPr>
      <w:rFonts w:ascii="Times New Roman" w:hAnsi="Times New Roman" w:eastAsia="仿宋_GB2312"/>
      <w:sz w:val="24"/>
    </w:rPr>
  </w:style>
  <w:style w:type="table" w:customStyle="1" w:styleId="371">
    <w:name w:val="网格型11"/>
    <w:basedOn w:val="55"/>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72">
    <w:name w:val="Char Char Char Char Char2 Char"/>
    <w:basedOn w:val="1"/>
    <w:qFormat/>
    <w:uiPriority w:val="0"/>
    <w:pPr>
      <w:adjustRightInd w:val="0"/>
      <w:snapToGrid w:val="0"/>
      <w:spacing w:line="360" w:lineRule="auto"/>
      <w:ind w:firstLine="200" w:firstLineChars="200"/>
    </w:pPr>
    <w:rPr>
      <w:rFonts w:ascii="宋体" w:hAnsi="宋体" w:cs="宋体"/>
      <w:sz w:val="24"/>
      <w:szCs w:val="26"/>
    </w:rPr>
  </w:style>
  <w:style w:type="character" w:customStyle="1" w:styleId="373">
    <w:name w:val="样式5 Char"/>
    <w:link w:val="24"/>
    <w:qFormat/>
    <w:uiPriority w:val="0"/>
    <w:rPr>
      <w:kern w:val="2"/>
      <w:sz w:val="26"/>
      <w:szCs w:val="26"/>
    </w:rPr>
  </w:style>
  <w:style w:type="paragraph" w:customStyle="1" w:styleId="374">
    <w:name w:val="1、正文文本"/>
    <w:basedOn w:val="1"/>
    <w:next w:val="1"/>
    <w:qFormat/>
    <w:uiPriority w:val="0"/>
    <w:pPr>
      <w:adjustRightInd w:val="0"/>
      <w:ind w:firstLine="480" w:firstLineChars="200"/>
    </w:pPr>
    <w:rPr>
      <w:rFonts w:ascii="宋体" w:hAnsi="宋体"/>
      <w:sz w:val="24"/>
    </w:rPr>
  </w:style>
  <w:style w:type="character" w:customStyle="1" w:styleId="375">
    <w:name w:val="EmailStyle1148"/>
    <w:qFormat/>
    <w:uiPriority w:val="0"/>
    <w:rPr>
      <w:rFonts w:ascii="Arial" w:hAnsi="Arial" w:eastAsia="宋体" w:cs="Arial"/>
      <w:color w:val="auto"/>
      <w:sz w:val="20"/>
    </w:rPr>
  </w:style>
  <w:style w:type="paragraph" w:customStyle="1" w:styleId="376">
    <w:name w:val="fcc 正文"/>
    <w:basedOn w:val="4"/>
    <w:link w:val="377"/>
    <w:qFormat/>
    <w:uiPriority w:val="99"/>
    <w:pPr>
      <w:keepNext w:val="0"/>
      <w:keepLines w:val="0"/>
      <w:spacing w:before="0" w:after="0" w:line="360" w:lineRule="auto"/>
      <w:ind w:firstLine="510" w:firstLineChars="200"/>
      <w:jc w:val="left"/>
      <w:outlineLvl w:val="9"/>
    </w:pPr>
    <w:rPr>
      <w:rFonts w:ascii="Calibri" w:hAnsi="Calibri"/>
      <w:b w:val="0"/>
      <w:bCs w:val="0"/>
      <w:sz w:val="24"/>
      <w:szCs w:val="20"/>
    </w:rPr>
  </w:style>
  <w:style w:type="character" w:customStyle="1" w:styleId="377">
    <w:name w:val="fcc 正文 Char"/>
    <w:link w:val="376"/>
    <w:qFormat/>
    <w:locked/>
    <w:uiPriority w:val="99"/>
    <w:rPr>
      <w:rFonts w:ascii="Calibri" w:hAnsi="Calibri"/>
      <w:kern w:val="2"/>
      <w:sz w:val="24"/>
    </w:rPr>
  </w:style>
  <w:style w:type="paragraph" w:customStyle="1" w:styleId="378">
    <w:name w:val="环表"/>
    <w:basedOn w:val="1"/>
    <w:next w:val="1"/>
    <w:link w:val="379"/>
    <w:qFormat/>
    <w:uiPriority w:val="0"/>
    <w:pPr>
      <w:adjustRightInd w:val="0"/>
      <w:snapToGrid w:val="0"/>
      <w:spacing w:beforeLines="10" w:afterLines="10"/>
      <w:jc w:val="center"/>
    </w:pPr>
    <w:rPr>
      <w:rFonts w:ascii="Times New Roman" w:hAnsi="Times New Roman" w:cstheme="minorBidi"/>
      <w:szCs w:val="21"/>
    </w:rPr>
  </w:style>
  <w:style w:type="character" w:customStyle="1" w:styleId="379">
    <w:name w:val="环表 Char"/>
    <w:basedOn w:val="63"/>
    <w:link w:val="378"/>
    <w:qFormat/>
    <w:uiPriority w:val="0"/>
    <w:rPr>
      <w:rFonts w:cstheme="minorBidi"/>
      <w:kern w:val="2"/>
      <w:sz w:val="21"/>
      <w:szCs w:val="21"/>
    </w:rPr>
  </w:style>
  <w:style w:type="paragraph" w:customStyle="1" w:styleId="380">
    <w:name w:val="_Style 53"/>
    <w:basedOn w:val="1"/>
    <w:qFormat/>
    <w:uiPriority w:val="0"/>
    <w:pPr>
      <w:widowControl/>
      <w:spacing w:after="160" w:line="240" w:lineRule="exact"/>
      <w:jc w:val="left"/>
    </w:pPr>
    <w:rPr>
      <w:rFonts w:ascii="宋体" w:hAnsi="宋体" w:eastAsia="Times New Roman" w:cs="宋体"/>
      <w:sz w:val="24"/>
      <w:szCs w:val="26"/>
    </w:rPr>
  </w:style>
  <w:style w:type="paragraph" w:customStyle="1" w:styleId="381">
    <w:name w:val="正常正文"/>
    <w:basedOn w:val="1"/>
    <w:link w:val="411"/>
    <w:qFormat/>
    <w:uiPriority w:val="0"/>
    <w:pPr>
      <w:tabs>
        <w:tab w:val="left" w:pos="900"/>
      </w:tabs>
      <w:adjustRightInd w:val="0"/>
      <w:snapToGrid w:val="0"/>
      <w:spacing w:line="360" w:lineRule="auto"/>
      <w:ind w:firstLine="560" w:firstLineChars="200"/>
    </w:pPr>
    <w:rPr>
      <w:rFonts w:ascii="宋体" w:hAnsi="宋体"/>
      <w:sz w:val="28"/>
      <w:szCs w:val="28"/>
    </w:rPr>
  </w:style>
  <w:style w:type="paragraph" w:customStyle="1" w:styleId="382">
    <w:name w:val="Char Char Char Char Char Char Char Char Char Char Char Char Char Char Char Char Char Char Char Char Char Char Char Char Char Char Char Char"/>
    <w:basedOn w:val="1"/>
    <w:qFormat/>
    <w:uiPriority w:val="0"/>
    <w:pPr>
      <w:tabs>
        <w:tab w:val="left" w:pos="360"/>
      </w:tabs>
      <w:ind w:firstLine="420"/>
    </w:pPr>
    <w:rPr>
      <w:rFonts w:ascii="Arial" w:hAnsi="Arial" w:cs="Arial"/>
      <w:sz w:val="20"/>
      <w:szCs w:val="20"/>
    </w:rPr>
  </w:style>
  <w:style w:type="paragraph" w:customStyle="1" w:styleId="383">
    <w:name w:val="Char Char Char Char Char Char Char Char Char Char Char Char Char Char Char Char Char Char Char Char Char Char Char Char Char Char Char Char2"/>
    <w:basedOn w:val="1"/>
    <w:qFormat/>
    <w:uiPriority w:val="0"/>
    <w:pPr>
      <w:tabs>
        <w:tab w:val="left" w:pos="360"/>
      </w:tabs>
      <w:ind w:firstLine="420"/>
    </w:pPr>
    <w:rPr>
      <w:rFonts w:ascii="Arial" w:hAnsi="Arial" w:cs="Arial"/>
      <w:sz w:val="20"/>
      <w:szCs w:val="20"/>
    </w:rPr>
  </w:style>
  <w:style w:type="character" w:customStyle="1" w:styleId="384">
    <w:name w:val="font51"/>
    <w:basedOn w:val="63"/>
    <w:qFormat/>
    <w:uiPriority w:val="0"/>
    <w:rPr>
      <w:rFonts w:hint="eastAsia" w:ascii="宋体" w:hAnsi="宋体" w:eastAsia="宋体" w:cs="宋体"/>
      <w:b/>
      <w:color w:val="000000"/>
      <w:sz w:val="20"/>
      <w:szCs w:val="20"/>
      <w:u w:val="none"/>
    </w:rPr>
  </w:style>
  <w:style w:type="character" w:customStyle="1" w:styleId="385">
    <w:name w:val="font21"/>
    <w:basedOn w:val="63"/>
    <w:qFormat/>
    <w:uiPriority w:val="0"/>
    <w:rPr>
      <w:rFonts w:hint="default" w:ascii="Arial" w:hAnsi="Arial" w:cs="Arial"/>
      <w:color w:val="000000"/>
      <w:sz w:val="20"/>
      <w:szCs w:val="20"/>
      <w:u w:val="none"/>
      <w:vertAlign w:val="subscript"/>
    </w:rPr>
  </w:style>
  <w:style w:type="character" w:customStyle="1" w:styleId="386">
    <w:name w:val="font81"/>
    <w:basedOn w:val="63"/>
    <w:qFormat/>
    <w:uiPriority w:val="0"/>
    <w:rPr>
      <w:rFonts w:hint="eastAsia" w:ascii="宋体" w:hAnsi="宋体" w:eastAsia="宋体" w:cs="宋体"/>
      <w:b/>
      <w:color w:val="000000"/>
      <w:sz w:val="20"/>
      <w:szCs w:val="20"/>
      <w:u w:val="none"/>
    </w:rPr>
  </w:style>
  <w:style w:type="character" w:customStyle="1" w:styleId="387">
    <w:name w:val="font01"/>
    <w:basedOn w:val="63"/>
    <w:qFormat/>
    <w:uiPriority w:val="0"/>
    <w:rPr>
      <w:rFonts w:hint="default" w:ascii="Arial" w:hAnsi="Arial" w:cs="Arial"/>
      <w:color w:val="000000"/>
      <w:sz w:val="20"/>
      <w:szCs w:val="20"/>
      <w:u w:val="none"/>
    </w:rPr>
  </w:style>
  <w:style w:type="character" w:customStyle="1" w:styleId="388">
    <w:name w:val="font31"/>
    <w:basedOn w:val="63"/>
    <w:qFormat/>
    <w:uiPriority w:val="0"/>
    <w:rPr>
      <w:rFonts w:ascii="宋体" w:hAnsi="宋体" w:eastAsia="宋体" w:cs="宋体"/>
      <w:color w:val="000000"/>
      <w:sz w:val="20"/>
      <w:szCs w:val="20"/>
      <w:u w:val="none"/>
    </w:rPr>
  </w:style>
  <w:style w:type="character" w:customStyle="1" w:styleId="389">
    <w:name w:val="font41"/>
    <w:basedOn w:val="63"/>
    <w:qFormat/>
    <w:uiPriority w:val="0"/>
    <w:rPr>
      <w:rFonts w:hint="eastAsia" w:ascii="宋体" w:hAnsi="宋体" w:eastAsia="宋体" w:cs="宋体"/>
      <w:color w:val="000000"/>
      <w:sz w:val="20"/>
      <w:szCs w:val="20"/>
      <w:u w:val="none"/>
    </w:rPr>
  </w:style>
  <w:style w:type="character" w:customStyle="1" w:styleId="390">
    <w:name w:val="font91"/>
    <w:basedOn w:val="63"/>
    <w:qFormat/>
    <w:uiPriority w:val="0"/>
    <w:rPr>
      <w:rFonts w:ascii="宋体" w:hAnsi="宋体" w:eastAsia="宋体" w:cs="宋体"/>
      <w:b/>
      <w:color w:val="000000"/>
      <w:sz w:val="20"/>
      <w:szCs w:val="20"/>
      <w:u w:val="none"/>
    </w:rPr>
  </w:style>
  <w:style w:type="character" w:customStyle="1" w:styleId="391">
    <w:name w:val="font71"/>
    <w:basedOn w:val="63"/>
    <w:qFormat/>
    <w:uiPriority w:val="0"/>
    <w:rPr>
      <w:rFonts w:hint="default" w:ascii="Arial" w:hAnsi="Arial" w:cs="Arial"/>
      <w:color w:val="000000"/>
      <w:sz w:val="20"/>
      <w:szCs w:val="20"/>
      <w:u w:val="none"/>
    </w:rPr>
  </w:style>
  <w:style w:type="paragraph" w:customStyle="1" w:styleId="392">
    <w:name w:val="Char Char Char Char Char Char Char Char Char Char Char Char Char Char Char Char Char Char Char Char Char Char Char Char Char Char Char Char1"/>
    <w:basedOn w:val="1"/>
    <w:qFormat/>
    <w:uiPriority w:val="0"/>
    <w:pPr>
      <w:tabs>
        <w:tab w:val="left" w:pos="360"/>
      </w:tabs>
      <w:ind w:firstLine="420"/>
    </w:pPr>
    <w:rPr>
      <w:rFonts w:ascii="Arial" w:hAnsi="Arial" w:cs="Arial"/>
      <w:sz w:val="20"/>
      <w:szCs w:val="20"/>
    </w:rPr>
  </w:style>
  <w:style w:type="paragraph" w:customStyle="1" w:styleId="393">
    <w:name w:val="Char Char Char Char Char Char Char Char Char Char Char Char Char Char Char Char Char Char Char Char Char Char Char Char Char Char Char Char3"/>
    <w:basedOn w:val="1"/>
    <w:qFormat/>
    <w:uiPriority w:val="0"/>
    <w:pPr>
      <w:tabs>
        <w:tab w:val="left" w:pos="360"/>
      </w:tabs>
      <w:ind w:firstLine="420"/>
    </w:pPr>
    <w:rPr>
      <w:rFonts w:ascii="Arial" w:hAnsi="Arial" w:cs="Arial"/>
      <w:sz w:val="20"/>
      <w:szCs w:val="20"/>
    </w:rPr>
  </w:style>
  <w:style w:type="character" w:customStyle="1" w:styleId="394">
    <w:name w:val="a1 Char Char Char Char Char Char"/>
    <w:qFormat/>
    <w:uiPriority w:val="0"/>
    <w:rPr>
      <w:rFonts w:ascii="宋体" w:eastAsia="宋体" w:cs="宋体"/>
      <w:kern w:val="2"/>
      <w:sz w:val="24"/>
      <w:szCs w:val="24"/>
      <w:lang w:val="en-US" w:eastAsia="zh-CN"/>
    </w:rPr>
  </w:style>
  <w:style w:type="paragraph" w:customStyle="1" w:styleId="395">
    <w:name w:val="Char4 Char Char Char3"/>
    <w:basedOn w:val="1"/>
    <w:qFormat/>
    <w:uiPriority w:val="0"/>
    <w:pPr>
      <w:adjustRightInd w:val="0"/>
      <w:snapToGrid w:val="0"/>
      <w:spacing w:line="360" w:lineRule="auto"/>
      <w:ind w:firstLine="200" w:firstLineChars="200"/>
    </w:pPr>
    <w:rPr>
      <w:rFonts w:ascii="Times New Roman" w:hAnsi="Times New Roman"/>
    </w:rPr>
  </w:style>
  <w:style w:type="paragraph" w:customStyle="1" w:styleId="396">
    <w:name w:val="Char3"/>
    <w:basedOn w:val="1"/>
    <w:qFormat/>
    <w:uiPriority w:val="0"/>
    <w:pPr>
      <w:widowControl/>
      <w:spacing w:after="160" w:line="240" w:lineRule="exact"/>
      <w:jc w:val="left"/>
    </w:pPr>
    <w:rPr>
      <w:rFonts w:ascii="Times New Roman" w:hAnsi="Times New Roman"/>
    </w:rPr>
  </w:style>
  <w:style w:type="character" w:customStyle="1" w:styleId="397">
    <w:name w:val="未处理的提及3"/>
    <w:semiHidden/>
    <w:unhideWhenUsed/>
    <w:qFormat/>
    <w:uiPriority w:val="99"/>
    <w:rPr>
      <w:color w:val="605E5C"/>
      <w:shd w:val="clear" w:color="auto" w:fill="E1DFDD"/>
    </w:rPr>
  </w:style>
  <w:style w:type="character" w:customStyle="1" w:styleId="398">
    <w:name w:val="样式 正文1.5 + 黑色 Char"/>
    <w:link w:val="399"/>
    <w:qFormat/>
    <w:uiPriority w:val="0"/>
    <w:rPr>
      <w:rFonts w:ascii="宋体" w:hAnsi="宋体"/>
      <w:color w:val="0000FF"/>
      <w:kern w:val="2"/>
      <w:sz w:val="28"/>
      <w:szCs w:val="28"/>
    </w:rPr>
  </w:style>
  <w:style w:type="paragraph" w:customStyle="1" w:styleId="399">
    <w:name w:val="样式 正文1.5 + 黑色"/>
    <w:basedOn w:val="1"/>
    <w:link w:val="398"/>
    <w:qFormat/>
    <w:uiPriority w:val="0"/>
    <w:pPr>
      <w:spacing w:line="360" w:lineRule="auto"/>
      <w:ind w:firstLine="560" w:firstLineChars="200"/>
    </w:pPr>
    <w:rPr>
      <w:rFonts w:ascii="宋体" w:hAnsi="宋体"/>
      <w:color w:val="0000FF"/>
      <w:sz w:val="28"/>
      <w:szCs w:val="28"/>
    </w:rPr>
  </w:style>
  <w:style w:type="character" w:customStyle="1" w:styleId="400">
    <w:name w:val="Char Char461"/>
    <w:qFormat/>
    <w:uiPriority w:val="0"/>
    <w:rPr>
      <w:rFonts w:ascii="Arial" w:hAnsi="Arial" w:eastAsia="黑体" w:cs="Arial"/>
      <w:b/>
      <w:bCs/>
      <w:sz w:val="32"/>
      <w:szCs w:val="32"/>
      <w:lang w:val="en-US" w:eastAsia="zh-CN" w:bidi="ar-SA"/>
    </w:rPr>
  </w:style>
  <w:style w:type="character" w:customStyle="1" w:styleId="401">
    <w:name w:val="正确正文 Char"/>
    <w:link w:val="402"/>
    <w:qFormat/>
    <w:uiPriority w:val="0"/>
    <w:rPr>
      <w:color w:val="000000"/>
      <w:kern w:val="2"/>
      <w:sz w:val="28"/>
      <w:szCs w:val="28"/>
      <w:lang w:val="zh-CN"/>
    </w:rPr>
  </w:style>
  <w:style w:type="paragraph" w:customStyle="1" w:styleId="402">
    <w:name w:val="正确正文"/>
    <w:basedOn w:val="1"/>
    <w:link w:val="401"/>
    <w:qFormat/>
    <w:uiPriority w:val="0"/>
    <w:pPr>
      <w:autoSpaceDE w:val="0"/>
      <w:autoSpaceDN w:val="0"/>
      <w:ind w:firstLine="200" w:firstLineChars="200"/>
      <w:textAlignment w:val="baseline"/>
    </w:pPr>
    <w:rPr>
      <w:rFonts w:ascii="Times New Roman" w:hAnsi="Times New Roman"/>
      <w:color w:val="000000"/>
      <w:sz w:val="28"/>
      <w:szCs w:val="28"/>
      <w:lang w:val="zh-CN"/>
    </w:rPr>
  </w:style>
  <w:style w:type="paragraph" w:customStyle="1" w:styleId="403">
    <w:name w:val="正文文字1"/>
    <w:basedOn w:val="1"/>
    <w:qFormat/>
    <w:uiPriority w:val="0"/>
    <w:pPr>
      <w:snapToGrid w:val="0"/>
      <w:spacing w:line="324" w:lineRule="auto"/>
      <w:ind w:firstLine="480" w:firstLineChars="200"/>
    </w:pPr>
    <w:rPr>
      <w:rFonts w:ascii="Times New Roman" w:hAnsi="Times New Roman" w:eastAsia="华文中宋"/>
      <w:sz w:val="24"/>
    </w:rPr>
  </w:style>
  <w:style w:type="paragraph" w:customStyle="1" w:styleId="404">
    <w:name w:val="样式 样式4 + 首行缩进:  2 字符"/>
    <w:basedOn w:val="1"/>
    <w:link w:val="405"/>
    <w:qFormat/>
    <w:uiPriority w:val="0"/>
    <w:pPr>
      <w:spacing w:line="440" w:lineRule="exact"/>
      <w:ind w:firstLine="480" w:firstLineChars="200"/>
    </w:pPr>
    <w:rPr>
      <w:rFonts w:ascii="Times New Roman" w:hAnsi="Times New Roman"/>
      <w:sz w:val="24"/>
    </w:rPr>
  </w:style>
  <w:style w:type="character" w:customStyle="1" w:styleId="405">
    <w:name w:val="样式 样式4 + 首行缩进:  2 字符 Char"/>
    <w:link w:val="404"/>
    <w:qFormat/>
    <w:locked/>
    <w:uiPriority w:val="0"/>
    <w:rPr>
      <w:kern w:val="2"/>
      <w:sz w:val="24"/>
      <w:szCs w:val="24"/>
    </w:rPr>
  </w:style>
  <w:style w:type="table" w:customStyle="1" w:styleId="406">
    <w:name w:val="网格型2"/>
    <w:basedOn w:val="55"/>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7">
    <w:name w:val="标题三（L）"/>
    <w:link w:val="408"/>
    <w:qFormat/>
    <w:uiPriority w:val="0"/>
    <w:pPr>
      <w:spacing w:line="500" w:lineRule="exact"/>
      <w:ind w:firstLine="200" w:firstLineChars="200"/>
      <w:outlineLvl w:val="2"/>
    </w:pPr>
    <w:rPr>
      <w:rFonts w:ascii="Times New Roman" w:hAnsi="Times New Roman" w:eastAsia="华文中宋" w:cs="Times New Roman"/>
      <w:b/>
      <w:smallCaps/>
      <w:kern w:val="2"/>
      <w:sz w:val="24"/>
      <w:szCs w:val="24"/>
      <w:lang w:val="en-US" w:eastAsia="zh-CN" w:bidi="ar-SA"/>
    </w:rPr>
  </w:style>
  <w:style w:type="character" w:customStyle="1" w:styleId="408">
    <w:name w:val="标题三（L） Char"/>
    <w:link w:val="407"/>
    <w:qFormat/>
    <w:uiPriority w:val="0"/>
    <w:rPr>
      <w:rFonts w:eastAsia="华文中宋"/>
      <w:b/>
      <w:smallCaps/>
      <w:kern w:val="2"/>
      <w:sz w:val="24"/>
      <w:szCs w:val="24"/>
    </w:rPr>
  </w:style>
  <w:style w:type="table" w:customStyle="1" w:styleId="409">
    <w:name w:val="网格型8"/>
    <w:basedOn w:val="5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0">
    <w:name w:val="Char Char Char Char Char Char Char Char Char Char Char Char Char Char Char Char Char Char Char Char Char Char Char Char Char Char Char Char4"/>
    <w:basedOn w:val="1"/>
    <w:qFormat/>
    <w:uiPriority w:val="0"/>
    <w:pPr>
      <w:tabs>
        <w:tab w:val="left" w:pos="360"/>
      </w:tabs>
      <w:ind w:firstLine="420"/>
    </w:pPr>
    <w:rPr>
      <w:rFonts w:ascii="Arial" w:hAnsi="Arial" w:cs="Arial"/>
      <w:sz w:val="20"/>
      <w:szCs w:val="20"/>
    </w:rPr>
  </w:style>
  <w:style w:type="character" w:customStyle="1" w:styleId="411">
    <w:name w:val="正常正文 Char"/>
    <w:basedOn w:val="63"/>
    <w:link w:val="381"/>
    <w:qFormat/>
    <w:uiPriority w:val="0"/>
    <w:rPr>
      <w:rFonts w:ascii="宋体" w:hAnsi="宋体"/>
      <w:kern w:val="2"/>
      <w:sz w:val="28"/>
      <w:szCs w:val="28"/>
    </w:rPr>
  </w:style>
  <w:style w:type="paragraph" w:customStyle="1" w:styleId="412">
    <w:name w:val="Char Char Char Char Char Char Char Char Char Char Char Char Char Char Char Char Char Char Char Char Char Char Char Char Char Char Char Char5"/>
    <w:basedOn w:val="1"/>
    <w:qFormat/>
    <w:uiPriority w:val="0"/>
    <w:pPr>
      <w:tabs>
        <w:tab w:val="left" w:pos="360"/>
      </w:tabs>
      <w:ind w:firstLine="420"/>
    </w:pPr>
    <w:rPr>
      <w:rFonts w:ascii="Arial" w:hAnsi="Arial" w:cs="Arial"/>
      <w:sz w:val="20"/>
      <w:szCs w:val="20"/>
    </w:rPr>
  </w:style>
  <w:style w:type="paragraph" w:customStyle="1" w:styleId="413">
    <w:name w:val="表格内容数据报告"/>
    <w:basedOn w:val="1"/>
    <w:qFormat/>
    <w:uiPriority w:val="0"/>
    <w:pPr>
      <w:jc w:val="center"/>
      <w:textAlignment w:val="baseline"/>
    </w:pPr>
    <w:rPr>
      <w:rFonts w:cs="黑体"/>
      <w:kern w:val="0"/>
      <w:sz w:val="18"/>
      <w:szCs w:val="20"/>
    </w:rPr>
  </w:style>
  <w:style w:type="paragraph" w:customStyle="1" w:styleId="414">
    <w:name w:val="!正文(alt+c)"/>
    <w:qFormat/>
    <w:uiPriority w:val="0"/>
    <w:pPr>
      <w:spacing w:line="460" w:lineRule="exact"/>
      <w:ind w:firstLine="480" w:firstLineChars="200"/>
      <w:jc w:val="both"/>
    </w:pPr>
    <w:rPr>
      <w:rFonts w:ascii="宋体" w:hAnsi="宋体" w:eastAsiaTheme="minorEastAsia" w:cstheme="minorBidi"/>
      <w:color w:val="000000"/>
      <w:kern w:val="2"/>
      <w:sz w:val="24"/>
      <w:szCs w:val="24"/>
      <w:lang w:val="en-US" w:eastAsia="zh-CN" w:bidi="ar-SA"/>
    </w:rPr>
  </w:style>
  <w:style w:type="paragraph" w:customStyle="1" w:styleId="415">
    <w:name w:val="!正文"/>
    <w:basedOn w:val="1"/>
    <w:qFormat/>
    <w:uiPriority w:val="0"/>
    <w:pPr>
      <w:widowControl/>
      <w:wordWrap w:val="0"/>
      <w:topLinePunct/>
      <w:snapToGrid w:val="0"/>
      <w:spacing w:line="480" w:lineRule="exact"/>
      <w:ind w:firstLine="200" w:firstLineChars="200"/>
      <w:jc w:val="left"/>
    </w:pPr>
    <w:rPr>
      <w:rFonts w:ascii="宋体" w:hAnsi="宋体" w:cstheme="minorBidi"/>
      <w:color w:val="000000"/>
      <w:kern w:val="0"/>
      <w:sz w:val="24"/>
      <w:szCs w:val="20"/>
      <w:u w:color="000000"/>
    </w:rPr>
  </w:style>
  <w:style w:type="table" w:customStyle="1" w:styleId="416">
    <w:name w:val="网格型3"/>
    <w:basedOn w:val="5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7">
    <w:name w:val="网格型4"/>
    <w:basedOn w:val="5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8">
    <w:name w:val="网格型5"/>
    <w:basedOn w:val="5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文本"/>
    <w:basedOn w:val="1"/>
    <w:next w:val="16"/>
    <w:qFormat/>
    <w:uiPriority w:val="0"/>
    <w:pPr>
      <w:spacing w:line="360" w:lineRule="auto"/>
      <w:ind w:firstLine="480" w:firstLineChars="200"/>
    </w:pPr>
    <w:rPr>
      <w:rFonts w:cs="宋体" w:asciiTheme="minorHAnsi" w:hAnsiTheme="minorHAnsi"/>
      <w:color w:val="000000"/>
      <w:spacing w:val="-8"/>
      <w:sz w:val="24"/>
    </w:rPr>
  </w:style>
  <w:style w:type="paragraph" w:customStyle="1" w:styleId="420">
    <w:name w:val="四级标题"/>
    <w:basedOn w:val="1"/>
    <w:qFormat/>
    <w:uiPriority w:val="99"/>
    <w:pPr>
      <w:spacing w:line="300" w:lineRule="auto"/>
      <w:outlineLvl w:val="3"/>
    </w:pPr>
    <w:rPr>
      <w:rFonts w:eastAsia="华文中宋" w:asciiTheme="minorHAnsi" w:hAnsiTheme="minorHAnsi" w:cstheme="minorBidi"/>
      <w:sz w:val="28"/>
    </w:rPr>
  </w:style>
  <w:style w:type="paragraph" w:customStyle="1" w:styleId="421">
    <w:name w:val="！表头"/>
    <w:qFormat/>
    <w:uiPriority w:val="0"/>
    <w:pPr>
      <w:widowControl w:val="0"/>
      <w:tabs>
        <w:tab w:val="left" w:pos="360"/>
        <w:tab w:val="left" w:pos="540"/>
      </w:tabs>
      <w:wordWrap w:val="0"/>
      <w:spacing w:line="360" w:lineRule="auto"/>
      <w:ind w:firstLine="420" w:firstLineChars="200"/>
      <w:jc w:val="center"/>
    </w:pPr>
    <w:rPr>
      <w:rFonts w:ascii="Times New Roman" w:hAnsi="Times New Roman" w:eastAsia="黑体" w:cs="Times New Roman"/>
      <w:kern w:val="2"/>
      <w:sz w:val="21"/>
      <w:szCs w:val="21"/>
      <w:lang w:val="en-US" w:eastAsia="zh-CN" w:bidi="ar-SA"/>
    </w:rPr>
  </w:style>
  <w:style w:type="paragraph" w:customStyle="1" w:styleId="422">
    <w:name w:val="正文2"/>
    <w:basedOn w:val="22"/>
    <w:hidden/>
    <w:qFormat/>
    <w:uiPriority w:val="0"/>
    <w:pPr>
      <w:tabs>
        <w:tab w:val="left" w:pos="567"/>
      </w:tabs>
      <w:adjustRightInd w:val="0"/>
      <w:spacing w:after="0" w:line="360" w:lineRule="atLeast"/>
      <w:ind w:left="0" w:firstLine="540"/>
    </w:pPr>
    <w:rPr>
      <w:rFonts w:ascii="Times New Roman" w:hAnsi="Courier" w:eastAsia="PMingLiU"/>
      <w:kern w:val="2"/>
      <w:szCs w:val="24"/>
    </w:rPr>
  </w:style>
  <w:style w:type="character" w:customStyle="1" w:styleId="423">
    <w:name w:val="不明显强调2"/>
    <w:qFormat/>
    <w:uiPriority w:val="19"/>
    <w:rPr>
      <w:i/>
      <w:iCs/>
      <w:color w:val="808080"/>
    </w:rPr>
  </w:style>
  <w:style w:type="paragraph" w:customStyle="1" w:styleId="424">
    <w:name w:val="TOC 标题3"/>
    <w:basedOn w:val="3"/>
    <w:next w:val="1"/>
    <w:qFormat/>
    <w:uiPriority w:val="39"/>
    <w:pPr>
      <w:keepLines/>
      <w:widowControl/>
      <w:overflowPunct/>
      <w:adjustRightInd w:val="0"/>
      <w:snapToGrid/>
      <w:spacing w:before="480" w:after="0" w:line="276" w:lineRule="auto"/>
      <w:ind w:left="0" w:firstLine="0"/>
      <w:jc w:val="left"/>
      <w:outlineLvl w:val="9"/>
    </w:pPr>
    <w:rPr>
      <w:rFonts w:ascii="Cambria" w:hAnsi="Cambria" w:eastAsia="宋体"/>
      <w:color w:val="365F91"/>
      <w:kern w:val="0"/>
      <w:sz w:val="28"/>
      <w:szCs w:val="28"/>
    </w:rPr>
  </w:style>
  <w:style w:type="character" w:customStyle="1" w:styleId="425">
    <w:name w:val="未处理的提及4"/>
    <w:unhideWhenUsed/>
    <w:qFormat/>
    <w:uiPriority w:val="99"/>
    <w:rPr>
      <w:color w:val="605E5C"/>
      <w:shd w:val="clear" w:color="auto" w:fill="E1DFDD"/>
    </w:rPr>
  </w:style>
  <w:style w:type="character" w:customStyle="1" w:styleId="426">
    <w:name w:val="明显强调2"/>
    <w:qFormat/>
    <w:uiPriority w:val="21"/>
    <w:rPr>
      <w:i/>
      <w:iCs/>
      <w:color w:val="4472C4"/>
    </w:rPr>
  </w:style>
  <w:style w:type="character" w:customStyle="1" w:styleId="427">
    <w:name w:val="正文文本 字符2"/>
    <w:qFormat/>
    <w:uiPriority w:val="0"/>
    <w:rPr>
      <w:kern w:val="2"/>
      <w:sz w:val="24"/>
      <w:szCs w:val="24"/>
    </w:rPr>
  </w:style>
  <w:style w:type="character" w:customStyle="1" w:styleId="428">
    <w:name w:val="题注 字符3"/>
    <w:qFormat/>
    <w:uiPriority w:val="0"/>
    <w:rPr>
      <w:rFonts w:cs="Arial"/>
      <w:kern w:val="2"/>
      <w:sz w:val="21"/>
    </w:rPr>
  </w:style>
  <w:style w:type="paragraph" w:customStyle="1" w:styleId="429">
    <w:name w:val="_Style 2"/>
    <w:basedOn w:val="1"/>
    <w:qFormat/>
    <w:uiPriority w:val="0"/>
    <w:pPr>
      <w:snapToGrid w:val="0"/>
      <w:spacing w:line="340" w:lineRule="exact"/>
      <w:jc w:val="center"/>
    </w:pPr>
    <w:rPr>
      <w:rFonts w:ascii="Times New Roman" w:hAnsi="Times New Roman"/>
      <w:szCs w:val="21"/>
      <w:lang w:val="zh-CN"/>
    </w:rPr>
  </w:style>
  <w:style w:type="paragraph" w:customStyle="1" w:styleId="430">
    <w:name w:val="XW正文"/>
    <w:basedOn w:val="1"/>
    <w:qFormat/>
    <w:uiPriority w:val="0"/>
    <w:pPr>
      <w:spacing w:line="360" w:lineRule="auto"/>
      <w:ind w:firstLine="200" w:firstLineChars="200"/>
    </w:pPr>
    <w:rPr>
      <w:rFonts w:ascii="Times New Roman" w:hAnsi="Times New Roman"/>
      <w:kern w:val="0"/>
      <w:sz w:val="24"/>
    </w:rPr>
  </w:style>
  <w:style w:type="paragraph" w:customStyle="1" w:styleId="431">
    <w:name w:val="表格格式"/>
    <w:basedOn w:val="432"/>
    <w:link w:val="485"/>
    <w:autoRedefine/>
    <w:qFormat/>
    <w:uiPriority w:val="0"/>
    <w:pPr>
      <w:tabs>
        <w:tab w:val="left" w:pos="307"/>
      </w:tabs>
    </w:pPr>
    <w:rPr>
      <w:rFonts w:eastAsia="宋体"/>
      <w:kern w:val="2"/>
      <w:szCs w:val="21"/>
    </w:rPr>
  </w:style>
  <w:style w:type="paragraph" w:customStyle="1" w:styleId="432">
    <w:name w:val="7表格(治)"/>
    <w:autoRedefine/>
    <w:qFormat/>
    <w:uiPriority w:val="0"/>
    <w:pPr>
      <w:ind w:right="17" w:rightChars="8"/>
      <w:jc w:val="center"/>
    </w:pPr>
    <w:rPr>
      <w:rFonts w:ascii="Times New Roman" w:hAnsi="Times New Roman" w:eastAsia="楷体_GB2312" w:cs="Times New Roman"/>
      <w:color w:val="000000"/>
      <w:sz w:val="21"/>
      <w:lang w:val="en-US" w:eastAsia="zh-CN" w:bidi="ar-SA"/>
    </w:rPr>
  </w:style>
  <w:style w:type="paragraph" w:customStyle="1" w:styleId="433">
    <w:name w:val="修订41"/>
    <w:hidden/>
    <w:unhideWhenUsed/>
    <w:qFormat/>
    <w:uiPriority w:val="99"/>
    <w:rPr>
      <w:rFonts w:ascii="Calibri" w:hAnsi="Calibri" w:eastAsia="宋体" w:cs="Times New Roman"/>
      <w:kern w:val="2"/>
      <w:sz w:val="21"/>
      <w:szCs w:val="24"/>
      <w:lang w:val="en-US" w:eastAsia="zh-CN" w:bidi="ar-SA"/>
    </w:rPr>
  </w:style>
  <w:style w:type="paragraph" w:customStyle="1" w:styleId="434">
    <w:name w:val="Table Text"/>
    <w:basedOn w:val="1"/>
    <w:semiHidden/>
    <w:qFormat/>
    <w:uiPriority w:val="0"/>
    <w:rPr>
      <w:rFonts w:ascii="宋体" w:hAnsi="宋体" w:cs="宋体"/>
      <w:sz w:val="25"/>
      <w:szCs w:val="25"/>
      <w:lang w:eastAsia="en-US"/>
    </w:rPr>
  </w:style>
  <w:style w:type="paragraph" w:customStyle="1" w:styleId="435">
    <w:name w:val="AA正文"/>
    <w:basedOn w:val="1"/>
    <w:autoRedefine/>
    <w:qFormat/>
    <w:uiPriority w:val="0"/>
    <w:pPr>
      <w:ind w:firstLine="480"/>
    </w:pPr>
    <w:rPr>
      <w:bCs/>
    </w:rPr>
  </w:style>
  <w:style w:type="paragraph" w:customStyle="1" w:styleId="436">
    <w:name w:val="列表段落1"/>
    <w:basedOn w:val="1"/>
    <w:autoRedefine/>
    <w:qFormat/>
    <w:uiPriority w:val="0"/>
    <w:pPr>
      <w:ind w:firstLine="420"/>
    </w:pPr>
    <w:rPr>
      <w:szCs w:val="21"/>
    </w:rPr>
  </w:style>
  <w:style w:type="paragraph" w:customStyle="1" w:styleId="437">
    <w:name w:val="AA表格"/>
    <w:basedOn w:val="166"/>
    <w:autoRedefine/>
    <w:qFormat/>
    <w:uiPriority w:val="0"/>
    <w:pPr>
      <w:adjustRightInd w:val="0"/>
      <w:snapToGrid w:val="0"/>
    </w:pPr>
    <w:rPr>
      <w:color w:val="auto"/>
      <w:szCs w:val="20"/>
    </w:rPr>
  </w:style>
  <w:style w:type="paragraph" w:customStyle="1" w:styleId="438">
    <w:name w:val="A正文"/>
    <w:basedOn w:val="310"/>
    <w:link w:val="607"/>
    <w:qFormat/>
    <w:uiPriority w:val="0"/>
    <w:pPr>
      <w:adjustRightInd w:val="0"/>
      <w:snapToGrid w:val="0"/>
      <w:ind w:firstLine="480"/>
    </w:pPr>
  </w:style>
  <w:style w:type="paragraph" w:customStyle="1" w:styleId="439">
    <w:name w:val="A表格"/>
    <w:basedOn w:val="1"/>
    <w:qFormat/>
    <w:uiPriority w:val="0"/>
    <w:pPr>
      <w:jc w:val="center"/>
    </w:pPr>
    <w:rPr>
      <w:color w:val="000000"/>
      <w:szCs w:val="21"/>
      <w:lang w:val="zh-CN"/>
    </w:rPr>
  </w:style>
  <w:style w:type="paragraph" w:customStyle="1" w:styleId="440">
    <w:name w:val="1正文"/>
    <w:basedOn w:val="1"/>
    <w:qFormat/>
    <w:uiPriority w:val="0"/>
    <w:pPr>
      <w:adjustRightInd w:val="0"/>
      <w:snapToGrid w:val="0"/>
    </w:pPr>
    <w:rPr>
      <w:rFonts w:cs="宋体"/>
      <w:sz w:val="28"/>
      <w:szCs w:val="28"/>
    </w:rPr>
  </w:style>
  <w:style w:type="character" w:customStyle="1" w:styleId="441">
    <w:name w:val="无间隔 字符"/>
    <w:link w:val="239"/>
    <w:qFormat/>
    <w:uiPriority w:val="1"/>
    <w:rPr>
      <w:kern w:val="2"/>
      <w:sz w:val="24"/>
      <w:szCs w:val="24"/>
    </w:rPr>
  </w:style>
  <w:style w:type="character" w:customStyle="1" w:styleId="442">
    <w:name w:val="！正文 Char"/>
    <w:link w:val="443"/>
    <w:qFormat/>
    <w:uiPriority w:val="0"/>
    <w:rPr>
      <w:kern w:val="2"/>
      <w:sz w:val="24"/>
      <w:szCs w:val="22"/>
    </w:rPr>
  </w:style>
  <w:style w:type="paragraph" w:customStyle="1" w:styleId="443">
    <w:name w:val="！正文"/>
    <w:basedOn w:val="1"/>
    <w:link w:val="442"/>
    <w:qFormat/>
    <w:uiPriority w:val="0"/>
    <w:pPr>
      <w:widowControl/>
      <w:spacing w:before="50" w:beforeLines="50" w:after="50" w:afterLines="50" w:line="360" w:lineRule="auto"/>
      <w:ind w:firstLine="200" w:firstLineChars="200"/>
      <w:jc w:val="left"/>
    </w:pPr>
    <w:rPr>
      <w:rFonts w:ascii="Times New Roman" w:hAnsi="Times New Roman"/>
      <w:sz w:val="24"/>
      <w:szCs w:val="22"/>
    </w:rPr>
  </w:style>
  <w:style w:type="paragraph" w:customStyle="1" w:styleId="444">
    <w:name w:val="样式 样式 标题 3 + 首行缩进:  2 字符 + 首行缩进:  0.99 厘米 段前: 0.5 行 段后: 0.5 行"/>
    <w:basedOn w:val="1"/>
    <w:qFormat/>
    <w:uiPriority w:val="0"/>
    <w:pPr>
      <w:keepNext/>
      <w:keepLines/>
      <w:widowControl/>
      <w:spacing w:before="50" w:beforeLines="50" w:after="50" w:afterLines="50" w:line="400" w:lineRule="atLeast"/>
      <w:jc w:val="left"/>
      <w:outlineLvl w:val="2"/>
    </w:pPr>
    <w:rPr>
      <w:rFonts w:ascii="Arial" w:hAnsi="Arial" w:cs="宋体"/>
      <w:b/>
      <w:bCs/>
      <w:kern w:val="0"/>
      <w:sz w:val="28"/>
      <w:szCs w:val="20"/>
    </w:rPr>
  </w:style>
  <w:style w:type="paragraph" w:customStyle="1" w:styleId="445">
    <w:name w:val="CHI2003_C-Normal"/>
    <w:basedOn w:val="1"/>
    <w:qFormat/>
    <w:uiPriority w:val="0"/>
    <w:pPr>
      <w:widowControl/>
      <w:spacing w:before="50" w:beforeLines="50" w:after="160" w:afterLines="50" w:line="360" w:lineRule="exact"/>
      <w:jc w:val="left"/>
    </w:pPr>
    <w:rPr>
      <w:rFonts w:ascii="PMingLiU" w:hAnsi="PMingLiU" w:eastAsia="PMingLiU" w:cs="宋体"/>
      <w:kern w:val="0"/>
      <w:sz w:val="24"/>
      <w:szCs w:val="20"/>
    </w:rPr>
  </w:style>
  <w:style w:type="paragraph" w:customStyle="1" w:styleId="446">
    <w:name w:val="段落 Char"/>
    <w:basedOn w:val="1"/>
    <w:qFormat/>
    <w:uiPriority w:val="0"/>
    <w:pPr>
      <w:widowControl/>
      <w:topLinePunct/>
      <w:snapToGrid w:val="0"/>
      <w:spacing w:before="50" w:beforeLines="50" w:after="50" w:afterLines="50" w:line="360" w:lineRule="auto"/>
      <w:ind w:firstLine="200" w:firstLineChars="200"/>
      <w:jc w:val="left"/>
    </w:pPr>
    <w:rPr>
      <w:rFonts w:ascii="Arial" w:hAnsi="Arial" w:cs="宋体"/>
      <w:kern w:val="0"/>
      <w:sz w:val="24"/>
    </w:rPr>
  </w:style>
  <w:style w:type="paragraph" w:customStyle="1" w:styleId="447">
    <w:name w:val="样式 样式 样式 标题 3 + 首行缩进:  2 字符 + 首行缩进:  0.99 厘米 段前: 0.5 行 段后: 0.5 行..."/>
    <w:basedOn w:val="1"/>
    <w:qFormat/>
    <w:uiPriority w:val="0"/>
    <w:pPr>
      <w:keepNext/>
      <w:keepLines/>
      <w:widowControl/>
      <w:spacing w:before="50" w:beforeLines="50" w:after="50" w:afterLines="50" w:line="400" w:lineRule="atLeast"/>
      <w:jc w:val="left"/>
      <w:outlineLvl w:val="2"/>
    </w:pPr>
    <w:rPr>
      <w:rFonts w:ascii="Arial" w:hAnsi="Arial" w:cs="宋体"/>
      <w:b/>
      <w:bCs/>
      <w:kern w:val="0"/>
      <w:sz w:val="28"/>
      <w:szCs w:val="20"/>
    </w:rPr>
  </w:style>
  <w:style w:type="paragraph" w:customStyle="1" w:styleId="448">
    <w:name w:val="Char Char Char Char Char Char Char"/>
    <w:basedOn w:val="1"/>
    <w:next w:val="3"/>
    <w:qFormat/>
    <w:uiPriority w:val="0"/>
    <w:pPr>
      <w:widowControl/>
      <w:spacing w:before="50" w:beforeLines="50" w:after="50" w:afterLines="50" w:line="400" w:lineRule="atLeast"/>
      <w:jc w:val="left"/>
    </w:pPr>
    <w:rPr>
      <w:rFonts w:ascii="Arial" w:hAnsi="Arial" w:cs="宋体"/>
      <w:kern w:val="0"/>
      <w:sz w:val="24"/>
      <w:szCs w:val="20"/>
    </w:rPr>
  </w:style>
  <w:style w:type="paragraph" w:customStyle="1" w:styleId="449">
    <w:name w:val="msonormal"/>
    <w:basedOn w:val="1"/>
    <w:qFormat/>
    <w:uiPriority w:val="0"/>
    <w:pPr>
      <w:widowControl/>
      <w:spacing w:before="100" w:beforeLines="50" w:beforeAutospacing="1" w:after="100" w:afterLines="50" w:afterAutospacing="1" w:line="400" w:lineRule="atLeast"/>
      <w:jc w:val="left"/>
    </w:pPr>
    <w:rPr>
      <w:rFonts w:ascii="宋体" w:hAnsi="宋体" w:cs="宋体"/>
      <w:kern w:val="0"/>
      <w:sz w:val="24"/>
    </w:rPr>
  </w:style>
  <w:style w:type="paragraph" w:customStyle="1" w:styleId="45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Lines="50" w:beforeAutospacing="1" w:after="100" w:afterLines="50" w:afterAutospacing="1" w:line="400" w:lineRule="atLeast"/>
      <w:jc w:val="center"/>
      <w:textAlignment w:val="center"/>
    </w:pPr>
    <w:rPr>
      <w:rFonts w:ascii="宋体" w:hAnsi="宋体" w:cs="宋体"/>
      <w:color w:val="000000"/>
      <w:kern w:val="0"/>
      <w:sz w:val="26"/>
      <w:szCs w:val="26"/>
    </w:rPr>
  </w:style>
  <w:style w:type="paragraph" w:customStyle="1" w:styleId="451">
    <w:name w:val="_Style 85"/>
    <w:basedOn w:val="3"/>
    <w:next w:val="1"/>
    <w:qFormat/>
    <w:uiPriority w:val="39"/>
    <w:pPr>
      <w:keepLines/>
      <w:widowControl/>
      <w:overflowPunct/>
      <w:snapToGrid/>
      <w:spacing w:before="240" w:after="0"/>
      <w:ind w:left="0" w:firstLine="0"/>
      <w:jc w:val="left"/>
      <w:outlineLvl w:val="9"/>
    </w:pPr>
    <w:rPr>
      <w:rFonts w:ascii="等线 Light" w:hAnsi="等线 Light" w:eastAsia="等线 Light"/>
      <w:b w:val="0"/>
      <w:bCs w:val="0"/>
      <w:color w:val="2E74B5"/>
      <w:kern w:val="0"/>
      <w:szCs w:val="32"/>
    </w:rPr>
  </w:style>
  <w:style w:type="paragraph" w:customStyle="1" w:styleId="452">
    <w:name w:val="0 初设正文"/>
    <w:basedOn w:val="1"/>
    <w:link w:val="453"/>
    <w:qFormat/>
    <w:uiPriority w:val="0"/>
    <w:pPr>
      <w:widowControl/>
      <w:spacing w:before="50" w:beforeLines="50" w:after="50" w:afterLines="50" w:line="360" w:lineRule="auto"/>
      <w:ind w:firstLine="200" w:firstLineChars="200"/>
      <w:jc w:val="left"/>
    </w:pPr>
    <w:rPr>
      <w:rFonts w:ascii="Arial" w:hAnsi="Arial" w:cs="宋体"/>
      <w:kern w:val="0"/>
      <w:sz w:val="24"/>
    </w:rPr>
  </w:style>
  <w:style w:type="character" w:customStyle="1" w:styleId="453">
    <w:name w:val="0 初设正文 字符"/>
    <w:link w:val="452"/>
    <w:qFormat/>
    <w:uiPriority w:val="0"/>
    <w:rPr>
      <w:rFonts w:ascii="Arial" w:hAnsi="Arial" w:cs="宋体"/>
      <w:sz w:val="24"/>
      <w:szCs w:val="24"/>
    </w:rPr>
  </w:style>
  <w:style w:type="paragraph" w:customStyle="1" w:styleId="454">
    <w:name w:val="font5"/>
    <w:basedOn w:val="1"/>
    <w:qFormat/>
    <w:uiPriority w:val="0"/>
    <w:pPr>
      <w:widowControl/>
      <w:spacing w:before="100" w:beforeLines="50" w:beforeAutospacing="1" w:after="100" w:afterLines="50" w:afterAutospacing="1" w:line="400" w:lineRule="atLeast"/>
      <w:jc w:val="left"/>
    </w:pPr>
    <w:rPr>
      <w:rFonts w:ascii="宋体" w:hAnsi="宋体" w:cs="宋体"/>
      <w:kern w:val="0"/>
      <w:sz w:val="18"/>
      <w:szCs w:val="18"/>
    </w:rPr>
  </w:style>
  <w:style w:type="paragraph" w:customStyle="1" w:styleId="455">
    <w:name w:val="xl66"/>
    <w:basedOn w:val="1"/>
    <w:qFormat/>
    <w:uiPriority w:val="0"/>
    <w:pPr>
      <w:widowControl/>
      <w:spacing w:before="100" w:beforeLines="50" w:beforeAutospacing="1" w:after="100" w:afterLines="50" w:afterAutospacing="1" w:line="400" w:lineRule="atLeast"/>
      <w:jc w:val="left"/>
    </w:pPr>
    <w:rPr>
      <w:rFonts w:ascii="宋体" w:hAnsi="宋体" w:cs="宋体"/>
      <w:kern w:val="0"/>
      <w:sz w:val="24"/>
    </w:rPr>
  </w:style>
  <w:style w:type="paragraph" w:customStyle="1" w:styleId="456">
    <w:name w:val="xl67"/>
    <w:basedOn w:val="1"/>
    <w:qFormat/>
    <w:uiPriority w:val="0"/>
    <w:pPr>
      <w:widowControl/>
      <w:spacing w:before="100" w:beforeLines="50" w:beforeAutospacing="1" w:after="100" w:afterLines="50" w:afterAutospacing="1" w:line="400" w:lineRule="atLeast"/>
      <w:jc w:val="center"/>
    </w:pPr>
    <w:rPr>
      <w:rFonts w:ascii="宋体" w:hAnsi="宋体" w:cs="宋体"/>
      <w:kern w:val="0"/>
      <w:sz w:val="24"/>
    </w:rPr>
  </w:style>
  <w:style w:type="paragraph" w:customStyle="1" w:styleId="457">
    <w:name w:val="xl68"/>
    <w:basedOn w:val="1"/>
    <w:qFormat/>
    <w:uiPriority w:val="0"/>
    <w:pPr>
      <w:widowControl/>
      <w:spacing w:before="100" w:beforeLines="50" w:beforeAutospacing="1" w:after="100" w:afterLines="50" w:afterAutospacing="1" w:line="400" w:lineRule="atLeast"/>
      <w:jc w:val="center"/>
    </w:pPr>
    <w:rPr>
      <w:rFonts w:ascii="宋体" w:hAnsi="宋体" w:cs="宋体"/>
      <w:kern w:val="0"/>
      <w:sz w:val="24"/>
    </w:rPr>
  </w:style>
  <w:style w:type="paragraph" w:customStyle="1" w:styleId="458">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Lines="50" w:beforeAutospacing="1" w:after="100" w:afterLines="50" w:afterAutospacing="1" w:line="400" w:lineRule="atLeast"/>
      <w:jc w:val="center"/>
    </w:pPr>
    <w:rPr>
      <w:rFonts w:ascii="宋体" w:hAnsi="宋体" w:cs="宋体"/>
      <w:kern w:val="0"/>
      <w:sz w:val="24"/>
    </w:rPr>
  </w:style>
  <w:style w:type="paragraph" w:customStyle="1" w:styleId="45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Lines="50" w:beforeAutospacing="1" w:after="100" w:afterLines="50" w:afterAutospacing="1" w:line="400" w:lineRule="atLeast"/>
      <w:jc w:val="center"/>
    </w:pPr>
    <w:rPr>
      <w:rFonts w:ascii="宋体" w:hAnsi="宋体" w:cs="宋体"/>
      <w:kern w:val="0"/>
      <w:sz w:val="24"/>
    </w:rPr>
  </w:style>
  <w:style w:type="paragraph" w:customStyle="1" w:styleId="460">
    <w:name w:val="xl71"/>
    <w:basedOn w:val="1"/>
    <w:qFormat/>
    <w:uiPriority w:val="0"/>
    <w:pPr>
      <w:widowControl/>
      <w:pBdr>
        <w:bottom w:val="single" w:color="auto" w:sz="4" w:space="0"/>
      </w:pBdr>
      <w:spacing w:before="100" w:beforeLines="50" w:beforeAutospacing="1" w:after="100" w:afterLines="50" w:afterAutospacing="1" w:line="400" w:lineRule="atLeast"/>
      <w:jc w:val="center"/>
    </w:pPr>
    <w:rPr>
      <w:rFonts w:ascii="宋体" w:hAnsi="宋体" w:cs="宋体"/>
      <w:kern w:val="0"/>
      <w:sz w:val="32"/>
      <w:szCs w:val="32"/>
    </w:rPr>
  </w:style>
  <w:style w:type="paragraph" w:customStyle="1" w:styleId="461">
    <w:name w:val="0表头"/>
    <w:link w:val="462"/>
    <w:qFormat/>
    <w:uiPriority w:val="0"/>
    <w:pPr>
      <w:numPr>
        <w:ilvl w:val="5"/>
        <w:numId w:val="4"/>
      </w:numPr>
      <w:adjustRightInd w:val="0"/>
      <w:snapToGrid w:val="0"/>
      <w:spacing w:beforeLines="50" w:line="400" w:lineRule="exact"/>
      <w:jc w:val="center"/>
    </w:pPr>
    <w:rPr>
      <w:rFonts w:ascii="Times New Roman" w:hAnsi="Times New Roman" w:eastAsia="宋体" w:cs="Times New Roman"/>
      <w:b/>
      <w:kern w:val="2"/>
      <w:sz w:val="24"/>
      <w:szCs w:val="24"/>
      <w:lang w:val="en-US" w:eastAsia="zh-CN" w:bidi="ar-SA"/>
    </w:rPr>
  </w:style>
  <w:style w:type="character" w:customStyle="1" w:styleId="462">
    <w:name w:val="0表头 Char"/>
    <w:link w:val="461"/>
    <w:qFormat/>
    <w:uiPriority w:val="0"/>
    <w:rPr>
      <w:b/>
      <w:kern w:val="2"/>
      <w:sz w:val="24"/>
      <w:szCs w:val="24"/>
    </w:rPr>
  </w:style>
  <w:style w:type="paragraph" w:customStyle="1" w:styleId="463">
    <w:name w:val="龙图名"/>
    <w:basedOn w:val="1"/>
    <w:qFormat/>
    <w:uiPriority w:val="0"/>
    <w:pPr>
      <w:widowControl/>
      <w:numPr>
        <w:ilvl w:val="4"/>
        <w:numId w:val="4"/>
      </w:numPr>
      <w:spacing w:before="50" w:beforeLines="50" w:after="50" w:afterLines="50" w:line="400" w:lineRule="exact"/>
      <w:jc w:val="center"/>
    </w:pPr>
    <w:rPr>
      <w:rFonts w:ascii="Arial" w:hAnsi="Arial" w:cs="宋体"/>
      <w:kern w:val="0"/>
      <w:sz w:val="24"/>
    </w:rPr>
  </w:style>
  <w:style w:type="paragraph" w:customStyle="1" w:styleId="464">
    <w:name w:val="段落2008小四"/>
    <w:basedOn w:val="1"/>
    <w:link w:val="465"/>
    <w:qFormat/>
    <w:uiPriority w:val="0"/>
    <w:pPr>
      <w:widowControl/>
      <w:spacing w:before="50" w:beforeLines="50" w:after="50" w:afterLines="50" w:line="360" w:lineRule="auto"/>
      <w:ind w:firstLine="480" w:firstLineChars="200"/>
      <w:jc w:val="left"/>
    </w:pPr>
    <w:rPr>
      <w:rFonts w:ascii="Arial" w:hAnsi="Arial" w:cs="宋体"/>
      <w:color w:val="000000"/>
      <w:kern w:val="0"/>
      <w:sz w:val="24"/>
    </w:rPr>
  </w:style>
  <w:style w:type="character" w:customStyle="1" w:styleId="465">
    <w:name w:val="段落2008小四 Char"/>
    <w:link w:val="464"/>
    <w:qFormat/>
    <w:uiPriority w:val="0"/>
    <w:rPr>
      <w:rFonts w:ascii="Arial" w:hAnsi="Arial" w:cs="宋体"/>
      <w:color w:val="000000"/>
      <w:sz w:val="24"/>
      <w:szCs w:val="24"/>
    </w:rPr>
  </w:style>
  <w:style w:type="character" w:customStyle="1" w:styleId="466">
    <w:name w:val="fontstyle21"/>
    <w:qFormat/>
    <w:uiPriority w:val="0"/>
    <w:rPr>
      <w:rFonts w:hint="default" w:ascii="TimesNewRomanPSMT" w:hAnsi="TimesNewRomanPSMT"/>
      <w:color w:val="000000"/>
      <w:sz w:val="24"/>
      <w:szCs w:val="24"/>
    </w:rPr>
  </w:style>
  <w:style w:type="paragraph" w:customStyle="1" w:styleId="467">
    <w:name w:val="正文-zwt"/>
    <w:basedOn w:val="1"/>
    <w:link w:val="468"/>
    <w:qFormat/>
    <w:uiPriority w:val="0"/>
    <w:pPr>
      <w:widowControl/>
      <w:spacing w:before="50" w:beforeLines="50" w:after="50" w:afterLines="50" w:line="360" w:lineRule="auto"/>
      <w:ind w:firstLine="200" w:firstLineChars="200"/>
      <w:jc w:val="left"/>
    </w:pPr>
    <w:rPr>
      <w:rFonts w:ascii="Arial" w:hAnsi="Arial" w:cs="宋体"/>
      <w:kern w:val="0"/>
      <w:sz w:val="24"/>
      <w:szCs w:val="22"/>
    </w:rPr>
  </w:style>
  <w:style w:type="character" w:customStyle="1" w:styleId="468">
    <w:name w:val="正文-zwt Char"/>
    <w:link w:val="467"/>
    <w:qFormat/>
    <w:uiPriority w:val="0"/>
    <w:rPr>
      <w:rFonts w:ascii="Arial" w:hAnsi="Arial" w:cs="宋体"/>
      <w:sz w:val="24"/>
      <w:szCs w:val="22"/>
    </w:rPr>
  </w:style>
  <w:style w:type="paragraph" w:customStyle="1" w:styleId="469">
    <w:name w:val="一级-zwt"/>
    <w:basedOn w:val="1"/>
    <w:qFormat/>
    <w:uiPriority w:val="0"/>
    <w:pPr>
      <w:widowControl/>
      <w:numPr>
        <w:ilvl w:val="0"/>
        <w:numId w:val="5"/>
      </w:numPr>
      <w:spacing w:before="50" w:beforeLines="50" w:after="50" w:afterLines="50" w:line="360" w:lineRule="auto"/>
      <w:ind w:left="0" w:firstLine="0"/>
      <w:jc w:val="center"/>
      <w:outlineLvl w:val="0"/>
    </w:pPr>
    <w:rPr>
      <w:rFonts w:eastAsia="黑体" w:cs="宋体"/>
      <w:kern w:val="0"/>
      <w:sz w:val="32"/>
      <w:szCs w:val="22"/>
    </w:rPr>
  </w:style>
  <w:style w:type="paragraph" w:customStyle="1" w:styleId="470">
    <w:name w:val="二级-zwt"/>
    <w:basedOn w:val="1"/>
    <w:qFormat/>
    <w:uiPriority w:val="0"/>
    <w:pPr>
      <w:keepNext/>
      <w:widowControl/>
      <w:numPr>
        <w:ilvl w:val="1"/>
        <w:numId w:val="5"/>
      </w:numPr>
      <w:spacing w:before="50" w:beforeLines="50" w:after="50" w:afterLines="50" w:line="360" w:lineRule="auto"/>
      <w:jc w:val="left"/>
      <w:outlineLvl w:val="1"/>
    </w:pPr>
    <w:rPr>
      <w:rFonts w:ascii="Arial" w:hAnsi="Arial" w:eastAsia="黑体" w:cs="宋体"/>
      <w:kern w:val="0"/>
      <w:sz w:val="28"/>
      <w:szCs w:val="22"/>
    </w:rPr>
  </w:style>
  <w:style w:type="paragraph" w:customStyle="1" w:styleId="471">
    <w:name w:val="三级-zwt"/>
    <w:basedOn w:val="1"/>
    <w:qFormat/>
    <w:uiPriority w:val="0"/>
    <w:pPr>
      <w:keepNext/>
      <w:widowControl/>
      <w:numPr>
        <w:ilvl w:val="2"/>
        <w:numId w:val="5"/>
      </w:numPr>
      <w:spacing w:before="60" w:beforeLines="50" w:after="60" w:afterLines="50" w:line="360" w:lineRule="auto"/>
      <w:jc w:val="left"/>
      <w:outlineLvl w:val="2"/>
    </w:pPr>
    <w:rPr>
      <w:rFonts w:ascii="Arial" w:hAnsi="Arial" w:eastAsia="黑体" w:cs="宋体"/>
      <w:kern w:val="0"/>
      <w:sz w:val="24"/>
      <w:szCs w:val="22"/>
    </w:rPr>
  </w:style>
  <w:style w:type="paragraph" w:customStyle="1" w:styleId="472">
    <w:name w:val="四级-zwt"/>
    <w:basedOn w:val="1"/>
    <w:qFormat/>
    <w:uiPriority w:val="0"/>
    <w:pPr>
      <w:keepNext/>
      <w:widowControl/>
      <w:numPr>
        <w:ilvl w:val="3"/>
        <w:numId w:val="5"/>
      </w:numPr>
      <w:spacing w:before="50" w:beforeLines="50" w:after="50" w:afterLines="50" w:line="360" w:lineRule="auto"/>
      <w:jc w:val="left"/>
      <w:outlineLvl w:val="3"/>
    </w:pPr>
    <w:rPr>
      <w:rFonts w:ascii="Arial" w:hAnsi="Arial" w:cs="宋体"/>
      <w:snapToGrid w:val="0"/>
      <w:color w:val="000000"/>
      <w:kern w:val="0"/>
      <w:sz w:val="24"/>
      <w:szCs w:val="20"/>
      <w:u w:color="000000"/>
      <w:lang w:val="zh-CN"/>
    </w:rPr>
  </w:style>
  <w:style w:type="paragraph" w:customStyle="1" w:styleId="473">
    <w:name w:val="五级-zwt"/>
    <w:basedOn w:val="1"/>
    <w:qFormat/>
    <w:uiPriority w:val="0"/>
    <w:pPr>
      <w:keepNext/>
      <w:widowControl/>
      <w:numPr>
        <w:ilvl w:val="4"/>
        <w:numId w:val="5"/>
      </w:numPr>
      <w:spacing w:before="50" w:beforeLines="50" w:after="50" w:afterLines="50" w:line="360" w:lineRule="auto"/>
      <w:jc w:val="left"/>
    </w:pPr>
    <w:rPr>
      <w:rFonts w:ascii="Arial" w:hAnsi="Arial" w:cs="宋体"/>
      <w:kern w:val="0"/>
      <w:sz w:val="24"/>
      <w:szCs w:val="22"/>
    </w:rPr>
  </w:style>
  <w:style w:type="paragraph" w:customStyle="1" w:styleId="474">
    <w:name w:val="标题5（1）"/>
    <w:basedOn w:val="1"/>
    <w:qFormat/>
    <w:uiPriority w:val="0"/>
    <w:pPr>
      <w:widowControl/>
      <w:numPr>
        <w:ilvl w:val="0"/>
        <w:numId w:val="6"/>
      </w:numPr>
      <w:spacing w:before="156" w:beforeLines="50" w:after="156" w:afterLines="50" w:line="400" w:lineRule="atLeast"/>
      <w:ind w:left="0" w:firstLine="0"/>
      <w:jc w:val="left"/>
    </w:pPr>
    <w:rPr>
      <w:rFonts w:ascii="Arial" w:hAnsi="Arial" w:cs="宋体"/>
      <w:b/>
      <w:kern w:val="0"/>
      <w:sz w:val="24"/>
    </w:rPr>
  </w:style>
  <w:style w:type="character" w:customStyle="1" w:styleId="475">
    <w:name w:val="font132"/>
    <w:qFormat/>
    <w:uiPriority w:val="0"/>
    <w:rPr>
      <w:rFonts w:hint="eastAsia" w:ascii="宋体" w:hAnsi="宋体" w:eastAsia="宋体" w:cs="宋体"/>
      <w:color w:val="000000"/>
      <w:sz w:val="22"/>
      <w:szCs w:val="22"/>
      <w:u w:val="none"/>
      <w:vertAlign w:val="superscript"/>
    </w:rPr>
  </w:style>
  <w:style w:type="character" w:customStyle="1" w:styleId="476">
    <w:name w:val="font121"/>
    <w:qFormat/>
    <w:uiPriority w:val="0"/>
    <w:rPr>
      <w:rFonts w:hint="eastAsia" w:ascii="宋体" w:hAnsi="宋体" w:eastAsia="宋体" w:cs="宋体"/>
      <w:color w:val="000000"/>
      <w:sz w:val="22"/>
      <w:szCs w:val="22"/>
      <w:u w:val="none"/>
      <w:vertAlign w:val="superscript"/>
    </w:rPr>
  </w:style>
  <w:style w:type="paragraph" w:customStyle="1" w:styleId="477">
    <w:name w:val="图标题"/>
    <w:basedOn w:val="478"/>
    <w:link w:val="479"/>
    <w:qFormat/>
    <w:uiPriority w:val="0"/>
    <w:pPr>
      <w:spacing w:after="50" w:afterLines="50"/>
    </w:pPr>
    <w:rPr>
      <w:szCs w:val="21"/>
    </w:rPr>
  </w:style>
  <w:style w:type="paragraph" w:customStyle="1" w:styleId="478">
    <w:name w:val="图表样式"/>
    <w:basedOn w:val="7"/>
    <w:qFormat/>
    <w:uiPriority w:val="0"/>
    <w:pPr>
      <w:keepNext w:val="0"/>
      <w:spacing w:before="0"/>
      <w:ind w:firstLine="0" w:firstLineChars="0"/>
      <w:jc w:val="center"/>
      <w:outlineLvl w:val="9"/>
    </w:pPr>
    <w:rPr>
      <w:color w:val="000000" w:themeColor="text1"/>
      <w:sz w:val="21"/>
      <w14:textFill>
        <w14:solidFill>
          <w14:schemeClr w14:val="tx1"/>
        </w14:solidFill>
      </w14:textFill>
    </w:rPr>
  </w:style>
  <w:style w:type="character" w:customStyle="1" w:styleId="479">
    <w:name w:val="图标题 字符"/>
    <w:link w:val="477"/>
    <w:qFormat/>
    <w:uiPriority w:val="0"/>
    <w:rPr>
      <w:rFonts w:ascii="Arial" w:hAnsi="Arial" w:cs="宋体"/>
      <w:b/>
      <w:sz w:val="21"/>
      <w:szCs w:val="21"/>
    </w:rPr>
  </w:style>
  <w:style w:type="character" w:customStyle="1" w:styleId="480">
    <w:name w:val="表格文字 字符"/>
    <w:qFormat/>
    <w:uiPriority w:val="0"/>
    <w:rPr>
      <w:rFonts w:ascii="Times New Roman" w:hAnsi="Times New Roman" w:eastAsia="宋体"/>
    </w:rPr>
  </w:style>
  <w:style w:type="character" w:customStyle="1" w:styleId="481">
    <w:name w:val="fontstyle31"/>
    <w:qFormat/>
    <w:uiPriority w:val="0"/>
    <w:rPr>
      <w:rFonts w:hint="default" w:ascii="TimesNewRomanPS-BoldMT" w:hAnsi="TimesNewRomanPS-BoldMT"/>
      <w:b/>
      <w:bCs/>
      <w:color w:val="000000"/>
      <w:sz w:val="24"/>
      <w:szCs w:val="24"/>
    </w:rPr>
  </w:style>
  <w:style w:type="character" w:customStyle="1" w:styleId="482">
    <w:name w:val="fontstyle11"/>
    <w:qFormat/>
    <w:uiPriority w:val="0"/>
    <w:rPr>
      <w:rFonts w:hint="eastAsia" w:ascii="宋体" w:hAnsi="宋体" w:eastAsia="宋体"/>
      <w:color w:val="000000"/>
      <w:sz w:val="24"/>
      <w:szCs w:val="24"/>
    </w:rPr>
  </w:style>
  <w:style w:type="paragraph" w:customStyle="1" w:styleId="483">
    <w:name w:val="SZ-正文"/>
    <w:qFormat/>
    <w:uiPriority w:val="0"/>
    <w:pPr>
      <w:widowControl w:val="0"/>
      <w:spacing w:line="400" w:lineRule="exact"/>
      <w:ind w:firstLine="200" w:firstLineChars="200"/>
      <w:jc w:val="both"/>
    </w:pPr>
    <w:rPr>
      <w:rFonts w:ascii="Times New Roman" w:hAnsi="Times New Roman" w:eastAsia="宋体" w:cs="Times New Roman"/>
      <w:kern w:val="2"/>
      <w:sz w:val="24"/>
      <w:szCs w:val="28"/>
      <w:lang w:val="en-US" w:eastAsia="zh-CN" w:bidi="ar-SA"/>
    </w:rPr>
  </w:style>
  <w:style w:type="table" w:customStyle="1" w:styleId="484">
    <w:name w:val="表格主题1"/>
    <w:basedOn w:val="5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85">
    <w:name w:val="表格格式 Char"/>
    <w:link w:val="431"/>
    <w:qFormat/>
    <w:uiPriority w:val="0"/>
    <w:rPr>
      <w:color w:val="000000"/>
      <w:kern w:val="2"/>
      <w:sz w:val="21"/>
      <w:szCs w:val="21"/>
    </w:rPr>
  </w:style>
  <w:style w:type="paragraph" w:customStyle="1" w:styleId="486">
    <w:name w:val="_Style 7"/>
    <w:basedOn w:val="1"/>
    <w:next w:val="22"/>
    <w:qFormat/>
    <w:uiPriority w:val="0"/>
    <w:pPr>
      <w:widowControl/>
      <w:spacing w:before="50" w:beforeLines="50" w:after="50" w:afterLines="50" w:line="480" w:lineRule="auto"/>
      <w:ind w:firstLine="560"/>
      <w:jc w:val="left"/>
    </w:pPr>
    <w:rPr>
      <w:rFonts w:ascii="Arial" w:hAnsi="Arial" w:cs="宋体"/>
      <w:kern w:val="0"/>
      <w:sz w:val="28"/>
      <w:szCs w:val="20"/>
    </w:rPr>
  </w:style>
  <w:style w:type="paragraph" w:customStyle="1" w:styleId="487">
    <w:name w:val="临沧正文"/>
    <w:basedOn w:val="1"/>
    <w:qFormat/>
    <w:uiPriority w:val="0"/>
    <w:pPr>
      <w:widowControl/>
      <w:spacing w:before="50" w:beforeLines="50" w:after="50" w:afterLines="50" w:line="400" w:lineRule="exact"/>
      <w:ind w:firstLine="200" w:firstLineChars="200"/>
      <w:jc w:val="left"/>
    </w:pPr>
    <w:rPr>
      <w:rFonts w:ascii="Arial" w:hAnsi="Arial" w:cs="宋体"/>
      <w:kern w:val="0"/>
      <w:sz w:val="24"/>
    </w:rPr>
  </w:style>
  <w:style w:type="character" w:customStyle="1" w:styleId="488">
    <w:name w:val="_Style 135"/>
    <w:unhideWhenUsed/>
    <w:qFormat/>
    <w:uiPriority w:val="99"/>
    <w:rPr>
      <w:color w:val="605E5C"/>
      <w:shd w:val="clear" w:color="auto" w:fill="E1DFDD"/>
    </w:rPr>
  </w:style>
  <w:style w:type="paragraph" w:customStyle="1" w:styleId="489">
    <w:name w:val="表内字体"/>
    <w:basedOn w:val="1"/>
    <w:link w:val="490"/>
    <w:qFormat/>
    <w:uiPriority w:val="0"/>
    <w:pPr>
      <w:widowControl/>
      <w:spacing w:before="20" w:beforeLines="20" w:after="20" w:afterLines="20" w:line="400" w:lineRule="atLeast"/>
      <w:jc w:val="left"/>
    </w:pPr>
    <w:rPr>
      <w:rFonts w:ascii="Arial" w:hAnsi="Arial" w:cs="宋体"/>
      <w:kern w:val="0"/>
      <w:sz w:val="24"/>
      <w:szCs w:val="21"/>
    </w:rPr>
  </w:style>
  <w:style w:type="character" w:customStyle="1" w:styleId="490">
    <w:name w:val="表内字体 字符"/>
    <w:link w:val="489"/>
    <w:qFormat/>
    <w:uiPriority w:val="0"/>
    <w:rPr>
      <w:rFonts w:ascii="Arial" w:hAnsi="Arial" w:cs="宋体"/>
      <w:sz w:val="24"/>
      <w:szCs w:val="21"/>
    </w:rPr>
  </w:style>
  <w:style w:type="character" w:customStyle="1" w:styleId="491">
    <w:name w:val="样式 四号 加粗 居中"/>
    <w:qFormat/>
    <w:uiPriority w:val="0"/>
    <w:rPr>
      <w:b/>
      <w:sz w:val="28"/>
      <w:szCs w:val="28"/>
    </w:rPr>
  </w:style>
  <w:style w:type="character" w:customStyle="1" w:styleId="492">
    <w:name w:val="表格文字 Char1"/>
    <w:qFormat/>
    <w:uiPriority w:val="0"/>
    <w:rPr>
      <w:rFonts w:ascii="Times New Roman" w:hAnsi="Times New Roman" w:eastAsia="宋体" w:cs="Times New Roman"/>
      <w:szCs w:val="21"/>
    </w:rPr>
  </w:style>
  <w:style w:type="paragraph" w:customStyle="1" w:styleId="493">
    <w:name w:val="A-表格文字"/>
    <w:qFormat/>
    <w:uiPriority w:val="0"/>
    <w:pPr>
      <w:spacing w:line="400" w:lineRule="exact"/>
      <w:jc w:val="center"/>
    </w:pPr>
    <w:rPr>
      <w:rFonts w:ascii="Times New Roman" w:hAnsi="Times New Roman" w:eastAsia="仿宋" w:cs="Times New Roman"/>
      <w:sz w:val="24"/>
      <w:szCs w:val="24"/>
      <w:lang w:val="en-US" w:eastAsia="zh-CN" w:bidi="ar-SA"/>
    </w:rPr>
  </w:style>
  <w:style w:type="paragraph" w:customStyle="1" w:styleId="494">
    <w:name w:val="05表格"/>
    <w:basedOn w:val="1"/>
    <w:link w:val="495"/>
    <w:qFormat/>
    <w:uiPriority w:val="0"/>
    <w:pPr>
      <w:widowControl/>
      <w:spacing w:before="50" w:beforeLines="50" w:after="50" w:afterLines="50" w:line="360" w:lineRule="exact"/>
      <w:ind w:left="-10" w:leftChars="-10" w:right="-10" w:rightChars="-10"/>
      <w:contextualSpacing/>
      <w:jc w:val="center"/>
      <w:textAlignment w:val="center"/>
    </w:pPr>
    <w:rPr>
      <w:rFonts w:ascii="Arial" w:hAnsi="Arial" w:cs="宋体"/>
      <w:bCs/>
      <w:color w:val="000000"/>
      <w:kern w:val="0"/>
      <w:sz w:val="24"/>
      <w:szCs w:val="21"/>
      <w:lang w:val="zh-CN"/>
    </w:rPr>
  </w:style>
  <w:style w:type="character" w:customStyle="1" w:styleId="495">
    <w:name w:val="05表格 Char"/>
    <w:link w:val="494"/>
    <w:qFormat/>
    <w:uiPriority w:val="0"/>
    <w:rPr>
      <w:rFonts w:ascii="Arial" w:hAnsi="Arial" w:cs="宋体"/>
      <w:bCs/>
      <w:color w:val="000000"/>
      <w:sz w:val="24"/>
      <w:szCs w:val="21"/>
      <w:lang w:val="zh-CN"/>
    </w:rPr>
  </w:style>
  <w:style w:type="paragraph" w:customStyle="1" w:styleId="496">
    <w:name w:val="报告段落"/>
    <w:basedOn w:val="1"/>
    <w:link w:val="497"/>
    <w:qFormat/>
    <w:uiPriority w:val="0"/>
    <w:pPr>
      <w:widowControl/>
      <w:spacing w:before="50" w:beforeLines="50" w:after="50" w:afterLines="50" w:line="480" w:lineRule="exact"/>
      <w:ind w:firstLine="200" w:firstLineChars="200"/>
      <w:jc w:val="left"/>
    </w:pPr>
    <w:rPr>
      <w:rFonts w:ascii="Arial" w:hAnsi="Arial" w:cs="宋体"/>
      <w:kern w:val="0"/>
      <w:sz w:val="28"/>
    </w:rPr>
  </w:style>
  <w:style w:type="character" w:customStyle="1" w:styleId="497">
    <w:name w:val="报告段落 Char"/>
    <w:link w:val="496"/>
    <w:qFormat/>
    <w:uiPriority w:val="0"/>
    <w:rPr>
      <w:rFonts w:ascii="Arial" w:hAnsi="Arial" w:cs="宋体"/>
      <w:sz w:val="28"/>
      <w:szCs w:val="24"/>
    </w:rPr>
  </w:style>
  <w:style w:type="table" w:customStyle="1" w:styleId="498">
    <w:name w:val="表格样式1"/>
    <w:basedOn w:val="55"/>
    <w:qFormat/>
    <w:uiPriority w:val="0"/>
    <w:pPr>
      <w:spacing w:line="360" w:lineRule="auto"/>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499">
    <w:name w:val="表格111"/>
    <w:basedOn w:val="55"/>
    <w:qFormat/>
    <w:uiPriority w:val="0"/>
    <w:pPr>
      <w:jc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blHeader/>
      <w:jc w:val="center"/>
    </w:trPr>
    <w:tcPr>
      <w:vAlign w:val="center"/>
    </w:tcPr>
  </w:style>
  <w:style w:type="paragraph" w:customStyle="1" w:styleId="500">
    <w:name w:val="A标题3"/>
    <w:qFormat/>
    <w:uiPriority w:val="0"/>
    <w:pPr>
      <w:spacing w:before="156" w:beforeLines="50" w:after="156" w:afterLines="50" w:line="400" w:lineRule="exact"/>
      <w:outlineLvl w:val="2"/>
    </w:pPr>
    <w:rPr>
      <w:rFonts w:ascii="Times New Roman" w:hAnsi="Times New Roman" w:eastAsia="宋体" w:cs="Times New Roman"/>
      <w:b/>
      <w:kern w:val="2"/>
      <w:sz w:val="24"/>
      <w:szCs w:val="28"/>
      <w:lang w:val="en-US" w:eastAsia="zh-CN" w:bidi="ar-SA"/>
    </w:rPr>
  </w:style>
  <w:style w:type="paragraph" w:customStyle="1" w:styleId="501">
    <w:name w:val="A标题4"/>
    <w:qFormat/>
    <w:uiPriority w:val="0"/>
    <w:pPr>
      <w:spacing w:before="156" w:beforeLines="50" w:after="156" w:afterLines="50" w:line="400" w:lineRule="exact"/>
      <w:outlineLvl w:val="3"/>
    </w:pPr>
    <w:rPr>
      <w:rFonts w:ascii="Times New Roman" w:hAnsi="Times New Roman" w:eastAsia="宋体" w:cs="Times New Roman"/>
      <w:b/>
      <w:kern w:val="2"/>
      <w:sz w:val="24"/>
      <w:szCs w:val="28"/>
      <w:lang w:val="en-US" w:eastAsia="zh-CN" w:bidi="ar-SA"/>
    </w:rPr>
  </w:style>
  <w:style w:type="paragraph" w:customStyle="1" w:styleId="502">
    <w:name w:val="0-正文"/>
    <w:basedOn w:val="1"/>
    <w:link w:val="503"/>
    <w:qFormat/>
    <w:uiPriority w:val="0"/>
    <w:pPr>
      <w:widowControl/>
      <w:snapToGrid w:val="0"/>
      <w:spacing w:before="50" w:beforeLines="50" w:after="50" w:afterLines="50" w:line="360" w:lineRule="auto"/>
      <w:ind w:firstLine="200" w:firstLineChars="200"/>
      <w:jc w:val="left"/>
    </w:pPr>
    <w:rPr>
      <w:rFonts w:ascii="Arial" w:hAnsi="Arial" w:cs="宋体"/>
      <w:kern w:val="0"/>
      <w:sz w:val="24"/>
      <w:szCs w:val="20"/>
    </w:rPr>
  </w:style>
  <w:style w:type="character" w:customStyle="1" w:styleId="503">
    <w:name w:val="0-正文 Char"/>
    <w:link w:val="502"/>
    <w:qFormat/>
    <w:uiPriority w:val="0"/>
    <w:rPr>
      <w:rFonts w:ascii="Arial" w:hAnsi="Arial" w:cs="宋体"/>
      <w:sz w:val="24"/>
    </w:rPr>
  </w:style>
  <w:style w:type="paragraph" w:customStyle="1" w:styleId="504">
    <w:name w:val="_Style 154"/>
    <w:basedOn w:val="1"/>
    <w:next w:val="155"/>
    <w:qFormat/>
    <w:uiPriority w:val="34"/>
    <w:pPr>
      <w:widowControl/>
      <w:spacing w:before="50" w:beforeLines="50" w:after="50" w:afterLines="50" w:line="400" w:lineRule="atLeast"/>
      <w:ind w:firstLine="420"/>
      <w:jc w:val="left"/>
    </w:pPr>
    <w:rPr>
      <w:rFonts w:ascii="Arial" w:hAnsi="Arial" w:cs="宋体"/>
      <w:kern w:val="0"/>
      <w:sz w:val="24"/>
    </w:rPr>
  </w:style>
  <w:style w:type="paragraph" w:customStyle="1" w:styleId="505">
    <w:name w:val="YJ表头"/>
    <w:basedOn w:val="1"/>
    <w:link w:val="506"/>
    <w:qFormat/>
    <w:uiPriority w:val="0"/>
    <w:pPr>
      <w:widowControl/>
      <w:adjustRightInd w:val="0"/>
      <w:snapToGrid w:val="0"/>
      <w:spacing w:before="163" w:beforeLines="50" w:after="50" w:afterLines="50" w:line="400" w:lineRule="exact"/>
      <w:ind w:firstLine="480"/>
      <w:jc w:val="center"/>
    </w:pPr>
    <w:rPr>
      <w:rFonts w:ascii="Arial" w:hAnsi="Arial" w:cs="宋体"/>
      <w:kern w:val="0"/>
      <w:sz w:val="24"/>
    </w:rPr>
  </w:style>
  <w:style w:type="character" w:customStyle="1" w:styleId="506">
    <w:name w:val="YJ表头 Char"/>
    <w:link w:val="505"/>
    <w:qFormat/>
    <w:uiPriority w:val="0"/>
    <w:rPr>
      <w:rFonts w:ascii="Arial" w:hAnsi="Arial" w:cs="宋体"/>
      <w:sz w:val="24"/>
      <w:szCs w:val="24"/>
    </w:rPr>
  </w:style>
  <w:style w:type="paragraph" w:customStyle="1" w:styleId="507">
    <w:name w:val="表格（中水北）"/>
    <w:basedOn w:val="1"/>
    <w:link w:val="508"/>
    <w:qFormat/>
    <w:uiPriority w:val="0"/>
    <w:pPr>
      <w:widowControl/>
      <w:kinsoku w:val="0"/>
      <w:autoSpaceDE w:val="0"/>
      <w:autoSpaceDN w:val="0"/>
      <w:adjustRightInd w:val="0"/>
      <w:snapToGrid w:val="0"/>
      <w:spacing w:before="50" w:beforeLines="50" w:after="50" w:afterLines="50" w:line="400" w:lineRule="exact"/>
      <w:jc w:val="center"/>
      <w:textAlignment w:val="baseline"/>
    </w:pPr>
    <w:rPr>
      <w:rFonts w:ascii="Arial" w:hAnsi="Arial" w:eastAsia="Arial" w:cs="宋体"/>
      <w:snapToGrid w:val="0"/>
      <w:color w:val="000000"/>
      <w:kern w:val="0"/>
      <w:sz w:val="24"/>
      <w:szCs w:val="21"/>
      <w:shd w:val="clear" w:color="auto" w:fill="FFFFFF"/>
      <w:lang w:val="zh-CN" w:eastAsia="en-US"/>
    </w:rPr>
  </w:style>
  <w:style w:type="character" w:customStyle="1" w:styleId="508">
    <w:name w:val="表格（中水北） Char"/>
    <w:link w:val="507"/>
    <w:qFormat/>
    <w:uiPriority w:val="0"/>
    <w:rPr>
      <w:rFonts w:ascii="Arial" w:hAnsi="Arial" w:eastAsia="Arial" w:cs="宋体"/>
      <w:snapToGrid w:val="0"/>
      <w:color w:val="000000"/>
      <w:sz w:val="24"/>
      <w:szCs w:val="21"/>
      <w:lang w:val="zh-CN" w:eastAsia="en-US"/>
    </w:rPr>
  </w:style>
  <w:style w:type="paragraph" w:customStyle="1" w:styleId="509">
    <w:name w:val="！标题4"/>
    <w:basedOn w:val="1"/>
    <w:qFormat/>
    <w:uiPriority w:val="0"/>
    <w:pPr>
      <w:widowControl/>
      <w:adjustRightInd w:val="0"/>
      <w:snapToGrid w:val="0"/>
      <w:spacing w:before="50" w:beforeLines="50" w:after="50" w:afterLines="50" w:line="400" w:lineRule="exact"/>
      <w:jc w:val="left"/>
      <w:outlineLvl w:val="3"/>
    </w:pPr>
    <w:rPr>
      <w:rFonts w:ascii="Arial" w:hAnsi="Arial" w:cs="宋体"/>
      <w:b/>
      <w:kern w:val="0"/>
      <w:sz w:val="24"/>
      <w:szCs w:val="20"/>
      <w:lang w:val="zh-CN"/>
    </w:rPr>
  </w:style>
  <w:style w:type="paragraph" w:customStyle="1" w:styleId="510">
    <w:name w:val="！表格"/>
    <w:basedOn w:val="1"/>
    <w:qFormat/>
    <w:uiPriority w:val="0"/>
    <w:pPr>
      <w:widowControl/>
      <w:overflowPunct w:val="0"/>
      <w:adjustRightInd w:val="0"/>
      <w:snapToGrid w:val="0"/>
      <w:spacing w:before="20" w:beforeLines="20" w:after="20" w:afterLines="20" w:line="400" w:lineRule="atLeast"/>
      <w:jc w:val="center"/>
    </w:pPr>
    <w:rPr>
      <w:rFonts w:ascii="Arial" w:hAnsi="Arial" w:cs="宋体"/>
      <w:kern w:val="0"/>
      <w:sz w:val="24"/>
      <w:szCs w:val="20"/>
    </w:rPr>
  </w:style>
  <w:style w:type="paragraph" w:customStyle="1" w:styleId="511">
    <w:name w:val="xl72"/>
    <w:basedOn w:val="1"/>
    <w:qFormat/>
    <w:uiPriority w:val="0"/>
    <w:pPr>
      <w:widowControl/>
      <w:pBdr>
        <w:bottom w:val="single" w:color="000000" w:sz="4" w:space="0"/>
      </w:pBdr>
      <w:spacing w:before="100" w:beforeLines="50" w:beforeAutospacing="1" w:after="100" w:afterLines="50" w:afterAutospacing="1" w:line="400" w:lineRule="atLeast"/>
      <w:jc w:val="center"/>
      <w:textAlignment w:val="center"/>
    </w:pPr>
    <w:rPr>
      <w:rFonts w:ascii="宋体" w:hAnsi="宋体" w:cs="宋体"/>
      <w:color w:val="000000"/>
      <w:kern w:val="0"/>
      <w:sz w:val="18"/>
      <w:szCs w:val="18"/>
    </w:rPr>
  </w:style>
  <w:style w:type="paragraph" w:customStyle="1" w:styleId="512">
    <w:name w:val="xl73"/>
    <w:basedOn w:val="1"/>
    <w:qFormat/>
    <w:uiPriority w:val="0"/>
    <w:pPr>
      <w:widowControl/>
      <w:pBdr>
        <w:top w:val="single" w:color="000000" w:sz="4" w:space="0"/>
      </w:pBdr>
      <w:spacing w:before="100" w:beforeLines="50" w:beforeAutospacing="1" w:after="100" w:afterLines="50" w:afterAutospacing="1" w:line="400" w:lineRule="atLeast"/>
      <w:jc w:val="center"/>
      <w:textAlignment w:val="center"/>
    </w:pPr>
    <w:rPr>
      <w:rFonts w:ascii="宋体" w:hAnsi="宋体" w:cs="宋体"/>
      <w:color w:val="000000"/>
      <w:kern w:val="0"/>
      <w:sz w:val="24"/>
    </w:rPr>
  </w:style>
  <w:style w:type="paragraph" w:customStyle="1" w:styleId="513">
    <w:name w:val="xl74"/>
    <w:basedOn w:val="1"/>
    <w:qFormat/>
    <w:uiPriority w:val="0"/>
    <w:pPr>
      <w:widowControl/>
      <w:spacing w:before="100" w:beforeLines="50" w:beforeAutospacing="1" w:after="100" w:afterLines="50" w:afterAutospacing="1" w:line="400" w:lineRule="atLeast"/>
      <w:jc w:val="center"/>
      <w:textAlignment w:val="center"/>
    </w:pPr>
    <w:rPr>
      <w:rFonts w:ascii="宋体" w:hAnsi="宋体" w:cs="宋体"/>
      <w:b/>
      <w:bCs/>
      <w:color w:val="000000"/>
      <w:kern w:val="0"/>
      <w:sz w:val="32"/>
      <w:szCs w:val="32"/>
    </w:rPr>
  </w:style>
  <w:style w:type="paragraph" w:customStyle="1" w:styleId="514">
    <w:name w:val="xl75"/>
    <w:basedOn w:val="1"/>
    <w:qFormat/>
    <w:uiPriority w:val="0"/>
    <w:pPr>
      <w:widowControl/>
      <w:spacing w:before="100" w:beforeLines="50" w:beforeAutospacing="1" w:after="100" w:afterLines="50" w:afterAutospacing="1" w:line="400" w:lineRule="atLeast"/>
      <w:jc w:val="center"/>
      <w:textAlignment w:val="center"/>
    </w:pPr>
    <w:rPr>
      <w:rFonts w:ascii="宋体" w:hAnsi="宋体" w:cs="宋体"/>
      <w:color w:val="000000"/>
      <w:kern w:val="0"/>
      <w:sz w:val="24"/>
    </w:rPr>
  </w:style>
  <w:style w:type="character" w:customStyle="1" w:styleId="515">
    <w:name w:val="表格 内容 Char"/>
    <w:link w:val="516"/>
    <w:qFormat/>
    <w:uiPriority w:val="0"/>
    <w:rPr>
      <w:kern w:val="2"/>
      <w:sz w:val="21"/>
      <w:szCs w:val="22"/>
    </w:rPr>
  </w:style>
  <w:style w:type="paragraph" w:customStyle="1" w:styleId="516">
    <w:name w:val="表格 内容"/>
    <w:basedOn w:val="1"/>
    <w:link w:val="515"/>
    <w:qFormat/>
    <w:uiPriority w:val="0"/>
    <w:pPr>
      <w:widowControl/>
      <w:pBdr>
        <w:top w:val="none" w:color="auto" w:sz="0" w:space="1"/>
        <w:left w:val="none" w:color="auto" w:sz="0" w:space="4"/>
        <w:bottom w:val="none" w:color="auto" w:sz="0" w:space="1"/>
        <w:right w:val="none" w:color="auto" w:sz="0" w:space="4"/>
      </w:pBdr>
      <w:adjustRightInd w:val="0"/>
      <w:snapToGrid w:val="0"/>
      <w:spacing w:before="50" w:beforeLines="50" w:after="50" w:afterLines="50" w:line="400" w:lineRule="atLeast"/>
      <w:jc w:val="center"/>
    </w:pPr>
    <w:rPr>
      <w:rFonts w:ascii="Times New Roman" w:hAnsi="Times New Roman"/>
      <w:szCs w:val="22"/>
    </w:rPr>
  </w:style>
  <w:style w:type="paragraph" w:customStyle="1" w:styleId="517">
    <w:name w:val="+列表编号"/>
    <w:basedOn w:val="1"/>
    <w:qFormat/>
    <w:uiPriority w:val="0"/>
    <w:pPr>
      <w:widowControl/>
      <w:tabs>
        <w:tab w:val="center" w:pos="4200"/>
        <w:tab w:val="right" w:pos="8400"/>
      </w:tabs>
      <w:spacing w:before="50" w:beforeLines="50" w:after="50" w:afterLines="50" w:line="360" w:lineRule="auto"/>
      <w:jc w:val="center"/>
    </w:pPr>
    <w:rPr>
      <w:rFonts w:ascii="Arial" w:hAnsi="Arial" w:cs="宋体"/>
      <w:b/>
      <w:kern w:val="0"/>
      <w:sz w:val="24"/>
      <w:szCs w:val="28"/>
    </w:rPr>
  </w:style>
  <w:style w:type="character" w:customStyle="1" w:styleId="518">
    <w:name w:val="表标题 字符"/>
    <w:qFormat/>
    <w:uiPriority w:val="0"/>
    <w:rPr>
      <w:b/>
      <w:kern w:val="2"/>
      <w:sz w:val="21"/>
      <w:szCs w:val="21"/>
    </w:rPr>
  </w:style>
  <w:style w:type="paragraph" w:customStyle="1" w:styleId="519">
    <w:name w:val="娄里正文"/>
    <w:basedOn w:val="1"/>
    <w:link w:val="520"/>
    <w:qFormat/>
    <w:uiPriority w:val="0"/>
    <w:pPr>
      <w:widowControl/>
      <w:adjustRightInd w:val="0"/>
      <w:snapToGrid w:val="0"/>
      <w:spacing w:before="120" w:beforeLines="50" w:after="120" w:afterLines="50" w:line="400" w:lineRule="exact"/>
      <w:ind w:firstLine="480" w:firstLineChars="200"/>
      <w:jc w:val="left"/>
    </w:pPr>
    <w:rPr>
      <w:rFonts w:ascii="Arial" w:hAnsi="Arial" w:cs="宋体"/>
      <w:color w:val="000000"/>
      <w:kern w:val="0"/>
      <w:sz w:val="24"/>
    </w:rPr>
  </w:style>
  <w:style w:type="character" w:customStyle="1" w:styleId="520">
    <w:name w:val="娄里正文 字符"/>
    <w:link w:val="519"/>
    <w:qFormat/>
    <w:uiPriority w:val="0"/>
    <w:rPr>
      <w:rFonts w:ascii="Arial" w:hAnsi="Arial" w:cs="宋体"/>
      <w:color w:val="000000"/>
      <w:sz w:val="24"/>
      <w:szCs w:val="24"/>
    </w:rPr>
  </w:style>
  <w:style w:type="paragraph" w:customStyle="1" w:styleId="521">
    <w:name w:val="娄里三级标题"/>
    <w:basedOn w:val="1"/>
    <w:qFormat/>
    <w:uiPriority w:val="0"/>
    <w:pPr>
      <w:keepNext/>
      <w:keepLines/>
      <w:widowControl/>
      <w:adjustRightInd w:val="0"/>
      <w:snapToGrid w:val="0"/>
      <w:spacing w:before="50" w:beforeLines="50" w:after="50" w:afterLines="50" w:line="400" w:lineRule="exact"/>
      <w:jc w:val="left"/>
      <w:outlineLvl w:val="2"/>
    </w:pPr>
    <w:rPr>
      <w:rFonts w:ascii="Arial" w:hAnsi="Arial" w:cs="宋体"/>
      <w:b/>
      <w:kern w:val="0"/>
      <w:sz w:val="24"/>
      <w:szCs w:val="20"/>
    </w:rPr>
  </w:style>
  <w:style w:type="character" w:customStyle="1" w:styleId="522">
    <w:name w:val="标题 7 字符4"/>
    <w:qFormat/>
    <w:uiPriority w:val="0"/>
    <w:rPr>
      <w:rFonts w:ascii="黑体" w:eastAsia="黑体"/>
      <w:b/>
      <w:bCs/>
      <w:spacing w:val="10"/>
      <w:kern w:val="2"/>
      <w:sz w:val="24"/>
      <w:szCs w:val="24"/>
      <w:lang w:val="zh-CN"/>
    </w:rPr>
  </w:style>
  <w:style w:type="character" w:customStyle="1" w:styleId="523">
    <w:name w:val="标题 8 字符4"/>
    <w:qFormat/>
    <w:uiPriority w:val="0"/>
    <w:rPr>
      <w:rFonts w:ascii="Arial" w:hAnsi="Arial" w:eastAsia="黑体"/>
      <w:spacing w:val="10"/>
      <w:kern w:val="2"/>
      <w:sz w:val="24"/>
      <w:szCs w:val="24"/>
      <w:lang w:val="zh-CN"/>
    </w:rPr>
  </w:style>
  <w:style w:type="character" w:customStyle="1" w:styleId="524">
    <w:name w:val="标题 9 字符4"/>
    <w:qFormat/>
    <w:uiPriority w:val="0"/>
    <w:rPr>
      <w:rFonts w:ascii="Arial" w:hAnsi="Arial" w:eastAsia="黑体"/>
      <w:spacing w:val="10"/>
      <w:kern w:val="2"/>
      <w:sz w:val="21"/>
      <w:szCs w:val="21"/>
      <w:lang w:val="zh-CN"/>
    </w:rPr>
  </w:style>
  <w:style w:type="paragraph" w:customStyle="1" w:styleId="525">
    <w:name w:val="S-表标题"/>
    <w:basedOn w:val="1"/>
    <w:link w:val="527"/>
    <w:qFormat/>
    <w:uiPriority w:val="0"/>
    <w:pPr>
      <w:widowControl/>
      <w:spacing w:before="120" w:beforeLines="50" w:after="50" w:afterLines="50" w:line="400" w:lineRule="atLeast"/>
      <w:jc w:val="center"/>
    </w:pPr>
    <w:rPr>
      <w:rFonts w:ascii="宋体" w:hAnsi="宋体" w:cs="宋体"/>
      <w:kern w:val="0"/>
      <w:sz w:val="24"/>
      <w:szCs w:val="21"/>
    </w:rPr>
  </w:style>
  <w:style w:type="paragraph" w:customStyle="1" w:styleId="526">
    <w:name w:val="S-表格文字"/>
    <w:basedOn w:val="1"/>
    <w:link w:val="528"/>
    <w:qFormat/>
    <w:uiPriority w:val="0"/>
    <w:pPr>
      <w:widowControl/>
      <w:snapToGrid w:val="0"/>
      <w:spacing w:before="50" w:beforeLines="50" w:after="50" w:afterLines="50" w:line="400" w:lineRule="atLeast"/>
      <w:jc w:val="center"/>
    </w:pPr>
    <w:rPr>
      <w:rFonts w:ascii="Arial" w:hAnsi="Arial" w:cs="Arial"/>
      <w:color w:val="000000"/>
      <w:kern w:val="0"/>
      <w:sz w:val="24"/>
      <w:szCs w:val="21"/>
    </w:rPr>
  </w:style>
  <w:style w:type="character" w:customStyle="1" w:styleId="527">
    <w:name w:val="S-表标题 字符"/>
    <w:link w:val="525"/>
    <w:qFormat/>
    <w:uiPriority w:val="0"/>
    <w:rPr>
      <w:rFonts w:ascii="宋体" w:hAnsi="宋体" w:cs="宋体"/>
      <w:sz w:val="24"/>
      <w:szCs w:val="21"/>
    </w:rPr>
  </w:style>
  <w:style w:type="character" w:customStyle="1" w:styleId="528">
    <w:name w:val="S-表格文字 字符"/>
    <w:link w:val="526"/>
    <w:qFormat/>
    <w:uiPriority w:val="0"/>
    <w:rPr>
      <w:rFonts w:ascii="Arial" w:hAnsi="Arial" w:cs="Arial"/>
      <w:color w:val="000000"/>
      <w:sz w:val="24"/>
      <w:szCs w:val="21"/>
    </w:rPr>
  </w:style>
  <w:style w:type="paragraph" w:customStyle="1" w:styleId="529">
    <w:name w:val="！标题1"/>
    <w:basedOn w:val="1"/>
    <w:qFormat/>
    <w:uiPriority w:val="0"/>
    <w:pPr>
      <w:widowControl/>
      <w:adjustRightInd w:val="0"/>
      <w:snapToGrid w:val="0"/>
      <w:spacing w:before="50" w:beforeLines="50" w:after="50" w:afterLines="50" w:line="400" w:lineRule="exact"/>
      <w:jc w:val="center"/>
      <w:outlineLvl w:val="0"/>
    </w:pPr>
    <w:rPr>
      <w:rFonts w:ascii="Arial" w:hAnsi="Arial" w:cs="宋体"/>
      <w:b/>
      <w:kern w:val="0"/>
      <w:sz w:val="32"/>
      <w:szCs w:val="21"/>
    </w:rPr>
  </w:style>
  <w:style w:type="paragraph" w:customStyle="1" w:styleId="530">
    <w:name w:val="正文 11"/>
    <w:basedOn w:val="1"/>
    <w:link w:val="531"/>
    <w:qFormat/>
    <w:uiPriority w:val="0"/>
    <w:pPr>
      <w:widowControl/>
      <w:overflowPunct w:val="0"/>
      <w:spacing w:before="50" w:beforeLines="50" w:after="50" w:afterLines="50" w:line="400" w:lineRule="exact"/>
      <w:ind w:firstLine="425"/>
      <w:jc w:val="left"/>
    </w:pPr>
    <w:rPr>
      <w:rFonts w:ascii="Arial" w:hAnsi="Arial" w:cs="宋体"/>
      <w:kern w:val="0"/>
      <w:sz w:val="24"/>
      <w:szCs w:val="20"/>
    </w:rPr>
  </w:style>
  <w:style w:type="character" w:customStyle="1" w:styleId="531">
    <w:name w:val="正文 11 Char"/>
    <w:link w:val="530"/>
    <w:qFormat/>
    <w:uiPriority w:val="0"/>
    <w:rPr>
      <w:rFonts w:ascii="Arial" w:hAnsi="Arial" w:cs="宋体"/>
      <w:sz w:val="24"/>
    </w:rPr>
  </w:style>
  <w:style w:type="paragraph" w:customStyle="1" w:styleId="532">
    <w:name w:val="！标题2"/>
    <w:basedOn w:val="4"/>
    <w:qFormat/>
    <w:uiPriority w:val="0"/>
    <w:pPr>
      <w:widowControl/>
      <w:adjustRightInd w:val="0"/>
      <w:snapToGrid w:val="0"/>
      <w:spacing w:before="156" w:beforeLines="50" w:after="156" w:afterLines="50" w:line="400" w:lineRule="atLeast"/>
      <w:jc w:val="left"/>
    </w:pPr>
    <w:rPr>
      <w:rFonts w:ascii="Times New Roman" w:hAnsi="Times New Roman" w:cs="宋体"/>
      <w:kern w:val="0"/>
      <w:lang w:bidi="en-US"/>
    </w:rPr>
  </w:style>
  <w:style w:type="paragraph" w:customStyle="1" w:styleId="533">
    <w:name w:val="！标题3"/>
    <w:basedOn w:val="5"/>
    <w:qFormat/>
    <w:uiPriority w:val="0"/>
    <w:pPr>
      <w:keepNext w:val="0"/>
      <w:keepLines w:val="0"/>
      <w:widowControl/>
      <w:adjustRightInd w:val="0"/>
      <w:snapToGrid w:val="0"/>
      <w:spacing w:before="50" w:beforeLines="50" w:after="50" w:afterLines="50" w:line="400" w:lineRule="atLeast"/>
      <w:jc w:val="left"/>
    </w:pPr>
    <w:rPr>
      <w:rFonts w:ascii="Arial" w:hAnsi="Arial" w:cs="Arial"/>
      <w:b w:val="0"/>
      <w:bCs w:val="0"/>
      <w:kern w:val="0"/>
      <w:sz w:val="28"/>
      <w:szCs w:val="28"/>
      <w:lang w:bidi="en-US"/>
    </w:rPr>
  </w:style>
  <w:style w:type="paragraph" w:customStyle="1" w:styleId="534">
    <w:name w:val="！页脚"/>
    <w:basedOn w:val="35"/>
    <w:qFormat/>
    <w:uiPriority w:val="0"/>
    <w:pPr>
      <w:widowControl/>
      <w:pBdr>
        <w:top w:val="double" w:color="auto" w:sz="4" w:space="1"/>
      </w:pBdr>
      <w:adjustRightInd w:val="0"/>
      <w:spacing w:before="50" w:beforeLines="50" w:after="50" w:afterLines="50" w:line="400" w:lineRule="atLeast"/>
    </w:pPr>
    <w:rPr>
      <w:rFonts w:ascii="Arial" w:hAnsi="Arial" w:cs="宋体"/>
      <w:szCs w:val="18"/>
    </w:rPr>
  </w:style>
  <w:style w:type="character" w:customStyle="1" w:styleId="535">
    <w:name w:val="_Style 205"/>
    <w:qFormat/>
    <w:uiPriority w:val="19"/>
    <w:rPr>
      <w:i/>
      <w:iCs/>
      <w:color w:val="808080"/>
    </w:rPr>
  </w:style>
  <w:style w:type="character" w:customStyle="1" w:styleId="536">
    <w:name w:val="列表段落 字符3"/>
    <w:link w:val="155"/>
    <w:qFormat/>
    <w:uiPriority w:val="99"/>
    <w:rPr>
      <w:rFonts w:ascii="Calibri" w:hAnsi="Calibri"/>
      <w:kern w:val="2"/>
      <w:sz w:val="21"/>
      <w:szCs w:val="24"/>
    </w:rPr>
  </w:style>
  <w:style w:type="paragraph" w:customStyle="1" w:styleId="537">
    <w:name w:val="font6"/>
    <w:basedOn w:val="1"/>
    <w:qFormat/>
    <w:uiPriority w:val="0"/>
    <w:pPr>
      <w:widowControl/>
      <w:spacing w:before="100" w:beforeLines="50" w:beforeAutospacing="1" w:after="100" w:afterLines="50" w:afterAutospacing="1" w:line="400" w:lineRule="atLeast"/>
      <w:jc w:val="left"/>
    </w:pPr>
    <w:rPr>
      <w:rFonts w:ascii="等线" w:hAnsi="等线" w:eastAsia="等线" w:cs="宋体"/>
      <w:kern w:val="0"/>
      <w:sz w:val="18"/>
      <w:szCs w:val="18"/>
    </w:rPr>
  </w:style>
  <w:style w:type="paragraph" w:customStyle="1" w:styleId="538">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Lines="50" w:beforeAutospacing="1" w:after="100" w:afterLines="50" w:afterAutospacing="1" w:line="400" w:lineRule="atLeast"/>
      <w:jc w:val="left"/>
      <w:textAlignment w:val="center"/>
    </w:pPr>
    <w:rPr>
      <w:rFonts w:ascii="宋体" w:hAnsi="宋体" w:cs="宋体"/>
      <w:kern w:val="0"/>
      <w:sz w:val="24"/>
    </w:rPr>
  </w:style>
  <w:style w:type="paragraph" w:customStyle="1" w:styleId="539">
    <w:name w:val="样式 ！表格 + Arial 小四 左 段前: 0.5行 段后:0.5 行 行距: 固定值 20 磅"/>
    <w:basedOn w:val="510"/>
    <w:qFormat/>
    <w:uiPriority w:val="0"/>
    <w:pPr>
      <w:spacing w:before="50" w:beforeLines="50" w:after="50" w:afterLines="50" w:line="400" w:lineRule="exact"/>
      <w:jc w:val="left"/>
    </w:pPr>
  </w:style>
  <w:style w:type="paragraph" w:customStyle="1" w:styleId="540">
    <w:name w:val="高桥标题1"/>
    <w:basedOn w:val="3"/>
    <w:next w:val="4"/>
    <w:qFormat/>
    <w:uiPriority w:val="0"/>
    <w:pPr>
      <w:keepLines/>
      <w:widowControl/>
      <w:overflowPunct/>
      <w:snapToGrid/>
      <w:spacing w:before="200" w:after="200" w:line="500" w:lineRule="exact"/>
      <w:ind w:left="0" w:firstLine="0"/>
      <w:jc w:val="center"/>
    </w:pPr>
    <w:rPr>
      <w:rFonts w:ascii="Times New Roman" w:hAnsi="Times New Roman" w:eastAsia="宋体"/>
      <w:color w:val="auto"/>
      <w:sz w:val="32"/>
      <w:szCs w:val="44"/>
    </w:rPr>
  </w:style>
  <w:style w:type="paragraph" w:customStyle="1" w:styleId="541">
    <w:name w:val="高桥标题2"/>
    <w:basedOn w:val="4"/>
    <w:next w:val="5"/>
    <w:qFormat/>
    <w:uiPriority w:val="0"/>
    <w:pPr>
      <w:widowControl/>
      <w:tabs>
        <w:tab w:val="left" w:pos="1620"/>
      </w:tabs>
      <w:spacing w:before="200" w:beforeLines="50" w:after="100" w:afterLines="50" w:line="500" w:lineRule="exact"/>
      <w:ind w:left="1620" w:hanging="360"/>
      <w:jc w:val="left"/>
    </w:pPr>
    <w:rPr>
      <w:rFonts w:ascii="Arial" w:hAnsi="Arial" w:cs="宋体"/>
      <w:color w:val="000000"/>
      <w:kern w:val="0"/>
      <w:sz w:val="24"/>
    </w:rPr>
  </w:style>
  <w:style w:type="paragraph" w:customStyle="1" w:styleId="542">
    <w:name w:val="高桥标题3"/>
    <w:basedOn w:val="5"/>
    <w:next w:val="543"/>
    <w:link w:val="544"/>
    <w:qFormat/>
    <w:uiPriority w:val="0"/>
    <w:pPr>
      <w:keepNext w:val="0"/>
      <w:keepLines w:val="0"/>
      <w:widowControl/>
      <w:spacing w:before="0" w:after="20" w:afterLines="20" w:line="500" w:lineRule="exact"/>
      <w:jc w:val="left"/>
    </w:pPr>
    <w:rPr>
      <w:rFonts w:ascii="Arial" w:hAnsi="Arial" w:cs="宋体"/>
      <w:b w:val="0"/>
      <w:kern w:val="0"/>
      <w:sz w:val="24"/>
      <w:szCs w:val="24"/>
    </w:rPr>
  </w:style>
  <w:style w:type="paragraph" w:customStyle="1" w:styleId="543">
    <w:name w:val="高桥标题4"/>
    <w:basedOn w:val="542"/>
    <w:next w:val="1"/>
    <w:link w:val="545"/>
    <w:qFormat/>
    <w:uiPriority w:val="0"/>
    <w:pPr>
      <w:tabs>
        <w:tab w:val="left" w:pos="1620"/>
      </w:tabs>
      <w:spacing w:after="100" w:afterLines="0" w:line="480" w:lineRule="exact"/>
      <w:ind w:left="1620" w:hanging="360"/>
      <w:outlineLvl w:val="3"/>
    </w:pPr>
  </w:style>
  <w:style w:type="character" w:customStyle="1" w:styleId="544">
    <w:name w:val="高桥标题3 字符"/>
    <w:link w:val="542"/>
    <w:qFormat/>
    <w:uiPriority w:val="0"/>
    <w:rPr>
      <w:rFonts w:ascii="Arial" w:hAnsi="Arial" w:cs="宋体"/>
      <w:bCs/>
      <w:sz w:val="24"/>
      <w:szCs w:val="24"/>
    </w:rPr>
  </w:style>
  <w:style w:type="character" w:customStyle="1" w:styleId="545">
    <w:name w:val="高桥标题4 字符"/>
    <w:link w:val="543"/>
    <w:qFormat/>
    <w:uiPriority w:val="0"/>
    <w:rPr>
      <w:rFonts w:ascii="Arial" w:hAnsi="Arial" w:cs="宋体"/>
      <w:bCs/>
      <w:sz w:val="24"/>
      <w:szCs w:val="24"/>
    </w:rPr>
  </w:style>
  <w:style w:type="paragraph" w:customStyle="1" w:styleId="546">
    <w:name w:val="桃江正文"/>
    <w:basedOn w:val="1"/>
    <w:link w:val="547"/>
    <w:qFormat/>
    <w:uiPriority w:val="0"/>
    <w:pPr>
      <w:widowControl/>
      <w:spacing w:before="50" w:beforeLines="50" w:after="50" w:afterLines="50" w:line="400" w:lineRule="exact"/>
      <w:ind w:firstLine="200" w:firstLineChars="200"/>
      <w:jc w:val="left"/>
    </w:pPr>
    <w:rPr>
      <w:rFonts w:ascii="Arial" w:hAnsi="Arial" w:cs="Arial"/>
      <w:color w:val="000000"/>
      <w:kern w:val="0"/>
      <w:sz w:val="24"/>
      <w:szCs w:val="23"/>
    </w:rPr>
  </w:style>
  <w:style w:type="character" w:customStyle="1" w:styleId="547">
    <w:name w:val="桃江正文 字符"/>
    <w:link w:val="546"/>
    <w:qFormat/>
    <w:uiPriority w:val="0"/>
    <w:rPr>
      <w:rFonts w:ascii="Arial" w:hAnsi="Arial" w:cs="Arial"/>
      <w:color w:val="000000"/>
      <w:sz w:val="24"/>
      <w:szCs w:val="23"/>
    </w:rPr>
  </w:style>
  <w:style w:type="paragraph" w:customStyle="1" w:styleId="548">
    <w:name w:val="TJ 正文"/>
    <w:basedOn w:val="1"/>
    <w:qFormat/>
    <w:uiPriority w:val="0"/>
    <w:pPr>
      <w:widowControl/>
      <w:spacing w:before="50" w:beforeLines="50" w:after="50" w:afterLines="50" w:line="480" w:lineRule="exact"/>
      <w:ind w:firstLine="200" w:firstLineChars="200"/>
      <w:jc w:val="left"/>
    </w:pPr>
    <w:rPr>
      <w:rFonts w:ascii="Arial" w:hAnsi="Arial" w:cs="宋体"/>
      <w:kern w:val="0"/>
      <w:sz w:val="24"/>
    </w:rPr>
  </w:style>
  <w:style w:type="character" w:customStyle="1" w:styleId="549">
    <w:name w:val="表头 字符"/>
    <w:qFormat/>
    <w:uiPriority w:val="0"/>
    <w:rPr>
      <w:kern w:val="2"/>
      <w:sz w:val="24"/>
      <w:szCs w:val="21"/>
    </w:rPr>
  </w:style>
  <w:style w:type="paragraph" w:customStyle="1" w:styleId="550">
    <w:name w:val="_Style 226"/>
    <w:hidden/>
    <w:unhideWhenUsed/>
    <w:qFormat/>
    <w:uiPriority w:val="99"/>
    <w:rPr>
      <w:rFonts w:ascii="Times New Roman" w:hAnsi="Times New Roman" w:eastAsia="宋体" w:cs="Times New Roman"/>
      <w:kern w:val="2"/>
      <w:sz w:val="21"/>
      <w:szCs w:val="24"/>
      <w:lang w:val="en-US" w:eastAsia="zh-CN" w:bidi="ar-SA"/>
    </w:rPr>
  </w:style>
  <w:style w:type="character" w:customStyle="1" w:styleId="551">
    <w:name w:val="_Style 228"/>
    <w:qFormat/>
    <w:uiPriority w:val="32"/>
    <w:rPr>
      <w:b/>
      <w:bCs/>
      <w:smallCaps/>
      <w:color w:val="4472C4"/>
      <w:spacing w:val="5"/>
    </w:rPr>
  </w:style>
  <w:style w:type="character" w:customStyle="1" w:styleId="552">
    <w:name w:val="_Style 229"/>
    <w:qFormat/>
    <w:uiPriority w:val="33"/>
    <w:rPr>
      <w:b/>
      <w:bCs/>
      <w:i/>
      <w:iCs/>
      <w:spacing w:val="5"/>
    </w:rPr>
  </w:style>
  <w:style w:type="paragraph" w:customStyle="1" w:styleId="553">
    <w:name w:val="ZX正文"/>
    <w:basedOn w:val="1"/>
    <w:qFormat/>
    <w:uiPriority w:val="0"/>
    <w:pPr>
      <w:widowControl/>
      <w:autoSpaceDE w:val="0"/>
      <w:autoSpaceDN w:val="0"/>
      <w:adjustRightInd w:val="0"/>
      <w:spacing w:before="50" w:beforeLines="50" w:after="50" w:afterLines="50" w:line="360" w:lineRule="auto"/>
      <w:ind w:firstLine="480"/>
      <w:jc w:val="left"/>
    </w:pPr>
    <w:rPr>
      <w:rFonts w:ascii="Arial" w:hAnsi="Arial" w:cs="CIDFont+F5"/>
      <w:kern w:val="0"/>
      <w:sz w:val="24"/>
    </w:rPr>
  </w:style>
  <w:style w:type="paragraph" w:customStyle="1" w:styleId="554">
    <w:name w:val="表名@@@"/>
    <w:basedOn w:val="247"/>
    <w:qFormat/>
    <w:uiPriority w:val="0"/>
    <w:pPr>
      <w:widowControl/>
      <w:adjustRightInd w:val="0"/>
      <w:snapToGrid w:val="0"/>
      <w:spacing w:before="50" w:beforeLines="50" w:afterLines="0" w:line="400" w:lineRule="atLeast"/>
    </w:pPr>
    <w:rPr>
      <w:rFonts w:ascii="Arial Unicode MS" w:hAnsi="Arial Unicode MS" w:cs="Arial Unicode MS"/>
      <w:b w:val="0"/>
      <w:kern w:val="0"/>
      <w:szCs w:val="22"/>
    </w:rPr>
  </w:style>
  <w:style w:type="paragraph" w:customStyle="1" w:styleId="555">
    <w:name w:val="*正文"/>
    <w:basedOn w:val="1"/>
    <w:qFormat/>
    <w:uiPriority w:val="0"/>
    <w:pPr>
      <w:widowControl/>
      <w:spacing w:before="163" w:beforeLines="50" w:after="163" w:afterLines="50" w:line="400" w:lineRule="atLeast"/>
      <w:ind w:firstLine="480"/>
      <w:jc w:val="left"/>
    </w:pPr>
    <w:rPr>
      <w:rFonts w:ascii="Arial Unicode MS" w:hAnsi="Arial Unicode MS" w:cs="宋体"/>
      <w:kern w:val="0"/>
      <w:sz w:val="24"/>
      <w:szCs w:val="18"/>
    </w:rPr>
  </w:style>
  <w:style w:type="character" w:customStyle="1" w:styleId="556">
    <w:name w:val="font101"/>
    <w:qFormat/>
    <w:uiPriority w:val="0"/>
    <w:rPr>
      <w:rFonts w:hint="default" w:ascii="Times New Roman" w:hAnsi="Times New Roman" w:cs="Times New Roman"/>
      <w:color w:val="000000"/>
      <w:sz w:val="22"/>
      <w:szCs w:val="22"/>
      <w:u w:val="none"/>
    </w:rPr>
  </w:style>
  <w:style w:type="paragraph" w:customStyle="1" w:styleId="557">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2CC"/>
      <w:spacing w:before="100" w:beforeAutospacing="1" w:after="100" w:afterAutospacing="1"/>
      <w:jc w:val="center"/>
      <w:textAlignment w:val="center"/>
    </w:pPr>
    <w:rPr>
      <w:rFonts w:ascii="Times New Roman" w:hAnsi="Times New Roman" w:cs="宋体"/>
      <w:kern w:val="0"/>
      <w:szCs w:val="21"/>
    </w:rPr>
  </w:style>
  <w:style w:type="paragraph" w:customStyle="1" w:styleId="558">
    <w:name w:val="List Paragraph11"/>
    <w:basedOn w:val="1"/>
    <w:qFormat/>
    <w:uiPriority w:val="34"/>
    <w:pPr>
      <w:widowControl/>
      <w:ind w:firstLine="420"/>
      <w:jc w:val="left"/>
    </w:pPr>
    <w:rPr>
      <w:rFonts w:ascii="Times New Roman" w:hAnsi="Times New Roman" w:cs="宋体"/>
      <w:kern w:val="0"/>
    </w:rPr>
  </w:style>
  <w:style w:type="paragraph" w:customStyle="1" w:styleId="559">
    <w:name w:val="_Style 154111"/>
    <w:basedOn w:val="1"/>
    <w:next w:val="155"/>
    <w:qFormat/>
    <w:uiPriority w:val="34"/>
    <w:pPr>
      <w:widowControl/>
      <w:ind w:firstLine="420"/>
      <w:jc w:val="left"/>
    </w:pPr>
    <w:rPr>
      <w:rFonts w:ascii="Times New Roman" w:hAnsi="Times New Roman" w:cs="宋体"/>
      <w:kern w:val="0"/>
    </w:rPr>
  </w:style>
  <w:style w:type="character" w:customStyle="1" w:styleId="560">
    <w:name w:val="图名 字符"/>
    <w:link w:val="247"/>
    <w:qFormat/>
    <w:uiPriority w:val="0"/>
    <w:rPr>
      <w:b/>
      <w:kern w:val="2"/>
      <w:sz w:val="24"/>
      <w:szCs w:val="21"/>
    </w:rPr>
  </w:style>
  <w:style w:type="character" w:customStyle="1" w:styleId="561">
    <w:name w:val="标题 7 字符1"/>
    <w:qFormat/>
    <w:uiPriority w:val="0"/>
    <w:rPr>
      <w:rFonts w:ascii="黑体" w:eastAsia="黑体"/>
      <w:b/>
      <w:bCs/>
      <w:spacing w:val="10"/>
      <w:kern w:val="2"/>
      <w:sz w:val="24"/>
      <w:szCs w:val="24"/>
      <w:lang w:val="zh-CN"/>
    </w:rPr>
  </w:style>
  <w:style w:type="character" w:customStyle="1" w:styleId="562">
    <w:name w:val="标题 8 字符1"/>
    <w:qFormat/>
    <w:uiPriority w:val="0"/>
    <w:rPr>
      <w:rFonts w:ascii="Arial" w:hAnsi="Arial" w:eastAsia="黑体"/>
      <w:spacing w:val="10"/>
      <w:kern w:val="2"/>
      <w:sz w:val="24"/>
      <w:szCs w:val="24"/>
      <w:lang w:val="zh-CN"/>
    </w:rPr>
  </w:style>
  <w:style w:type="character" w:customStyle="1" w:styleId="563">
    <w:name w:val="标题 9 字符1"/>
    <w:qFormat/>
    <w:uiPriority w:val="0"/>
    <w:rPr>
      <w:rFonts w:ascii="Arial" w:hAnsi="Arial" w:eastAsia="黑体"/>
      <w:spacing w:val="10"/>
      <w:kern w:val="2"/>
      <w:sz w:val="21"/>
      <w:szCs w:val="21"/>
      <w:lang w:val="zh-CN"/>
    </w:rPr>
  </w:style>
  <w:style w:type="character" w:customStyle="1" w:styleId="564">
    <w:name w:val="列表段落 字符"/>
    <w:qFormat/>
    <w:uiPriority w:val="34"/>
    <w:rPr>
      <w:kern w:val="2"/>
      <w:sz w:val="21"/>
      <w:szCs w:val="24"/>
    </w:rPr>
  </w:style>
  <w:style w:type="paragraph" w:customStyle="1" w:styleId="565">
    <w:name w:val="正文 New New New New"/>
    <w:qFormat/>
    <w:uiPriority w:val="0"/>
    <w:pPr>
      <w:widowControl w:val="0"/>
      <w:jc w:val="both"/>
    </w:pPr>
    <w:rPr>
      <w:rFonts w:ascii="Times New Roman" w:hAnsi="Times New Roman" w:eastAsia="宋体" w:cs="Times New Roman"/>
      <w:kern w:val="2"/>
      <w:sz w:val="24"/>
      <w:lang w:val="en-US" w:eastAsia="zh-CN" w:bidi="ar-SA"/>
    </w:rPr>
  </w:style>
  <w:style w:type="paragraph" w:customStyle="1" w:styleId="566">
    <w:name w:val="正文 New New New New New New New"/>
    <w:qFormat/>
    <w:uiPriority w:val="0"/>
    <w:pPr>
      <w:widowControl w:val="0"/>
      <w:jc w:val="both"/>
    </w:pPr>
    <w:rPr>
      <w:rFonts w:ascii="Times New Roman" w:hAnsi="Times New Roman" w:eastAsia="宋体" w:cs="Times New Roman"/>
      <w:kern w:val="2"/>
      <w:sz w:val="24"/>
      <w:lang w:val="en-US" w:eastAsia="zh-CN" w:bidi="ar-SA"/>
    </w:rPr>
  </w:style>
  <w:style w:type="paragraph" w:customStyle="1" w:styleId="567">
    <w:name w:val="xl76"/>
    <w:basedOn w:val="1"/>
    <w:qFormat/>
    <w:uiPriority w:val="0"/>
    <w:pPr>
      <w:widowControl/>
      <w:shd w:val="clear" w:color="000000" w:fill="FFFF00"/>
      <w:spacing w:before="100" w:beforeAutospacing="1" w:after="100" w:afterAutospacing="1"/>
      <w:jc w:val="left"/>
    </w:pPr>
    <w:rPr>
      <w:rFonts w:ascii="宋体" w:hAnsi="宋体" w:cs="宋体"/>
      <w:kern w:val="0"/>
      <w:sz w:val="24"/>
    </w:rPr>
  </w:style>
  <w:style w:type="paragraph" w:customStyle="1" w:styleId="568">
    <w:name w:val="xl7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00B0F0"/>
      <w:spacing w:before="100" w:beforeAutospacing="1" w:after="100" w:afterAutospacing="1"/>
      <w:jc w:val="center"/>
    </w:pPr>
    <w:rPr>
      <w:rFonts w:ascii="宋体" w:hAnsi="宋体" w:cs="宋体"/>
      <w:color w:val="000000"/>
      <w:kern w:val="0"/>
      <w:sz w:val="18"/>
      <w:szCs w:val="18"/>
    </w:rPr>
  </w:style>
  <w:style w:type="paragraph" w:customStyle="1" w:styleId="569">
    <w:name w:val="xl78"/>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00B0F0"/>
      <w:spacing w:before="100" w:beforeAutospacing="1" w:after="100" w:afterAutospacing="1"/>
      <w:jc w:val="left"/>
    </w:pPr>
    <w:rPr>
      <w:rFonts w:ascii="宋体" w:hAnsi="宋体" w:cs="宋体"/>
      <w:color w:val="000000"/>
      <w:kern w:val="0"/>
      <w:sz w:val="18"/>
      <w:szCs w:val="18"/>
    </w:rPr>
  </w:style>
  <w:style w:type="paragraph" w:customStyle="1" w:styleId="570">
    <w:name w:val="xl79"/>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00B0F0"/>
      <w:spacing w:before="100" w:beforeAutospacing="1" w:after="100" w:afterAutospacing="1"/>
      <w:jc w:val="center"/>
    </w:pPr>
    <w:rPr>
      <w:rFonts w:ascii="宋体" w:hAnsi="宋体" w:cs="宋体"/>
      <w:color w:val="000000"/>
      <w:kern w:val="0"/>
      <w:sz w:val="18"/>
      <w:szCs w:val="18"/>
    </w:rPr>
  </w:style>
  <w:style w:type="paragraph" w:customStyle="1" w:styleId="571">
    <w:name w:val="xl80"/>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00B0F0"/>
      <w:spacing w:before="100" w:beforeAutospacing="1" w:after="100" w:afterAutospacing="1"/>
      <w:jc w:val="right"/>
    </w:pPr>
    <w:rPr>
      <w:rFonts w:ascii="宋体" w:hAnsi="宋体" w:cs="宋体"/>
      <w:color w:val="000000"/>
      <w:kern w:val="0"/>
      <w:sz w:val="18"/>
      <w:szCs w:val="18"/>
    </w:rPr>
  </w:style>
  <w:style w:type="paragraph" w:customStyle="1" w:styleId="572">
    <w:name w:val="xl81"/>
    <w:basedOn w:val="1"/>
    <w:qFormat/>
    <w:uiPriority w:val="0"/>
    <w:pPr>
      <w:widowControl/>
      <w:shd w:val="clear" w:color="000000" w:fill="00B0F0"/>
      <w:spacing w:before="100" w:beforeAutospacing="1" w:after="100" w:afterAutospacing="1"/>
      <w:jc w:val="left"/>
    </w:pPr>
    <w:rPr>
      <w:rFonts w:ascii="宋体" w:hAnsi="宋体" w:cs="宋体"/>
      <w:kern w:val="0"/>
      <w:sz w:val="24"/>
    </w:rPr>
  </w:style>
  <w:style w:type="paragraph" w:customStyle="1" w:styleId="573">
    <w:name w:val="xl82"/>
    <w:basedOn w:val="1"/>
    <w:qFormat/>
    <w:uiPriority w:val="0"/>
    <w:pPr>
      <w:widowControl/>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574">
    <w:name w:val="xl83"/>
    <w:basedOn w:val="1"/>
    <w:qFormat/>
    <w:uiPriority w:val="0"/>
    <w:pPr>
      <w:widowControl/>
      <w:spacing w:before="100" w:beforeAutospacing="1" w:after="100" w:afterAutospacing="1"/>
      <w:jc w:val="center"/>
      <w:textAlignment w:val="center"/>
    </w:pPr>
    <w:rPr>
      <w:rFonts w:ascii="宋体" w:hAnsi="宋体" w:cs="宋体"/>
      <w:color w:val="000000"/>
      <w:kern w:val="0"/>
      <w:sz w:val="24"/>
    </w:rPr>
  </w:style>
  <w:style w:type="paragraph" w:customStyle="1" w:styleId="575">
    <w:name w:val="！表头样式"/>
    <w:basedOn w:val="1"/>
    <w:qFormat/>
    <w:uiPriority w:val="0"/>
    <w:pPr>
      <w:widowControl/>
      <w:spacing w:before="120" w:beforeLines="50" w:line="400" w:lineRule="atLeast"/>
      <w:jc w:val="center"/>
    </w:pPr>
    <w:rPr>
      <w:rFonts w:ascii="Arial" w:hAnsi="Arial" w:cs="Arial"/>
      <w:kern w:val="0"/>
      <w:sz w:val="24"/>
    </w:rPr>
  </w:style>
  <w:style w:type="paragraph" w:customStyle="1" w:styleId="576">
    <w:name w:val="zgj标题4"/>
    <w:basedOn w:val="6"/>
    <w:link w:val="577"/>
    <w:qFormat/>
    <w:uiPriority w:val="0"/>
    <w:pPr>
      <w:widowControl/>
      <w:spacing w:before="0" w:after="0" w:line="400" w:lineRule="atLeast"/>
    </w:pPr>
    <w:rPr>
      <w:rFonts w:ascii="Arial" w:hAnsi="Arial" w:eastAsia="黑体" w:cs="宋体"/>
      <w:kern w:val="0"/>
      <w:sz w:val="24"/>
    </w:rPr>
  </w:style>
  <w:style w:type="character" w:customStyle="1" w:styleId="577">
    <w:name w:val="zgj标题4 Char"/>
    <w:link w:val="576"/>
    <w:qFormat/>
    <w:uiPriority w:val="0"/>
    <w:rPr>
      <w:rFonts w:ascii="Arial" w:hAnsi="Arial" w:eastAsia="黑体" w:cs="宋体"/>
      <w:b/>
      <w:bCs/>
      <w:sz w:val="24"/>
      <w:szCs w:val="28"/>
    </w:rPr>
  </w:style>
  <w:style w:type="paragraph" w:customStyle="1" w:styleId="578">
    <w:name w:val="报告标题2"/>
    <w:basedOn w:val="4"/>
    <w:link w:val="579"/>
    <w:qFormat/>
    <w:uiPriority w:val="0"/>
    <w:pPr>
      <w:widowControl/>
      <w:spacing w:before="0" w:after="0" w:line="415" w:lineRule="auto"/>
    </w:pPr>
    <w:rPr>
      <w:rFonts w:ascii="Times New Roman" w:hAnsi="Times New Roman" w:eastAsia="黑体" w:cs="宋体"/>
      <w:b w:val="0"/>
      <w:kern w:val="0"/>
      <w:sz w:val="30"/>
    </w:rPr>
  </w:style>
  <w:style w:type="character" w:customStyle="1" w:styleId="579">
    <w:name w:val="报告标题2 Char"/>
    <w:link w:val="578"/>
    <w:qFormat/>
    <w:uiPriority w:val="0"/>
    <w:rPr>
      <w:rFonts w:eastAsia="黑体" w:cs="宋体"/>
      <w:bCs/>
      <w:sz w:val="30"/>
      <w:szCs w:val="32"/>
    </w:rPr>
  </w:style>
  <w:style w:type="paragraph" w:customStyle="1" w:styleId="580">
    <w:name w:val="报告标题4"/>
    <w:basedOn w:val="496"/>
    <w:link w:val="581"/>
    <w:qFormat/>
    <w:uiPriority w:val="0"/>
    <w:pPr>
      <w:spacing w:before="0" w:beforeLines="0" w:after="0" w:afterLines="0" w:line="360" w:lineRule="auto"/>
      <w:ind w:firstLine="0" w:firstLineChars="0"/>
      <w:outlineLvl w:val="3"/>
    </w:pPr>
    <w:rPr>
      <w:rFonts w:ascii="Times New Roman" w:hAnsi="Times New Roman" w:eastAsia="黑体"/>
      <w:sz w:val="26"/>
    </w:rPr>
  </w:style>
  <w:style w:type="character" w:customStyle="1" w:styleId="581">
    <w:name w:val="报告标题4 Char"/>
    <w:link w:val="580"/>
    <w:qFormat/>
    <w:uiPriority w:val="0"/>
    <w:rPr>
      <w:rFonts w:eastAsia="黑体" w:cs="宋体"/>
      <w:sz w:val="26"/>
      <w:szCs w:val="24"/>
    </w:rPr>
  </w:style>
  <w:style w:type="paragraph" w:customStyle="1" w:styleId="582">
    <w:name w:val="表格内文字"/>
    <w:basedOn w:val="1"/>
    <w:link w:val="583"/>
    <w:qFormat/>
    <w:uiPriority w:val="0"/>
    <w:pPr>
      <w:widowControl/>
      <w:ind w:firstLine="560"/>
      <w:jc w:val="center"/>
    </w:pPr>
    <w:rPr>
      <w:rFonts w:ascii="Times New Roman" w:hAnsi="Times New Roman" w:cs="宋体"/>
      <w:kern w:val="0"/>
      <w:szCs w:val="21"/>
    </w:rPr>
  </w:style>
  <w:style w:type="character" w:customStyle="1" w:styleId="583">
    <w:name w:val="表格内文字 Char"/>
    <w:link w:val="582"/>
    <w:qFormat/>
    <w:uiPriority w:val="0"/>
    <w:rPr>
      <w:rFonts w:cs="宋体"/>
      <w:sz w:val="21"/>
      <w:szCs w:val="21"/>
    </w:rPr>
  </w:style>
  <w:style w:type="character" w:customStyle="1" w:styleId="584">
    <w:name w:val="标题 7 字符2"/>
    <w:qFormat/>
    <w:uiPriority w:val="0"/>
    <w:rPr>
      <w:rFonts w:ascii="黑体" w:eastAsia="黑体"/>
      <w:b/>
      <w:bCs/>
      <w:spacing w:val="10"/>
      <w:kern w:val="2"/>
      <w:sz w:val="24"/>
      <w:szCs w:val="24"/>
      <w:lang w:val="zh-CN"/>
    </w:rPr>
  </w:style>
  <w:style w:type="character" w:customStyle="1" w:styleId="585">
    <w:name w:val="标题 8 字符2"/>
    <w:qFormat/>
    <w:uiPriority w:val="0"/>
    <w:rPr>
      <w:rFonts w:ascii="Arial" w:hAnsi="Arial" w:eastAsia="黑体"/>
      <w:spacing w:val="10"/>
      <w:kern w:val="2"/>
      <w:sz w:val="24"/>
      <w:szCs w:val="24"/>
      <w:lang w:val="zh-CN"/>
    </w:rPr>
  </w:style>
  <w:style w:type="character" w:customStyle="1" w:styleId="586">
    <w:name w:val="标题 9 字符2"/>
    <w:qFormat/>
    <w:uiPriority w:val="0"/>
    <w:rPr>
      <w:rFonts w:ascii="Arial" w:hAnsi="Arial" w:eastAsia="黑体"/>
      <w:spacing w:val="10"/>
      <w:kern w:val="2"/>
      <w:sz w:val="21"/>
      <w:szCs w:val="21"/>
      <w:lang w:val="zh-CN"/>
    </w:rPr>
  </w:style>
  <w:style w:type="character" w:customStyle="1" w:styleId="587">
    <w:name w:val="列表段落 字符1"/>
    <w:qFormat/>
    <w:uiPriority w:val="34"/>
    <w:rPr>
      <w:kern w:val="2"/>
      <w:sz w:val="21"/>
      <w:szCs w:val="24"/>
    </w:rPr>
  </w:style>
  <w:style w:type="paragraph" w:customStyle="1" w:styleId="588">
    <w:name w:val="_Style 1541"/>
    <w:basedOn w:val="1"/>
    <w:next w:val="155"/>
    <w:qFormat/>
    <w:uiPriority w:val="34"/>
    <w:pPr>
      <w:widowControl/>
      <w:ind w:firstLine="420"/>
      <w:jc w:val="left"/>
    </w:pPr>
    <w:rPr>
      <w:rFonts w:ascii="Times New Roman" w:hAnsi="Times New Roman" w:cs="宋体"/>
      <w:kern w:val="0"/>
    </w:rPr>
  </w:style>
  <w:style w:type="paragraph" w:customStyle="1" w:styleId="589">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Lines="50" w:beforeAutospacing="1" w:after="100" w:afterLines="50" w:afterAutospacing="1" w:line="400" w:lineRule="atLeast"/>
      <w:jc w:val="center"/>
      <w:textAlignment w:val="center"/>
    </w:pPr>
    <w:rPr>
      <w:rFonts w:ascii="Arial" w:hAnsi="Arial" w:cs="宋体"/>
      <w:color w:val="000000"/>
      <w:kern w:val="0"/>
      <w:sz w:val="26"/>
      <w:szCs w:val="26"/>
    </w:rPr>
  </w:style>
  <w:style w:type="paragraph" w:customStyle="1" w:styleId="590">
    <w:name w:val="_Style 851"/>
    <w:basedOn w:val="3"/>
    <w:next w:val="1"/>
    <w:qFormat/>
    <w:uiPriority w:val="39"/>
    <w:pPr>
      <w:keepLines/>
      <w:widowControl/>
      <w:overflowPunct/>
      <w:snapToGrid/>
      <w:spacing w:before="240" w:beforeLines="50" w:after="0" w:afterLines="50"/>
      <w:ind w:left="0" w:firstLine="0" w:firstLineChars="200"/>
      <w:jc w:val="left"/>
      <w:outlineLvl w:val="9"/>
    </w:pPr>
    <w:rPr>
      <w:rFonts w:ascii="等线 Light" w:hAnsi="等线 Light" w:eastAsia="等线 Light"/>
      <w:b w:val="0"/>
      <w:bCs w:val="0"/>
      <w:color w:val="2E74B5"/>
      <w:kern w:val="0"/>
      <w:szCs w:val="32"/>
    </w:rPr>
  </w:style>
  <w:style w:type="character" w:customStyle="1" w:styleId="591">
    <w:name w:val="_Style 1351"/>
    <w:unhideWhenUsed/>
    <w:qFormat/>
    <w:uiPriority w:val="99"/>
    <w:rPr>
      <w:color w:val="605E5C"/>
      <w:shd w:val="clear" w:color="auto" w:fill="E1DFDD"/>
    </w:rPr>
  </w:style>
  <w:style w:type="character" w:customStyle="1" w:styleId="592">
    <w:name w:val="标题 7 字符3"/>
    <w:qFormat/>
    <w:uiPriority w:val="0"/>
    <w:rPr>
      <w:rFonts w:ascii="黑体" w:eastAsia="黑体"/>
      <w:b/>
      <w:bCs/>
      <w:spacing w:val="10"/>
      <w:kern w:val="2"/>
      <w:sz w:val="24"/>
      <w:szCs w:val="24"/>
      <w:lang w:val="zh-CN"/>
    </w:rPr>
  </w:style>
  <w:style w:type="character" w:customStyle="1" w:styleId="593">
    <w:name w:val="标题 8 字符3"/>
    <w:qFormat/>
    <w:uiPriority w:val="0"/>
    <w:rPr>
      <w:rFonts w:ascii="Arial" w:hAnsi="Arial" w:eastAsia="黑体"/>
      <w:spacing w:val="10"/>
      <w:kern w:val="2"/>
      <w:sz w:val="24"/>
      <w:szCs w:val="24"/>
      <w:lang w:val="zh-CN"/>
    </w:rPr>
  </w:style>
  <w:style w:type="character" w:customStyle="1" w:styleId="594">
    <w:name w:val="标题 9 字符3"/>
    <w:qFormat/>
    <w:uiPriority w:val="0"/>
    <w:rPr>
      <w:rFonts w:ascii="Arial" w:hAnsi="Arial" w:eastAsia="黑体"/>
      <w:spacing w:val="10"/>
      <w:kern w:val="2"/>
      <w:sz w:val="21"/>
      <w:szCs w:val="21"/>
      <w:lang w:val="zh-CN"/>
    </w:rPr>
  </w:style>
  <w:style w:type="character" w:customStyle="1" w:styleId="595">
    <w:name w:val="_Style 2051"/>
    <w:qFormat/>
    <w:uiPriority w:val="19"/>
    <w:rPr>
      <w:i/>
      <w:iCs/>
      <w:color w:val="808080"/>
    </w:rPr>
  </w:style>
  <w:style w:type="character" w:customStyle="1" w:styleId="596">
    <w:name w:val="列表段落 字符2"/>
    <w:qFormat/>
    <w:uiPriority w:val="34"/>
    <w:rPr>
      <w:kern w:val="2"/>
      <w:sz w:val="21"/>
      <w:szCs w:val="24"/>
    </w:rPr>
  </w:style>
  <w:style w:type="paragraph" w:customStyle="1" w:styleId="597">
    <w:name w:val="纯文本11"/>
    <w:basedOn w:val="1"/>
    <w:qFormat/>
    <w:uiPriority w:val="0"/>
    <w:pPr>
      <w:adjustRightInd w:val="0"/>
      <w:spacing w:before="50" w:beforeLines="50" w:after="50" w:afterLines="50" w:line="400" w:lineRule="exact"/>
      <w:ind w:firstLine="200" w:firstLineChars="200"/>
      <w:textAlignment w:val="baseline"/>
    </w:pPr>
    <w:rPr>
      <w:rFonts w:ascii="Arial" w:hAnsi="Courier New"/>
      <w:sz w:val="28"/>
      <w:szCs w:val="20"/>
    </w:rPr>
  </w:style>
  <w:style w:type="paragraph" w:customStyle="1" w:styleId="598">
    <w:name w:val="_Style 2261"/>
    <w:hidden/>
    <w:unhideWhenUsed/>
    <w:qFormat/>
    <w:uiPriority w:val="99"/>
    <w:rPr>
      <w:rFonts w:ascii="Times New Roman" w:hAnsi="Times New Roman" w:eastAsia="宋体" w:cs="Times New Roman"/>
      <w:kern w:val="2"/>
      <w:sz w:val="21"/>
      <w:szCs w:val="24"/>
      <w:lang w:val="en-US" w:eastAsia="zh-CN" w:bidi="ar-SA"/>
    </w:rPr>
  </w:style>
  <w:style w:type="character" w:customStyle="1" w:styleId="599">
    <w:name w:val="_Style 2281"/>
    <w:qFormat/>
    <w:uiPriority w:val="32"/>
    <w:rPr>
      <w:b/>
      <w:bCs/>
      <w:smallCaps/>
      <w:color w:val="4472C4"/>
      <w:spacing w:val="5"/>
    </w:rPr>
  </w:style>
  <w:style w:type="character" w:customStyle="1" w:styleId="600">
    <w:name w:val="_Style 2291"/>
    <w:qFormat/>
    <w:uiPriority w:val="33"/>
    <w:rPr>
      <w:b/>
      <w:bCs/>
      <w:i/>
      <w:iCs/>
      <w:spacing w:val="5"/>
    </w:rPr>
  </w:style>
  <w:style w:type="paragraph" w:customStyle="1" w:styleId="601">
    <w:name w:val="List Paragraph1"/>
    <w:basedOn w:val="1"/>
    <w:qFormat/>
    <w:uiPriority w:val="34"/>
    <w:pPr>
      <w:spacing w:before="50" w:beforeLines="50" w:after="50" w:afterLines="50" w:line="400" w:lineRule="atLeast"/>
      <w:ind w:firstLine="420" w:firstLineChars="200"/>
    </w:pPr>
    <w:rPr>
      <w:rFonts w:ascii="Times New Roman" w:hAnsi="Times New Roman"/>
    </w:rPr>
  </w:style>
  <w:style w:type="paragraph" w:customStyle="1" w:styleId="602">
    <w:name w:val="_Style 15411"/>
    <w:basedOn w:val="1"/>
    <w:next w:val="155"/>
    <w:qFormat/>
    <w:uiPriority w:val="34"/>
    <w:pPr>
      <w:spacing w:before="50" w:beforeLines="50" w:after="50" w:afterLines="50" w:line="400" w:lineRule="atLeast"/>
      <w:ind w:firstLine="420"/>
    </w:pPr>
    <w:rPr>
      <w:rFonts w:ascii="Times New Roman" w:hAnsi="Times New Roman"/>
    </w:rPr>
  </w:style>
  <w:style w:type="paragraph" w:customStyle="1" w:styleId="603">
    <w:name w:val="纯文本2"/>
    <w:basedOn w:val="1"/>
    <w:qFormat/>
    <w:uiPriority w:val="0"/>
    <w:pPr>
      <w:widowControl/>
      <w:adjustRightInd w:val="0"/>
      <w:spacing w:before="50" w:beforeLines="50" w:after="50" w:afterLines="50" w:line="400" w:lineRule="atLeast"/>
      <w:jc w:val="left"/>
      <w:textAlignment w:val="baseline"/>
    </w:pPr>
    <w:rPr>
      <w:rFonts w:ascii="宋体" w:hAnsi="Courier New" w:cs="宋体"/>
      <w:kern w:val="0"/>
      <w:sz w:val="28"/>
      <w:szCs w:val="20"/>
    </w:rPr>
  </w:style>
  <w:style w:type="character" w:customStyle="1" w:styleId="604">
    <w:name w:val="列出段落 字符"/>
    <w:qFormat/>
    <w:uiPriority w:val="34"/>
    <w:rPr>
      <w:kern w:val="2"/>
      <w:sz w:val="21"/>
      <w:szCs w:val="24"/>
    </w:rPr>
  </w:style>
  <w:style w:type="character" w:customStyle="1" w:styleId="605">
    <w:name w:val="明显参考2"/>
    <w:qFormat/>
    <w:uiPriority w:val="32"/>
    <w:rPr>
      <w:b/>
      <w:bCs/>
      <w:smallCaps/>
      <w:color w:val="4472C4"/>
      <w:spacing w:val="5"/>
    </w:rPr>
  </w:style>
  <w:style w:type="character" w:customStyle="1" w:styleId="606">
    <w:name w:val="书籍标题1"/>
    <w:qFormat/>
    <w:uiPriority w:val="33"/>
    <w:rPr>
      <w:b/>
      <w:bCs/>
      <w:i/>
      <w:iCs/>
      <w:spacing w:val="5"/>
    </w:rPr>
  </w:style>
  <w:style w:type="character" w:customStyle="1" w:styleId="607">
    <w:name w:val="A正文 字符"/>
    <w:link w:val="438"/>
    <w:qFormat/>
    <w:uiPriority w:val="0"/>
    <w:rPr>
      <w:rFonts w:ascii="Calibri" w:hAnsi="Calibri"/>
      <w:kern w:val="2"/>
      <w:sz w:val="21"/>
      <w:szCs w:val="24"/>
    </w:rPr>
  </w:style>
  <w:style w:type="character" w:customStyle="1" w:styleId="608">
    <w:name w:val="15"/>
    <w:qFormat/>
    <w:uiPriority w:val="0"/>
    <w:rPr>
      <w:rFonts w:hint="default" w:ascii="Times New Roman" w:hAnsi="Times New Roman" w:cs="Times New Roman"/>
      <w:color w:val="0563C1"/>
      <w:u w:val="single"/>
    </w:rPr>
  </w:style>
  <w:style w:type="character" w:customStyle="1" w:styleId="609">
    <w:name w:val="20"/>
    <w:basedOn w:val="63"/>
    <w:qFormat/>
    <w:uiPriority w:val="0"/>
    <w:rPr>
      <w:rFonts w:hint="eastAsia" w:ascii="仿宋" w:hAnsi="仿宋" w:eastAsia="仿宋"/>
      <w:color w:val="000000"/>
      <w:sz w:val="20"/>
      <w:szCs w:val="20"/>
    </w:rPr>
  </w:style>
  <w:style w:type="paragraph" w:customStyle="1" w:styleId="610">
    <w:name w:val="+正文"/>
    <w:basedOn w:val="1"/>
    <w:autoRedefine/>
    <w:qFormat/>
    <w:uiPriority w:val="0"/>
    <w:pPr>
      <w:widowControl/>
    </w:pPr>
    <w:rPr>
      <w:szCs w:val="28"/>
    </w:rPr>
  </w:style>
  <w:style w:type="paragraph" w:customStyle="1" w:styleId="611">
    <w:name w:val="A宋体新罗马小四"/>
    <w:basedOn w:val="1"/>
    <w:qFormat/>
    <w:uiPriority w:val="0"/>
    <w:pPr>
      <w:widowControl/>
    </w:pPr>
    <w:rPr>
      <w:rFonts w:cs="宋体"/>
      <w:bCs/>
      <w:color w:val="000000"/>
      <w:kern w:val="0"/>
    </w:rPr>
  </w:style>
  <w:style w:type="paragraph" w:customStyle="1" w:styleId="612">
    <w:name w:val="_正文"/>
    <w:basedOn w:val="1"/>
    <w:qFormat/>
    <w:uiPriority w:val="0"/>
    <w:pPr>
      <w:adjustRightInd w:val="0"/>
      <w:ind w:firstLine="480"/>
    </w:pPr>
    <w:rPr>
      <w:color w:val="000000"/>
    </w:rPr>
  </w:style>
  <w:style w:type="paragraph" w:customStyle="1" w:styleId="613">
    <w:name w:val="表小5无缩进"/>
    <w:basedOn w:val="1"/>
    <w:link w:val="614"/>
    <w:qFormat/>
    <w:uiPriority w:val="0"/>
    <w:pPr>
      <w:snapToGrid w:val="0"/>
      <w:spacing w:line="300" w:lineRule="auto"/>
    </w:pPr>
    <w:rPr>
      <w:rFonts w:ascii="Times New Roman" w:hAnsi="Times New Roman"/>
      <w:sz w:val="18"/>
      <w:szCs w:val="18"/>
    </w:rPr>
  </w:style>
  <w:style w:type="character" w:customStyle="1" w:styleId="614">
    <w:name w:val="表小5无缩进 字符"/>
    <w:basedOn w:val="63"/>
    <w:link w:val="613"/>
    <w:autoRedefine/>
    <w:qFormat/>
    <w:uiPriority w:val="0"/>
    <w:rPr>
      <w:kern w:val="2"/>
      <w:sz w:val="18"/>
      <w:szCs w:val="18"/>
    </w:rPr>
  </w:style>
  <w:style w:type="character" w:customStyle="1" w:styleId="615">
    <w:name w:val="表格内容 字符"/>
    <w:autoRedefine/>
    <w:qFormat/>
    <w:uiPriority w:val="0"/>
    <w:rPr>
      <w:kern w:val="2"/>
      <w:sz w:val="18"/>
      <w:szCs w:val="18"/>
      <w:lang w:eastAsia="en-US"/>
    </w:rPr>
  </w:style>
  <w:style w:type="character" w:customStyle="1" w:styleId="616">
    <w:name w:val="h1"/>
    <w:qFormat/>
    <w:uiPriority w:val="0"/>
  </w:style>
  <w:style w:type="paragraph" w:customStyle="1" w:styleId="617">
    <w:name w:val="图片格式"/>
    <w:qFormat/>
    <w:uiPriority w:val="0"/>
    <w:pPr>
      <w:jc w:val="center"/>
    </w:pPr>
    <w:rPr>
      <w:rFonts w:ascii="Times New Roman" w:hAnsi="Times New Roman" w:eastAsia="宋体" w:cs="Times New Roman"/>
      <w:kern w:val="2"/>
      <w:sz w:val="21"/>
      <w:szCs w:val="24"/>
      <w:lang w:val="en-US" w:eastAsia="zh-CN" w:bidi="ar-SA"/>
      <w14:ligatures w14:val="standardContextual"/>
    </w:rPr>
  </w:style>
  <w:style w:type="paragraph" w:customStyle="1" w:styleId="618">
    <w:name w:val="图注"/>
    <w:basedOn w:val="1"/>
    <w:next w:val="1"/>
    <w:qFormat/>
    <w:uiPriority w:val="0"/>
    <w:pPr>
      <w:keepNext/>
      <w:keepLines/>
      <w:spacing w:line="240" w:lineRule="auto"/>
      <w:jc w:val="center"/>
    </w:pPr>
    <w:rPr>
      <w:rFonts w:cs="Times New Roman"/>
      <w:b/>
      <w:bCs/>
      <w:color w:val="auto"/>
      <w:kern w:val="2"/>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8" Type="http://schemas.microsoft.com/office/2011/relationships/people" Target="people.xml"/><Relationship Id="rId57" Type="http://schemas.openxmlformats.org/officeDocument/2006/relationships/fontTable" Target="fontTable.xml"/><Relationship Id="rId56" Type="http://schemas.openxmlformats.org/officeDocument/2006/relationships/customXml" Target="../customXml/item2.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chart" Target="charts/chart1.xml"/><Relationship Id="rId52" Type="http://schemas.openxmlformats.org/officeDocument/2006/relationships/image" Target="media/image43.wmf"/><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footer" Target="footer1.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microsoft.com/office/2011/relationships/commentsExtended" Target="commentsExtended.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jpe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comments" Target="comments.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tiff"/><Relationship Id="rId10" Type="http://schemas.openxmlformats.org/officeDocument/2006/relationships/image" Target="media/image1.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[工作簿1]Sheet1!$N$3</c:f>
              <c:strCache>
                <c:ptCount val="1"/>
                <c:pt idx="0">
                  <c:v>天然来水枯</c:v>
                </c:pt>
              </c:strCache>
            </c:strRef>
          </c:tx>
          <c:spPr>
            <a:ln w="19050" cap="rnd">
              <a:solidFill>
                <a:schemeClr val="accent1"/>
              </a:solidFill>
              <a:round/>
            </a:ln>
            <a:effectLst/>
            <a:sp3d contourW="19050"/>
          </c:spPr>
          <c:marker>
            <c:symbol val="none"/>
          </c:marker>
          <c:dLbls>
            <c:delete val="1"/>
          </c:dLbls>
          <c:cat>
            <c:strRef>
              <c:f>[工作簿1]Sheet1!$M$4:$M$15</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[工作簿1]Sheet1!$N$4:$N$15</c:f>
              <c:numCache>
                <c:formatCode>General</c:formatCode>
                <c:ptCount val="12"/>
                <c:pt idx="0">
                  <c:v>0.23</c:v>
                </c:pt>
                <c:pt idx="1">
                  <c:v>0.18</c:v>
                </c:pt>
                <c:pt idx="2">
                  <c:v>0.21</c:v>
                </c:pt>
                <c:pt idx="3">
                  <c:v>0.32</c:v>
                </c:pt>
                <c:pt idx="4">
                  <c:v>0.72</c:v>
                </c:pt>
                <c:pt idx="5">
                  <c:v>1.45</c:v>
                </c:pt>
                <c:pt idx="6">
                  <c:v>1.73</c:v>
                </c:pt>
                <c:pt idx="7">
                  <c:v>1.28</c:v>
                </c:pt>
                <c:pt idx="8">
                  <c:v>1.39</c:v>
                </c:pt>
                <c:pt idx="9">
                  <c:v>1.03</c:v>
                </c:pt>
                <c:pt idx="10">
                  <c:v>0.5</c:v>
                </c:pt>
                <c:pt idx="11">
                  <c:v>0.31</c:v>
                </c:pt>
              </c:numCache>
            </c:numRef>
          </c:val>
          <c:smooth val="0"/>
        </c:ser>
        <c:ser>
          <c:idx val="1"/>
          <c:order val="1"/>
          <c:tx>
            <c:strRef>
              <c:f>[工作簿1]Sheet1!$O$3</c:f>
              <c:strCache>
                <c:ptCount val="1"/>
                <c:pt idx="0">
                  <c:v>天然来水平</c:v>
                </c:pt>
              </c:strCache>
            </c:strRef>
          </c:tx>
          <c:spPr>
            <a:ln w="19050" cap="rnd">
              <a:solidFill>
                <a:schemeClr val="accent2"/>
              </a:solidFill>
              <a:round/>
            </a:ln>
            <a:effectLst/>
            <a:sp3d contourW="19050"/>
          </c:spPr>
          <c:marker>
            <c:symbol val="none"/>
          </c:marker>
          <c:dLbls>
            <c:delete val="1"/>
          </c:dLbls>
          <c:cat>
            <c:strRef>
              <c:f>[工作簿1]Sheet1!$M$4:$M$15</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[工作簿1]Sheet1!$O$4:$O$15</c:f>
              <c:numCache>
                <c:formatCode>General</c:formatCode>
                <c:ptCount val="12"/>
                <c:pt idx="0">
                  <c:v>0.38</c:v>
                </c:pt>
                <c:pt idx="1">
                  <c:v>0.36</c:v>
                </c:pt>
                <c:pt idx="2">
                  <c:v>0.37</c:v>
                </c:pt>
                <c:pt idx="3">
                  <c:v>0.38</c:v>
                </c:pt>
                <c:pt idx="4">
                  <c:v>0.52</c:v>
                </c:pt>
                <c:pt idx="5">
                  <c:v>1.59</c:v>
                </c:pt>
                <c:pt idx="6">
                  <c:v>1.84</c:v>
                </c:pt>
                <c:pt idx="7">
                  <c:v>2.42</c:v>
                </c:pt>
                <c:pt idx="8">
                  <c:v>2.26</c:v>
                </c:pt>
                <c:pt idx="9">
                  <c:v>0.93</c:v>
                </c:pt>
                <c:pt idx="10">
                  <c:v>0.57</c:v>
                </c:pt>
                <c:pt idx="11">
                  <c:v>0.41</c:v>
                </c:pt>
              </c:numCache>
            </c:numRef>
          </c:val>
          <c:smooth val="0"/>
        </c:ser>
        <c:ser>
          <c:idx val="2"/>
          <c:order val="2"/>
          <c:tx>
            <c:strRef>
              <c:f>[工作簿1]Sheet1!$P$3</c:f>
              <c:strCache>
                <c:ptCount val="1"/>
                <c:pt idx="0">
                  <c:v>天然来水丰</c:v>
                </c:pt>
              </c:strCache>
            </c:strRef>
          </c:tx>
          <c:spPr>
            <a:ln w="19050" cap="rnd">
              <a:solidFill>
                <a:srgbClr val="FF0000"/>
              </a:solidFill>
              <a:round/>
            </a:ln>
            <a:effectLst/>
            <a:sp3d contourW="19050"/>
          </c:spPr>
          <c:marker>
            <c:symbol val="none"/>
          </c:marker>
          <c:dLbls>
            <c:delete val="1"/>
          </c:dLbls>
          <c:cat>
            <c:strRef>
              <c:f>[工作簿1]Sheet1!$M$4:$M$15</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[工作簿1]Sheet1!$P$4:$P$15</c:f>
              <c:numCache>
                <c:formatCode>General</c:formatCode>
                <c:ptCount val="12"/>
                <c:pt idx="0">
                  <c:v>0.29</c:v>
                </c:pt>
                <c:pt idx="1">
                  <c:v>0.29</c:v>
                </c:pt>
                <c:pt idx="2">
                  <c:v>0.29</c:v>
                </c:pt>
                <c:pt idx="3">
                  <c:v>0.44</c:v>
                </c:pt>
                <c:pt idx="4">
                  <c:v>1.31</c:v>
                </c:pt>
                <c:pt idx="5">
                  <c:v>2.33</c:v>
                </c:pt>
                <c:pt idx="6">
                  <c:v>2.62</c:v>
                </c:pt>
                <c:pt idx="7">
                  <c:v>2.04</c:v>
                </c:pt>
                <c:pt idx="8">
                  <c:v>2.18</c:v>
                </c:pt>
                <c:pt idx="9">
                  <c:v>1.6</c:v>
                </c:pt>
                <c:pt idx="10">
                  <c:v>0.73</c:v>
                </c:pt>
                <c:pt idx="11">
                  <c:v>0.44</c:v>
                </c:pt>
              </c:numCache>
            </c:numRef>
          </c:val>
          <c:smooth val="0"/>
        </c:ser>
        <c:ser>
          <c:idx val="3"/>
          <c:order val="3"/>
          <c:tx>
            <c:strRef>
              <c:f>[工作簿1]Sheet1!$Q$3</c:f>
              <c:strCache>
                <c:ptCount val="1"/>
                <c:pt idx="0">
                  <c:v>下游余水枯</c:v>
                </c:pt>
              </c:strCache>
            </c:strRef>
          </c:tx>
          <c:spPr>
            <a:ln w="19050" cap="rnd">
              <a:solidFill>
                <a:schemeClr val="accent4"/>
              </a:solidFill>
              <a:round/>
            </a:ln>
            <a:effectLst/>
            <a:sp3d contourW="19050"/>
          </c:spPr>
          <c:marker>
            <c:symbol val="none"/>
          </c:marker>
          <c:dLbls>
            <c:delete val="1"/>
          </c:dLbls>
          <c:cat>
            <c:strRef>
              <c:f>[工作簿1]Sheet1!$M$4:$M$15</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[工作簿1]Sheet1!$Q$4:$Q$15</c:f>
              <c:numCache>
                <c:formatCode>General</c:formatCode>
                <c:ptCount val="12"/>
                <c:pt idx="0">
                  <c:v>0.088</c:v>
                </c:pt>
                <c:pt idx="1">
                  <c:v>0.038</c:v>
                </c:pt>
                <c:pt idx="2">
                  <c:v>0.068</c:v>
                </c:pt>
                <c:pt idx="3">
                  <c:v>0.178</c:v>
                </c:pt>
                <c:pt idx="4">
                  <c:v>0.578</c:v>
                </c:pt>
                <c:pt idx="5">
                  <c:v>1.308</c:v>
                </c:pt>
                <c:pt idx="6">
                  <c:v>1.588</c:v>
                </c:pt>
                <c:pt idx="7">
                  <c:v>1.138</c:v>
                </c:pt>
                <c:pt idx="8">
                  <c:v>1.238</c:v>
                </c:pt>
                <c:pt idx="9">
                  <c:v>0.888</c:v>
                </c:pt>
                <c:pt idx="10">
                  <c:v>0.358</c:v>
                </c:pt>
                <c:pt idx="11">
                  <c:v>0.168</c:v>
                </c:pt>
              </c:numCache>
            </c:numRef>
          </c:val>
          <c:smooth val="0"/>
        </c:ser>
        <c:ser>
          <c:idx val="4"/>
          <c:order val="4"/>
          <c:tx>
            <c:strRef>
              <c:f>[工作簿1]Sheet1!$R$3</c:f>
              <c:strCache>
                <c:ptCount val="1"/>
                <c:pt idx="0">
                  <c:v>下游余水平</c:v>
                </c:pt>
              </c:strCache>
            </c:strRef>
          </c:tx>
          <c:spPr>
            <a:ln w="19050" cap="rnd">
              <a:solidFill>
                <a:schemeClr val="accent5"/>
              </a:solidFill>
              <a:round/>
            </a:ln>
            <a:effectLst/>
            <a:sp3d contourW="19050"/>
          </c:spPr>
          <c:marker>
            <c:symbol val="none"/>
          </c:marker>
          <c:dLbls>
            <c:delete val="1"/>
          </c:dLbls>
          <c:cat>
            <c:strRef>
              <c:f>[工作簿1]Sheet1!$M$4:$M$15</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[工作簿1]Sheet1!$R$4:$R$15</c:f>
              <c:numCache>
                <c:formatCode>General</c:formatCode>
                <c:ptCount val="12"/>
                <c:pt idx="0">
                  <c:v>0.237</c:v>
                </c:pt>
                <c:pt idx="1">
                  <c:v>0.217</c:v>
                </c:pt>
                <c:pt idx="2">
                  <c:v>0.227</c:v>
                </c:pt>
                <c:pt idx="3">
                  <c:v>0.237</c:v>
                </c:pt>
                <c:pt idx="4">
                  <c:v>0.377</c:v>
                </c:pt>
                <c:pt idx="5">
                  <c:v>1.447</c:v>
                </c:pt>
                <c:pt idx="6">
                  <c:v>1.697</c:v>
                </c:pt>
                <c:pt idx="7">
                  <c:v>2.277</c:v>
                </c:pt>
                <c:pt idx="8">
                  <c:v>2.117</c:v>
                </c:pt>
                <c:pt idx="9">
                  <c:v>0.787</c:v>
                </c:pt>
                <c:pt idx="10">
                  <c:v>0.427</c:v>
                </c:pt>
                <c:pt idx="11">
                  <c:v>0.267</c:v>
                </c:pt>
              </c:numCache>
            </c:numRef>
          </c:val>
          <c:smooth val="0"/>
        </c:ser>
        <c:ser>
          <c:idx val="5"/>
          <c:order val="5"/>
          <c:tx>
            <c:strRef>
              <c:f>[工作簿1]Sheet1!$S$3</c:f>
              <c:strCache>
                <c:ptCount val="1"/>
                <c:pt idx="0">
                  <c:v>下游余水丰</c:v>
                </c:pt>
              </c:strCache>
            </c:strRef>
          </c:tx>
          <c:spPr>
            <a:ln w="19050" cap="rnd">
              <a:solidFill>
                <a:srgbClr val="00B0F0"/>
              </a:solidFill>
              <a:round/>
            </a:ln>
            <a:effectLst/>
            <a:sp3d contourW="19050"/>
          </c:spPr>
          <c:marker>
            <c:symbol val="none"/>
          </c:marker>
          <c:dLbls>
            <c:delete val="1"/>
          </c:dLbls>
          <c:cat>
            <c:strRef>
              <c:f>[工作簿1]Sheet1!$M$4:$M$15</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[工作簿1]Sheet1!$S$4:$S$15</c:f>
              <c:numCache>
                <c:formatCode>General</c:formatCode>
                <c:ptCount val="12"/>
                <c:pt idx="0">
                  <c:v>0.147</c:v>
                </c:pt>
                <c:pt idx="1">
                  <c:v>0.147</c:v>
                </c:pt>
                <c:pt idx="2">
                  <c:v>0.147</c:v>
                </c:pt>
                <c:pt idx="3">
                  <c:v>0.297</c:v>
                </c:pt>
                <c:pt idx="4">
                  <c:v>1.167</c:v>
                </c:pt>
                <c:pt idx="5">
                  <c:v>2.187</c:v>
                </c:pt>
                <c:pt idx="6">
                  <c:v>2.477</c:v>
                </c:pt>
                <c:pt idx="7">
                  <c:v>1.897</c:v>
                </c:pt>
                <c:pt idx="8">
                  <c:v>2.037</c:v>
                </c:pt>
                <c:pt idx="9">
                  <c:v>1.457</c:v>
                </c:pt>
                <c:pt idx="10">
                  <c:v>0.587</c:v>
                </c:pt>
                <c:pt idx="11">
                  <c:v>0.297</c:v>
                </c:pt>
              </c:numCache>
            </c:numRef>
          </c:val>
          <c:smooth val="0"/>
        </c:ser>
        <c:dLbls>
          <c:showLegendKey val="0"/>
          <c:showVal val="0"/>
          <c:showCatName val="0"/>
          <c:showSerName val="0"/>
          <c:showPercent val="0"/>
          <c:showBubbleSize val="0"/>
        </c:dLbls>
        <c:marker val="0"/>
        <c:smooth val="0"/>
        <c:axId val="423458787"/>
        <c:axId val="343392895"/>
      </c:lineChart>
      <c:catAx>
        <c:axId val="4234587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392895"/>
        <c:crosses val="autoZero"/>
        <c:auto val="1"/>
        <c:lblAlgn val="ctr"/>
        <c:lblOffset val="100"/>
        <c:noMultiLvlLbl val="0"/>
      </c:catAx>
      <c:valAx>
        <c:axId val="3433928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458787"/>
        <c:crosses val="autoZero"/>
        <c:crossBetween val="between"/>
      </c:valAx>
      <c:spPr>
        <a:noFill/>
        <a:ln>
          <a:noFill/>
        </a:ln>
        <a:effectLst/>
      </c:spPr>
    </c:plotArea>
    <c:legend>
      <c:legendPos val="b"/>
      <c:layout>
        <c:manualLayout>
          <c:xMode val="edge"/>
          <c:yMode val="edge"/>
          <c:x val="0.216315789473684"/>
          <c:y val="0.828009259259259"/>
          <c:w val="0.654210526315789"/>
          <c:h val="0.14074074074074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32bae2c-490f-44c1-8a22-2b7f989b122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B8891D-CF8F-4B59-A9EE-B5C1CC9E6FA6}">
  <ds:schemaRefs/>
</ds:datastoreItem>
</file>

<file path=docProps/app.xml><?xml version="1.0" encoding="utf-8"?>
<Properties xmlns="http://schemas.openxmlformats.org/officeDocument/2006/extended-properties" xmlns:vt="http://schemas.openxmlformats.org/officeDocument/2006/docPropsVTypes">
  <Template>Normal.dotm</Template>
  <Pages>196</Pages>
  <Words>30209</Words>
  <Characters>31552</Characters>
  <Lines>1607</Lines>
  <Paragraphs>452</Paragraphs>
  <TotalTime>83</TotalTime>
  <ScaleCrop>false</ScaleCrop>
  <LinksUpToDate>false</LinksUpToDate>
  <CharactersWithSpaces>31553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2025-10-28T17:00:00Z</dcterms:created>
  <dc:creator>环环（微信号：eianet2016）</dc:creator>
  <cp:lastModifiedBy>Samdy</cp:lastModifiedBy>
  <cp:lastPrinted>2022-10-28T10:20:00Z</cp:lastPrinted>
  <dcterms:modified xsi:type="dcterms:W3CDTF">2026-10-23T07:42:56Z</dcterms:modified>
  <dc:title>建设项目环境影响报告表（污染影响类-填写指南）</dc:title>
  <cp:revision>433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9855B338C4BC4791A849D716ADF8FA66_13</vt:lpwstr>
  </property>
  <property fmtid="{D5CDD505-2E9C-101B-9397-08002B2CF9AE}" pid="4" name="KSOTemplateDocerSaveRecord">
    <vt:lpwstr>eyJoZGlkIjoiNjUzMDUwMzNhOGMwZGE2ODlkZGUxYzlmY2VlN2NlZTEiLCJ1c2VySWQiOiI2MzU3MzUzNTcifQ==</vt:lpwstr>
  </property>
</Properties>
</file>