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209AB8">
      <w:pPr>
        <w:keepNext w:val="0"/>
        <w:keepLines w:val="0"/>
        <w:pageBreakBefore w:val="0"/>
        <w:widowControl/>
        <w:kinsoku w:val="0"/>
        <w:wordWrap/>
        <w:overflowPunct/>
        <w:topLinePunct w:val="0"/>
        <w:autoSpaceDE w:val="0"/>
        <w:autoSpaceDN w:val="0"/>
        <w:bidi w:val="0"/>
        <w:adjustRightInd w:val="0"/>
        <w:snapToGrid w:val="0"/>
        <w:spacing w:line="360" w:lineRule="auto"/>
        <w:ind w:firstLine="0"/>
        <w:jc w:val="center"/>
        <w:textAlignment w:val="baseline"/>
        <w:rPr>
          <w:rFonts w:hint="default" w:ascii="Times New Roman" w:hAnsi="Times New Roman" w:eastAsia="宋体" w:cs="Times New Roman"/>
          <w:b/>
          <w:bCs/>
          <w:color w:val="auto"/>
          <w:spacing w:val="20"/>
          <w:sz w:val="44"/>
          <w:szCs w:val="44"/>
          <w:highlight w:val="none"/>
          <w:lang w:val="en-US" w:eastAsia="zh-CN"/>
        </w:rPr>
      </w:pPr>
      <w:r>
        <w:rPr>
          <w:rFonts w:hint="default" w:ascii="Times New Roman" w:hAnsi="Times New Roman" w:eastAsia="宋体" w:cs="Times New Roman"/>
          <w:b/>
          <w:bCs/>
          <w:color w:val="auto"/>
          <w:spacing w:val="20"/>
          <w:sz w:val="44"/>
          <w:szCs w:val="44"/>
          <w:highlight w:val="none"/>
          <w:lang w:val="en-US" w:eastAsia="zh-CN"/>
        </w:rPr>
        <w:t>甘孜县2026年</w:t>
      </w:r>
      <w:r>
        <w:rPr>
          <w:rFonts w:hint="eastAsia" w:ascii="Times New Roman" w:hAnsi="Times New Roman" w:eastAsia="宋体" w:cs="Times New Roman"/>
          <w:b/>
          <w:bCs/>
          <w:color w:val="auto"/>
          <w:spacing w:val="20"/>
          <w:sz w:val="44"/>
          <w:szCs w:val="44"/>
          <w:highlight w:val="none"/>
          <w:lang w:val="en-US" w:eastAsia="zh-CN"/>
        </w:rPr>
        <w:t>财政转移支付资金高标准农田建设项目</w:t>
      </w:r>
      <w:r>
        <w:rPr>
          <w:rFonts w:hint="default" w:ascii="Times New Roman" w:hAnsi="Times New Roman" w:eastAsia="宋体" w:cs="Times New Roman"/>
          <w:b/>
          <w:bCs/>
          <w:color w:val="auto"/>
          <w:spacing w:val="20"/>
          <w:sz w:val="44"/>
          <w:szCs w:val="44"/>
          <w:highlight w:val="none"/>
          <w:lang w:val="en-US" w:eastAsia="zh-CN"/>
        </w:rPr>
        <w:t>（新建）实施方案</w:t>
      </w:r>
    </w:p>
    <w:p w14:paraId="6AF956AB">
      <w:pPr>
        <w:keepNext w:val="0"/>
        <w:keepLines w:val="0"/>
        <w:pageBreakBefore w:val="0"/>
        <w:widowControl/>
        <w:kinsoku w:val="0"/>
        <w:wordWrap/>
        <w:overflowPunct/>
        <w:topLinePunct w:val="0"/>
        <w:autoSpaceDE w:val="0"/>
        <w:autoSpaceDN w:val="0"/>
        <w:bidi w:val="0"/>
        <w:adjustRightInd w:val="0"/>
        <w:snapToGrid w:val="0"/>
        <w:spacing w:line="360" w:lineRule="auto"/>
        <w:ind w:firstLine="0"/>
        <w:jc w:val="center"/>
        <w:textAlignment w:val="baseline"/>
        <w:rPr>
          <w:rFonts w:hint="default" w:ascii="Times New Roman" w:hAnsi="Times New Roman" w:eastAsia="宋体" w:cs="Times New Roman"/>
          <w:b/>
          <w:bCs/>
          <w:color w:val="auto"/>
          <w:spacing w:val="-26"/>
          <w:sz w:val="44"/>
          <w:szCs w:val="44"/>
          <w:highlight w:val="none"/>
          <w:lang w:val="en-US" w:eastAsia="zh-CN"/>
        </w:rPr>
      </w:pPr>
      <w:r>
        <w:rPr>
          <w:rFonts w:hint="default" w:ascii="Times New Roman" w:hAnsi="Times New Roman" w:eastAsia="宋体" w:cs="Times New Roman"/>
          <w:b/>
          <w:bCs/>
          <w:color w:val="auto"/>
          <w:spacing w:val="20"/>
          <w:sz w:val="44"/>
          <w:szCs w:val="44"/>
          <w:highlight w:val="none"/>
          <w:lang w:val="en-US" w:eastAsia="zh-CN"/>
        </w:rPr>
        <w:t>（</w:t>
      </w:r>
      <w:r>
        <w:rPr>
          <w:rFonts w:hint="eastAsia" w:ascii="Times New Roman" w:hAnsi="Times New Roman" w:eastAsia="宋体" w:cs="Times New Roman"/>
          <w:b/>
          <w:bCs/>
          <w:color w:val="auto"/>
          <w:spacing w:val="20"/>
          <w:sz w:val="44"/>
          <w:szCs w:val="44"/>
          <w:highlight w:val="none"/>
          <w:lang w:val="en-US" w:eastAsia="zh-CN"/>
        </w:rPr>
        <w:t>修订</w:t>
      </w:r>
      <w:r>
        <w:rPr>
          <w:rFonts w:hint="default" w:ascii="Times New Roman" w:hAnsi="Times New Roman" w:eastAsia="宋体" w:cs="Times New Roman"/>
          <w:b/>
          <w:bCs/>
          <w:color w:val="auto"/>
          <w:spacing w:val="20"/>
          <w:sz w:val="44"/>
          <w:szCs w:val="44"/>
          <w:highlight w:val="none"/>
          <w:lang w:val="en-US" w:eastAsia="zh-CN"/>
        </w:rPr>
        <w:t>稿）</w:t>
      </w:r>
    </w:p>
    <w:p w14:paraId="160295C4">
      <w:pPr>
        <w:snapToGrid w:val="0"/>
        <w:spacing w:line="360" w:lineRule="auto"/>
        <w:jc w:val="both"/>
        <w:rPr>
          <w:rFonts w:hint="default" w:ascii="Times New Roman" w:hAnsi="Times New Roman" w:eastAsia="宋体" w:cs="Times New Roman"/>
          <w:b/>
          <w:bCs/>
          <w:color w:val="auto"/>
          <w:spacing w:val="-26"/>
          <w:sz w:val="72"/>
          <w:szCs w:val="72"/>
          <w:highlight w:val="none"/>
          <w:lang w:val="en-US" w:eastAsia="zh-CN"/>
        </w:rPr>
      </w:pPr>
    </w:p>
    <w:p w14:paraId="30924B91">
      <w:pPr>
        <w:snapToGrid w:val="0"/>
        <w:spacing w:line="360" w:lineRule="auto"/>
        <w:ind w:firstLine="480"/>
        <w:jc w:val="center"/>
        <w:rPr>
          <w:rFonts w:hint="default" w:ascii="Times New Roman" w:hAnsi="Times New Roman" w:eastAsia="宋体" w:cs="Times New Roman"/>
          <w:b/>
          <w:bCs/>
          <w:color w:val="auto"/>
          <w:spacing w:val="-26"/>
          <w:sz w:val="72"/>
          <w:szCs w:val="72"/>
          <w:highlight w:val="none"/>
          <w:lang w:val="en-US" w:eastAsia="zh-CN"/>
        </w:rPr>
      </w:pPr>
    </w:p>
    <w:p w14:paraId="7F051E83">
      <w:pPr>
        <w:snapToGrid w:val="0"/>
        <w:ind w:firstLine="480"/>
        <w:jc w:val="center"/>
        <w:rPr>
          <w:rFonts w:hint="default" w:ascii="Times New Roman" w:hAnsi="Times New Roman" w:eastAsia="宋体" w:cs="Times New Roman"/>
          <w:color w:val="auto"/>
          <w:highlight w:val="none"/>
        </w:rPr>
      </w:pPr>
    </w:p>
    <w:p w14:paraId="6F0D0F3C">
      <w:pPr>
        <w:snapToGrid w:val="0"/>
        <w:ind w:firstLine="480"/>
        <w:jc w:val="center"/>
        <w:rPr>
          <w:rFonts w:hint="default" w:ascii="Times New Roman" w:hAnsi="Times New Roman" w:eastAsia="宋体" w:cs="Times New Roman"/>
          <w:color w:val="auto"/>
          <w:highlight w:val="none"/>
        </w:rPr>
      </w:pPr>
    </w:p>
    <w:p w14:paraId="54448CFF">
      <w:pPr>
        <w:snapToGrid w:val="0"/>
        <w:ind w:firstLine="480"/>
        <w:jc w:val="center"/>
        <w:rPr>
          <w:rFonts w:hint="default" w:ascii="Times New Roman" w:hAnsi="Times New Roman" w:eastAsia="宋体" w:cs="Times New Roman"/>
          <w:color w:val="auto"/>
          <w:highlight w:val="none"/>
        </w:rPr>
      </w:pPr>
    </w:p>
    <w:p w14:paraId="61465416">
      <w:pPr>
        <w:snapToGrid w:val="0"/>
        <w:ind w:firstLine="480"/>
        <w:jc w:val="center"/>
        <w:rPr>
          <w:rFonts w:hint="default" w:ascii="Times New Roman" w:hAnsi="Times New Roman" w:eastAsia="宋体" w:cs="Times New Roman"/>
          <w:color w:val="auto"/>
          <w:highlight w:val="none"/>
        </w:rPr>
      </w:pPr>
    </w:p>
    <w:p w14:paraId="35D90D9C">
      <w:pPr>
        <w:snapToGrid w:val="0"/>
        <w:ind w:firstLine="480"/>
        <w:jc w:val="center"/>
        <w:rPr>
          <w:rFonts w:hint="default" w:ascii="Times New Roman" w:hAnsi="Times New Roman" w:eastAsia="宋体" w:cs="Times New Roman"/>
          <w:color w:val="auto"/>
          <w:highlight w:val="none"/>
        </w:rPr>
      </w:pPr>
    </w:p>
    <w:p w14:paraId="545401FC">
      <w:pPr>
        <w:snapToGrid w:val="0"/>
        <w:ind w:firstLine="480"/>
        <w:jc w:val="center"/>
        <w:rPr>
          <w:rFonts w:hint="default" w:ascii="Times New Roman" w:hAnsi="Times New Roman" w:eastAsia="宋体" w:cs="Times New Roman"/>
          <w:color w:val="auto"/>
          <w:highlight w:val="none"/>
        </w:rPr>
      </w:pPr>
    </w:p>
    <w:p w14:paraId="5908E6E8">
      <w:pPr>
        <w:snapToGrid w:val="0"/>
        <w:ind w:firstLine="480"/>
        <w:jc w:val="center"/>
        <w:rPr>
          <w:rFonts w:hint="default" w:ascii="Times New Roman" w:hAnsi="Times New Roman" w:eastAsia="宋体" w:cs="Times New Roman"/>
          <w:color w:val="auto"/>
          <w:highlight w:val="none"/>
        </w:rPr>
      </w:pPr>
    </w:p>
    <w:p w14:paraId="0B45A7C2">
      <w:pPr>
        <w:snapToGrid w:val="0"/>
        <w:ind w:firstLine="480"/>
        <w:jc w:val="center"/>
        <w:rPr>
          <w:rFonts w:hint="default" w:ascii="Times New Roman" w:hAnsi="Times New Roman" w:eastAsia="宋体" w:cs="Times New Roman"/>
          <w:color w:val="auto"/>
          <w:highlight w:val="none"/>
        </w:rPr>
      </w:pPr>
    </w:p>
    <w:p w14:paraId="42D940DB">
      <w:pPr>
        <w:snapToGrid w:val="0"/>
        <w:ind w:firstLine="480"/>
        <w:jc w:val="center"/>
        <w:rPr>
          <w:rFonts w:hint="default" w:ascii="Times New Roman" w:hAnsi="Times New Roman" w:eastAsia="宋体" w:cs="Times New Roman"/>
          <w:color w:val="auto"/>
          <w:highlight w:val="none"/>
        </w:rPr>
      </w:pPr>
    </w:p>
    <w:p w14:paraId="2869B0F3">
      <w:pPr>
        <w:snapToGrid w:val="0"/>
        <w:ind w:firstLine="480"/>
        <w:jc w:val="center"/>
        <w:rPr>
          <w:rFonts w:hint="default" w:ascii="Times New Roman" w:hAnsi="Times New Roman" w:eastAsia="宋体" w:cs="Times New Roman"/>
          <w:color w:val="auto"/>
          <w:highlight w:val="none"/>
        </w:rPr>
      </w:pPr>
    </w:p>
    <w:p w14:paraId="72E04DE8">
      <w:pPr>
        <w:snapToGrid w:val="0"/>
        <w:ind w:firstLine="480"/>
        <w:jc w:val="center"/>
        <w:rPr>
          <w:rFonts w:hint="default" w:ascii="Times New Roman" w:hAnsi="Times New Roman" w:eastAsia="宋体" w:cs="Times New Roman"/>
          <w:color w:val="auto"/>
          <w:highlight w:val="none"/>
        </w:rPr>
      </w:pPr>
    </w:p>
    <w:p w14:paraId="4A891022">
      <w:pPr>
        <w:snapToGrid w:val="0"/>
        <w:ind w:firstLine="480"/>
        <w:jc w:val="center"/>
        <w:rPr>
          <w:rFonts w:hint="default" w:ascii="Times New Roman" w:hAnsi="Times New Roman" w:eastAsia="宋体" w:cs="Times New Roman"/>
          <w:color w:val="auto"/>
          <w:highlight w:val="none"/>
        </w:rPr>
      </w:pPr>
    </w:p>
    <w:p w14:paraId="34AC5DF2">
      <w:pPr>
        <w:snapToGrid w:val="0"/>
        <w:ind w:firstLine="480"/>
        <w:jc w:val="center"/>
        <w:rPr>
          <w:rFonts w:hint="default" w:ascii="Times New Roman" w:hAnsi="Times New Roman" w:eastAsia="宋体" w:cs="Times New Roman"/>
          <w:color w:val="auto"/>
          <w:highlight w:val="none"/>
        </w:rPr>
      </w:pPr>
    </w:p>
    <w:p w14:paraId="00F9EFF9">
      <w:pPr>
        <w:snapToGrid w:val="0"/>
        <w:ind w:firstLine="480"/>
        <w:jc w:val="center"/>
        <w:rPr>
          <w:rFonts w:hint="default" w:ascii="Times New Roman" w:hAnsi="Times New Roman" w:eastAsia="宋体" w:cs="Times New Roman"/>
          <w:color w:val="auto"/>
          <w:highlight w:val="none"/>
        </w:rPr>
      </w:pPr>
    </w:p>
    <w:p w14:paraId="5134F2BE">
      <w:pPr>
        <w:snapToGrid w:val="0"/>
        <w:ind w:firstLine="480"/>
        <w:jc w:val="center"/>
        <w:rPr>
          <w:rFonts w:hint="default" w:ascii="Times New Roman" w:hAnsi="Times New Roman" w:eastAsia="宋体" w:cs="Times New Roman"/>
          <w:color w:val="auto"/>
          <w:highlight w:val="none"/>
        </w:rPr>
      </w:pPr>
    </w:p>
    <w:p w14:paraId="40B86760">
      <w:pPr>
        <w:snapToGrid w:val="0"/>
        <w:ind w:firstLine="480"/>
        <w:jc w:val="center"/>
        <w:rPr>
          <w:rFonts w:hint="default" w:ascii="Times New Roman" w:hAnsi="Times New Roman" w:eastAsia="宋体" w:cs="Times New Roman"/>
          <w:color w:val="auto"/>
          <w:highlight w:val="none"/>
        </w:rPr>
      </w:pPr>
    </w:p>
    <w:p w14:paraId="13936C09">
      <w:pPr>
        <w:snapToGrid w:val="0"/>
        <w:ind w:firstLine="480"/>
        <w:jc w:val="center"/>
        <w:rPr>
          <w:rFonts w:hint="default" w:ascii="Times New Roman" w:hAnsi="Times New Roman" w:eastAsia="宋体" w:cs="Times New Roman"/>
          <w:color w:val="auto"/>
          <w:highlight w:val="none"/>
        </w:rPr>
      </w:pPr>
    </w:p>
    <w:p w14:paraId="5296393C">
      <w:pPr>
        <w:snapToGrid w:val="0"/>
        <w:ind w:firstLine="480"/>
        <w:jc w:val="center"/>
        <w:rPr>
          <w:rFonts w:hint="default" w:ascii="Times New Roman" w:hAnsi="Times New Roman" w:eastAsia="宋体" w:cs="Times New Roman"/>
          <w:color w:val="auto"/>
          <w:highlight w:val="none"/>
        </w:rPr>
      </w:pPr>
    </w:p>
    <w:p w14:paraId="0B886AA9">
      <w:pPr>
        <w:snapToGrid w:val="0"/>
        <w:ind w:firstLine="480"/>
        <w:jc w:val="center"/>
        <w:rPr>
          <w:rFonts w:hint="default" w:ascii="Times New Roman" w:hAnsi="Times New Roman" w:eastAsia="宋体" w:cs="Times New Roman"/>
          <w:color w:val="auto"/>
          <w:highlight w:val="none"/>
        </w:rPr>
      </w:pPr>
    </w:p>
    <w:p w14:paraId="5D8812BC">
      <w:pPr>
        <w:snapToGrid w:val="0"/>
        <w:ind w:firstLine="480"/>
        <w:jc w:val="center"/>
        <w:rPr>
          <w:rFonts w:hint="default" w:ascii="Times New Roman" w:hAnsi="Times New Roman" w:eastAsia="宋体" w:cs="Times New Roman"/>
          <w:color w:val="auto"/>
          <w:highlight w:val="none"/>
        </w:rPr>
      </w:pPr>
    </w:p>
    <w:p w14:paraId="7112F5D0">
      <w:pPr>
        <w:snapToGrid w:val="0"/>
        <w:ind w:firstLine="480"/>
        <w:jc w:val="center"/>
        <w:rPr>
          <w:rFonts w:hint="default" w:ascii="Times New Roman" w:hAnsi="Times New Roman" w:eastAsia="宋体" w:cs="Times New Roman"/>
          <w:color w:val="auto"/>
          <w:highlight w:val="none"/>
        </w:rPr>
      </w:pPr>
    </w:p>
    <w:p w14:paraId="17A55372">
      <w:pPr>
        <w:snapToGrid w:val="0"/>
        <w:ind w:firstLine="480"/>
        <w:jc w:val="center"/>
        <w:rPr>
          <w:rFonts w:hint="default" w:ascii="Times New Roman" w:hAnsi="Times New Roman" w:eastAsia="宋体" w:cs="Times New Roman"/>
          <w:color w:val="auto"/>
          <w:highlight w:val="none"/>
        </w:rPr>
      </w:pPr>
    </w:p>
    <w:p w14:paraId="05D32A78">
      <w:pPr>
        <w:snapToGrid w:val="0"/>
        <w:ind w:firstLine="480"/>
        <w:jc w:val="center"/>
        <w:rPr>
          <w:rFonts w:hint="default" w:ascii="Times New Roman" w:hAnsi="Times New Roman" w:eastAsia="宋体" w:cs="Times New Roman"/>
          <w:color w:val="auto"/>
          <w:highlight w:val="none"/>
        </w:rPr>
      </w:pPr>
    </w:p>
    <w:p w14:paraId="3CFB9E0B">
      <w:pPr>
        <w:keepNext w:val="0"/>
        <w:keepLines w:val="0"/>
        <w:widowControl/>
        <w:suppressLineNumbers w:val="0"/>
        <w:jc w:val="left"/>
        <w:rPr>
          <w:rFonts w:hint="default" w:ascii="Times New Roman" w:hAnsi="Times New Roman" w:eastAsia="宋体" w:cs="Times New Roman"/>
          <w:snapToGrid w:val="0"/>
          <w:color w:val="auto"/>
          <w:kern w:val="0"/>
          <w:sz w:val="32"/>
          <w:szCs w:val="32"/>
          <w:highlight w:val="none"/>
          <w:lang w:val="en-US" w:eastAsia="zh-CN" w:bidi="ar"/>
        </w:rPr>
      </w:pPr>
    </w:p>
    <w:p w14:paraId="3AFBE02D">
      <w:pPr>
        <w:keepNext w:val="0"/>
        <w:keepLines w:val="0"/>
        <w:widowControl/>
        <w:suppressLineNumbers w:val="0"/>
        <w:jc w:val="left"/>
        <w:rPr>
          <w:rFonts w:hint="default" w:ascii="Times New Roman" w:hAnsi="Times New Roman" w:eastAsia="宋体" w:cs="Times New Roman"/>
          <w:snapToGrid w:val="0"/>
          <w:color w:val="auto"/>
          <w:kern w:val="0"/>
          <w:sz w:val="32"/>
          <w:szCs w:val="32"/>
          <w:highlight w:val="none"/>
          <w:lang w:val="en-US" w:eastAsia="zh-CN" w:bidi="ar"/>
        </w:rPr>
      </w:pPr>
    </w:p>
    <w:p w14:paraId="7E499BC7">
      <w:pPr>
        <w:keepNext w:val="0"/>
        <w:keepLines w:val="0"/>
        <w:widowControl/>
        <w:suppressLineNumbers w:val="0"/>
        <w:jc w:val="left"/>
        <w:rPr>
          <w:rFonts w:hint="default" w:ascii="Times New Roman" w:hAnsi="Times New Roman" w:eastAsia="宋体" w:cs="Times New Roman"/>
          <w:snapToGrid w:val="0"/>
          <w:color w:val="auto"/>
          <w:kern w:val="0"/>
          <w:sz w:val="32"/>
          <w:szCs w:val="32"/>
          <w:highlight w:val="none"/>
          <w:lang w:val="en-US" w:eastAsia="zh-CN" w:bidi="ar"/>
        </w:rPr>
      </w:pPr>
    </w:p>
    <w:p w14:paraId="33416EAC">
      <w:pPr>
        <w:keepNext w:val="0"/>
        <w:keepLines w:val="0"/>
        <w:widowControl/>
        <w:suppressLineNumbers w:val="0"/>
        <w:jc w:val="left"/>
        <w:rPr>
          <w:rFonts w:hint="default" w:ascii="Times New Roman" w:hAnsi="Times New Roman" w:eastAsia="宋体" w:cs="Times New Roman"/>
          <w:color w:val="auto"/>
          <w:sz w:val="32"/>
          <w:szCs w:val="32"/>
          <w:highlight w:val="none"/>
        </w:rPr>
      </w:pPr>
      <w:r>
        <w:rPr>
          <w:rFonts w:hint="default" w:ascii="Times New Roman" w:hAnsi="Times New Roman" w:eastAsia="宋体" w:cs="Times New Roman"/>
          <w:snapToGrid w:val="0"/>
          <w:color w:val="auto"/>
          <w:kern w:val="0"/>
          <w:sz w:val="32"/>
          <w:szCs w:val="32"/>
          <w:highlight w:val="none"/>
          <w:lang w:val="en-US" w:eastAsia="zh-CN" w:bidi="ar"/>
        </w:rPr>
        <w:t xml:space="preserve">项目建设实施单位（盖章）：甘孜县农牧农村和科技局 </w:t>
      </w:r>
    </w:p>
    <w:p w14:paraId="01D474D6">
      <w:pPr>
        <w:keepNext w:val="0"/>
        <w:keepLines w:val="0"/>
        <w:widowControl/>
        <w:suppressLineNumbers w:val="0"/>
        <w:jc w:val="left"/>
        <w:rPr>
          <w:rFonts w:hint="default" w:ascii="Times New Roman" w:hAnsi="Times New Roman" w:eastAsia="宋体" w:cs="Times New Roman"/>
          <w:snapToGrid w:val="0"/>
          <w:color w:val="auto"/>
          <w:kern w:val="0"/>
          <w:sz w:val="32"/>
          <w:szCs w:val="32"/>
          <w:highlight w:val="none"/>
          <w:lang w:val="en-US" w:eastAsia="zh-CN" w:bidi="ar"/>
        </w:rPr>
      </w:pPr>
    </w:p>
    <w:p w14:paraId="461670D5">
      <w:pPr>
        <w:keepNext w:val="0"/>
        <w:keepLines w:val="0"/>
        <w:widowControl/>
        <w:suppressLineNumbers w:val="0"/>
        <w:jc w:val="left"/>
        <w:rPr>
          <w:rFonts w:hint="default" w:ascii="Times New Roman" w:hAnsi="Times New Roman" w:eastAsia="宋体" w:cs="Times New Roman"/>
          <w:snapToGrid w:val="0"/>
          <w:color w:val="auto"/>
          <w:kern w:val="0"/>
          <w:sz w:val="32"/>
          <w:szCs w:val="32"/>
          <w:highlight w:val="none"/>
          <w:lang w:val="en-US" w:eastAsia="zh-CN" w:bidi="ar"/>
        </w:rPr>
      </w:pPr>
    </w:p>
    <w:p w14:paraId="31CECDE6">
      <w:pPr>
        <w:keepNext w:val="0"/>
        <w:keepLines w:val="0"/>
        <w:widowControl/>
        <w:suppressLineNumbers w:val="0"/>
        <w:jc w:val="left"/>
        <w:rPr>
          <w:rFonts w:hint="default" w:ascii="Times New Roman" w:hAnsi="Times New Roman" w:eastAsia="宋体" w:cs="Times New Roman"/>
          <w:snapToGrid w:val="0"/>
          <w:color w:val="auto"/>
          <w:kern w:val="0"/>
          <w:sz w:val="32"/>
          <w:szCs w:val="32"/>
          <w:highlight w:val="none"/>
          <w:lang w:val="en-US" w:eastAsia="zh-CN" w:bidi="ar"/>
        </w:rPr>
      </w:pPr>
      <w:r>
        <w:rPr>
          <w:rFonts w:hint="default" w:ascii="Times New Roman" w:hAnsi="Times New Roman" w:eastAsia="宋体" w:cs="Times New Roman"/>
          <w:snapToGrid w:val="0"/>
          <w:color w:val="auto"/>
          <w:kern w:val="0"/>
          <w:sz w:val="32"/>
          <w:szCs w:val="32"/>
          <w:highlight w:val="none"/>
          <w:lang w:val="en-US" w:eastAsia="zh-CN" w:bidi="ar"/>
        </w:rPr>
        <w:t>实施方案编制单位（盖章）：成都中土工程设计有限公司</w:t>
      </w:r>
    </w:p>
    <w:p w14:paraId="4A73E8FB">
      <w:pPr>
        <w:keepNext w:val="0"/>
        <w:keepLines w:val="0"/>
        <w:widowControl/>
        <w:suppressLineNumbers w:val="0"/>
        <w:jc w:val="center"/>
        <w:rPr>
          <w:rFonts w:hint="default" w:ascii="Times New Roman" w:hAnsi="Times New Roman" w:eastAsia="宋体" w:cs="Times New Roman"/>
          <w:snapToGrid w:val="0"/>
          <w:color w:val="auto"/>
          <w:kern w:val="0"/>
          <w:sz w:val="32"/>
          <w:szCs w:val="32"/>
          <w:highlight w:val="none"/>
          <w:lang w:val="en-US" w:eastAsia="zh-CN" w:bidi="ar"/>
        </w:rPr>
      </w:pPr>
    </w:p>
    <w:p w14:paraId="7E320C73">
      <w:pPr>
        <w:keepNext w:val="0"/>
        <w:keepLines w:val="0"/>
        <w:pageBreakBefore w:val="0"/>
        <w:widowControl w:val="0"/>
        <w:tabs>
          <w:tab w:val="left" w:pos="1800"/>
          <w:tab w:val="left" w:pos="7200"/>
        </w:tabs>
        <w:kinsoku/>
        <w:wordWrap/>
        <w:overflowPunct/>
        <w:topLinePunct w:val="0"/>
        <w:autoSpaceDE/>
        <w:autoSpaceDN/>
        <w:bidi w:val="0"/>
        <w:adjustRightInd/>
        <w:snapToGrid/>
        <w:spacing w:after="156" w:afterLines="50" w:line="480" w:lineRule="auto"/>
        <w:ind w:firstLine="0"/>
        <w:jc w:val="center"/>
        <w:textAlignment w:val="auto"/>
        <w:rPr>
          <w:rFonts w:eastAsia="楷体_GB2312"/>
          <w:b/>
          <w:bCs/>
          <w:color w:val="auto"/>
          <w:spacing w:val="60"/>
          <w:sz w:val="36"/>
          <w:szCs w:val="36"/>
          <w:highlight w:val="none"/>
        </w:rPr>
      </w:pPr>
      <w:r>
        <w:rPr>
          <w:rFonts w:hint="eastAsia" w:eastAsia="楷体_GB2312"/>
          <w:b/>
          <w:bCs/>
          <w:color w:val="auto"/>
          <w:spacing w:val="60"/>
          <w:sz w:val="36"/>
          <w:szCs w:val="36"/>
          <w:highlight w:val="none"/>
        </w:rPr>
        <w:t>二〇二</w:t>
      </w:r>
      <w:r>
        <w:rPr>
          <w:rFonts w:hint="eastAsia" w:eastAsia="楷体_GB2312"/>
          <w:b/>
          <w:bCs/>
          <w:color w:val="auto"/>
          <w:spacing w:val="60"/>
          <w:sz w:val="36"/>
          <w:szCs w:val="36"/>
          <w:highlight w:val="none"/>
          <w:lang w:val="en-US" w:eastAsia="zh-CN"/>
        </w:rPr>
        <w:t>六</w:t>
      </w:r>
      <w:r>
        <w:rPr>
          <w:rFonts w:hint="eastAsia" w:eastAsia="楷体_GB2312"/>
          <w:b/>
          <w:bCs/>
          <w:color w:val="auto"/>
          <w:spacing w:val="60"/>
          <w:sz w:val="36"/>
          <w:szCs w:val="36"/>
          <w:highlight w:val="none"/>
        </w:rPr>
        <w:t>年</w:t>
      </w:r>
      <w:r>
        <w:rPr>
          <w:rFonts w:hint="eastAsia" w:eastAsia="楷体_GB2312"/>
          <w:b/>
          <w:bCs/>
          <w:color w:val="auto"/>
          <w:spacing w:val="60"/>
          <w:sz w:val="36"/>
          <w:szCs w:val="36"/>
          <w:highlight w:val="none"/>
          <w:lang w:val="en-US" w:eastAsia="zh-CN"/>
        </w:rPr>
        <w:t>二</w:t>
      </w:r>
      <w:r>
        <w:rPr>
          <w:rFonts w:hint="eastAsia" w:eastAsia="楷体_GB2312"/>
          <w:b/>
          <w:bCs/>
          <w:color w:val="auto"/>
          <w:spacing w:val="60"/>
          <w:sz w:val="36"/>
          <w:szCs w:val="36"/>
          <w:highlight w:val="none"/>
        </w:rPr>
        <w:t>月</w:t>
      </w:r>
    </w:p>
    <w:p w14:paraId="737B4AA3">
      <w:pPr>
        <w:keepNext w:val="0"/>
        <w:keepLines w:val="0"/>
        <w:pageBreakBefore w:val="0"/>
        <w:widowControl/>
        <w:kinsoku w:val="0"/>
        <w:wordWrap/>
        <w:overflowPunct/>
        <w:topLinePunct w:val="0"/>
        <w:autoSpaceDE w:val="0"/>
        <w:autoSpaceDN w:val="0"/>
        <w:bidi w:val="0"/>
        <w:adjustRightInd w:val="0"/>
        <w:snapToGrid w:val="0"/>
        <w:spacing w:line="360" w:lineRule="auto"/>
        <w:ind w:firstLine="0"/>
        <w:jc w:val="center"/>
        <w:textAlignment w:val="baseline"/>
        <w:rPr>
          <w:rFonts w:hint="default" w:ascii="Times New Roman" w:hAnsi="Times New Roman" w:eastAsia="宋体" w:cs="Times New Roman"/>
          <w:b/>
          <w:bCs/>
          <w:color w:val="auto"/>
          <w:spacing w:val="20"/>
          <w:sz w:val="44"/>
          <w:szCs w:val="44"/>
          <w:highlight w:val="none"/>
          <w:lang w:val="en-US" w:eastAsia="zh-CN"/>
        </w:rPr>
        <w:sectPr>
          <w:footerReference r:id="rId3" w:type="default"/>
          <w:type w:val="nextColumn"/>
          <w:pgSz w:w="11900" w:h="16840"/>
          <w:pgMar w:top="1134" w:right="1418" w:bottom="1134" w:left="1588" w:header="862" w:footer="1214" w:gutter="0"/>
          <w:pgBorders>
            <w:top w:val="none" w:sz="0" w:space="0"/>
            <w:left w:val="none" w:sz="0" w:space="0"/>
            <w:bottom w:val="none" w:sz="0" w:space="0"/>
            <w:right w:val="none" w:sz="0" w:space="0"/>
          </w:pgBorders>
          <w:pgNumType w:fmt="upperRoman" w:start="1"/>
          <w:cols w:space="720" w:num="1"/>
        </w:sectPr>
      </w:pPr>
    </w:p>
    <w:p w14:paraId="6D01BFA9">
      <w:pPr>
        <w:keepNext w:val="0"/>
        <w:keepLines w:val="0"/>
        <w:pageBreakBefore w:val="0"/>
        <w:widowControl/>
        <w:kinsoku w:val="0"/>
        <w:wordWrap/>
        <w:overflowPunct/>
        <w:topLinePunct w:val="0"/>
        <w:autoSpaceDE w:val="0"/>
        <w:autoSpaceDN w:val="0"/>
        <w:bidi w:val="0"/>
        <w:adjustRightInd w:val="0"/>
        <w:snapToGrid w:val="0"/>
        <w:spacing w:line="360" w:lineRule="auto"/>
        <w:ind w:firstLine="0"/>
        <w:jc w:val="center"/>
        <w:textAlignment w:val="baseline"/>
        <w:rPr>
          <w:rFonts w:hint="default" w:ascii="Times New Roman" w:hAnsi="Times New Roman" w:eastAsia="宋体" w:cs="Times New Roman"/>
          <w:b/>
          <w:bCs/>
          <w:color w:val="auto"/>
          <w:spacing w:val="20"/>
          <w:sz w:val="44"/>
          <w:szCs w:val="44"/>
          <w:highlight w:val="none"/>
          <w:lang w:val="en-US" w:eastAsia="zh-CN"/>
        </w:rPr>
      </w:pPr>
      <w:r>
        <w:rPr>
          <w:rFonts w:hint="default" w:ascii="Times New Roman" w:hAnsi="Times New Roman" w:eastAsia="宋体" w:cs="Times New Roman"/>
          <w:b/>
          <w:bCs/>
          <w:color w:val="auto"/>
          <w:spacing w:val="20"/>
          <w:sz w:val="44"/>
          <w:szCs w:val="44"/>
          <w:highlight w:val="none"/>
          <w:lang w:val="en-US" w:eastAsia="zh-CN"/>
        </w:rPr>
        <w:t>甘孜县2026年</w:t>
      </w:r>
      <w:r>
        <w:rPr>
          <w:rFonts w:hint="eastAsia" w:ascii="Times New Roman" w:hAnsi="Times New Roman" w:eastAsia="宋体" w:cs="Times New Roman"/>
          <w:b/>
          <w:bCs/>
          <w:color w:val="auto"/>
          <w:spacing w:val="20"/>
          <w:sz w:val="44"/>
          <w:szCs w:val="44"/>
          <w:highlight w:val="none"/>
          <w:lang w:val="en-US" w:eastAsia="zh-CN"/>
        </w:rPr>
        <w:t>财政转移支付资金高标准农田建设项目</w:t>
      </w:r>
      <w:r>
        <w:rPr>
          <w:rFonts w:hint="default" w:ascii="Times New Roman" w:hAnsi="Times New Roman" w:eastAsia="宋体" w:cs="Times New Roman"/>
          <w:b/>
          <w:bCs/>
          <w:color w:val="auto"/>
          <w:spacing w:val="20"/>
          <w:sz w:val="44"/>
          <w:szCs w:val="44"/>
          <w:highlight w:val="none"/>
          <w:lang w:val="en-US" w:eastAsia="zh-CN"/>
        </w:rPr>
        <w:t>（新建）实施方案</w:t>
      </w:r>
    </w:p>
    <w:p w14:paraId="05664E6E">
      <w:pPr>
        <w:keepNext w:val="0"/>
        <w:keepLines w:val="0"/>
        <w:pageBreakBefore w:val="0"/>
        <w:widowControl/>
        <w:kinsoku w:val="0"/>
        <w:wordWrap/>
        <w:overflowPunct/>
        <w:topLinePunct w:val="0"/>
        <w:autoSpaceDE w:val="0"/>
        <w:autoSpaceDN w:val="0"/>
        <w:bidi w:val="0"/>
        <w:adjustRightInd w:val="0"/>
        <w:snapToGrid w:val="0"/>
        <w:spacing w:line="360" w:lineRule="auto"/>
        <w:ind w:firstLine="0"/>
        <w:jc w:val="center"/>
        <w:textAlignment w:val="baseline"/>
        <w:rPr>
          <w:rFonts w:hint="default" w:ascii="Times New Roman" w:hAnsi="Times New Roman" w:eastAsia="宋体" w:cs="Times New Roman"/>
          <w:b/>
          <w:bCs/>
          <w:color w:val="auto"/>
          <w:spacing w:val="20"/>
          <w:sz w:val="44"/>
          <w:szCs w:val="44"/>
          <w:highlight w:val="none"/>
          <w:lang w:val="en-US" w:eastAsia="zh-CN"/>
        </w:rPr>
      </w:pPr>
      <w:r>
        <w:rPr>
          <w:rFonts w:hint="default" w:ascii="Times New Roman" w:hAnsi="Times New Roman" w:eastAsia="宋体" w:cs="Times New Roman"/>
          <w:b/>
          <w:bCs/>
          <w:color w:val="auto"/>
          <w:spacing w:val="20"/>
          <w:sz w:val="44"/>
          <w:szCs w:val="44"/>
          <w:highlight w:val="none"/>
          <w:lang w:val="en-US" w:eastAsia="zh-CN"/>
        </w:rPr>
        <w:t>（</w:t>
      </w:r>
      <w:r>
        <w:rPr>
          <w:rFonts w:hint="eastAsia" w:ascii="Times New Roman" w:hAnsi="Times New Roman" w:eastAsia="宋体" w:cs="Times New Roman"/>
          <w:b/>
          <w:bCs/>
          <w:color w:val="auto"/>
          <w:spacing w:val="20"/>
          <w:sz w:val="44"/>
          <w:szCs w:val="44"/>
          <w:highlight w:val="none"/>
          <w:lang w:val="en-US" w:eastAsia="zh-CN"/>
        </w:rPr>
        <w:t>修订</w:t>
      </w:r>
      <w:r>
        <w:rPr>
          <w:rFonts w:hint="default" w:ascii="Times New Roman" w:hAnsi="Times New Roman" w:eastAsia="宋体" w:cs="Times New Roman"/>
          <w:b/>
          <w:bCs/>
          <w:color w:val="auto"/>
          <w:spacing w:val="20"/>
          <w:sz w:val="44"/>
          <w:szCs w:val="44"/>
          <w:highlight w:val="none"/>
          <w:lang w:val="en-US" w:eastAsia="zh-CN"/>
        </w:rPr>
        <w:t xml:space="preserve">稿） </w:t>
      </w:r>
    </w:p>
    <w:p w14:paraId="68659DFA">
      <w:pPr>
        <w:tabs>
          <w:tab w:val="left" w:pos="1800"/>
          <w:tab w:val="left" w:pos="4253"/>
          <w:tab w:val="left" w:pos="6660"/>
        </w:tabs>
        <w:snapToGrid w:val="0"/>
        <w:ind w:firstLine="480"/>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spacing w:val="-26"/>
          <w:sz w:val="44"/>
          <w:szCs w:val="44"/>
          <w:highlight w:val="none"/>
          <w:lang w:val="en-US" w:eastAsia="zh-CN"/>
        </w:rPr>
        <w:t xml:space="preserve"> </w:t>
      </w:r>
    </w:p>
    <w:p w14:paraId="20196FD6">
      <w:pPr>
        <w:tabs>
          <w:tab w:val="left" w:pos="1800"/>
          <w:tab w:val="left" w:pos="6660"/>
        </w:tabs>
        <w:snapToGrid w:val="0"/>
        <w:ind w:firstLine="400"/>
        <w:jc w:val="center"/>
        <w:rPr>
          <w:rFonts w:hint="default" w:ascii="Times New Roman" w:hAnsi="Times New Roman" w:eastAsia="宋体" w:cs="Times New Roman"/>
          <w:color w:val="auto"/>
          <w:sz w:val="20"/>
          <w:highlight w:val="none"/>
        </w:rPr>
      </w:pPr>
    </w:p>
    <w:p w14:paraId="607D9DFD">
      <w:pPr>
        <w:tabs>
          <w:tab w:val="left" w:pos="1800"/>
          <w:tab w:val="left" w:pos="6660"/>
        </w:tabs>
        <w:snapToGrid w:val="0"/>
        <w:ind w:firstLine="400"/>
        <w:jc w:val="center"/>
        <w:rPr>
          <w:rFonts w:hint="default" w:ascii="Times New Roman" w:hAnsi="Times New Roman" w:eastAsia="宋体" w:cs="Times New Roman"/>
          <w:color w:val="auto"/>
          <w:sz w:val="20"/>
          <w:highlight w:val="none"/>
        </w:rPr>
      </w:pPr>
    </w:p>
    <w:p w14:paraId="26208903">
      <w:pPr>
        <w:tabs>
          <w:tab w:val="left" w:pos="1800"/>
          <w:tab w:val="left" w:pos="6660"/>
        </w:tabs>
        <w:snapToGrid w:val="0"/>
        <w:ind w:firstLine="400"/>
        <w:jc w:val="center"/>
        <w:rPr>
          <w:rFonts w:hint="default" w:ascii="Times New Roman" w:hAnsi="Times New Roman" w:eastAsia="宋体" w:cs="Times New Roman"/>
          <w:color w:val="auto"/>
          <w:sz w:val="20"/>
          <w:highlight w:val="none"/>
        </w:rPr>
      </w:pPr>
    </w:p>
    <w:p w14:paraId="7B4C069B">
      <w:pPr>
        <w:tabs>
          <w:tab w:val="left" w:pos="1800"/>
          <w:tab w:val="left" w:pos="6660"/>
        </w:tabs>
        <w:snapToGrid w:val="0"/>
        <w:ind w:firstLine="400"/>
        <w:jc w:val="center"/>
        <w:rPr>
          <w:rFonts w:hint="default" w:ascii="Times New Roman" w:hAnsi="Times New Roman" w:eastAsia="宋体" w:cs="Times New Roman"/>
          <w:color w:val="auto"/>
          <w:sz w:val="20"/>
          <w:highlight w:val="none"/>
        </w:rPr>
      </w:pPr>
    </w:p>
    <w:p w14:paraId="1C5559C8">
      <w:pPr>
        <w:tabs>
          <w:tab w:val="left" w:pos="1800"/>
          <w:tab w:val="left" w:pos="6660"/>
        </w:tabs>
        <w:snapToGrid w:val="0"/>
        <w:ind w:firstLine="400"/>
        <w:jc w:val="center"/>
        <w:rPr>
          <w:rFonts w:hint="default" w:ascii="Times New Roman" w:hAnsi="Times New Roman" w:eastAsia="宋体" w:cs="Times New Roman"/>
          <w:color w:val="auto"/>
          <w:sz w:val="20"/>
          <w:highlight w:val="none"/>
        </w:rPr>
      </w:pPr>
    </w:p>
    <w:p w14:paraId="4EF2A7D8">
      <w:pPr>
        <w:tabs>
          <w:tab w:val="left" w:pos="1800"/>
          <w:tab w:val="left" w:pos="6660"/>
        </w:tabs>
        <w:snapToGrid w:val="0"/>
        <w:ind w:firstLine="400"/>
        <w:jc w:val="center"/>
        <w:rPr>
          <w:rFonts w:hint="default" w:ascii="Times New Roman" w:hAnsi="Times New Roman" w:eastAsia="宋体" w:cs="Times New Roman"/>
          <w:color w:val="auto"/>
          <w:sz w:val="20"/>
          <w:highlight w:val="none"/>
        </w:rPr>
      </w:pPr>
    </w:p>
    <w:p w14:paraId="1FB94AD4">
      <w:pPr>
        <w:tabs>
          <w:tab w:val="left" w:pos="1800"/>
          <w:tab w:val="left" w:pos="6660"/>
        </w:tabs>
        <w:snapToGrid w:val="0"/>
        <w:ind w:firstLine="400"/>
        <w:jc w:val="center"/>
        <w:rPr>
          <w:rFonts w:hint="default" w:ascii="Times New Roman" w:hAnsi="Times New Roman" w:eastAsia="宋体" w:cs="Times New Roman"/>
          <w:color w:val="auto"/>
          <w:sz w:val="20"/>
          <w:highlight w:val="none"/>
        </w:rPr>
      </w:pPr>
    </w:p>
    <w:p w14:paraId="23C61B5F">
      <w:pPr>
        <w:tabs>
          <w:tab w:val="left" w:pos="1800"/>
          <w:tab w:val="left" w:pos="6660"/>
        </w:tabs>
        <w:snapToGrid w:val="0"/>
        <w:ind w:firstLine="400"/>
        <w:jc w:val="center"/>
        <w:rPr>
          <w:rFonts w:hint="default" w:ascii="Times New Roman" w:hAnsi="Times New Roman" w:eastAsia="宋体" w:cs="Times New Roman"/>
          <w:color w:val="auto"/>
          <w:sz w:val="20"/>
          <w:highlight w:val="none"/>
        </w:rPr>
      </w:pPr>
    </w:p>
    <w:p w14:paraId="7DE6AE6F">
      <w:pPr>
        <w:snapToGrid w:val="0"/>
        <w:spacing w:line="360" w:lineRule="auto"/>
        <w:ind w:firstLine="720"/>
        <w:jc w:val="center"/>
        <w:rPr>
          <w:rFonts w:hint="default" w:ascii="Times New Roman" w:hAnsi="Times New Roman" w:eastAsia="宋体" w:cs="Times New Roman"/>
          <w:color w:val="auto"/>
          <w:sz w:val="36"/>
          <w:szCs w:val="36"/>
          <w:highlight w:val="none"/>
        </w:rPr>
      </w:pPr>
    </w:p>
    <w:p w14:paraId="12EAE0F2">
      <w:pPr>
        <w:snapToGrid w:val="0"/>
        <w:spacing w:line="600" w:lineRule="auto"/>
        <w:ind w:firstLine="964" w:firstLineChars="300"/>
        <w:jc w:val="left"/>
        <w:rPr>
          <w:rFonts w:hint="default" w:ascii="Times New Roman" w:hAnsi="Times New Roman" w:eastAsia="宋体" w:cs="Times New Roman"/>
          <w:b/>
          <w:color w:val="auto"/>
          <w:sz w:val="32"/>
          <w:szCs w:val="32"/>
          <w:highlight w:val="none"/>
          <w:lang w:val="en-US" w:eastAsia="zh-CN"/>
        </w:rPr>
      </w:pPr>
      <w:r>
        <w:rPr>
          <w:rFonts w:hint="default" w:ascii="Times New Roman" w:hAnsi="Times New Roman" w:eastAsia="宋体" w:cs="Times New Roman"/>
          <w:b/>
          <w:color w:val="auto"/>
          <w:sz w:val="32"/>
          <w:szCs w:val="32"/>
          <w:highlight w:val="none"/>
        </w:rPr>
        <w:t>核定：</w:t>
      </w:r>
      <w:r>
        <w:rPr>
          <w:rFonts w:hint="default" w:ascii="Times New Roman" w:hAnsi="Times New Roman" w:eastAsia="宋体" w:cs="Times New Roman"/>
          <w:color w:val="auto"/>
          <w:kern w:val="0"/>
          <w:sz w:val="32"/>
          <w:szCs w:val="32"/>
          <w:highlight w:val="none"/>
          <w:lang w:val="en-US" w:eastAsia="zh-CN"/>
        </w:rPr>
        <w:t>易  宇</w:t>
      </w:r>
      <w:r>
        <w:rPr>
          <w:rFonts w:hint="default" w:ascii="Times New Roman" w:hAnsi="Times New Roman" w:eastAsia="宋体" w:cs="Times New Roman"/>
          <w:color w:val="auto"/>
          <w:kern w:val="0"/>
          <w:sz w:val="32"/>
          <w:szCs w:val="32"/>
          <w:highlight w:val="none"/>
        </w:rPr>
        <w:t xml:space="preserve">  </w:t>
      </w:r>
      <w:r>
        <w:rPr>
          <w:rFonts w:hint="default" w:ascii="Times New Roman" w:hAnsi="Times New Roman" w:eastAsia="宋体" w:cs="Times New Roman"/>
          <w:color w:val="auto"/>
          <w:kern w:val="0"/>
          <w:sz w:val="32"/>
          <w:szCs w:val="32"/>
          <w:highlight w:val="none"/>
          <w:lang w:val="en-US" w:eastAsia="zh-CN"/>
        </w:rPr>
        <w:t xml:space="preserve">   高级工程师</w:t>
      </w:r>
    </w:p>
    <w:p w14:paraId="282016F5">
      <w:pPr>
        <w:snapToGrid w:val="0"/>
        <w:spacing w:line="600" w:lineRule="auto"/>
        <w:ind w:firstLine="964" w:firstLineChars="300"/>
        <w:jc w:val="left"/>
        <w:rPr>
          <w:rFonts w:hint="default" w:ascii="Times New Roman" w:hAnsi="Times New Roman" w:eastAsia="宋体" w:cs="Times New Roman"/>
          <w:b/>
          <w:color w:val="auto"/>
          <w:sz w:val="32"/>
          <w:szCs w:val="32"/>
          <w:highlight w:val="none"/>
          <w:lang w:val="en-US" w:eastAsia="zh-CN"/>
        </w:rPr>
      </w:pPr>
      <w:r>
        <w:rPr>
          <w:rFonts w:hint="default" w:ascii="Times New Roman" w:hAnsi="Times New Roman" w:eastAsia="宋体" w:cs="Times New Roman"/>
          <w:b/>
          <w:color w:val="auto"/>
          <w:sz w:val="32"/>
          <w:szCs w:val="32"/>
          <w:highlight w:val="none"/>
        </w:rPr>
        <w:t>审查：</w:t>
      </w:r>
      <w:r>
        <w:rPr>
          <w:rFonts w:hint="default" w:ascii="Times New Roman" w:hAnsi="Times New Roman" w:eastAsia="宋体" w:cs="Times New Roman"/>
          <w:color w:val="auto"/>
          <w:kern w:val="0"/>
          <w:sz w:val="32"/>
          <w:szCs w:val="32"/>
          <w:highlight w:val="none"/>
          <w:lang w:val="en-US" w:eastAsia="zh-CN"/>
        </w:rPr>
        <w:t>王  滔</w:t>
      </w:r>
      <w:r>
        <w:rPr>
          <w:rFonts w:hint="default" w:ascii="Times New Roman" w:hAnsi="Times New Roman" w:eastAsia="宋体" w:cs="Times New Roman"/>
          <w:color w:val="auto"/>
          <w:kern w:val="0"/>
          <w:sz w:val="32"/>
          <w:szCs w:val="32"/>
          <w:highlight w:val="none"/>
        </w:rPr>
        <w:t xml:space="preserve">  </w:t>
      </w:r>
      <w:r>
        <w:rPr>
          <w:rFonts w:hint="default" w:ascii="Times New Roman" w:hAnsi="Times New Roman" w:eastAsia="宋体" w:cs="Times New Roman"/>
          <w:color w:val="auto"/>
          <w:kern w:val="0"/>
          <w:sz w:val="32"/>
          <w:szCs w:val="32"/>
          <w:highlight w:val="none"/>
          <w:lang w:val="en-US" w:eastAsia="zh-CN"/>
        </w:rPr>
        <w:t xml:space="preserve">   高级工程师</w:t>
      </w:r>
    </w:p>
    <w:p w14:paraId="2DFDB25F">
      <w:pPr>
        <w:snapToGrid w:val="0"/>
        <w:spacing w:line="600" w:lineRule="auto"/>
        <w:ind w:firstLine="964" w:firstLineChars="300"/>
        <w:jc w:val="left"/>
        <w:rPr>
          <w:rFonts w:hint="default" w:ascii="Times New Roman" w:hAnsi="Times New Roman" w:eastAsia="宋体" w:cs="Times New Roman"/>
          <w:color w:val="auto"/>
          <w:kern w:val="0"/>
          <w:sz w:val="32"/>
          <w:szCs w:val="32"/>
          <w:highlight w:val="none"/>
        </w:rPr>
      </w:pPr>
      <w:r>
        <w:rPr>
          <w:rFonts w:hint="default" w:ascii="Times New Roman" w:hAnsi="Times New Roman" w:eastAsia="宋体" w:cs="Times New Roman"/>
          <w:b/>
          <w:color w:val="auto"/>
          <w:sz w:val="32"/>
          <w:szCs w:val="32"/>
          <w:highlight w:val="none"/>
        </w:rPr>
        <w:t>校核：</w:t>
      </w:r>
      <w:r>
        <w:rPr>
          <w:rFonts w:hint="default" w:ascii="Times New Roman" w:hAnsi="Times New Roman" w:eastAsia="宋体" w:cs="Times New Roman"/>
          <w:b w:val="0"/>
          <w:bCs/>
          <w:color w:val="auto"/>
          <w:sz w:val="32"/>
          <w:szCs w:val="32"/>
          <w:highlight w:val="none"/>
          <w:lang w:val="en-US" w:eastAsia="zh-CN"/>
        </w:rPr>
        <w:t>胡  然     高级工程师</w:t>
      </w:r>
    </w:p>
    <w:p w14:paraId="35A023BA">
      <w:pPr>
        <w:tabs>
          <w:tab w:val="left" w:pos="1985"/>
          <w:tab w:val="left" w:pos="6946"/>
        </w:tabs>
        <w:snapToGrid w:val="0"/>
        <w:spacing w:line="600" w:lineRule="auto"/>
        <w:ind w:firstLine="964" w:firstLineChars="300"/>
        <w:jc w:val="left"/>
        <w:rPr>
          <w:rFonts w:hint="default" w:ascii="Times New Roman" w:hAnsi="Times New Roman" w:eastAsia="宋体" w:cs="Times New Roman"/>
          <w:b w:val="0"/>
          <w:bCs/>
          <w:color w:val="auto"/>
          <w:sz w:val="32"/>
          <w:szCs w:val="32"/>
          <w:highlight w:val="none"/>
          <w:lang w:val="en-US" w:eastAsia="zh-CN"/>
        </w:rPr>
      </w:pPr>
      <w:r>
        <w:rPr>
          <w:rFonts w:hint="default" w:ascii="Times New Roman" w:hAnsi="Times New Roman" w:eastAsia="宋体" w:cs="Times New Roman"/>
          <w:b/>
          <w:color w:val="auto"/>
          <w:sz w:val="32"/>
          <w:szCs w:val="32"/>
          <w:highlight w:val="none"/>
        </w:rPr>
        <w:t>编写：</w:t>
      </w:r>
      <w:r>
        <w:rPr>
          <w:rFonts w:hint="default" w:ascii="Times New Roman" w:hAnsi="Times New Roman" w:eastAsia="宋体" w:cs="Times New Roman"/>
          <w:b w:val="0"/>
          <w:bCs/>
          <w:color w:val="auto"/>
          <w:sz w:val="32"/>
          <w:szCs w:val="32"/>
          <w:highlight w:val="none"/>
          <w:lang w:val="en-US" w:eastAsia="zh-CN"/>
        </w:rPr>
        <w:t>陈  茜     工程师</w:t>
      </w:r>
    </w:p>
    <w:p w14:paraId="65A80D3A">
      <w:pPr>
        <w:tabs>
          <w:tab w:val="left" w:pos="1985"/>
          <w:tab w:val="left" w:pos="6946"/>
        </w:tabs>
        <w:snapToGrid w:val="0"/>
        <w:spacing w:line="360" w:lineRule="auto"/>
        <w:jc w:val="left"/>
        <w:rPr>
          <w:rFonts w:hint="default" w:ascii="Times New Roman" w:hAnsi="Times New Roman" w:eastAsia="宋体" w:cs="Times New Roman"/>
          <w:color w:val="auto"/>
          <w:kern w:val="0"/>
          <w:sz w:val="32"/>
          <w:szCs w:val="32"/>
          <w:highlight w:val="none"/>
          <w:lang w:eastAsia="zh-CN"/>
        </w:rPr>
      </w:pPr>
    </w:p>
    <w:p w14:paraId="709A9B02">
      <w:pPr>
        <w:tabs>
          <w:tab w:val="left" w:pos="1985"/>
          <w:tab w:val="left" w:pos="6946"/>
        </w:tabs>
        <w:snapToGrid w:val="0"/>
        <w:spacing w:line="360" w:lineRule="auto"/>
        <w:jc w:val="left"/>
        <w:rPr>
          <w:rFonts w:hint="default" w:ascii="Times New Roman" w:hAnsi="Times New Roman" w:eastAsia="宋体" w:cs="Times New Roman"/>
          <w:color w:val="auto"/>
          <w:kern w:val="0"/>
          <w:sz w:val="32"/>
          <w:szCs w:val="32"/>
          <w:highlight w:val="none"/>
          <w:lang w:eastAsia="zh-CN"/>
        </w:rPr>
      </w:pPr>
    </w:p>
    <w:p w14:paraId="161F49A1">
      <w:pPr>
        <w:tabs>
          <w:tab w:val="left" w:pos="1985"/>
          <w:tab w:val="left" w:pos="6946"/>
        </w:tabs>
        <w:snapToGrid w:val="0"/>
        <w:spacing w:line="360" w:lineRule="auto"/>
        <w:jc w:val="left"/>
        <w:rPr>
          <w:rFonts w:hint="default" w:ascii="Times New Roman" w:hAnsi="Times New Roman" w:eastAsia="宋体" w:cs="Times New Roman"/>
          <w:color w:val="auto"/>
          <w:kern w:val="0"/>
          <w:sz w:val="32"/>
          <w:szCs w:val="32"/>
          <w:highlight w:val="none"/>
          <w:lang w:eastAsia="zh-CN"/>
        </w:rPr>
      </w:pPr>
    </w:p>
    <w:p w14:paraId="5E961360">
      <w:pPr>
        <w:tabs>
          <w:tab w:val="left" w:pos="1985"/>
          <w:tab w:val="left" w:pos="6946"/>
        </w:tabs>
        <w:snapToGrid w:val="0"/>
        <w:spacing w:line="360" w:lineRule="auto"/>
        <w:ind w:firstLine="1984" w:firstLineChars="620"/>
        <w:jc w:val="left"/>
        <w:rPr>
          <w:rFonts w:hint="default" w:ascii="Times New Roman" w:hAnsi="Times New Roman" w:eastAsia="宋体" w:cs="Times New Roman"/>
          <w:color w:val="auto"/>
          <w:kern w:val="0"/>
          <w:sz w:val="32"/>
          <w:szCs w:val="32"/>
          <w:highlight w:val="none"/>
        </w:rPr>
      </w:pPr>
    </w:p>
    <w:p w14:paraId="03AE17A3">
      <w:pPr>
        <w:tabs>
          <w:tab w:val="left" w:pos="1985"/>
          <w:tab w:val="left" w:pos="6946"/>
        </w:tabs>
        <w:snapToGrid w:val="0"/>
        <w:spacing w:line="360" w:lineRule="auto"/>
        <w:jc w:val="left"/>
        <w:rPr>
          <w:rFonts w:hint="default" w:ascii="Times New Roman" w:hAnsi="Times New Roman" w:eastAsia="宋体" w:cs="Times New Roman"/>
          <w:b/>
          <w:color w:val="auto"/>
          <w:sz w:val="32"/>
          <w:szCs w:val="32"/>
          <w:highlight w:val="none"/>
        </w:rPr>
      </w:pPr>
    </w:p>
    <w:p w14:paraId="7343B874">
      <w:pPr>
        <w:keepNext w:val="0"/>
        <w:keepLines w:val="0"/>
        <w:pageBreakBefore w:val="0"/>
        <w:widowControl w:val="0"/>
        <w:kinsoku/>
        <w:wordWrap/>
        <w:overflowPunct/>
        <w:topLinePunct w:val="0"/>
        <w:autoSpaceDE/>
        <w:autoSpaceDN/>
        <w:bidi w:val="0"/>
        <w:adjustRightInd/>
        <w:snapToGrid w:val="0"/>
        <w:ind w:firstLine="840" w:firstLineChars="400"/>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pict>
          <v:shape id="_x0000_i1025" o:spt="136" type="#_x0000_t136" style="height:18pt;width:254.75pt;" fillcolor="#000000" filled="t" stroked="t" coordsize="21600,21600" adj="10800">
            <v:path/>
            <v:fill on="t" color2="#FFFFFF" focussize="0,0"/>
            <v:stroke/>
            <v:imagedata o:title=""/>
            <o:lock v:ext="edit" aspectratio="f"/>
            <v:textpath on="t" fitshape="t" fitpath="t" trim="t" xscale="f" string="成都中土工程设计有限公司" style="font-family:楷体;font-size:18pt;v-rotate-letters:f;v-same-letter-heights:f;v-text-align:center;"/>
            <w10:wrap type="none"/>
            <w10:anchorlock/>
          </v:shape>
        </w:pict>
      </w:r>
    </w:p>
    <w:p w14:paraId="0280B9E2">
      <w:pPr>
        <w:keepNext w:val="0"/>
        <w:keepLines w:val="0"/>
        <w:pageBreakBefore w:val="0"/>
        <w:widowControl w:val="0"/>
        <w:kinsoku/>
        <w:wordWrap/>
        <w:overflowPunct/>
        <w:topLinePunct w:val="0"/>
        <w:autoSpaceDE/>
        <w:autoSpaceDN/>
        <w:bidi w:val="0"/>
        <w:adjustRightInd/>
        <w:snapToGrid w:val="0"/>
        <w:ind w:firstLine="840" w:firstLineChars="400"/>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pict>
          <v:shape id="_x0000_i1026" o:spt="136" type="#_x0000_t136" style="height:12pt;width:250.55pt;" fillcolor="#000000" filled="t" stroked="t" coordsize="21600,21600">
            <v:path/>
            <v:fill on="t" focussize="0,0"/>
            <v:stroke/>
            <v:imagedata o:title=""/>
            <o:lock v:ext="edit"/>
            <v:textpath on="t" fitshape="t" fitpath="t" trim="t" xscale="f" string="Chengdu,SinoEarth Engineering Design Co, LTD" style="font-family:楷体;font-size:12pt;v-rotate-letters:f;v-same-letter-heights:f;v-text-align:center;"/>
            <w10:wrap type="none"/>
            <w10:anchorlock/>
          </v:shape>
        </w:pict>
      </w:r>
    </w:p>
    <w:p w14:paraId="7897BDAE">
      <w:pPr>
        <w:keepNext w:val="0"/>
        <w:keepLines w:val="0"/>
        <w:pageBreakBefore w:val="0"/>
        <w:widowControl w:val="0"/>
        <w:kinsoku/>
        <w:wordWrap/>
        <w:overflowPunct/>
        <w:topLinePunct w:val="0"/>
        <w:autoSpaceDE/>
        <w:autoSpaceDN/>
        <w:bidi w:val="0"/>
        <w:adjustRightInd/>
        <w:snapToGrid w:val="0"/>
        <w:ind w:firstLine="840" w:firstLineChars="400"/>
        <w:jc w:val="center"/>
        <w:textAlignment w:val="auto"/>
        <w:rPr>
          <w:rFonts w:hint="default" w:ascii="Times New Roman" w:hAnsi="Times New Roman" w:eastAsia="宋体" w:cs="Times New Roman"/>
          <w:color w:val="auto"/>
          <w:highlight w:val="none"/>
        </w:rPr>
      </w:pPr>
    </w:p>
    <w:p w14:paraId="47A0CE8F">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spacing w:val="60"/>
          <w:sz w:val="36"/>
          <w:szCs w:val="36"/>
          <w:highlight w:val="none"/>
        </w:rPr>
        <w:t>二〇二</w:t>
      </w:r>
      <w:r>
        <w:rPr>
          <w:rFonts w:hint="default" w:ascii="Times New Roman" w:hAnsi="Times New Roman" w:eastAsia="宋体" w:cs="Times New Roman"/>
          <w:b/>
          <w:bCs/>
          <w:color w:val="auto"/>
          <w:spacing w:val="60"/>
          <w:sz w:val="36"/>
          <w:szCs w:val="36"/>
          <w:highlight w:val="none"/>
          <w:lang w:val="en-US" w:eastAsia="zh-CN"/>
        </w:rPr>
        <w:t>六</w:t>
      </w:r>
      <w:r>
        <w:rPr>
          <w:rFonts w:hint="default" w:ascii="Times New Roman" w:hAnsi="Times New Roman" w:eastAsia="宋体" w:cs="Times New Roman"/>
          <w:b/>
          <w:bCs/>
          <w:color w:val="auto"/>
          <w:spacing w:val="60"/>
          <w:sz w:val="36"/>
          <w:szCs w:val="36"/>
          <w:highlight w:val="none"/>
        </w:rPr>
        <w:t>年</w:t>
      </w:r>
      <w:r>
        <w:rPr>
          <w:rFonts w:hint="eastAsia" w:ascii="Times New Roman" w:hAnsi="Times New Roman" w:eastAsia="宋体" w:cs="Times New Roman"/>
          <w:b/>
          <w:bCs/>
          <w:color w:val="auto"/>
          <w:spacing w:val="60"/>
          <w:sz w:val="36"/>
          <w:szCs w:val="36"/>
          <w:highlight w:val="none"/>
          <w:lang w:val="en-US" w:eastAsia="zh-CN"/>
        </w:rPr>
        <w:t>二</w:t>
      </w:r>
      <w:r>
        <w:rPr>
          <w:rFonts w:hint="default" w:ascii="Times New Roman" w:hAnsi="Times New Roman" w:eastAsia="宋体" w:cs="Times New Roman"/>
          <w:b/>
          <w:bCs/>
          <w:color w:val="auto"/>
          <w:spacing w:val="60"/>
          <w:sz w:val="36"/>
          <w:szCs w:val="36"/>
          <w:highlight w:val="none"/>
        </w:rPr>
        <w:t>月</w:t>
      </w:r>
    </w:p>
    <w:p w14:paraId="0680A5F9">
      <w:pPr>
        <w:keepNext w:val="0"/>
        <w:keepLines w:val="0"/>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宋体" w:cs="Times New Roman"/>
          <w:color w:val="auto"/>
          <w:highlight w:val="none"/>
        </w:rPr>
      </w:pPr>
    </w:p>
    <w:p w14:paraId="6BAAF938">
      <w:pPr>
        <w:pStyle w:val="7"/>
        <w:kinsoku/>
        <w:spacing w:line="294" w:lineRule="auto"/>
        <w:rPr>
          <w:rFonts w:hint="default" w:ascii="Times New Roman" w:hAnsi="Times New Roman" w:eastAsia="宋体" w:cs="Times New Roman"/>
          <w:color w:val="auto"/>
          <w:highlight w:val="none"/>
        </w:rPr>
      </w:pPr>
    </w:p>
    <w:p w14:paraId="295D1F81">
      <w:pPr>
        <w:pStyle w:val="7"/>
        <w:kinsoku/>
        <w:spacing w:line="263" w:lineRule="auto"/>
        <w:rPr>
          <w:rFonts w:hint="default" w:ascii="Times New Roman" w:hAnsi="Times New Roman" w:eastAsia="宋体" w:cs="Times New Roman"/>
          <w:color w:val="auto"/>
          <w:highlight w:val="none"/>
          <w:lang w:eastAsia="zh-CN"/>
        </w:rPr>
      </w:pPr>
    </w:p>
    <w:p w14:paraId="748E5347">
      <w:pPr>
        <w:pStyle w:val="7"/>
        <w:kinsoku/>
        <w:spacing w:line="263" w:lineRule="auto"/>
        <w:rPr>
          <w:rFonts w:hint="default" w:ascii="Times New Roman" w:hAnsi="Times New Roman" w:eastAsia="宋体" w:cs="Times New Roman"/>
          <w:color w:val="auto"/>
          <w:highlight w:val="none"/>
          <w:lang w:eastAsia="zh-CN"/>
        </w:rPr>
        <w:sectPr>
          <w:footerReference r:id="rId4" w:type="default"/>
          <w:pgSz w:w="11900" w:h="16840"/>
          <w:pgMar w:top="1134" w:right="1418" w:bottom="1134" w:left="1588" w:header="862" w:footer="1214" w:gutter="0"/>
          <w:pgBorders>
            <w:top w:val="none" w:sz="0" w:space="0"/>
            <w:left w:val="none" w:sz="0" w:space="0"/>
            <w:bottom w:val="none" w:sz="0" w:space="0"/>
            <w:right w:val="none" w:sz="0" w:space="0"/>
          </w:pgBorders>
          <w:pgNumType w:fmt="upperRoman" w:start="1"/>
          <w:cols w:space="720" w:num="1"/>
        </w:sectPr>
      </w:pPr>
    </w:p>
    <w:p w14:paraId="7557F312">
      <w:pPr>
        <w:pStyle w:val="7"/>
        <w:kinsoku/>
        <w:spacing w:line="263" w:lineRule="auto"/>
        <w:rPr>
          <w:rFonts w:hint="default" w:ascii="Times New Roman" w:hAnsi="Times New Roman" w:eastAsia="宋体" w:cs="Times New Roman"/>
          <w:color w:val="auto"/>
          <w:highlight w:val="none"/>
          <w:lang w:eastAsia="zh-CN"/>
        </w:rPr>
      </w:pPr>
    </w:p>
    <w:p w14:paraId="131DCC92">
      <w:pPr>
        <w:pStyle w:val="7"/>
        <w:kinsoku/>
        <w:spacing w:line="263" w:lineRule="auto"/>
        <w:rPr>
          <w:rFonts w:hint="default" w:ascii="Times New Roman" w:hAnsi="Times New Roman" w:eastAsia="宋体" w:cs="Times New Roman"/>
          <w:color w:val="auto"/>
          <w:highlight w:val="none"/>
          <w:lang w:eastAsia="zh-CN"/>
        </w:rPr>
      </w:pPr>
    </w:p>
    <w:p w14:paraId="05C8FEFE">
      <w:pPr>
        <w:pStyle w:val="7"/>
        <w:kinsoku/>
        <w:spacing w:line="340" w:lineRule="auto"/>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rPr>
        <w:drawing>
          <wp:inline distT="0" distB="0" distL="114300" distR="114300">
            <wp:extent cx="5271770" cy="7459345"/>
            <wp:effectExtent l="0" t="0" r="5080" b="825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33"/>
                    <a:stretch>
                      <a:fillRect/>
                    </a:stretch>
                  </pic:blipFill>
                  <pic:spPr>
                    <a:xfrm>
                      <a:off x="0" y="0"/>
                      <a:ext cx="5271770" cy="7459345"/>
                    </a:xfrm>
                    <a:prstGeom prst="rect">
                      <a:avLst/>
                    </a:prstGeom>
                    <a:noFill/>
                    <a:ln>
                      <a:noFill/>
                    </a:ln>
                  </pic:spPr>
                </pic:pic>
              </a:graphicData>
            </a:graphic>
          </wp:inline>
        </w:drawing>
      </w:r>
    </w:p>
    <w:p w14:paraId="4E58B61B">
      <w:pPr>
        <w:kinsoku/>
        <w:spacing w:before="100" w:line="357" w:lineRule="auto"/>
        <w:ind w:right="215"/>
        <w:rPr>
          <w:rFonts w:hint="default" w:ascii="Times New Roman" w:hAnsi="Times New Roman" w:eastAsia="宋体" w:cs="Times New Roman"/>
          <w:b/>
          <w:bCs/>
          <w:color w:val="auto"/>
          <w:spacing w:val="5"/>
          <w:sz w:val="31"/>
          <w:szCs w:val="31"/>
          <w:highlight w:val="none"/>
          <w:lang w:eastAsia="zh-CN"/>
        </w:rPr>
      </w:pPr>
      <w:r>
        <w:rPr>
          <w:rFonts w:hint="default" w:ascii="Times New Roman" w:hAnsi="Times New Roman" w:eastAsia="宋体" w:cs="Times New Roman"/>
          <w:b/>
          <w:bCs/>
          <w:color w:val="auto"/>
          <w:spacing w:val="5"/>
          <w:sz w:val="31"/>
          <w:szCs w:val="31"/>
          <w:highlight w:val="none"/>
          <w:lang w:eastAsia="zh-CN"/>
        </w:rPr>
        <w:drawing>
          <wp:inline distT="0" distB="0" distL="114300" distR="114300">
            <wp:extent cx="5624830" cy="7954645"/>
            <wp:effectExtent l="0" t="0" r="13970" b="8255"/>
            <wp:docPr id="21" name="图片 21" descr="附件1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附件1_04"/>
                    <pic:cNvPicPr>
                      <a:picLocks noChangeAspect="1"/>
                    </pic:cNvPicPr>
                  </pic:nvPicPr>
                  <pic:blipFill>
                    <a:blip r:embed="rId34"/>
                    <a:stretch>
                      <a:fillRect/>
                    </a:stretch>
                  </pic:blipFill>
                  <pic:spPr>
                    <a:xfrm>
                      <a:off x="0" y="0"/>
                      <a:ext cx="5624830" cy="7954645"/>
                    </a:xfrm>
                    <a:prstGeom prst="rect">
                      <a:avLst/>
                    </a:prstGeom>
                  </pic:spPr>
                </pic:pic>
              </a:graphicData>
            </a:graphic>
          </wp:inline>
        </w:drawing>
      </w:r>
    </w:p>
    <w:p w14:paraId="7CF528FB">
      <w:pPr>
        <w:pStyle w:val="17"/>
        <w:rPr>
          <w:rFonts w:hint="default" w:ascii="Times New Roman" w:hAnsi="Times New Roman" w:eastAsia="宋体" w:cs="Times New Roman"/>
          <w:b/>
          <w:bCs/>
          <w:color w:val="auto"/>
          <w:spacing w:val="5"/>
          <w:sz w:val="31"/>
          <w:szCs w:val="31"/>
          <w:highlight w:val="none"/>
          <w:lang w:eastAsia="zh-CN"/>
        </w:rPr>
      </w:pPr>
    </w:p>
    <w:p w14:paraId="573E149E">
      <w:pPr>
        <w:rPr>
          <w:rFonts w:hint="default" w:ascii="Times New Roman" w:hAnsi="Times New Roman" w:eastAsia="宋体" w:cs="Times New Roman"/>
          <w:b/>
          <w:bCs/>
          <w:color w:val="auto"/>
          <w:spacing w:val="5"/>
          <w:sz w:val="31"/>
          <w:szCs w:val="31"/>
          <w:highlight w:val="none"/>
          <w:lang w:eastAsia="zh-CN"/>
        </w:rPr>
      </w:pPr>
      <w:r>
        <w:rPr>
          <w:rFonts w:hint="default" w:ascii="Times New Roman" w:hAnsi="Times New Roman" w:eastAsia="宋体" w:cs="Times New Roman"/>
          <w:b/>
          <w:bCs/>
          <w:color w:val="auto"/>
          <w:spacing w:val="5"/>
          <w:sz w:val="31"/>
          <w:szCs w:val="31"/>
          <w:highlight w:val="none"/>
          <w:lang w:eastAsia="zh-CN"/>
        </w:rPr>
        <w:drawing>
          <wp:inline distT="0" distB="0" distL="114300" distR="114300">
            <wp:extent cx="5624830" cy="7954645"/>
            <wp:effectExtent l="0" t="0" r="13970" b="8255"/>
            <wp:docPr id="22" name="图片 22" descr="附件1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附件1_07"/>
                    <pic:cNvPicPr>
                      <a:picLocks noChangeAspect="1"/>
                    </pic:cNvPicPr>
                  </pic:nvPicPr>
                  <pic:blipFill>
                    <a:blip r:embed="rId35"/>
                    <a:stretch>
                      <a:fillRect/>
                    </a:stretch>
                  </pic:blipFill>
                  <pic:spPr>
                    <a:xfrm>
                      <a:off x="0" y="0"/>
                      <a:ext cx="5624830" cy="7954645"/>
                    </a:xfrm>
                    <a:prstGeom prst="rect">
                      <a:avLst/>
                    </a:prstGeom>
                  </pic:spPr>
                </pic:pic>
              </a:graphicData>
            </a:graphic>
          </wp:inline>
        </w:drawing>
      </w:r>
    </w:p>
    <w:p w14:paraId="024F37D5">
      <w:pPr>
        <w:pStyle w:val="17"/>
        <w:rPr>
          <w:rFonts w:hint="default" w:ascii="Times New Roman" w:hAnsi="Times New Roman" w:cs="Times New Roman"/>
          <w:color w:val="auto"/>
          <w:highlight w:val="none"/>
          <w:lang w:eastAsia="zh-CN"/>
        </w:rPr>
      </w:pPr>
    </w:p>
    <w:p w14:paraId="5CDF8C50">
      <w:pPr>
        <w:spacing w:before="0" w:beforeLines="0" w:after="0" w:afterLines="0" w:line="240" w:lineRule="auto"/>
        <w:ind w:left="0" w:leftChars="0" w:right="0" w:rightChars="0" w:firstLine="0" w:firstLineChars="0"/>
        <w:jc w:val="center"/>
        <w:rPr>
          <w:rFonts w:hint="default" w:ascii="Times New Roman" w:hAnsi="Times New Roman" w:cs="Times New Roman"/>
          <w:color w:val="auto"/>
          <w:highlight w:val="none"/>
        </w:rPr>
      </w:pPr>
    </w:p>
    <w:p w14:paraId="37733A35">
      <w:pPr>
        <w:spacing w:before="0" w:beforeLines="0" w:after="0" w:afterLines="0" w:line="240" w:lineRule="auto"/>
        <w:ind w:left="0" w:leftChars="0" w:right="0" w:rightChars="0" w:firstLine="0" w:firstLineChars="0"/>
        <w:jc w:val="center"/>
        <w:rPr>
          <w:rFonts w:hint="default" w:ascii="Times New Roman" w:hAnsi="Times New Roman" w:eastAsia="宋体" w:cs="Times New Roman"/>
          <w:snapToGrid w:val="0"/>
          <w:color w:val="auto"/>
          <w:sz w:val="21"/>
          <w:szCs w:val="21"/>
          <w:highlight w:val="none"/>
          <w:lang w:val="en-US" w:eastAsia="en-US" w:bidi="ar-SA"/>
        </w:rPr>
        <w:sectPr>
          <w:footerReference r:id="rId5" w:type="default"/>
          <w:pgSz w:w="11900" w:h="16840"/>
          <w:pgMar w:top="1134" w:right="1418" w:bottom="1134" w:left="1588" w:header="862" w:footer="1214" w:gutter="0"/>
          <w:pgBorders>
            <w:top w:val="none" w:sz="0" w:space="0"/>
            <w:left w:val="none" w:sz="0" w:space="0"/>
            <w:bottom w:val="none" w:sz="0" w:space="0"/>
            <w:right w:val="none" w:sz="0" w:space="0"/>
          </w:pgBorders>
          <w:pgNumType w:fmt="upperRoman" w:start="1"/>
          <w:cols w:space="720" w:num="1"/>
        </w:sectPr>
      </w:pPr>
    </w:p>
    <w:sdt>
      <w:sdtPr>
        <w:rPr>
          <w:rFonts w:hint="default" w:ascii="Times New Roman" w:hAnsi="Times New Roman" w:eastAsia="宋体" w:cs="Times New Roman"/>
          <w:snapToGrid w:val="0"/>
          <w:color w:val="auto"/>
          <w:sz w:val="21"/>
          <w:szCs w:val="21"/>
          <w:highlight w:val="none"/>
          <w:lang w:val="en-US" w:eastAsia="en-US" w:bidi="ar-SA"/>
        </w:rPr>
        <w:id w:val="147454303"/>
        <w15:color w:val="DBDBDB"/>
        <w:docPartObj>
          <w:docPartGallery w:val="Table of Contents"/>
          <w:docPartUnique/>
        </w:docPartObj>
      </w:sdtPr>
      <w:sdtEndPr>
        <w:rPr>
          <w:rFonts w:hint="eastAsia" w:ascii="宋体" w:hAnsi="宋体" w:eastAsia="宋体" w:cs="宋体"/>
          <w:snapToGrid w:val="0"/>
          <w:color w:val="auto"/>
          <w:sz w:val="32"/>
          <w:szCs w:val="32"/>
          <w:highlight w:val="none"/>
          <w:lang w:val="en-US" w:eastAsia="en-US" w:bidi="ar-SA"/>
        </w:rPr>
      </w:sdtEndPr>
      <w:sdtContent>
        <w:p w14:paraId="4C4B94E2">
          <w:pPr>
            <w:spacing w:before="0" w:beforeLines="0" w:after="0" w:afterLines="0" w:line="240" w:lineRule="auto"/>
            <w:ind w:left="0" w:leftChars="0" w:right="0" w:rightChars="0" w:firstLine="0" w:firstLineChars="0"/>
            <w:jc w:val="center"/>
            <w:rPr>
              <w:rFonts w:hint="default" w:ascii="Times New Roman" w:hAnsi="Times New Roman" w:cs="Times New Roman"/>
              <w:color w:val="auto"/>
              <w:highlight w:val="none"/>
            </w:rPr>
          </w:pPr>
          <w:r>
            <w:rPr>
              <w:rFonts w:hint="default" w:ascii="Times New Roman" w:hAnsi="Times New Roman" w:eastAsia="宋体" w:cs="Times New Roman"/>
              <w:color w:val="auto"/>
              <w:sz w:val="28"/>
              <w:szCs w:val="28"/>
              <w:highlight w:val="none"/>
            </w:rPr>
            <w:t>目录</w:t>
          </w:r>
        </w:p>
        <w:p w14:paraId="181EFEA9">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32"/>
              <w:szCs w:val="32"/>
              <w:highlight w:val="none"/>
            </w:rPr>
            <w:fldChar w:fldCharType="begin"/>
          </w:r>
          <w:r>
            <w:rPr>
              <w:rFonts w:hint="eastAsia" w:ascii="宋体" w:hAnsi="宋体" w:eastAsia="宋体" w:cs="宋体"/>
              <w:color w:val="auto"/>
              <w:sz w:val="32"/>
              <w:szCs w:val="32"/>
              <w:highlight w:val="none"/>
            </w:rPr>
            <w:instrText xml:space="preserve">TOC \o "1-3" \h \u </w:instrText>
          </w:r>
          <w:r>
            <w:rPr>
              <w:rFonts w:hint="eastAsia" w:ascii="宋体" w:hAnsi="宋体" w:eastAsia="宋体" w:cs="宋体"/>
              <w:color w:val="auto"/>
              <w:sz w:val="32"/>
              <w:szCs w:val="32"/>
              <w:highlight w:val="none"/>
            </w:rPr>
            <w:fldChar w:fldCharType="separate"/>
          </w: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_Toc26600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40"/>
              <w:highlight w:val="none"/>
              <w:lang w:eastAsia="zh-CN"/>
            </w:rPr>
            <w:t>第一章 项目概要</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_Toc26600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7AC8F72">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_Toc7856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36"/>
              <w:highlight w:val="none"/>
              <w:lang w:eastAsia="zh-CN"/>
            </w:rPr>
            <w:t>1.1 项目背景</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_Toc7856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CA333B6">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_Toc31787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1.1.1中央加快农田建设指导</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_Toc31787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E3BC3F0">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_Toc5809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1.1.2四川省高标准农田建设</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_Toc5809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F07B4F2">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_Toc17645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1.1.3甘孜州高标准农田建设</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_Toc17645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63729B4">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_Toc15552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1.2 甘孜县高标准农田建设</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_Toc15552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F700DF8">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_Toc6631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1.2.1 项目建设范围</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_Toc6631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51E338D">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_Toc4098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1.2.2 项目建设规模</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_Toc4098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A62B244">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_Toc12978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1.2.3 项目建设内容</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_Toc12978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7D3186D">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_Toc29326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1.2.4 建设工期</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_Toc29326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- 7 -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78B1E6E">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_Toc22113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1.2.</w:t>
          </w:r>
          <w:r>
            <w:rPr>
              <w:rFonts w:hint="eastAsia" w:ascii="宋体" w:hAnsi="宋体" w:eastAsia="宋体" w:cs="宋体"/>
              <w:smallCaps w:val="0"/>
              <w:color w:val="auto"/>
              <w:spacing w:val="0"/>
              <w:w w:val="100"/>
              <w:sz w:val="24"/>
              <w:szCs w:val="24"/>
              <w:highlight w:val="none"/>
              <w:lang w:val="en-US" w:eastAsia="zh-CN"/>
            </w:rPr>
            <w:t>5</w:t>
          </w:r>
          <w:r>
            <w:rPr>
              <w:rFonts w:hint="eastAsia" w:ascii="宋体" w:hAnsi="宋体" w:eastAsia="宋体" w:cs="宋体"/>
              <w:smallCaps w:val="0"/>
              <w:color w:val="auto"/>
              <w:spacing w:val="0"/>
              <w:w w:val="100"/>
              <w:sz w:val="24"/>
              <w:szCs w:val="24"/>
              <w:highlight w:val="none"/>
            </w:rPr>
            <w:t xml:space="preserve"> 建设方式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_Toc22113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- 7 -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C38F7A6">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_Toc12062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1.3 投资概算和资金筹措</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_Toc12062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- 7 -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A3DD9F8">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_Toc3319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1.3.1 投资概算</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_Toc3319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- 7 -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4B45517">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_Toc7469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1.3.2 资金筹措</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_Toc7469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- 8 -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C2F57CA">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_Toc2425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1.4 项目组织实施</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_Toc2425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- 8 -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A2E3D37">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_Toc24380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1.5 水土保持及环境影响评价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_Toc24380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- 8 -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690F746">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_Toc31151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1.5.1 水土保持</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_Toc31151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- 8 -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8E15154">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_Toc21525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1.5.2 环境影响</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_Toc21525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- 8 -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664C632">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_Toc4305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1.6项目改革与管理</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_Toc4305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- 9 -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5ECD368">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_Toc23362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36"/>
              <w:highlight w:val="none"/>
              <w:lang w:val="en-US" w:eastAsia="zh-CN"/>
            </w:rPr>
            <w:t>1.6.1</w:t>
          </w:r>
          <w:r>
            <w:rPr>
              <w:rFonts w:hint="eastAsia" w:ascii="宋体" w:hAnsi="宋体" w:eastAsia="宋体" w:cs="宋体"/>
              <w:smallCaps w:val="0"/>
              <w:color w:val="auto"/>
              <w:spacing w:val="0"/>
              <w:w w:val="100"/>
              <w:sz w:val="24"/>
              <w:szCs w:val="36"/>
              <w:highlight w:val="none"/>
              <w:lang w:eastAsia="zh-CN"/>
            </w:rPr>
            <w:t>建立用水系统</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_Toc23362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- 9 -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31A6CD6">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_Toc3250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36"/>
              <w:highlight w:val="none"/>
              <w:lang w:val="en-US" w:eastAsia="zh-CN"/>
            </w:rPr>
            <w:t>1.6.2</w:t>
          </w:r>
          <w:r>
            <w:rPr>
              <w:rFonts w:hint="eastAsia" w:ascii="宋体" w:hAnsi="宋体" w:eastAsia="宋体" w:cs="宋体"/>
              <w:smallCaps w:val="0"/>
              <w:color w:val="auto"/>
              <w:spacing w:val="0"/>
              <w:w w:val="100"/>
              <w:sz w:val="24"/>
              <w:szCs w:val="36"/>
              <w:highlight w:val="none"/>
              <w:lang w:eastAsia="zh-CN"/>
            </w:rPr>
            <w:t>工程管护</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_Toc3250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- 9 -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E9E0454">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_Toc19982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36"/>
              <w:highlight w:val="none"/>
              <w:lang w:val="en-US" w:eastAsia="zh-CN"/>
            </w:rPr>
            <w:t>1.6.3</w:t>
          </w:r>
          <w:r>
            <w:rPr>
              <w:rFonts w:hint="eastAsia" w:ascii="宋体" w:hAnsi="宋体" w:eastAsia="宋体" w:cs="宋体"/>
              <w:smallCaps w:val="0"/>
              <w:color w:val="auto"/>
              <w:spacing w:val="0"/>
              <w:w w:val="100"/>
              <w:sz w:val="24"/>
              <w:szCs w:val="36"/>
              <w:highlight w:val="none"/>
              <w:lang w:eastAsia="zh-CN"/>
            </w:rPr>
            <w:t>加强技术指导，做好技术培训</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_Toc19982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- 9 -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9D8C469">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_Toc12580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1.7 项目效益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_Toc12580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FBA4D7C">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_Toc22992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1.7.1 经济效益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_Toc22992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B0E9772">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_Toc21426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1.7.2 社会效益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_Toc21426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C4A86EE">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_Toc3408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1.7.3 生态效益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_Toc3408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524EC96">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_Toc8666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44"/>
              <w:highlight w:val="none"/>
              <w:lang w:eastAsia="zh-CN"/>
            </w:rPr>
            <w:t>第二章</w:t>
          </w:r>
          <w:r>
            <w:rPr>
              <w:rFonts w:hint="eastAsia" w:ascii="宋体" w:hAnsi="宋体" w:eastAsia="宋体" w:cs="宋体"/>
              <w:smallCaps w:val="0"/>
              <w:color w:val="auto"/>
              <w:spacing w:val="0"/>
              <w:w w:val="100"/>
              <w:sz w:val="24"/>
              <w:szCs w:val="44"/>
              <w:highlight w:val="none"/>
              <w:lang w:eastAsia="zh-CN"/>
            </w:rPr>
            <w:t xml:space="preserve"> </w:t>
          </w:r>
          <w:r>
            <w:rPr>
              <w:rFonts w:hint="eastAsia" w:ascii="宋体" w:hAnsi="宋体" w:eastAsia="宋体" w:cs="宋体"/>
              <w:bCs/>
              <w:smallCaps w:val="0"/>
              <w:color w:val="auto"/>
              <w:spacing w:val="0"/>
              <w:w w:val="100"/>
              <w:sz w:val="24"/>
              <w:szCs w:val="44"/>
              <w:highlight w:val="none"/>
              <w:lang w:eastAsia="zh-CN"/>
            </w:rPr>
            <w:t>项目区概况</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_Toc8666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51640DB">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_Toc14976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2.1 项目选址原则</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_Toc14976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BA181D5">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_Toc24176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2.2 自然概况</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_Toc24176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A177B51">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_Toc5864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2.2.1 地理位置及范围</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_Toc5864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E1968F8">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_Toc30425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2.2.2 水文气象</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_Toc30425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610986B">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_Toc6252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2.2.3 地形、地貌及土壤</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_Toc6252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C566E6E">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_Toc5935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2.2.4 水资源</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_Toc5935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- 16 -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228DBB7">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_Toc14685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2.2.5 耕地</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_Toc14685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- 18 -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0B8B823">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_Toc23709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2.2.</w:t>
          </w:r>
          <w:r>
            <w:rPr>
              <w:rFonts w:hint="eastAsia" w:ascii="宋体" w:hAnsi="宋体" w:eastAsia="宋体" w:cs="宋体"/>
              <w:smallCaps w:val="0"/>
              <w:color w:val="auto"/>
              <w:spacing w:val="0"/>
              <w:w w:val="100"/>
              <w:sz w:val="24"/>
              <w:szCs w:val="24"/>
              <w:highlight w:val="none"/>
              <w:lang w:eastAsia="zh-CN"/>
            </w:rPr>
            <w:t>6</w:t>
          </w:r>
          <w:r>
            <w:rPr>
              <w:rFonts w:hint="eastAsia" w:ascii="宋体" w:hAnsi="宋体" w:eastAsia="宋体" w:cs="宋体"/>
              <w:smallCaps w:val="0"/>
              <w:color w:val="auto"/>
              <w:spacing w:val="0"/>
              <w:w w:val="100"/>
              <w:sz w:val="24"/>
              <w:szCs w:val="24"/>
              <w:highlight w:val="none"/>
            </w:rPr>
            <w:t>自然灾害</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_Toc23709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- 20 -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245CD49">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_Toc26097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2.3 社会经济状况</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_Toc26097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- 20 -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6FC769F">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_Toc32617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2.3.1 人口及</w:t>
          </w:r>
          <w:r>
            <w:rPr>
              <w:rFonts w:hint="eastAsia" w:ascii="宋体" w:hAnsi="宋体" w:eastAsia="宋体" w:cs="宋体"/>
              <w:smallCaps w:val="0"/>
              <w:color w:val="auto"/>
              <w:spacing w:val="0"/>
              <w:w w:val="100"/>
              <w:sz w:val="24"/>
              <w:szCs w:val="24"/>
              <w:highlight w:val="none"/>
              <w:lang w:eastAsia="zh-CN"/>
            </w:rPr>
            <w:t>劳动</w:t>
          </w:r>
          <w:r>
            <w:rPr>
              <w:rFonts w:hint="eastAsia" w:ascii="宋体" w:hAnsi="宋体" w:eastAsia="宋体" w:cs="宋体"/>
              <w:smallCaps w:val="0"/>
              <w:color w:val="auto"/>
              <w:spacing w:val="0"/>
              <w:w w:val="100"/>
              <w:sz w:val="24"/>
              <w:szCs w:val="24"/>
              <w:highlight w:val="none"/>
            </w:rPr>
            <w:t>力</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_Toc32617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- 20 -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F595E42">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_Toc9876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2.3.2 土地利用现状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_Toc9876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- 21 -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B94A4EB">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_Toc23179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2.3.3 农业生产水平</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_Toc23179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- 23 -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A317EDA">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_Toc30131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2.3.4 地方财政与农民收入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_Toc30131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- 24 -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7C84AFB">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_Toc9410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2.3.5 农业科技服务体系状况</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_Toc9410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- 25 -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A515447">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_Toc25841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2.4 基础设施</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_Toc25841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- 25 -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8542718">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_Toc3970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2.4.1 水源工程现状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_Toc3970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- 26 -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86AD041">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_Toc5345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2.4.</w:t>
          </w:r>
          <w:r>
            <w:rPr>
              <w:rFonts w:hint="eastAsia" w:ascii="宋体" w:hAnsi="宋体" w:eastAsia="宋体" w:cs="宋体"/>
              <w:smallCaps w:val="0"/>
              <w:color w:val="auto"/>
              <w:spacing w:val="0"/>
              <w:w w:val="100"/>
              <w:sz w:val="24"/>
              <w:szCs w:val="24"/>
              <w:highlight w:val="none"/>
              <w:lang w:val="en-US" w:eastAsia="zh-CN"/>
            </w:rPr>
            <w:t xml:space="preserve">2 </w:t>
          </w:r>
          <w:r>
            <w:rPr>
              <w:rFonts w:hint="eastAsia" w:ascii="宋体" w:hAnsi="宋体" w:eastAsia="宋体" w:cs="宋体"/>
              <w:smallCaps w:val="0"/>
              <w:color w:val="auto"/>
              <w:spacing w:val="0"/>
              <w:w w:val="100"/>
              <w:sz w:val="24"/>
              <w:szCs w:val="24"/>
              <w:highlight w:val="none"/>
            </w:rPr>
            <w:t>水利骨干工程现状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_Toc5345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- 27 -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448D324">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_Toc25146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2.4.</w:t>
          </w:r>
          <w:r>
            <w:rPr>
              <w:rFonts w:hint="eastAsia" w:ascii="宋体" w:hAnsi="宋体" w:eastAsia="宋体" w:cs="宋体"/>
              <w:smallCaps w:val="0"/>
              <w:color w:val="auto"/>
              <w:spacing w:val="0"/>
              <w:w w:val="100"/>
              <w:sz w:val="24"/>
              <w:szCs w:val="24"/>
              <w:highlight w:val="none"/>
              <w:lang w:val="en-US" w:eastAsia="zh-CN"/>
            </w:rPr>
            <w:t>3</w:t>
          </w:r>
          <w:r>
            <w:rPr>
              <w:rFonts w:hint="eastAsia" w:ascii="宋体" w:hAnsi="宋体" w:eastAsia="宋体" w:cs="宋体"/>
              <w:smallCaps w:val="0"/>
              <w:color w:val="auto"/>
              <w:spacing w:val="0"/>
              <w:w w:val="100"/>
              <w:sz w:val="24"/>
              <w:szCs w:val="24"/>
              <w:highlight w:val="none"/>
            </w:rPr>
            <w:t xml:space="preserve"> 田间工程现状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_Toc25146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- 28 -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1CD2446">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_Toc23487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2.4.</w:t>
          </w:r>
          <w:r>
            <w:rPr>
              <w:rFonts w:hint="eastAsia" w:ascii="宋体" w:hAnsi="宋体" w:eastAsia="宋体" w:cs="宋体"/>
              <w:smallCaps w:val="0"/>
              <w:color w:val="auto"/>
              <w:spacing w:val="0"/>
              <w:w w:val="100"/>
              <w:sz w:val="24"/>
              <w:szCs w:val="24"/>
              <w:highlight w:val="none"/>
              <w:lang w:val="en-US" w:eastAsia="zh-CN"/>
            </w:rPr>
            <w:t>4</w:t>
          </w:r>
          <w:r>
            <w:rPr>
              <w:rFonts w:hint="eastAsia" w:ascii="宋体" w:hAnsi="宋体" w:eastAsia="宋体" w:cs="宋体"/>
              <w:smallCaps w:val="0"/>
              <w:color w:val="auto"/>
              <w:spacing w:val="0"/>
              <w:w w:val="100"/>
              <w:sz w:val="24"/>
              <w:szCs w:val="24"/>
              <w:highlight w:val="none"/>
            </w:rPr>
            <w:t xml:space="preserve"> 新型农业经营主体</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_Toc23487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57EAE30">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_Toc7348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2.4.</w:t>
          </w:r>
          <w:r>
            <w:rPr>
              <w:rFonts w:hint="eastAsia" w:ascii="宋体" w:hAnsi="宋体" w:eastAsia="宋体" w:cs="宋体"/>
              <w:smallCaps w:val="0"/>
              <w:color w:val="auto"/>
              <w:spacing w:val="0"/>
              <w:w w:val="100"/>
              <w:sz w:val="24"/>
              <w:szCs w:val="24"/>
              <w:highlight w:val="none"/>
              <w:lang w:val="en-US" w:eastAsia="zh-CN"/>
            </w:rPr>
            <w:t>5</w:t>
          </w:r>
          <w:r>
            <w:rPr>
              <w:rFonts w:hint="eastAsia" w:ascii="宋体" w:hAnsi="宋体" w:eastAsia="宋体" w:cs="宋体"/>
              <w:smallCaps w:val="0"/>
              <w:color w:val="auto"/>
              <w:spacing w:val="0"/>
              <w:w w:val="100"/>
              <w:sz w:val="24"/>
              <w:szCs w:val="24"/>
              <w:highlight w:val="none"/>
            </w:rPr>
            <w:t xml:space="preserve"> 农业机械现状及发展趋势</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_Toc7348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DDFB36E">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_Toc6843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2.4.</w:t>
          </w:r>
          <w:r>
            <w:rPr>
              <w:rFonts w:hint="eastAsia" w:ascii="宋体" w:hAnsi="宋体" w:eastAsia="宋体" w:cs="宋体"/>
              <w:smallCaps w:val="0"/>
              <w:color w:val="auto"/>
              <w:spacing w:val="0"/>
              <w:w w:val="100"/>
              <w:sz w:val="24"/>
              <w:szCs w:val="24"/>
              <w:highlight w:val="none"/>
              <w:lang w:val="en-US" w:eastAsia="zh-CN"/>
            </w:rPr>
            <w:t>6</w:t>
          </w:r>
          <w:r>
            <w:rPr>
              <w:rFonts w:hint="eastAsia" w:ascii="宋体" w:hAnsi="宋体" w:eastAsia="宋体" w:cs="宋体"/>
              <w:smallCaps w:val="0"/>
              <w:color w:val="auto"/>
              <w:spacing w:val="0"/>
              <w:w w:val="100"/>
              <w:sz w:val="24"/>
              <w:szCs w:val="24"/>
              <w:highlight w:val="none"/>
            </w:rPr>
            <w:t>交通</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_Toc6843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1FED5C9">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_Toc16806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2.</w:t>
          </w:r>
          <w:r>
            <w:rPr>
              <w:rFonts w:hint="eastAsia" w:ascii="宋体" w:hAnsi="宋体" w:eastAsia="宋体" w:cs="宋体"/>
              <w:bCs/>
              <w:smallCaps w:val="0"/>
              <w:color w:val="auto"/>
              <w:spacing w:val="0"/>
              <w:w w:val="100"/>
              <w:sz w:val="24"/>
              <w:szCs w:val="36"/>
              <w:highlight w:val="none"/>
              <w:lang w:val="en-US" w:eastAsia="zh-CN"/>
            </w:rPr>
            <w:t>5</w:t>
          </w:r>
          <w:r>
            <w:rPr>
              <w:rFonts w:hint="eastAsia" w:ascii="宋体" w:hAnsi="宋体" w:eastAsia="宋体" w:cs="宋体"/>
              <w:bCs/>
              <w:smallCaps w:val="0"/>
              <w:color w:val="auto"/>
              <w:spacing w:val="0"/>
              <w:w w:val="100"/>
              <w:sz w:val="24"/>
              <w:szCs w:val="36"/>
              <w:highlight w:val="none"/>
              <w:lang w:eastAsia="zh-CN"/>
            </w:rPr>
            <w:t xml:space="preserve"> </w:t>
          </w:r>
          <w:r>
            <w:rPr>
              <w:rFonts w:hint="eastAsia" w:ascii="宋体" w:hAnsi="宋体" w:eastAsia="宋体" w:cs="宋体"/>
              <w:bCs/>
              <w:smallCaps w:val="0"/>
              <w:color w:val="auto"/>
              <w:spacing w:val="0"/>
              <w:w w:val="100"/>
              <w:sz w:val="24"/>
              <w:szCs w:val="36"/>
              <w:highlight w:val="none"/>
              <w:lang w:val="en-US" w:eastAsia="zh-CN"/>
            </w:rPr>
            <w:t>区域规划</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_Toc16806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9B76D90">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_Toc32466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w:t>
          </w:r>
          <w:r>
            <w:rPr>
              <w:rFonts w:hint="eastAsia" w:ascii="宋体" w:hAnsi="宋体" w:eastAsia="宋体" w:cs="宋体"/>
              <w:smallCaps w:val="0"/>
              <w:color w:val="auto"/>
              <w:spacing w:val="0"/>
              <w:w w:val="100"/>
              <w:sz w:val="24"/>
              <w:szCs w:val="24"/>
              <w:highlight w:val="none"/>
              <w:lang w:val="en-US" w:eastAsia="zh-CN"/>
            </w:rPr>
            <w:t>5</w:t>
          </w:r>
          <w:r>
            <w:rPr>
              <w:rFonts w:hint="eastAsia" w:ascii="宋体" w:hAnsi="宋体" w:eastAsia="宋体" w:cs="宋体"/>
              <w:smallCaps w:val="0"/>
              <w:color w:val="auto"/>
              <w:spacing w:val="0"/>
              <w:w w:val="100"/>
              <w:sz w:val="24"/>
              <w:szCs w:val="24"/>
              <w:highlight w:val="none"/>
            </w:rPr>
            <w:t>.</w:t>
          </w:r>
          <w:r>
            <w:rPr>
              <w:rFonts w:hint="eastAsia" w:ascii="宋体" w:hAnsi="宋体" w:eastAsia="宋体" w:cs="宋体"/>
              <w:smallCaps w:val="0"/>
              <w:color w:val="auto"/>
              <w:spacing w:val="0"/>
              <w:w w:val="100"/>
              <w:sz w:val="24"/>
              <w:szCs w:val="24"/>
              <w:highlight w:val="none"/>
              <w:lang w:val="en-US" w:eastAsia="zh-CN"/>
            </w:rPr>
            <w:t>1</w:t>
          </w:r>
          <w:r>
            <w:rPr>
              <w:rFonts w:hint="eastAsia" w:ascii="宋体" w:hAnsi="宋体" w:eastAsia="宋体" w:cs="宋体"/>
              <w:smallCaps w:val="0"/>
              <w:color w:val="auto"/>
              <w:spacing w:val="0"/>
              <w:w w:val="100"/>
              <w:sz w:val="24"/>
              <w:szCs w:val="24"/>
              <w:highlight w:val="none"/>
            </w:rPr>
            <w:t xml:space="preserve"> 农牧业发展布局</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_Toc32466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55437A1">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_Toc12980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w:t>
          </w:r>
          <w:r>
            <w:rPr>
              <w:rFonts w:hint="eastAsia" w:ascii="宋体" w:hAnsi="宋体" w:eastAsia="宋体" w:cs="宋体"/>
              <w:smallCaps w:val="0"/>
              <w:color w:val="auto"/>
              <w:spacing w:val="0"/>
              <w:w w:val="100"/>
              <w:sz w:val="24"/>
              <w:szCs w:val="24"/>
              <w:highlight w:val="none"/>
              <w:lang w:val="en-US" w:eastAsia="zh-CN"/>
            </w:rPr>
            <w:t>5</w:t>
          </w:r>
          <w:r>
            <w:rPr>
              <w:rFonts w:hint="eastAsia" w:ascii="宋体" w:hAnsi="宋体" w:eastAsia="宋体" w:cs="宋体"/>
              <w:smallCaps w:val="0"/>
              <w:color w:val="auto"/>
              <w:spacing w:val="0"/>
              <w:w w:val="100"/>
              <w:sz w:val="24"/>
              <w:szCs w:val="24"/>
              <w:highlight w:val="none"/>
            </w:rPr>
            <w:t>.</w:t>
          </w:r>
          <w:r>
            <w:rPr>
              <w:rFonts w:hint="eastAsia" w:ascii="宋体" w:hAnsi="宋体" w:eastAsia="宋体" w:cs="宋体"/>
              <w:smallCaps w:val="0"/>
              <w:color w:val="auto"/>
              <w:spacing w:val="0"/>
              <w:w w:val="100"/>
              <w:sz w:val="24"/>
              <w:szCs w:val="24"/>
              <w:highlight w:val="none"/>
              <w:lang w:val="en-US" w:eastAsia="zh-CN"/>
            </w:rPr>
            <w:t>2</w:t>
          </w:r>
          <w:r>
            <w:rPr>
              <w:rFonts w:hint="eastAsia" w:ascii="宋体" w:hAnsi="宋体" w:eastAsia="宋体" w:cs="宋体"/>
              <w:smallCaps w:val="0"/>
              <w:color w:val="auto"/>
              <w:spacing w:val="0"/>
              <w:w w:val="100"/>
              <w:sz w:val="24"/>
              <w:szCs w:val="24"/>
              <w:highlight w:val="none"/>
            </w:rPr>
            <w:t xml:space="preserve"> 有机产业布局</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_Toc12980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3095CE9">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_Toc4433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w:t>
          </w:r>
          <w:r>
            <w:rPr>
              <w:rFonts w:hint="eastAsia" w:ascii="宋体" w:hAnsi="宋体" w:eastAsia="宋体" w:cs="宋体"/>
              <w:smallCaps w:val="0"/>
              <w:color w:val="auto"/>
              <w:spacing w:val="0"/>
              <w:w w:val="100"/>
              <w:sz w:val="24"/>
              <w:szCs w:val="24"/>
              <w:highlight w:val="none"/>
              <w:lang w:val="en-US" w:eastAsia="zh-CN"/>
            </w:rPr>
            <w:t>5</w:t>
          </w:r>
          <w:r>
            <w:rPr>
              <w:rFonts w:hint="eastAsia" w:ascii="宋体" w:hAnsi="宋体" w:eastAsia="宋体" w:cs="宋体"/>
              <w:smallCaps w:val="0"/>
              <w:color w:val="auto"/>
              <w:spacing w:val="0"/>
              <w:w w:val="100"/>
              <w:sz w:val="24"/>
              <w:szCs w:val="24"/>
              <w:highlight w:val="none"/>
            </w:rPr>
            <w:t>.</w:t>
          </w:r>
          <w:r>
            <w:rPr>
              <w:rFonts w:hint="eastAsia" w:ascii="宋体" w:hAnsi="宋体" w:eastAsia="宋体" w:cs="宋体"/>
              <w:smallCaps w:val="0"/>
              <w:color w:val="auto"/>
              <w:spacing w:val="0"/>
              <w:w w:val="100"/>
              <w:sz w:val="24"/>
              <w:szCs w:val="24"/>
              <w:highlight w:val="none"/>
              <w:lang w:val="en-US" w:eastAsia="zh-CN"/>
            </w:rPr>
            <w:t>3</w:t>
          </w:r>
          <w:r>
            <w:rPr>
              <w:rFonts w:hint="eastAsia" w:ascii="宋体" w:hAnsi="宋体" w:eastAsia="宋体" w:cs="宋体"/>
              <w:smallCaps w:val="0"/>
              <w:color w:val="auto"/>
              <w:spacing w:val="0"/>
              <w:w w:val="100"/>
              <w:sz w:val="24"/>
              <w:szCs w:val="24"/>
              <w:highlight w:val="none"/>
            </w:rPr>
            <w:t xml:space="preserve"> 牦牛产业集群布局</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_Toc4433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34541AD">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_Toc4449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2.</w:t>
          </w:r>
          <w:r>
            <w:rPr>
              <w:rFonts w:hint="eastAsia" w:ascii="宋体" w:hAnsi="宋体" w:eastAsia="宋体" w:cs="宋体"/>
              <w:bCs/>
              <w:smallCaps w:val="0"/>
              <w:color w:val="auto"/>
              <w:spacing w:val="0"/>
              <w:w w:val="100"/>
              <w:sz w:val="24"/>
              <w:szCs w:val="36"/>
              <w:highlight w:val="none"/>
              <w:lang w:val="en-US" w:eastAsia="zh-CN"/>
            </w:rPr>
            <w:t>6产业发展现状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_Toc4449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FF0EA7D">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_Toc23914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w:t>
          </w:r>
          <w:r>
            <w:rPr>
              <w:rFonts w:hint="eastAsia" w:ascii="宋体" w:hAnsi="宋体" w:eastAsia="宋体" w:cs="宋体"/>
              <w:smallCaps w:val="0"/>
              <w:color w:val="auto"/>
              <w:spacing w:val="0"/>
              <w:w w:val="100"/>
              <w:sz w:val="24"/>
              <w:szCs w:val="24"/>
              <w:highlight w:val="none"/>
              <w:lang w:val="en-US" w:eastAsia="zh-CN"/>
            </w:rPr>
            <w:t>6</w:t>
          </w:r>
          <w:r>
            <w:rPr>
              <w:rFonts w:hint="eastAsia" w:ascii="宋体" w:hAnsi="宋体" w:eastAsia="宋体" w:cs="宋体"/>
              <w:smallCaps w:val="0"/>
              <w:color w:val="auto"/>
              <w:spacing w:val="0"/>
              <w:w w:val="100"/>
              <w:sz w:val="24"/>
              <w:szCs w:val="24"/>
              <w:highlight w:val="none"/>
            </w:rPr>
            <w:t>.</w:t>
          </w:r>
          <w:r>
            <w:rPr>
              <w:rFonts w:hint="eastAsia" w:ascii="宋体" w:hAnsi="宋体" w:eastAsia="宋体" w:cs="宋体"/>
              <w:smallCaps w:val="0"/>
              <w:color w:val="auto"/>
              <w:spacing w:val="0"/>
              <w:w w:val="100"/>
              <w:sz w:val="24"/>
              <w:szCs w:val="24"/>
              <w:highlight w:val="none"/>
              <w:lang w:val="en-US" w:eastAsia="zh-CN"/>
            </w:rPr>
            <w:t>1</w:t>
          </w:r>
          <w:r>
            <w:rPr>
              <w:rFonts w:hint="eastAsia" w:ascii="宋体" w:hAnsi="宋体" w:eastAsia="宋体" w:cs="宋体"/>
              <w:smallCaps w:val="0"/>
              <w:color w:val="auto"/>
              <w:spacing w:val="0"/>
              <w:w w:val="100"/>
              <w:sz w:val="24"/>
              <w:szCs w:val="24"/>
              <w:highlight w:val="none"/>
            </w:rPr>
            <w:t xml:space="preserve"> </w:t>
          </w:r>
          <w:r>
            <w:rPr>
              <w:rFonts w:hint="eastAsia" w:ascii="宋体" w:hAnsi="宋体" w:eastAsia="宋体" w:cs="宋体"/>
              <w:smallCaps w:val="0"/>
              <w:color w:val="auto"/>
              <w:spacing w:val="0"/>
              <w:w w:val="100"/>
              <w:sz w:val="24"/>
              <w:szCs w:val="24"/>
              <w:highlight w:val="none"/>
              <w:lang w:val="en-US" w:eastAsia="zh-CN"/>
            </w:rPr>
            <w:t>农业方面</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_Toc23914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147090E">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_Toc29903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w:t>
          </w:r>
          <w:r>
            <w:rPr>
              <w:rFonts w:hint="eastAsia" w:ascii="宋体" w:hAnsi="宋体" w:eastAsia="宋体" w:cs="宋体"/>
              <w:smallCaps w:val="0"/>
              <w:color w:val="auto"/>
              <w:spacing w:val="0"/>
              <w:w w:val="100"/>
              <w:sz w:val="24"/>
              <w:szCs w:val="24"/>
              <w:highlight w:val="none"/>
              <w:lang w:val="en-US" w:eastAsia="zh-CN"/>
            </w:rPr>
            <w:t>6</w:t>
          </w:r>
          <w:r>
            <w:rPr>
              <w:rFonts w:hint="eastAsia" w:ascii="宋体" w:hAnsi="宋体" w:eastAsia="宋体" w:cs="宋体"/>
              <w:smallCaps w:val="0"/>
              <w:color w:val="auto"/>
              <w:spacing w:val="0"/>
              <w:w w:val="100"/>
              <w:sz w:val="24"/>
              <w:szCs w:val="24"/>
              <w:highlight w:val="none"/>
            </w:rPr>
            <w:t>.</w:t>
          </w:r>
          <w:r>
            <w:rPr>
              <w:rFonts w:hint="eastAsia" w:ascii="宋体" w:hAnsi="宋体" w:eastAsia="宋体" w:cs="宋体"/>
              <w:smallCaps w:val="0"/>
              <w:color w:val="auto"/>
              <w:spacing w:val="0"/>
              <w:w w:val="100"/>
              <w:sz w:val="24"/>
              <w:szCs w:val="24"/>
              <w:highlight w:val="none"/>
              <w:lang w:val="en-US" w:eastAsia="zh-CN"/>
            </w:rPr>
            <w:t>2</w:t>
          </w:r>
          <w:r>
            <w:rPr>
              <w:rFonts w:hint="eastAsia" w:ascii="宋体" w:hAnsi="宋体" w:eastAsia="宋体" w:cs="宋体"/>
              <w:smallCaps w:val="0"/>
              <w:color w:val="auto"/>
              <w:spacing w:val="0"/>
              <w:w w:val="100"/>
              <w:sz w:val="24"/>
              <w:szCs w:val="24"/>
              <w:highlight w:val="none"/>
            </w:rPr>
            <w:t xml:space="preserve"> </w:t>
          </w:r>
          <w:r>
            <w:rPr>
              <w:rFonts w:hint="eastAsia" w:ascii="宋体" w:hAnsi="宋体" w:eastAsia="宋体" w:cs="宋体"/>
              <w:smallCaps w:val="0"/>
              <w:color w:val="auto"/>
              <w:spacing w:val="0"/>
              <w:w w:val="100"/>
              <w:sz w:val="24"/>
              <w:szCs w:val="24"/>
              <w:highlight w:val="none"/>
              <w:lang w:val="en-US" w:eastAsia="zh-CN"/>
            </w:rPr>
            <w:t>工业方面</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_Toc29903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3567052">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_Toc23437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2.</w:t>
          </w:r>
          <w:r>
            <w:rPr>
              <w:rFonts w:hint="eastAsia" w:ascii="宋体" w:hAnsi="宋体" w:eastAsia="宋体" w:cs="宋体"/>
              <w:smallCaps w:val="0"/>
              <w:color w:val="auto"/>
              <w:spacing w:val="0"/>
              <w:w w:val="100"/>
              <w:sz w:val="24"/>
              <w:szCs w:val="24"/>
              <w:highlight w:val="none"/>
              <w:lang w:val="en-US" w:eastAsia="zh-CN"/>
            </w:rPr>
            <w:t>6</w:t>
          </w:r>
          <w:r>
            <w:rPr>
              <w:rFonts w:hint="eastAsia" w:ascii="宋体" w:hAnsi="宋体" w:eastAsia="宋体" w:cs="宋体"/>
              <w:smallCaps w:val="0"/>
              <w:color w:val="auto"/>
              <w:spacing w:val="0"/>
              <w:w w:val="100"/>
              <w:sz w:val="24"/>
              <w:szCs w:val="24"/>
              <w:highlight w:val="none"/>
            </w:rPr>
            <w:t>.</w:t>
          </w:r>
          <w:r>
            <w:rPr>
              <w:rFonts w:hint="eastAsia" w:ascii="宋体" w:hAnsi="宋体" w:eastAsia="宋体" w:cs="宋体"/>
              <w:smallCaps w:val="0"/>
              <w:color w:val="auto"/>
              <w:spacing w:val="0"/>
              <w:w w:val="100"/>
              <w:sz w:val="24"/>
              <w:szCs w:val="24"/>
              <w:highlight w:val="none"/>
              <w:lang w:val="en-US" w:eastAsia="zh-CN"/>
            </w:rPr>
            <w:t>3</w:t>
          </w:r>
          <w:r>
            <w:rPr>
              <w:rFonts w:hint="eastAsia" w:ascii="宋体" w:hAnsi="宋体" w:eastAsia="宋体" w:cs="宋体"/>
              <w:smallCaps w:val="0"/>
              <w:color w:val="auto"/>
              <w:spacing w:val="0"/>
              <w:w w:val="100"/>
              <w:sz w:val="24"/>
              <w:szCs w:val="24"/>
              <w:highlight w:val="none"/>
            </w:rPr>
            <w:t xml:space="preserve"> </w:t>
          </w:r>
          <w:r>
            <w:rPr>
              <w:rFonts w:hint="eastAsia" w:ascii="宋体" w:hAnsi="宋体" w:eastAsia="宋体" w:cs="宋体"/>
              <w:smallCaps w:val="0"/>
              <w:color w:val="auto"/>
              <w:spacing w:val="0"/>
              <w:w w:val="100"/>
              <w:sz w:val="24"/>
              <w:szCs w:val="24"/>
              <w:highlight w:val="none"/>
              <w:lang w:val="en-US" w:eastAsia="zh-CN"/>
            </w:rPr>
            <w:t>文旅及手工业方面</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_Toc23437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33C8F08">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_Toc575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44"/>
              <w:highlight w:val="none"/>
              <w:lang w:eastAsia="zh-CN"/>
            </w:rPr>
            <w:t>第三章</w:t>
          </w:r>
          <w:r>
            <w:rPr>
              <w:rFonts w:hint="eastAsia" w:ascii="宋体" w:hAnsi="宋体" w:eastAsia="宋体" w:cs="宋体"/>
              <w:smallCaps w:val="0"/>
              <w:color w:val="auto"/>
              <w:spacing w:val="0"/>
              <w:w w:val="100"/>
              <w:sz w:val="24"/>
              <w:szCs w:val="44"/>
              <w:highlight w:val="none"/>
              <w:lang w:eastAsia="zh-CN"/>
            </w:rPr>
            <w:t xml:space="preserve"> </w:t>
          </w:r>
          <w:r>
            <w:rPr>
              <w:rFonts w:hint="eastAsia" w:ascii="宋体" w:hAnsi="宋体" w:eastAsia="宋体" w:cs="宋体"/>
              <w:bCs/>
              <w:smallCaps w:val="0"/>
              <w:color w:val="auto"/>
              <w:spacing w:val="0"/>
              <w:w w:val="100"/>
              <w:sz w:val="24"/>
              <w:szCs w:val="44"/>
              <w:highlight w:val="none"/>
              <w:lang w:eastAsia="zh-CN"/>
            </w:rPr>
            <w:t>项目建设的必要性</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_Toc575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6C4BC5E">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_Toc6235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3.1 项目区农业和农村经济发展的制约因素</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_Toc6235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FFA29AE">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_Toc9888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3.1.1 农业基础条件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_Toc9888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7FAB988">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_Toc31859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3.1.2 自然灾害</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_Toc31859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- 34 -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AE9BD7A">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_Toc25026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3.1.3 生产方式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_Toc25026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077CF96">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_Toc875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3.1.4 农业科技技术水平</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_Toc875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- 36 -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2800279">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_Toc22495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3.1.5 产业结构</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_Toc22495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- 36 -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47F3330">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_Toc25512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3.2 项目建设的必要性</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_Toc25512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- 37 -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DDDCD5D">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_Toc17553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3.2.</w:t>
          </w:r>
          <w:r>
            <w:rPr>
              <w:rFonts w:hint="eastAsia" w:ascii="宋体" w:hAnsi="宋体" w:eastAsia="宋体" w:cs="宋体"/>
              <w:bCs/>
              <w:smallCaps w:val="0"/>
              <w:color w:val="auto"/>
              <w:spacing w:val="0"/>
              <w:w w:val="100"/>
              <w:sz w:val="24"/>
              <w:szCs w:val="36"/>
              <w:highlight w:val="none"/>
              <w:lang w:val="en-US" w:eastAsia="zh-CN"/>
            </w:rPr>
            <w:t>1</w:t>
          </w:r>
          <w:r>
            <w:rPr>
              <w:rFonts w:hint="eastAsia" w:ascii="宋体" w:hAnsi="宋体" w:eastAsia="宋体" w:cs="宋体"/>
              <w:bCs/>
              <w:smallCaps w:val="0"/>
              <w:color w:val="auto"/>
              <w:spacing w:val="0"/>
              <w:w w:val="100"/>
              <w:sz w:val="24"/>
              <w:szCs w:val="36"/>
              <w:highlight w:val="none"/>
              <w:lang w:eastAsia="zh-CN"/>
            </w:rPr>
            <w:t xml:space="preserve"> 项目建设是提高粮食生产能力，解决农民生产、生活问题、</w:t>
          </w:r>
          <w:r>
            <w:rPr>
              <w:rFonts w:hint="eastAsia" w:ascii="宋体" w:hAnsi="宋体" w:eastAsia="宋体" w:cs="宋体"/>
              <w:smallCaps w:val="0"/>
              <w:color w:val="auto"/>
              <w:spacing w:val="0"/>
              <w:w w:val="100"/>
              <w:sz w:val="24"/>
              <w:szCs w:val="36"/>
              <w:highlight w:val="none"/>
              <w:lang w:eastAsia="zh-CN"/>
            </w:rPr>
            <w:t xml:space="preserve"> </w:t>
          </w:r>
          <w:r>
            <w:rPr>
              <w:rFonts w:hint="eastAsia" w:ascii="宋体" w:hAnsi="宋体" w:eastAsia="宋体" w:cs="宋体"/>
              <w:bCs/>
              <w:smallCaps w:val="0"/>
              <w:color w:val="auto"/>
              <w:spacing w:val="0"/>
              <w:w w:val="100"/>
              <w:sz w:val="24"/>
              <w:szCs w:val="36"/>
              <w:highlight w:val="none"/>
              <w:lang w:eastAsia="zh-CN"/>
            </w:rPr>
            <w:t>促进社会稳定的需要</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_Toc17553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- 39 -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F3E0B45">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_Toc30204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3.2.2 实施高标准农田建设项目，符合项目区实际</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_Toc30204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7B38A0C">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_Toc634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3.2.3 实施高标准农田建设项目是改善农村生态环境，促进农旅融合发展的重要手段</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_Toc634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7A997AB">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_Toc25393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3.2.4 实施高标准农田项目建设是促进当地乡村振兴战略的重大举措</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_Toc25393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1B60C99">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_Toc13605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3.2.</w:t>
          </w:r>
          <w:r>
            <w:rPr>
              <w:rFonts w:hint="eastAsia" w:ascii="宋体" w:hAnsi="宋体" w:eastAsia="宋体" w:cs="宋体"/>
              <w:bCs/>
              <w:smallCaps w:val="0"/>
              <w:color w:val="auto"/>
              <w:spacing w:val="0"/>
              <w:w w:val="100"/>
              <w:sz w:val="24"/>
              <w:szCs w:val="36"/>
              <w:highlight w:val="none"/>
              <w:lang w:val="en-US" w:eastAsia="zh-CN"/>
            </w:rPr>
            <w:t>5</w:t>
          </w:r>
          <w:r>
            <w:rPr>
              <w:rFonts w:hint="eastAsia" w:ascii="宋体" w:hAnsi="宋体" w:eastAsia="宋体" w:cs="宋体"/>
              <w:bCs/>
              <w:smallCaps w:val="0"/>
              <w:color w:val="auto"/>
              <w:spacing w:val="0"/>
              <w:w w:val="100"/>
              <w:sz w:val="24"/>
              <w:szCs w:val="36"/>
              <w:highlight w:val="none"/>
              <w:lang w:eastAsia="zh-CN"/>
            </w:rPr>
            <w:t xml:space="preserve"> 实施高标准农田建设项目，是党和政府重视农业发展的重要体现</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_Toc13605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4AB5B94">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_Toc3819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44"/>
              <w:highlight w:val="none"/>
              <w:lang w:eastAsia="zh-CN"/>
            </w:rPr>
            <w:t>第四章</w:t>
          </w:r>
          <w:r>
            <w:rPr>
              <w:rFonts w:hint="eastAsia" w:ascii="宋体" w:hAnsi="宋体" w:eastAsia="宋体" w:cs="宋体"/>
              <w:smallCaps w:val="0"/>
              <w:color w:val="auto"/>
              <w:spacing w:val="0"/>
              <w:w w:val="100"/>
              <w:sz w:val="24"/>
              <w:szCs w:val="44"/>
              <w:highlight w:val="none"/>
              <w:lang w:eastAsia="zh-CN"/>
            </w:rPr>
            <w:t xml:space="preserve"> </w:t>
          </w:r>
          <w:r>
            <w:rPr>
              <w:rFonts w:hint="eastAsia" w:ascii="宋体" w:hAnsi="宋体" w:eastAsia="宋体" w:cs="宋体"/>
              <w:bCs/>
              <w:smallCaps w:val="0"/>
              <w:color w:val="auto"/>
              <w:spacing w:val="0"/>
              <w:w w:val="100"/>
              <w:sz w:val="24"/>
              <w:szCs w:val="44"/>
              <w:highlight w:val="none"/>
              <w:lang w:eastAsia="zh-CN"/>
            </w:rPr>
            <w:t>水资源供需平衡分析</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_Toc3819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2F9F3E0">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_Toc20199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4.1 水资源供需平衡分析</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_Toc20199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5052945">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_Toc12926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4.1.1  项目区水资源现状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_Toc12926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779F77F">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_Toc15046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4.1.2  项目区水资源开发利用量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_Toc15046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8035A0A">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_Toc28599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rPr>
            <w:t>4.1.3 现状分析</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_Toc28599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1A8DBB5">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_Toc29368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4.1.4 设计水平年分析</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_Toc29368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- 46 -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A11C3A7">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_Toc8871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4.2 灌溉水质分析评价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_Toc8871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- 47 -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FD67F88">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_Toc19638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44"/>
              <w:highlight w:val="none"/>
              <w:lang w:eastAsia="zh-CN"/>
            </w:rPr>
            <w:t>第五章</w:t>
          </w:r>
          <w:r>
            <w:rPr>
              <w:rFonts w:hint="eastAsia" w:ascii="宋体" w:hAnsi="宋体" w:eastAsia="宋体" w:cs="宋体"/>
              <w:smallCaps w:val="0"/>
              <w:color w:val="auto"/>
              <w:spacing w:val="0"/>
              <w:w w:val="100"/>
              <w:sz w:val="24"/>
              <w:szCs w:val="44"/>
              <w:highlight w:val="none"/>
              <w:lang w:eastAsia="zh-CN"/>
            </w:rPr>
            <w:t xml:space="preserve"> </w:t>
          </w:r>
          <w:r>
            <w:rPr>
              <w:rFonts w:hint="eastAsia" w:ascii="宋体" w:hAnsi="宋体" w:eastAsia="宋体" w:cs="宋体"/>
              <w:bCs/>
              <w:smallCaps w:val="0"/>
              <w:color w:val="auto"/>
              <w:spacing w:val="0"/>
              <w:w w:val="100"/>
              <w:sz w:val="24"/>
              <w:szCs w:val="44"/>
              <w:highlight w:val="none"/>
              <w:lang w:eastAsia="zh-CN"/>
            </w:rPr>
            <w:t>工程设计</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_Toc19638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- 49 -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8421B6F">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_Toc13030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5.1 设计依据</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_Toc13030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- 49 -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831AFFD">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_Toc23920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5.1.1水利工程设计依据</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_Toc23920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- 49 -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62D5DE1">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_Toc26613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5.1.2 农业设计依据</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_Toc26613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- 49 -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096C26A">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_Toc1452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5.1.3 田间道路设计依据</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_Toc1452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- 49 -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27DD061">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_Toc8612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5.1.4 标识标牌设计依据</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_Toc8612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- 50 -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E7D837E">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_Toc10133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5.2 建设标准</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_Toc10133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- 50 -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B3B514E">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_Toc7332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5.2.1 水利工程设计标准</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_Toc7332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- 50 -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0740B7A">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_Toc11139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5.2.2 农业设计标准</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_Toc11139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- 51 -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9658EBA">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_Toc27822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5.2.3 农田地力提升工程标准</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_Toc27822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- 51 -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3E404D8">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_Toc30726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5.2.</w:t>
          </w:r>
          <w:r>
            <w:rPr>
              <w:rFonts w:hint="eastAsia" w:ascii="宋体" w:hAnsi="宋体" w:eastAsia="宋体" w:cs="宋体"/>
              <w:smallCaps w:val="0"/>
              <w:color w:val="auto"/>
              <w:spacing w:val="0"/>
              <w:w w:val="100"/>
              <w:sz w:val="24"/>
              <w:szCs w:val="24"/>
              <w:highlight w:val="none"/>
              <w:lang w:val="en-US" w:eastAsia="zh-CN"/>
            </w:rPr>
            <w:t>4</w:t>
          </w:r>
          <w:r>
            <w:rPr>
              <w:rFonts w:hint="eastAsia" w:ascii="宋体" w:hAnsi="宋体" w:eastAsia="宋体" w:cs="宋体"/>
              <w:smallCaps w:val="0"/>
              <w:color w:val="auto"/>
              <w:spacing w:val="0"/>
              <w:w w:val="100"/>
              <w:sz w:val="24"/>
              <w:szCs w:val="24"/>
              <w:highlight w:val="none"/>
            </w:rPr>
            <w:t xml:space="preserve"> 田间道路工程设计标准</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_Toc30726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- 51 -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89ACF73">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_Toc24807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5.2.</w:t>
          </w:r>
          <w:r>
            <w:rPr>
              <w:rFonts w:hint="eastAsia" w:ascii="宋体" w:hAnsi="宋体" w:eastAsia="宋体" w:cs="宋体"/>
              <w:smallCaps w:val="0"/>
              <w:color w:val="auto"/>
              <w:spacing w:val="0"/>
              <w:w w:val="100"/>
              <w:sz w:val="24"/>
              <w:szCs w:val="24"/>
              <w:highlight w:val="none"/>
              <w:lang w:val="en-US" w:eastAsia="zh-CN"/>
            </w:rPr>
            <w:t>5</w:t>
          </w:r>
          <w:r>
            <w:rPr>
              <w:rFonts w:hint="eastAsia" w:ascii="宋体" w:hAnsi="宋体" w:eastAsia="宋体" w:cs="宋体"/>
              <w:smallCaps w:val="0"/>
              <w:color w:val="auto"/>
              <w:spacing w:val="0"/>
              <w:w w:val="100"/>
              <w:sz w:val="24"/>
              <w:szCs w:val="24"/>
              <w:highlight w:val="none"/>
            </w:rPr>
            <w:t>使用年限及抗冻设计标准</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_Toc24807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- 52 -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81865C8">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_Toc24372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5.3 目标任务与建设内容</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_Toc24372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- 52 -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C490CB7">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_Toc27758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5.3.1项目目标任务</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_Toc27758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- 52 -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0A8C2F8">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_Toc21391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5.3.2布局及建设内容</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_Toc21391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- 53 -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76F49AB">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_Toc15405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5.4 工程设计</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_Toc15405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- 55 -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ECB6A70">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_Toc2306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5.4.1 田块整治</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_Toc2306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- 55 -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8E21482">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_Toc11367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5.4.2 土壤改良</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_Toc11367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- 64 -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BB07AE4">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_Toc2747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5.4.3 灌溉与排水</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_Toc2747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- 65 -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CCC2B34">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_Toc9123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5.4.4 田间道路工程</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_Toc9123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- 88 -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6553E2B">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_Toc21748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5.4.</w:t>
          </w:r>
          <w:r>
            <w:rPr>
              <w:rFonts w:hint="eastAsia" w:ascii="宋体" w:hAnsi="宋体" w:eastAsia="宋体" w:cs="宋体"/>
              <w:smallCaps w:val="0"/>
              <w:color w:val="auto"/>
              <w:spacing w:val="0"/>
              <w:w w:val="100"/>
              <w:sz w:val="24"/>
              <w:szCs w:val="24"/>
              <w:highlight w:val="none"/>
              <w:lang w:val="en-US" w:eastAsia="zh-CN"/>
            </w:rPr>
            <w:t>5</w:t>
          </w:r>
          <w:r>
            <w:rPr>
              <w:rFonts w:hint="eastAsia" w:ascii="宋体" w:hAnsi="宋体" w:eastAsia="宋体" w:cs="宋体"/>
              <w:smallCaps w:val="0"/>
              <w:color w:val="auto"/>
              <w:spacing w:val="0"/>
              <w:w w:val="100"/>
              <w:sz w:val="24"/>
              <w:szCs w:val="24"/>
              <w:highlight w:val="none"/>
            </w:rPr>
            <w:t xml:space="preserve"> 农田防护</w:t>
          </w:r>
          <w:r>
            <w:rPr>
              <w:rFonts w:hint="eastAsia" w:ascii="宋体" w:hAnsi="宋体" w:eastAsia="宋体" w:cs="宋体"/>
              <w:smallCaps w:val="0"/>
              <w:color w:val="auto"/>
              <w:spacing w:val="0"/>
              <w:w w:val="100"/>
              <w:sz w:val="24"/>
              <w:szCs w:val="24"/>
              <w:highlight w:val="none"/>
              <w:lang w:val="en-US" w:eastAsia="zh-CN"/>
            </w:rPr>
            <w:t>与</w:t>
          </w:r>
          <w:r>
            <w:rPr>
              <w:rFonts w:hint="eastAsia" w:ascii="宋体" w:hAnsi="宋体" w:eastAsia="宋体" w:cs="宋体"/>
              <w:smallCaps w:val="0"/>
              <w:color w:val="auto"/>
              <w:spacing w:val="0"/>
              <w:w w:val="100"/>
              <w:sz w:val="24"/>
              <w:szCs w:val="24"/>
              <w:highlight w:val="none"/>
            </w:rPr>
            <w:t>生态保护工程</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_Toc21748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- 94 -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A5590C5">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_Toc17876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5.4.</w:t>
          </w:r>
          <w:r>
            <w:rPr>
              <w:rFonts w:hint="eastAsia" w:ascii="宋体" w:hAnsi="宋体" w:eastAsia="宋体" w:cs="宋体"/>
              <w:smallCaps w:val="0"/>
              <w:color w:val="auto"/>
              <w:spacing w:val="0"/>
              <w:w w:val="100"/>
              <w:sz w:val="24"/>
              <w:szCs w:val="24"/>
              <w:highlight w:val="none"/>
              <w:lang w:val="en-US" w:eastAsia="zh-CN"/>
            </w:rPr>
            <w:t>6</w:t>
          </w:r>
          <w:r>
            <w:rPr>
              <w:rFonts w:hint="eastAsia" w:ascii="宋体" w:hAnsi="宋体" w:eastAsia="宋体" w:cs="宋体"/>
              <w:smallCaps w:val="0"/>
              <w:color w:val="auto"/>
              <w:spacing w:val="0"/>
              <w:w w:val="100"/>
              <w:sz w:val="24"/>
              <w:szCs w:val="24"/>
              <w:highlight w:val="none"/>
            </w:rPr>
            <w:t>其他工程</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_Toc17876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- 98 -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487B666">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_Toc14825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5.5 耕地进出平衡分析</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_Toc14825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C702622">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_Toc18938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val="en-US" w:eastAsia="zh-CN"/>
            </w:rPr>
            <w:t xml:space="preserve">5.5.1 </w:t>
          </w:r>
          <w:r>
            <w:rPr>
              <w:rFonts w:hint="eastAsia" w:ascii="宋体" w:hAnsi="宋体" w:eastAsia="宋体" w:cs="宋体"/>
              <w:smallCaps w:val="0"/>
              <w:color w:val="auto"/>
              <w:spacing w:val="0"/>
              <w:w w:val="100"/>
              <w:sz w:val="24"/>
              <w:szCs w:val="36"/>
              <w:highlight w:val="none"/>
              <w:lang w:eastAsia="zh-CN"/>
            </w:rPr>
            <w:t>项目基本情况</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_Toc18938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- 100 -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1D55725">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_Toc21384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val="en-US" w:eastAsia="zh-CN"/>
            </w:rPr>
            <w:t xml:space="preserve">5.5.2 </w:t>
          </w:r>
          <w:r>
            <w:rPr>
              <w:rFonts w:hint="eastAsia" w:ascii="宋体" w:hAnsi="宋体" w:eastAsia="宋体" w:cs="宋体"/>
              <w:smallCaps w:val="0"/>
              <w:color w:val="auto"/>
              <w:spacing w:val="0"/>
              <w:w w:val="100"/>
              <w:sz w:val="24"/>
              <w:szCs w:val="36"/>
              <w:highlight w:val="none"/>
              <w:lang w:eastAsia="zh-CN"/>
            </w:rPr>
            <w:t>占用耕地和永久基本农田情况</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_Toc21384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5DED8C6">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_Toc19852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44"/>
              <w:highlight w:val="none"/>
              <w:lang w:eastAsia="zh-CN"/>
            </w:rPr>
            <w:t>第六章</w:t>
          </w:r>
          <w:r>
            <w:rPr>
              <w:rFonts w:hint="eastAsia" w:ascii="宋体" w:hAnsi="宋体" w:eastAsia="宋体" w:cs="宋体"/>
              <w:smallCaps w:val="0"/>
              <w:color w:val="auto"/>
              <w:spacing w:val="0"/>
              <w:w w:val="100"/>
              <w:sz w:val="24"/>
              <w:szCs w:val="44"/>
              <w:highlight w:val="none"/>
              <w:lang w:eastAsia="zh-CN"/>
            </w:rPr>
            <w:t xml:space="preserve"> </w:t>
          </w:r>
          <w:r>
            <w:rPr>
              <w:rFonts w:hint="eastAsia" w:ascii="宋体" w:hAnsi="宋体" w:eastAsia="宋体" w:cs="宋体"/>
              <w:bCs/>
              <w:smallCaps w:val="0"/>
              <w:color w:val="auto"/>
              <w:spacing w:val="0"/>
              <w:w w:val="100"/>
              <w:sz w:val="24"/>
              <w:szCs w:val="44"/>
              <w:highlight w:val="none"/>
              <w:lang w:eastAsia="zh-CN"/>
            </w:rPr>
            <w:t>建设管理和施工组织设计</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_Toc19852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B4CFDCA">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_Toc4002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6.1 建设管理</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_Toc4002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330460AA">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_Toc7274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36"/>
              <w:highlight w:val="none"/>
              <w:lang w:val="en-US" w:eastAsia="zh-CN"/>
            </w:rPr>
            <w:t>6.1.1</w:t>
          </w:r>
          <w:r>
            <w:rPr>
              <w:rFonts w:hint="eastAsia" w:ascii="宋体" w:hAnsi="宋体" w:eastAsia="宋体" w:cs="宋体"/>
              <w:smallCaps w:val="0"/>
              <w:color w:val="auto"/>
              <w:spacing w:val="0"/>
              <w:w w:val="100"/>
              <w:sz w:val="24"/>
              <w:szCs w:val="36"/>
              <w:highlight w:val="none"/>
              <w:lang w:eastAsia="zh-CN"/>
            </w:rPr>
            <w:t>项目法人制度</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_Toc7274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521AA63">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_Toc4774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36"/>
              <w:highlight w:val="none"/>
              <w:lang w:val="en-US" w:eastAsia="zh-CN"/>
            </w:rPr>
            <w:t>6.1.2</w:t>
          </w:r>
          <w:r>
            <w:rPr>
              <w:rFonts w:hint="eastAsia" w:ascii="宋体" w:hAnsi="宋体" w:eastAsia="宋体" w:cs="宋体"/>
              <w:smallCaps w:val="0"/>
              <w:color w:val="auto"/>
              <w:spacing w:val="0"/>
              <w:w w:val="100"/>
              <w:sz w:val="24"/>
              <w:szCs w:val="36"/>
              <w:highlight w:val="none"/>
              <w:lang w:eastAsia="zh-CN"/>
            </w:rPr>
            <w:t>项目工程招投标制度</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_Toc4774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C378DFC">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_Toc22825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36"/>
              <w:highlight w:val="none"/>
              <w:lang w:val="en-US" w:eastAsia="zh-CN"/>
            </w:rPr>
            <w:t>6.1.3</w:t>
          </w:r>
          <w:r>
            <w:rPr>
              <w:rFonts w:hint="eastAsia" w:ascii="宋体" w:hAnsi="宋体" w:eastAsia="宋体" w:cs="宋体"/>
              <w:smallCaps w:val="0"/>
              <w:color w:val="auto"/>
              <w:spacing w:val="0"/>
              <w:w w:val="100"/>
              <w:sz w:val="24"/>
              <w:szCs w:val="36"/>
              <w:highlight w:val="none"/>
              <w:lang w:eastAsia="zh-CN"/>
            </w:rPr>
            <w:t>项目工程监理制度</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_Toc22825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F7D1EE6">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_Toc19754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36"/>
              <w:highlight w:val="none"/>
              <w:lang w:val="en-US" w:eastAsia="zh-CN"/>
            </w:rPr>
            <w:t>6.1.4</w:t>
          </w:r>
          <w:r>
            <w:rPr>
              <w:rFonts w:hint="eastAsia" w:ascii="宋体" w:hAnsi="宋体" w:eastAsia="宋体" w:cs="宋体"/>
              <w:smallCaps w:val="0"/>
              <w:color w:val="auto"/>
              <w:spacing w:val="0"/>
              <w:w w:val="100"/>
              <w:sz w:val="24"/>
              <w:szCs w:val="36"/>
              <w:highlight w:val="none"/>
              <w:lang w:eastAsia="zh-CN"/>
            </w:rPr>
            <w:t>项目公示制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_Toc19754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B99E055">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_Toc4343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36"/>
              <w:highlight w:val="none"/>
              <w:lang w:val="en-US" w:eastAsia="zh-CN"/>
            </w:rPr>
            <w:t>6.1.5</w:t>
          </w:r>
          <w:r>
            <w:rPr>
              <w:rFonts w:hint="eastAsia" w:ascii="宋体" w:hAnsi="宋体" w:eastAsia="宋体" w:cs="宋体"/>
              <w:smallCaps w:val="0"/>
              <w:color w:val="auto"/>
              <w:spacing w:val="0"/>
              <w:w w:val="100"/>
              <w:sz w:val="24"/>
              <w:szCs w:val="36"/>
              <w:highlight w:val="none"/>
              <w:lang w:eastAsia="zh-CN"/>
            </w:rPr>
            <w:t>项目合同管理制度</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_Toc4343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37D2B09">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_Toc17107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36"/>
              <w:highlight w:val="none"/>
              <w:lang w:val="en-US" w:eastAsia="zh-CN"/>
            </w:rPr>
            <w:t>6.1.6</w:t>
          </w:r>
          <w:r>
            <w:rPr>
              <w:rFonts w:hint="eastAsia" w:ascii="宋体" w:hAnsi="宋体" w:eastAsia="宋体" w:cs="宋体"/>
              <w:smallCaps w:val="0"/>
              <w:color w:val="auto"/>
              <w:spacing w:val="0"/>
              <w:w w:val="100"/>
              <w:sz w:val="24"/>
              <w:szCs w:val="36"/>
              <w:highlight w:val="none"/>
              <w:lang w:eastAsia="zh-CN"/>
            </w:rPr>
            <w:t>资金拨付县级报账制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_Toc17107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FE91B45">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_Toc24425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36"/>
              <w:highlight w:val="none"/>
              <w:lang w:val="en-US" w:eastAsia="zh-CN"/>
            </w:rPr>
            <w:t>6.1.7</w:t>
          </w:r>
          <w:r>
            <w:rPr>
              <w:rFonts w:hint="eastAsia" w:ascii="宋体" w:hAnsi="宋体" w:eastAsia="宋体" w:cs="宋体"/>
              <w:smallCaps w:val="0"/>
              <w:color w:val="auto"/>
              <w:spacing w:val="0"/>
              <w:w w:val="100"/>
              <w:sz w:val="24"/>
              <w:szCs w:val="36"/>
              <w:highlight w:val="none"/>
              <w:lang w:eastAsia="zh-CN"/>
            </w:rPr>
            <w:t>项目竣工验收制和审计制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_Toc24425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EEA95AC">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_Toc13653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6.2 施工组织设计</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_Toc13653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4B8859F">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_Toc10739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6.2.1 主要工程建设内容及工程施工条件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_Toc10739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2316AF6">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_Toc15527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6.2.2  施工总布置</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_Toc15527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80EA571">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_Toc30677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6.2.3  施工总工期及进度安排</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_Toc30677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- 106 -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6AB0309">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_Toc23964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6.2.4  主要工程施工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_Toc23964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- 111 -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BE46F91">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_Toc21188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44"/>
              <w:highlight w:val="none"/>
              <w:lang w:eastAsia="zh-CN"/>
            </w:rPr>
            <w:t>第七章</w:t>
          </w:r>
          <w:r>
            <w:rPr>
              <w:rFonts w:hint="eastAsia" w:ascii="宋体" w:hAnsi="宋体" w:eastAsia="宋体" w:cs="宋体"/>
              <w:smallCaps w:val="0"/>
              <w:color w:val="auto"/>
              <w:spacing w:val="0"/>
              <w:w w:val="100"/>
              <w:sz w:val="24"/>
              <w:szCs w:val="44"/>
              <w:highlight w:val="none"/>
              <w:lang w:eastAsia="zh-CN"/>
            </w:rPr>
            <w:t xml:space="preserve"> </w:t>
          </w:r>
          <w:r>
            <w:rPr>
              <w:rFonts w:hint="eastAsia" w:ascii="宋体" w:hAnsi="宋体" w:eastAsia="宋体" w:cs="宋体"/>
              <w:bCs/>
              <w:smallCaps w:val="0"/>
              <w:color w:val="auto"/>
              <w:spacing w:val="0"/>
              <w:w w:val="100"/>
              <w:sz w:val="24"/>
              <w:szCs w:val="44"/>
              <w:highlight w:val="none"/>
              <w:lang w:eastAsia="zh-CN"/>
            </w:rPr>
            <w:t>水土保持与环境影响评价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_Toc21188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- 133 -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76E00B9">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_Toc31361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rPr>
            <w:t>7.1 水土保持</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_Toc31361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- 133 -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309FB2A">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_Toc15776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val="en-US" w:eastAsia="zh-CN"/>
            </w:rPr>
            <w:t>7.1.</w:t>
          </w:r>
          <w:r>
            <w:rPr>
              <w:rFonts w:hint="eastAsia" w:ascii="宋体" w:hAnsi="宋体" w:eastAsia="宋体" w:cs="宋体"/>
              <w:bCs/>
              <w:smallCaps w:val="0"/>
              <w:color w:val="auto"/>
              <w:spacing w:val="0"/>
              <w:w w:val="100"/>
              <w:sz w:val="24"/>
              <w:szCs w:val="36"/>
              <w:highlight w:val="none"/>
              <w:lang w:eastAsia="zh-CN"/>
            </w:rPr>
            <w:t>1</w:t>
          </w:r>
          <w:r>
            <w:rPr>
              <w:rFonts w:hint="eastAsia" w:ascii="宋体" w:hAnsi="宋体" w:eastAsia="宋体" w:cs="宋体"/>
              <w:bCs/>
              <w:smallCaps w:val="0"/>
              <w:color w:val="auto"/>
              <w:spacing w:val="0"/>
              <w:w w:val="100"/>
              <w:sz w:val="24"/>
              <w:szCs w:val="36"/>
              <w:highlight w:val="none"/>
              <w:lang w:val="en-US" w:eastAsia="zh-CN"/>
            </w:rPr>
            <w:t xml:space="preserve"> </w:t>
          </w:r>
          <w:r>
            <w:rPr>
              <w:rFonts w:hint="eastAsia" w:ascii="宋体" w:hAnsi="宋体" w:eastAsia="宋体" w:cs="宋体"/>
              <w:bCs/>
              <w:smallCaps w:val="0"/>
              <w:color w:val="auto"/>
              <w:spacing w:val="0"/>
              <w:w w:val="100"/>
              <w:sz w:val="24"/>
              <w:szCs w:val="36"/>
              <w:highlight w:val="none"/>
              <w:lang w:eastAsia="zh-CN"/>
            </w:rPr>
            <w:t>水土流失分析</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_Toc15776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- 133 -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AB55884">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_Toc5488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val="en-US" w:eastAsia="zh-CN"/>
            </w:rPr>
            <w:t>7.1.2</w:t>
          </w:r>
          <w:r>
            <w:rPr>
              <w:rFonts w:hint="eastAsia" w:ascii="宋体" w:hAnsi="宋体" w:eastAsia="宋体" w:cs="宋体"/>
              <w:bCs/>
              <w:smallCaps w:val="0"/>
              <w:color w:val="auto"/>
              <w:spacing w:val="0"/>
              <w:w w:val="100"/>
              <w:sz w:val="24"/>
              <w:szCs w:val="36"/>
              <w:highlight w:val="none"/>
              <w:lang w:eastAsia="zh-CN"/>
            </w:rPr>
            <w:t xml:space="preserve"> </w:t>
          </w:r>
          <w:r>
            <w:rPr>
              <w:rFonts w:hint="eastAsia" w:ascii="宋体" w:hAnsi="宋体" w:eastAsia="宋体" w:cs="宋体"/>
              <w:bCs/>
              <w:smallCaps w:val="0"/>
              <w:color w:val="auto"/>
              <w:spacing w:val="0"/>
              <w:w w:val="100"/>
              <w:sz w:val="24"/>
              <w:szCs w:val="36"/>
              <w:highlight w:val="none"/>
              <w:lang w:val="en-US" w:eastAsia="zh-CN"/>
            </w:rPr>
            <w:t xml:space="preserve"> </w:t>
          </w:r>
          <w:r>
            <w:rPr>
              <w:rFonts w:hint="eastAsia" w:ascii="宋体" w:hAnsi="宋体" w:eastAsia="宋体" w:cs="宋体"/>
              <w:bCs/>
              <w:smallCaps w:val="0"/>
              <w:color w:val="auto"/>
              <w:spacing w:val="0"/>
              <w:w w:val="100"/>
              <w:sz w:val="24"/>
              <w:szCs w:val="36"/>
              <w:highlight w:val="none"/>
              <w:lang w:eastAsia="zh-CN"/>
            </w:rPr>
            <w:t>对策与保护措施</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_Toc5488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- 134 -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B79E1F4">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_Toc31207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lang w:eastAsia="zh-CN"/>
            </w:rPr>
            <w:t>7.2环境影响</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_Toc31207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- 135 -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99CA9AA">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_Toc23161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7.2.1项目实施对环境的影响</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_Toc23161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- 135 -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543F313">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_Toc22993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7.2.2环境保护措施</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_Toc22993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- 136 -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2E7A3CF">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_Toc22479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44"/>
              <w:highlight w:val="none"/>
              <w:lang w:eastAsia="zh-CN"/>
            </w:rPr>
            <w:t>第</w:t>
          </w:r>
          <w:r>
            <w:rPr>
              <w:rFonts w:hint="eastAsia" w:ascii="宋体" w:hAnsi="宋体" w:eastAsia="宋体" w:cs="宋体"/>
              <w:bCs/>
              <w:smallCaps w:val="0"/>
              <w:color w:val="auto"/>
              <w:spacing w:val="0"/>
              <w:w w:val="100"/>
              <w:sz w:val="24"/>
              <w:szCs w:val="44"/>
              <w:highlight w:val="none"/>
              <w:lang w:val="en-US" w:eastAsia="zh-CN"/>
            </w:rPr>
            <w:t>八</w:t>
          </w:r>
          <w:r>
            <w:rPr>
              <w:rFonts w:hint="eastAsia" w:ascii="宋体" w:hAnsi="宋体" w:eastAsia="宋体" w:cs="宋体"/>
              <w:bCs/>
              <w:smallCaps w:val="0"/>
              <w:color w:val="auto"/>
              <w:spacing w:val="0"/>
              <w:w w:val="100"/>
              <w:sz w:val="24"/>
              <w:szCs w:val="44"/>
              <w:highlight w:val="none"/>
              <w:lang w:eastAsia="zh-CN"/>
            </w:rPr>
            <w:t>章</w:t>
          </w:r>
          <w:r>
            <w:rPr>
              <w:rFonts w:hint="eastAsia" w:ascii="宋体" w:hAnsi="宋体" w:eastAsia="宋体" w:cs="宋体"/>
              <w:smallCaps w:val="0"/>
              <w:color w:val="auto"/>
              <w:spacing w:val="0"/>
              <w:w w:val="100"/>
              <w:sz w:val="24"/>
              <w:szCs w:val="44"/>
              <w:highlight w:val="none"/>
              <w:lang w:eastAsia="zh-CN"/>
            </w:rPr>
            <w:t xml:space="preserve"> </w:t>
          </w:r>
          <w:r>
            <w:rPr>
              <w:rFonts w:hint="eastAsia" w:ascii="宋体" w:hAnsi="宋体" w:eastAsia="宋体" w:cs="宋体"/>
              <w:bCs/>
              <w:smallCaps w:val="0"/>
              <w:color w:val="auto"/>
              <w:spacing w:val="0"/>
              <w:w w:val="100"/>
              <w:sz w:val="24"/>
              <w:szCs w:val="44"/>
              <w:highlight w:val="none"/>
              <w:lang w:eastAsia="zh-CN"/>
            </w:rPr>
            <w:t>设计概算和资金筹措</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_Toc22479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- 139 -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D837C82">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_Toc3125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8.1 编制说明</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_Toc3125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- 139 -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EAA8EEA">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_Toc15510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8.1.1  工程概况及投资</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_Toc15510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- 139 -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C4186AB">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_Toc30885 </w:instrText>
          </w:r>
          <w:r>
            <w:rPr>
              <w:rFonts w:hint="eastAsia" w:ascii="宋体" w:hAnsi="宋体" w:eastAsia="宋体" w:cs="宋体"/>
              <w:color w:val="auto"/>
              <w:sz w:val="24"/>
              <w:szCs w:val="32"/>
              <w:highlight w:val="none"/>
            </w:rPr>
            <w:fldChar w:fldCharType="separate"/>
          </w:r>
          <w:r>
            <w:rPr>
              <w:rFonts w:hint="eastAsia" w:ascii="宋体" w:hAnsi="宋体" w:eastAsia="宋体" w:cs="宋体"/>
              <w:smallCaps w:val="0"/>
              <w:color w:val="auto"/>
              <w:spacing w:val="0"/>
              <w:w w:val="100"/>
              <w:sz w:val="24"/>
              <w:szCs w:val="24"/>
              <w:highlight w:val="none"/>
            </w:rPr>
            <w:t>8.1.2  概算编制说明</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_Toc30885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- 141 -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D914ED0">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_Toc31508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8.2 设计概算及相关表格</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_Toc31508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- 144 -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1FDB37A">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_Toc13669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8.3 资金筹措方案</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_Toc13669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- 144 -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786F0A0">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_Toc20802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8.3</w:t>
          </w:r>
          <w:r>
            <w:rPr>
              <w:rFonts w:hint="eastAsia" w:ascii="宋体" w:hAnsi="宋体" w:eastAsia="宋体" w:cs="宋体"/>
              <w:bCs/>
              <w:smallCaps w:val="0"/>
              <w:color w:val="auto"/>
              <w:spacing w:val="0"/>
              <w:w w:val="100"/>
              <w:sz w:val="24"/>
              <w:szCs w:val="36"/>
              <w:highlight w:val="none"/>
              <w:lang w:val="en-US" w:eastAsia="zh-CN"/>
            </w:rPr>
            <w:t>.1</w:t>
          </w:r>
          <w:r>
            <w:rPr>
              <w:rFonts w:hint="eastAsia" w:ascii="宋体" w:hAnsi="宋体" w:eastAsia="宋体" w:cs="宋体"/>
              <w:bCs/>
              <w:smallCaps w:val="0"/>
              <w:color w:val="auto"/>
              <w:spacing w:val="0"/>
              <w:w w:val="100"/>
              <w:sz w:val="24"/>
              <w:szCs w:val="36"/>
              <w:highlight w:val="none"/>
              <w:lang w:eastAsia="zh-CN"/>
            </w:rPr>
            <w:t xml:space="preserve"> </w:t>
          </w:r>
          <w:r>
            <w:rPr>
              <w:rFonts w:hint="eastAsia" w:ascii="宋体" w:hAnsi="宋体" w:eastAsia="宋体" w:cs="宋体"/>
              <w:smallCaps w:val="0"/>
              <w:color w:val="auto"/>
              <w:spacing w:val="0"/>
              <w:w w:val="100"/>
              <w:sz w:val="24"/>
              <w:szCs w:val="36"/>
              <w:highlight w:val="none"/>
              <w:lang w:eastAsia="zh-CN"/>
            </w:rPr>
            <w:t>投资及构成</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_Toc20802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- 144 -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2DF886E">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_Toc11822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8.3</w:t>
          </w:r>
          <w:r>
            <w:rPr>
              <w:rFonts w:hint="eastAsia" w:ascii="宋体" w:hAnsi="宋体" w:eastAsia="宋体" w:cs="宋体"/>
              <w:bCs/>
              <w:smallCaps w:val="0"/>
              <w:color w:val="auto"/>
              <w:spacing w:val="0"/>
              <w:w w:val="100"/>
              <w:sz w:val="24"/>
              <w:szCs w:val="36"/>
              <w:highlight w:val="none"/>
              <w:lang w:val="en-US" w:eastAsia="zh-CN"/>
            </w:rPr>
            <w:t>.2</w:t>
          </w:r>
          <w:r>
            <w:rPr>
              <w:rFonts w:hint="eastAsia" w:ascii="宋体" w:hAnsi="宋体" w:eastAsia="宋体" w:cs="宋体"/>
              <w:bCs/>
              <w:smallCaps w:val="0"/>
              <w:color w:val="auto"/>
              <w:spacing w:val="0"/>
              <w:w w:val="100"/>
              <w:sz w:val="24"/>
              <w:szCs w:val="36"/>
              <w:highlight w:val="none"/>
              <w:lang w:eastAsia="zh-CN"/>
            </w:rPr>
            <w:t xml:space="preserve"> </w:t>
          </w:r>
          <w:r>
            <w:rPr>
              <w:rFonts w:hint="eastAsia" w:ascii="宋体" w:hAnsi="宋体" w:eastAsia="宋体" w:cs="宋体"/>
              <w:smallCaps w:val="0"/>
              <w:color w:val="auto"/>
              <w:spacing w:val="0"/>
              <w:w w:val="100"/>
              <w:sz w:val="24"/>
              <w:szCs w:val="36"/>
              <w:highlight w:val="none"/>
              <w:lang w:eastAsia="zh-CN"/>
            </w:rPr>
            <w:t>资金安排与使用计划</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_Toc11822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- 144 -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9C3F3A1">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_Toc4883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44"/>
              <w:highlight w:val="none"/>
              <w:lang w:eastAsia="zh-CN"/>
            </w:rPr>
            <w:t>第九章</w:t>
          </w:r>
          <w:r>
            <w:rPr>
              <w:rFonts w:hint="eastAsia" w:ascii="宋体" w:hAnsi="宋体" w:eastAsia="宋体" w:cs="宋体"/>
              <w:smallCaps w:val="0"/>
              <w:color w:val="auto"/>
              <w:spacing w:val="0"/>
              <w:w w:val="100"/>
              <w:sz w:val="24"/>
              <w:szCs w:val="44"/>
              <w:highlight w:val="none"/>
              <w:lang w:eastAsia="zh-CN"/>
            </w:rPr>
            <w:t xml:space="preserve"> </w:t>
          </w:r>
          <w:r>
            <w:rPr>
              <w:rFonts w:hint="eastAsia" w:ascii="宋体" w:hAnsi="宋体" w:eastAsia="宋体" w:cs="宋体"/>
              <w:bCs/>
              <w:smallCaps w:val="0"/>
              <w:color w:val="auto"/>
              <w:spacing w:val="0"/>
              <w:w w:val="100"/>
              <w:sz w:val="24"/>
              <w:szCs w:val="44"/>
              <w:highlight w:val="none"/>
              <w:lang w:eastAsia="zh-CN"/>
            </w:rPr>
            <w:t>改革与管理</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_Toc4883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42015FC">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_Toc2515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9.1 项目融资</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_Toc2515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47417C3">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_Toc11258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9.2 建后管护</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_Toc11258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327DCD2">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_Toc3649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9.2.1 运行管护及管理体制现状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_Toc3649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609E6AB">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_Toc14693 </w:instrText>
          </w:r>
          <w:r>
            <w:rPr>
              <w:rFonts w:hint="eastAsia" w:ascii="宋体" w:hAnsi="宋体" w:eastAsia="宋体" w:cs="宋体"/>
              <w:color w:val="auto"/>
              <w:sz w:val="24"/>
              <w:szCs w:val="32"/>
              <w:highlight w:val="none"/>
            </w:rPr>
            <w:fldChar w:fldCharType="separate"/>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明确管护主体及职责</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_Toc14693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- 146 -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B90AA55">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_Toc32127 </w:instrText>
          </w:r>
          <w:r>
            <w:rPr>
              <w:rFonts w:hint="eastAsia" w:ascii="宋体" w:hAnsi="宋体" w:eastAsia="宋体" w:cs="宋体"/>
              <w:color w:val="auto"/>
              <w:sz w:val="24"/>
              <w:szCs w:val="32"/>
              <w:highlight w:val="none"/>
            </w:rPr>
            <w:fldChar w:fldCharType="separate"/>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明确管护人员</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_Toc32127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- 146 -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519F02B7">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_Toc28234 </w:instrText>
          </w:r>
          <w:r>
            <w:rPr>
              <w:rFonts w:hint="eastAsia" w:ascii="宋体" w:hAnsi="宋体" w:eastAsia="宋体" w:cs="宋体"/>
              <w:color w:val="auto"/>
              <w:sz w:val="24"/>
              <w:szCs w:val="32"/>
              <w:highlight w:val="none"/>
            </w:rPr>
            <w:fldChar w:fldCharType="separate"/>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明确管护内容</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_Toc28234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- 146 -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A77D3BD">
          <w:pPr>
            <w:pStyle w:val="9"/>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_Toc31631 </w:instrText>
          </w:r>
          <w:r>
            <w:rPr>
              <w:rFonts w:hint="eastAsia" w:ascii="宋体" w:hAnsi="宋体" w:eastAsia="宋体" w:cs="宋体"/>
              <w:color w:val="auto"/>
              <w:sz w:val="24"/>
              <w:szCs w:val="32"/>
              <w:highlight w:val="none"/>
            </w:rPr>
            <w:fldChar w:fldCharType="separate"/>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明确奖励与惩罚制度</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_Toc31631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- 148 -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D9A462E">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_Toc12289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val="en-US" w:eastAsia="zh-CN"/>
            </w:rPr>
            <w:t>9</w:t>
          </w:r>
          <w:r>
            <w:rPr>
              <w:rFonts w:hint="eastAsia" w:ascii="宋体" w:hAnsi="宋体" w:eastAsia="宋体" w:cs="宋体"/>
              <w:bCs/>
              <w:smallCaps w:val="0"/>
              <w:color w:val="auto"/>
              <w:spacing w:val="0"/>
              <w:w w:val="100"/>
              <w:sz w:val="24"/>
              <w:szCs w:val="36"/>
              <w:highlight w:val="none"/>
              <w:lang w:eastAsia="zh-CN"/>
            </w:rPr>
            <w:t>.</w:t>
          </w:r>
          <w:r>
            <w:rPr>
              <w:rFonts w:hint="eastAsia" w:ascii="宋体" w:hAnsi="宋体" w:eastAsia="宋体" w:cs="宋体"/>
              <w:bCs/>
              <w:smallCaps w:val="0"/>
              <w:color w:val="auto"/>
              <w:spacing w:val="0"/>
              <w:w w:val="100"/>
              <w:sz w:val="24"/>
              <w:szCs w:val="36"/>
              <w:highlight w:val="none"/>
              <w:lang w:val="en-US" w:eastAsia="zh-CN"/>
            </w:rPr>
            <w:t>3</w:t>
          </w:r>
          <w:r>
            <w:rPr>
              <w:rFonts w:hint="eastAsia" w:ascii="宋体" w:hAnsi="宋体" w:eastAsia="宋体" w:cs="宋体"/>
              <w:bCs/>
              <w:smallCaps w:val="0"/>
              <w:color w:val="auto"/>
              <w:spacing w:val="0"/>
              <w:w w:val="100"/>
              <w:sz w:val="24"/>
              <w:szCs w:val="36"/>
              <w:highlight w:val="none"/>
              <w:lang w:eastAsia="zh-CN"/>
            </w:rPr>
            <w:t>水价改革</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_Toc12289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- 148 -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75FCBB0">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_Toc19545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44"/>
              <w:highlight w:val="none"/>
              <w:lang w:eastAsia="zh-CN"/>
            </w:rPr>
            <w:t>第十章</w:t>
          </w:r>
          <w:r>
            <w:rPr>
              <w:rFonts w:hint="eastAsia" w:ascii="宋体" w:hAnsi="宋体" w:eastAsia="宋体" w:cs="宋体"/>
              <w:smallCaps w:val="0"/>
              <w:color w:val="auto"/>
              <w:spacing w:val="0"/>
              <w:w w:val="100"/>
              <w:sz w:val="24"/>
              <w:szCs w:val="44"/>
              <w:highlight w:val="none"/>
              <w:lang w:eastAsia="zh-CN"/>
            </w:rPr>
            <w:t xml:space="preserve"> </w:t>
          </w:r>
          <w:r>
            <w:rPr>
              <w:rFonts w:hint="eastAsia" w:ascii="宋体" w:hAnsi="宋体" w:eastAsia="宋体" w:cs="宋体"/>
              <w:bCs/>
              <w:smallCaps w:val="0"/>
              <w:color w:val="auto"/>
              <w:spacing w:val="0"/>
              <w:w w:val="100"/>
              <w:sz w:val="24"/>
              <w:szCs w:val="44"/>
              <w:highlight w:val="none"/>
              <w:lang w:eastAsia="zh-CN"/>
            </w:rPr>
            <w:t>预期效益分析</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_Toc19545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- 152 -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254675D">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_Toc7929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10.1 经济效益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_Toc7929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- 152 -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02742C90">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_Toc29202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rPr>
            <w:t>10.2 社会效益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_Toc29202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- 153 -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D09B169">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_Toc4620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10.3 生态效益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_Toc4620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- 153 -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1CE5984E">
          <w:pPr>
            <w:pStyle w:val="16"/>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_Toc14268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10.4 支持乡村振兴效益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_Toc14268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- 154 -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EAF820A">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_Toc385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附件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_Toc385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- 155 -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6461A468">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_Toc20651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（一）附</w:t>
          </w:r>
          <w:r>
            <w:rPr>
              <w:rFonts w:hint="eastAsia" w:ascii="宋体" w:hAnsi="宋体" w:eastAsia="宋体" w:cs="宋体"/>
              <w:bCs/>
              <w:smallCaps w:val="0"/>
              <w:color w:val="auto"/>
              <w:spacing w:val="0"/>
              <w:w w:val="100"/>
              <w:sz w:val="24"/>
              <w:szCs w:val="36"/>
              <w:highlight w:val="none"/>
              <w:lang w:val="en-US" w:eastAsia="zh-CN"/>
            </w:rPr>
            <w:t>件资料（后附）</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_Toc20651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- 155 -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43FA720A">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_Toc1779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（二）项目工程概（预）算表（</w:t>
          </w:r>
          <w:r>
            <w:rPr>
              <w:rFonts w:hint="eastAsia" w:ascii="宋体" w:hAnsi="宋体" w:eastAsia="宋体" w:cs="宋体"/>
              <w:bCs/>
              <w:smallCaps w:val="0"/>
              <w:color w:val="auto"/>
              <w:spacing w:val="0"/>
              <w:w w:val="100"/>
              <w:sz w:val="24"/>
              <w:szCs w:val="36"/>
              <w:highlight w:val="none"/>
              <w:lang w:val="en-US" w:eastAsia="zh-CN"/>
            </w:rPr>
            <w:t>另册</w:t>
          </w:r>
          <w:r>
            <w:rPr>
              <w:rFonts w:hint="eastAsia" w:ascii="宋体" w:hAnsi="宋体" w:eastAsia="宋体" w:cs="宋体"/>
              <w:bCs/>
              <w:smallCaps w:val="0"/>
              <w:color w:val="auto"/>
              <w:spacing w:val="0"/>
              <w:w w:val="100"/>
              <w:sz w:val="24"/>
              <w:szCs w:val="36"/>
              <w:highlight w:val="none"/>
              <w:lang w:eastAsia="zh-CN"/>
            </w:rPr>
            <w:t>）</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_Toc1779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- 155 -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262254C8">
          <w:pPr>
            <w:pStyle w:val="14"/>
            <w:tabs>
              <w:tab w:val="right" w:leader="dot" w:pos="8894"/>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32"/>
              <w:highlight w:val="none"/>
            </w:rPr>
            <w:fldChar w:fldCharType="begin"/>
          </w:r>
          <w:r>
            <w:rPr>
              <w:rFonts w:hint="eastAsia" w:ascii="宋体" w:hAnsi="宋体" w:eastAsia="宋体" w:cs="宋体"/>
              <w:color w:val="auto"/>
              <w:sz w:val="24"/>
              <w:szCs w:val="32"/>
              <w:highlight w:val="none"/>
            </w:rPr>
            <w:instrText xml:space="preserve"> HYPERLINK \l _Toc15672 </w:instrText>
          </w:r>
          <w:r>
            <w:rPr>
              <w:rFonts w:hint="eastAsia" w:ascii="宋体" w:hAnsi="宋体" w:eastAsia="宋体" w:cs="宋体"/>
              <w:color w:val="auto"/>
              <w:sz w:val="24"/>
              <w:szCs w:val="32"/>
              <w:highlight w:val="none"/>
            </w:rPr>
            <w:fldChar w:fldCharType="separate"/>
          </w:r>
          <w:r>
            <w:rPr>
              <w:rFonts w:hint="eastAsia" w:ascii="宋体" w:hAnsi="宋体" w:eastAsia="宋体" w:cs="宋体"/>
              <w:bCs/>
              <w:smallCaps w:val="0"/>
              <w:color w:val="auto"/>
              <w:spacing w:val="0"/>
              <w:w w:val="100"/>
              <w:sz w:val="24"/>
              <w:szCs w:val="36"/>
              <w:highlight w:val="none"/>
              <w:lang w:eastAsia="zh-CN"/>
            </w:rPr>
            <w:t>（三）附图（</w:t>
          </w:r>
          <w:r>
            <w:rPr>
              <w:rFonts w:hint="eastAsia" w:ascii="宋体" w:hAnsi="宋体" w:eastAsia="宋体" w:cs="宋体"/>
              <w:bCs/>
              <w:smallCaps w:val="0"/>
              <w:color w:val="auto"/>
              <w:spacing w:val="0"/>
              <w:w w:val="100"/>
              <w:sz w:val="24"/>
              <w:szCs w:val="36"/>
              <w:highlight w:val="none"/>
              <w:lang w:val="en-US" w:eastAsia="zh-CN"/>
            </w:rPr>
            <w:t>另册</w:t>
          </w:r>
          <w:r>
            <w:rPr>
              <w:rFonts w:hint="eastAsia" w:ascii="宋体" w:hAnsi="宋体" w:eastAsia="宋体" w:cs="宋体"/>
              <w:bCs/>
              <w:smallCaps w:val="0"/>
              <w:color w:val="auto"/>
              <w:spacing w:val="0"/>
              <w:w w:val="100"/>
              <w:sz w:val="24"/>
              <w:szCs w:val="36"/>
              <w:highlight w:val="none"/>
              <w:lang w:eastAsia="zh-CN"/>
            </w:rPr>
            <w:t>）</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_Toc15672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- 155 -</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32"/>
              <w:highlight w:val="none"/>
            </w:rPr>
            <w:fldChar w:fldCharType="end"/>
          </w:r>
        </w:p>
        <w:p w14:paraId="767271EA">
          <w:pPr>
            <w:pStyle w:val="14"/>
            <w:tabs>
              <w:tab w:val="right" w:leader="dot" w:pos="8894"/>
            </w:tabs>
            <w:spacing w:line="360" w:lineRule="auto"/>
            <w:rPr>
              <w:rFonts w:hint="eastAsia" w:ascii="宋体" w:hAnsi="宋体" w:eastAsia="宋体" w:cs="宋体"/>
              <w:snapToGrid w:val="0"/>
              <w:color w:val="auto"/>
              <w:sz w:val="32"/>
              <w:szCs w:val="32"/>
              <w:highlight w:val="none"/>
              <w:lang w:val="en-US" w:eastAsia="en-US" w:bidi="ar-SA"/>
            </w:rPr>
          </w:pPr>
          <w:r>
            <w:rPr>
              <w:rFonts w:hint="eastAsia" w:ascii="宋体" w:hAnsi="宋体" w:eastAsia="宋体" w:cs="宋体"/>
              <w:color w:val="auto"/>
              <w:sz w:val="24"/>
              <w:szCs w:val="32"/>
              <w:highlight w:val="none"/>
            </w:rPr>
            <w:fldChar w:fldCharType="end"/>
          </w:r>
        </w:p>
      </w:sdtContent>
    </w:sdt>
    <w:p w14:paraId="5B72D0F6">
      <w:pPr>
        <w:spacing w:line="360" w:lineRule="auto"/>
        <w:rPr>
          <w:rFonts w:hint="eastAsia" w:ascii="宋体" w:hAnsi="宋体" w:eastAsia="宋体" w:cs="宋体"/>
          <w:snapToGrid w:val="0"/>
          <w:color w:val="auto"/>
          <w:sz w:val="32"/>
          <w:szCs w:val="32"/>
          <w:highlight w:val="none"/>
          <w:lang w:val="en-US" w:eastAsia="en-US" w:bidi="ar-SA"/>
        </w:rPr>
      </w:pPr>
    </w:p>
    <w:p w14:paraId="0C98A837">
      <w:pPr>
        <w:pStyle w:val="2"/>
        <w:kinsoku/>
        <w:spacing w:before="0" w:after="0" w:line="560" w:lineRule="exact"/>
        <w:jc w:val="center"/>
        <w:rPr>
          <w:rFonts w:hint="default" w:ascii="Times New Roman" w:hAnsi="Times New Roman" w:eastAsia="宋体" w:cs="Times New Roman"/>
          <w:color w:val="auto"/>
          <w:sz w:val="32"/>
          <w:szCs w:val="32"/>
          <w:highlight w:val="none"/>
          <w:lang w:eastAsia="zh-CN"/>
        </w:rPr>
        <w:sectPr>
          <w:footerReference r:id="rId6" w:type="default"/>
          <w:pgSz w:w="11900" w:h="16840"/>
          <w:pgMar w:top="1134" w:right="1418" w:bottom="1134" w:left="1588" w:header="862" w:footer="1214" w:gutter="0"/>
          <w:pgBorders>
            <w:top w:val="none" w:sz="0" w:space="0"/>
            <w:left w:val="none" w:sz="0" w:space="0"/>
            <w:bottom w:val="none" w:sz="0" w:space="0"/>
            <w:right w:val="none" w:sz="0" w:space="0"/>
          </w:pgBorders>
          <w:pgNumType w:fmt="upperRoman" w:start="1"/>
          <w:cols w:space="720" w:num="1"/>
        </w:sectPr>
      </w:pPr>
      <w:bookmarkStart w:id="0" w:name="_Toc13014"/>
    </w:p>
    <w:p w14:paraId="2C6444C9">
      <w:pPr>
        <w:pStyle w:val="2"/>
        <w:kinsoku/>
        <w:spacing w:before="0" w:after="0" w:line="560" w:lineRule="exact"/>
        <w:jc w:val="center"/>
        <w:rPr>
          <w:rFonts w:hint="default" w:ascii="Times New Roman" w:hAnsi="Times New Roman" w:eastAsia="宋体" w:cs="Times New Roman"/>
          <w:smallCaps w:val="0"/>
          <w:color w:val="auto"/>
          <w:spacing w:val="0"/>
          <w:w w:val="100"/>
          <w:sz w:val="32"/>
          <w:szCs w:val="32"/>
          <w:highlight w:val="none"/>
          <w:lang w:eastAsia="zh-CN"/>
        </w:rPr>
      </w:pPr>
      <w:bookmarkStart w:id="1" w:name="_Toc26600"/>
      <w:r>
        <w:rPr>
          <w:rFonts w:hint="default" w:ascii="Times New Roman" w:hAnsi="Times New Roman" w:eastAsia="宋体" w:cs="Times New Roman"/>
          <w:smallCaps w:val="0"/>
          <w:color w:val="auto"/>
          <w:spacing w:val="0"/>
          <w:w w:val="100"/>
          <w:sz w:val="32"/>
          <w:szCs w:val="32"/>
          <w:highlight w:val="none"/>
          <w:lang w:eastAsia="zh-CN"/>
        </w:rPr>
        <w:t>第一章 项目概要</w:t>
      </w:r>
      <w:bookmarkEnd w:id="0"/>
      <w:bookmarkEnd w:id="1"/>
    </w:p>
    <w:p w14:paraId="1DAF95DC">
      <w:pPr>
        <w:pStyle w:val="3"/>
        <w:kinsoku/>
        <w:spacing w:before="0" w:after="0" w:line="560" w:lineRule="exact"/>
        <w:rPr>
          <w:rFonts w:hint="default" w:ascii="Times New Roman" w:hAnsi="Times New Roman" w:eastAsia="宋体" w:cs="Times New Roman"/>
          <w:smallCaps w:val="0"/>
          <w:color w:val="auto"/>
          <w:spacing w:val="0"/>
          <w:w w:val="100"/>
          <w:sz w:val="30"/>
          <w:szCs w:val="30"/>
          <w:highlight w:val="none"/>
          <w:lang w:eastAsia="zh-CN"/>
        </w:rPr>
      </w:pPr>
      <w:bookmarkStart w:id="2" w:name="_Toc18652"/>
      <w:bookmarkStart w:id="3" w:name="_Toc7856"/>
      <w:bookmarkStart w:id="4" w:name="_Toc4847"/>
      <w:r>
        <w:rPr>
          <w:rFonts w:hint="default" w:ascii="Times New Roman" w:hAnsi="Times New Roman" w:eastAsia="宋体" w:cs="Times New Roman"/>
          <w:smallCaps w:val="0"/>
          <w:color w:val="auto"/>
          <w:spacing w:val="0"/>
          <w:w w:val="100"/>
          <w:sz w:val="30"/>
          <w:szCs w:val="30"/>
          <w:highlight w:val="none"/>
          <w:lang w:eastAsia="zh-CN"/>
        </w:rPr>
        <w:t>1.1 项目背景</w:t>
      </w:r>
      <w:bookmarkEnd w:id="2"/>
      <w:bookmarkEnd w:id="3"/>
      <w:bookmarkEnd w:id="4"/>
    </w:p>
    <w:p w14:paraId="1DC4F5AA">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5" w:name="_Toc31787"/>
      <w:r>
        <w:rPr>
          <w:rFonts w:hint="default" w:ascii="Times New Roman" w:hAnsi="Times New Roman" w:eastAsia="宋体" w:cs="Times New Roman"/>
          <w:smallCaps w:val="0"/>
          <w:color w:val="auto"/>
          <w:spacing w:val="0"/>
          <w:w w:val="100"/>
          <w:highlight w:val="none"/>
        </w:rPr>
        <w:t>1.1.1中央加快农田建设指导</w:t>
      </w:r>
      <w:bookmarkEnd w:id="5"/>
    </w:p>
    <w:p w14:paraId="281139A0">
      <w:pPr>
        <w:kinsoku/>
        <w:spacing w:line="560" w:lineRule="exact"/>
        <w:ind w:firstLine="600" w:firstLineChars="200"/>
        <w:rPr>
          <w:rFonts w:hint="default" w:ascii="Times New Roman" w:hAnsi="Times New Roman" w:eastAsia="宋体" w:cs="Times New Roman"/>
          <w:smallCaps w:val="0"/>
          <w:color w:val="auto"/>
          <w:spacing w:val="0"/>
          <w:w w:val="100"/>
          <w:kern w:val="2"/>
          <w:sz w:val="30"/>
          <w:szCs w:val="30"/>
          <w:highlight w:val="none"/>
          <w:lang w:eastAsia="zh-CN"/>
        </w:rPr>
      </w:pPr>
      <w:r>
        <w:rPr>
          <w:rFonts w:hint="default" w:ascii="Times New Roman" w:hAnsi="Times New Roman" w:eastAsia="宋体" w:cs="Times New Roman"/>
          <w:smallCaps w:val="0"/>
          <w:color w:val="auto"/>
          <w:spacing w:val="0"/>
          <w:w w:val="100"/>
          <w:kern w:val="2"/>
          <w:sz w:val="30"/>
          <w:szCs w:val="30"/>
          <w:highlight w:val="none"/>
          <w:lang w:eastAsia="zh-CN"/>
        </w:rPr>
        <w:t>全面贯彻落实党的二十大精神，深入实施藏粮于地、藏粮于技战略，突出高质量发展要求，依据《全国高标准农田建设规划（2021—2030年）》部署，以提升粮食产能为首要目标，围绕</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田、土、水、路、林、电、技、管</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八个方面，坚持问题导向和目标导向，因地制宜确定改造提升内容，着力提升建设标准和质量，打造高标准农田的升级版，形成一批现代化农田，为保障国家粮食安全和重要农产品有效供给提供坚实基础。</w:t>
      </w:r>
    </w:p>
    <w:p w14:paraId="039C5BBD">
      <w:pPr>
        <w:kinsoku/>
        <w:spacing w:line="560" w:lineRule="exact"/>
        <w:ind w:firstLine="600" w:firstLineChars="200"/>
        <w:rPr>
          <w:rFonts w:hint="default" w:ascii="Times New Roman" w:hAnsi="Times New Roman" w:eastAsia="宋体" w:cs="Times New Roman"/>
          <w:smallCaps w:val="0"/>
          <w:color w:val="auto"/>
          <w:spacing w:val="0"/>
          <w:w w:val="100"/>
          <w:kern w:val="2"/>
          <w:sz w:val="30"/>
          <w:szCs w:val="30"/>
          <w:highlight w:val="none"/>
          <w:lang w:val="en-US" w:eastAsia="zh-CN"/>
        </w:rPr>
      </w:pPr>
      <w:r>
        <w:rPr>
          <w:rFonts w:hint="default" w:ascii="Times New Roman" w:hAnsi="Times New Roman" w:eastAsia="宋体" w:cs="Times New Roman"/>
          <w:smallCaps w:val="0"/>
          <w:color w:val="auto"/>
          <w:spacing w:val="0"/>
          <w:w w:val="100"/>
          <w:kern w:val="2"/>
          <w:sz w:val="30"/>
          <w:szCs w:val="30"/>
          <w:highlight w:val="none"/>
          <w:lang w:val="en-US" w:eastAsia="zh-CN"/>
        </w:rPr>
        <w:t>根据中共中央办公厅、国务院办公厅2025年3月印发的《逐步把永久基本农田建成高标准农田实施方案》，到2030年，力争累计建成高标准农田13.5亿亩，改造提升2.8亿亩，新增高效节水灌溉8000万亩；到2035年，力争将具备条件的永久基本农田全部建成高标准农田。坚持</w:t>
      </w:r>
      <w:r>
        <w:rPr>
          <w:rFonts w:hint="eastAsia" w:ascii="Times New Roman" w:hAnsi="Times New Roman" w:eastAsia="宋体" w:cs="Times New Roman"/>
          <w:smallCaps w:val="0"/>
          <w:color w:val="auto"/>
          <w:spacing w:val="0"/>
          <w:w w:val="100"/>
          <w:kern w:val="2"/>
          <w:sz w:val="30"/>
          <w:szCs w:val="30"/>
          <w:highlight w:val="none"/>
          <w:lang w:val="en-US" w:eastAsia="zh-CN"/>
        </w:rPr>
        <w:t>“</w:t>
      </w:r>
      <w:r>
        <w:rPr>
          <w:rFonts w:hint="default" w:ascii="Times New Roman" w:hAnsi="Times New Roman" w:eastAsia="宋体" w:cs="Times New Roman"/>
          <w:smallCaps w:val="0"/>
          <w:color w:val="auto"/>
          <w:spacing w:val="0"/>
          <w:w w:val="100"/>
          <w:kern w:val="2"/>
          <w:sz w:val="30"/>
          <w:szCs w:val="30"/>
          <w:highlight w:val="none"/>
          <w:lang w:val="en-US" w:eastAsia="zh-CN"/>
        </w:rPr>
        <w:t>藏粮于地、藏粮于技</w:t>
      </w:r>
      <w:r>
        <w:rPr>
          <w:rFonts w:hint="eastAsia" w:ascii="Times New Roman" w:hAnsi="Times New Roman" w:eastAsia="宋体" w:cs="Times New Roman"/>
          <w:smallCaps w:val="0"/>
          <w:color w:val="auto"/>
          <w:spacing w:val="0"/>
          <w:w w:val="100"/>
          <w:kern w:val="2"/>
          <w:sz w:val="30"/>
          <w:szCs w:val="30"/>
          <w:highlight w:val="none"/>
          <w:lang w:val="en-US" w:eastAsia="zh-CN"/>
        </w:rPr>
        <w:t>”</w:t>
      </w:r>
      <w:r>
        <w:rPr>
          <w:rFonts w:hint="default" w:ascii="Times New Roman" w:hAnsi="Times New Roman" w:eastAsia="宋体" w:cs="Times New Roman"/>
          <w:smallCaps w:val="0"/>
          <w:color w:val="auto"/>
          <w:spacing w:val="0"/>
          <w:w w:val="100"/>
          <w:kern w:val="2"/>
          <w:sz w:val="30"/>
          <w:szCs w:val="30"/>
          <w:highlight w:val="none"/>
          <w:lang w:val="en-US" w:eastAsia="zh-CN"/>
        </w:rPr>
        <w:t>，以提高粮食和重要农产品生产能力为首要任务，做到新建与改造并重、数量与质量并重、建设与管护并重。</w:t>
      </w:r>
    </w:p>
    <w:p w14:paraId="37DC71D0">
      <w:pPr>
        <w:pStyle w:val="31"/>
        <w:spacing w:before="0" w:line="560" w:lineRule="exact"/>
        <w:rPr>
          <w:rFonts w:hint="default" w:ascii="Times New Roman" w:hAnsi="Times New Roman" w:eastAsia="宋体" w:cs="Times New Roman"/>
          <w:smallCaps w:val="0"/>
          <w:color w:val="auto"/>
          <w:spacing w:val="0"/>
          <w:w w:val="100"/>
          <w:highlight w:val="none"/>
        </w:rPr>
      </w:pPr>
      <w:r>
        <w:rPr>
          <w:rFonts w:hint="default" w:ascii="Times New Roman" w:hAnsi="Times New Roman" w:eastAsia="宋体" w:cs="Times New Roman"/>
          <w:smallCaps w:val="0"/>
          <w:color w:val="auto"/>
          <w:spacing w:val="0"/>
          <w:w w:val="100"/>
          <w:highlight w:val="none"/>
        </w:rPr>
        <w:t>坚持质量第一，优先把东北黑土地区、平原地区、具备水利灌溉条件地区的耕地建成高标准农田，适当提高中央和省级投资补助水平，取消各地对产粮大县资金配套要求，强化高标准农田建设全过程监管，确保建一块、成一块。鼓励农村集体经济组织、新型农业经营主体、农户等直接参与高标准农田建设管护。分区分类开展盐碱耕地治理改良，</w:t>
      </w:r>
      <w:r>
        <w:rPr>
          <w:rFonts w:hint="eastAsia" w:cs="Times New Roman"/>
          <w:smallCaps w:val="0"/>
          <w:color w:val="auto"/>
          <w:spacing w:val="0"/>
          <w:w w:val="100"/>
          <w:highlight w:val="none"/>
          <w:lang w:eastAsia="zh-CN"/>
        </w:rPr>
        <w:t>“</w:t>
      </w:r>
      <w:r>
        <w:rPr>
          <w:rFonts w:hint="default" w:ascii="Times New Roman" w:hAnsi="Times New Roman" w:eastAsia="宋体" w:cs="Times New Roman"/>
          <w:smallCaps w:val="0"/>
          <w:color w:val="auto"/>
          <w:spacing w:val="0"/>
          <w:w w:val="100"/>
          <w:highlight w:val="none"/>
        </w:rPr>
        <w:t>以种适地</w:t>
      </w:r>
      <w:r>
        <w:rPr>
          <w:rFonts w:hint="eastAsia" w:cs="Times New Roman"/>
          <w:smallCaps w:val="0"/>
          <w:color w:val="auto"/>
          <w:spacing w:val="0"/>
          <w:w w:val="100"/>
          <w:highlight w:val="none"/>
          <w:lang w:eastAsia="zh-CN"/>
        </w:rPr>
        <w:t>”</w:t>
      </w:r>
      <w:r>
        <w:rPr>
          <w:rFonts w:hint="default" w:ascii="Times New Roman" w:hAnsi="Times New Roman" w:eastAsia="宋体" w:cs="Times New Roman"/>
          <w:smallCaps w:val="0"/>
          <w:color w:val="auto"/>
          <w:spacing w:val="0"/>
          <w:w w:val="100"/>
          <w:highlight w:val="none"/>
        </w:rPr>
        <w:t>同</w:t>
      </w:r>
      <w:r>
        <w:rPr>
          <w:rFonts w:hint="eastAsia" w:cs="Times New Roman"/>
          <w:smallCaps w:val="0"/>
          <w:color w:val="auto"/>
          <w:spacing w:val="0"/>
          <w:w w:val="100"/>
          <w:highlight w:val="none"/>
          <w:lang w:eastAsia="zh-CN"/>
        </w:rPr>
        <w:t>“</w:t>
      </w:r>
      <w:r>
        <w:rPr>
          <w:rFonts w:hint="default" w:ascii="Times New Roman" w:hAnsi="Times New Roman" w:eastAsia="宋体" w:cs="Times New Roman"/>
          <w:smallCaps w:val="0"/>
          <w:color w:val="auto"/>
          <w:spacing w:val="0"/>
          <w:w w:val="100"/>
          <w:highlight w:val="none"/>
        </w:rPr>
        <w:t>以地适种</w:t>
      </w:r>
      <w:r>
        <w:rPr>
          <w:rFonts w:hint="eastAsia" w:cs="Times New Roman"/>
          <w:smallCaps w:val="0"/>
          <w:color w:val="auto"/>
          <w:spacing w:val="0"/>
          <w:w w:val="100"/>
          <w:highlight w:val="none"/>
          <w:lang w:eastAsia="zh-CN"/>
        </w:rPr>
        <w:t>”</w:t>
      </w:r>
      <w:r>
        <w:rPr>
          <w:rFonts w:hint="default" w:ascii="Times New Roman" w:hAnsi="Times New Roman" w:eastAsia="宋体" w:cs="Times New Roman"/>
          <w:smallCaps w:val="0"/>
          <w:color w:val="auto"/>
          <w:spacing w:val="0"/>
          <w:w w:val="100"/>
          <w:highlight w:val="none"/>
        </w:rPr>
        <w:t>相结合，支持盐碱地综合利用试点。</w:t>
      </w:r>
    </w:p>
    <w:p w14:paraId="1F07055E">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6" w:name="_Toc5809"/>
      <w:r>
        <w:rPr>
          <w:rFonts w:hint="default" w:ascii="Times New Roman" w:hAnsi="Times New Roman" w:eastAsia="宋体" w:cs="Times New Roman"/>
          <w:smallCaps w:val="0"/>
          <w:color w:val="auto"/>
          <w:spacing w:val="0"/>
          <w:w w:val="100"/>
          <w:highlight w:val="none"/>
        </w:rPr>
        <w:t>1.1.2四川省高标准农田建设</w:t>
      </w:r>
      <w:bookmarkEnd w:id="6"/>
    </w:p>
    <w:p w14:paraId="6B65A197">
      <w:pPr>
        <w:kinsoku/>
        <w:spacing w:line="560" w:lineRule="exact"/>
        <w:ind w:firstLine="600" w:firstLineChars="2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kern w:val="2"/>
          <w:sz w:val="30"/>
          <w:szCs w:val="30"/>
          <w:highlight w:val="none"/>
          <w:lang w:eastAsia="zh-CN"/>
        </w:rPr>
        <w:t>四川省坚持农业农村优先发展，学习运用</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千村示范、万村整治</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工程经验，在推进乡村振兴上全面发力，坚决守牢粮食安全、不发生规模性返贫底线，把增加农民收入作为</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三农</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工作的中心任务，加快建设新时代更高水平</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天府粮仓</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，加快建设宜居宜业和美乡村，加快构建城乡融合发展体制机制，全面推进农业强省建设，为奋力谱写中国式现代化四川新篇章奠定坚实基础。量质并重建好</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天府良田</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。实施</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天府良田</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建设攻坚提质行动，适当提高高标准农田建设投资补助水平，支持县级政府按规定统筹整合相关涉农项目资金增加投入，取消对产粮大县资金配套要求，推进整市整县整片建设。</w:t>
      </w:r>
    </w:p>
    <w:p w14:paraId="34F511C5">
      <w:pPr>
        <w:kinsoku/>
        <w:spacing w:line="560" w:lineRule="exact"/>
        <w:ind w:firstLine="600" w:firstLineChars="2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kern w:val="2"/>
          <w:sz w:val="30"/>
          <w:szCs w:val="30"/>
          <w:highlight w:val="none"/>
          <w:lang w:eastAsia="zh-CN"/>
        </w:rPr>
        <w:t>2023年1月5日，为深入贯彻党的二十大精神和习近平总书记来川视察重要指示精神，全面落实党中央、国务院和省委、省政府关于加强高标准农田建设的决策部署。</w:t>
      </w:r>
    </w:p>
    <w:p w14:paraId="41F06BC4">
      <w:pPr>
        <w:kinsoku/>
        <w:spacing w:line="560" w:lineRule="exact"/>
        <w:ind w:firstLine="600" w:firstLineChars="200"/>
        <w:rPr>
          <w:rFonts w:hint="default" w:ascii="Times New Roman" w:hAnsi="Times New Roman" w:eastAsia="宋体" w:cs="Times New Roman"/>
          <w:smallCaps w:val="0"/>
          <w:color w:val="auto"/>
          <w:spacing w:val="0"/>
          <w:w w:val="100"/>
          <w:kern w:val="2"/>
          <w:sz w:val="30"/>
          <w:szCs w:val="30"/>
          <w:highlight w:val="none"/>
          <w:lang w:eastAsia="zh-CN"/>
        </w:rPr>
      </w:pPr>
      <w:r>
        <w:rPr>
          <w:rFonts w:hint="default" w:ascii="Times New Roman" w:hAnsi="Times New Roman" w:eastAsia="宋体" w:cs="Times New Roman"/>
          <w:smallCaps w:val="0"/>
          <w:color w:val="auto"/>
          <w:spacing w:val="0"/>
          <w:w w:val="100"/>
          <w:kern w:val="2"/>
          <w:sz w:val="30"/>
          <w:szCs w:val="30"/>
          <w:highlight w:val="none"/>
          <w:lang w:eastAsia="zh-CN"/>
        </w:rPr>
        <w:t>为守牢建好</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天府良田</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，2023年11月7日，四川省农业农村厅下发《关于做好灌区整区域推进高标准农田建设试点工作的通知》，进一步明确了试点目标任务和建设内容，通知要求深入实施</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藏粮于地、藏粮于技</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战略，立足新发展阶段，以提升粮食产能为首要目标，打造天府良田建设先行区，为建设新时代更高水平</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天府粮仓</w:t>
      </w:r>
      <w:r>
        <w:rPr>
          <w:rFonts w:hint="eastAsia" w:ascii="Times New Roman" w:hAnsi="Times New Roman" w:eastAsia="宋体" w:cs="Times New Roman"/>
          <w:smallCaps w:val="0"/>
          <w:color w:val="auto"/>
          <w:spacing w:val="0"/>
          <w:w w:val="100"/>
          <w:kern w:val="2"/>
          <w:sz w:val="30"/>
          <w:szCs w:val="30"/>
          <w:highlight w:val="none"/>
          <w:lang w:eastAsia="zh-CN"/>
        </w:rPr>
        <w:t>”</w:t>
      </w:r>
      <w:r>
        <w:rPr>
          <w:rFonts w:hint="default" w:ascii="Times New Roman" w:hAnsi="Times New Roman" w:eastAsia="宋体" w:cs="Times New Roman"/>
          <w:smallCaps w:val="0"/>
          <w:color w:val="auto"/>
          <w:spacing w:val="0"/>
          <w:w w:val="100"/>
          <w:kern w:val="2"/>
          <w:sz w:val="30"/>
          <w:szCs w:val="30"/>
          <w:highlight w:val="none"/>
          <w:lang w:eastAsia="zh-CN"/>
        </w:rPr>
        <w:t>奠定坚实基础。</w:t>
      </w:r>
    </w:p>
    <w:p w14:paraId="13B3915D">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7" w:name="_Toc17645"/>
      <w:r>
        <w:rPr>
          <w:rFonts w:hint="default" w:ascii="Times New Roman" w:hAnsi="Times New Roman" w:eastAsia="宋体" w:cs="Times New Roman"/>
          <w:smallCaps w:val="0"/>
          <w:color w:val="auto"/>
          <w:spacing w:val="0"/>
          <w:w w:val="100"/>
          <w:highlight w:val="none"/>
        </w:rPr>
        <w:t>1.1.3甘孜州高标准农田建设</w:t>
      </w:r>
      <w:bookmarkEnd w:id="7"/>
    </w:p>
    <w:p w14:paraId="26355D46">
      <w:pPr>
        <w:kinsoku/>
        <w:spacing w:line="560" w:lineRule="exact"/>
        <w:ind w:left="39" w:right="-61" w:firstLine="599"/>
        <w:rPr>
          <w:rFonts w:hint="default" w:ascii="Times New Roman" w:hAnsi="Times New Roman" w:eastAsia="宋体" w:cs="Times New Roman"/>
          <w:smallCaps w:val="0"/>
          <w:color w:val="auto"/>
          <w:spacing w:val="0"/>
          <w:w w:val="100"/>
          <w:sz w:val="30"/>
          <w:szCs w:val="30"/>
          <w:highlight w:val="none"/>
          <w:lang w:eastAsia="zh-CN"/>
        </w:rPr>
      </w:pPr>
      <w:bookmarkStart w:id="8" w:name="bookmark50"/>
      <w:bookmarkEnd w:id="8"/>
      <w:r>
        <w:rPr>
          <w:rFonts w:hint="default" w:ascii="Times New Roman" w:hAnsi="Times New Roman" w:eastAsia="宋体" w:cs="Times New Roman"/>
          <w:smallCaps w:val="0"/>
          <w:color w:val="auto"/>
          <w:spacing w:val="0"/>
          <w:w w:val="100"/>
          <w:sz w:val="30"/>
          <w:szCs w:val="30"/>
          <w:highlight w:val="none"/>
          <w:lang w:eastAsia="zh-CN"/>
        </w:rPr>
        <w:t>甘孜州2025年—2030年高标准农田建设（新建及改造提升）推进目标任务方案。为高质量推进</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天府良田</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攻坚提质行动，推动全州高标准农田建设，根据《四川省高标准农田建设项目管理办法》《高标准农田建设质量管理办法（试行）》，结合《四川省高标准农田建设规划（2021—20</w:t>
      </w:r>
      <w:r>
        <w:rPr>
          <w:rFonts w:hint="default" w:ascii="Times New Roman" w:hAnsi="Times New Roman" w:eastAsia="宋体" w:cs="Times New Roman"/>
          <w:smallCaps w:val="0"/>
          <w:color w:val="auto"/>
          <w:spacing w:val="0"/>
          <w:w w:val="100"/>
          <w:sz w:val="30"/>
          <w:szCs w:val="30"/>
          <w:highlight w:val="none"/>
          <w:lang w:val="en-US" w:eastAsia="zh-CN"/>
        </w:rPr>
        <w:t>30</w:t>
      </w:r>
      <w:r>
        <w:rPr>
          <w:rFonts w:hint="default" w:ascii="Times New Roman" w:hAnsi="Times New Roman" w:eastAsia="宋体" w:cs="Times New Roman"/>
          <w:smallCaps w:val="0"/>
          <w:color w:val="auto"/>
          <w:spacing w:val="0"/>
          <w:w w:val="100"/>
          <w:sz w:val="30"/>
          <w:szCs w:val="30"/>
          <w:highlight w:val="none"/>
          <w:lang w:eastAsia="zh-CN"/>
        </w:rPr>
        <w:t>年）</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甘孜州高标准农田建设规划（2021—20</w:t>
      </w:r>
      <w:r>
        <w:rPr>
          <w:rFonts w:hint="default" w:ascii="Times New Roman" w:hAnsi="Times New Roman" w:eastAsia="宋体" w:cs="Times New Roman"/>
          <w:smallCaps w:val="0"/>
          <w:color w:val="auto"/>
          <w:spacing w:val="0"/>
          <w:w w:val="100"/>
          <w:sz w:val="30"/>
          <w:szCs w:val="30"/>
          <w:highlight w:val="none"/>
          <w:lang w:val="en-US" w:eastAsia="zh-CN"/>
        </w:rPr>
        <w:t>30</w:t>
      </w:r>
      <w:r>
        <w:rPr>
          <w:rFonts w:hint="default" w:ascii="Times New Roman" w:hAnsi="Times New Roman" w:eastAsia="宋体" w:cs="Times New Roman"/>
          <w:smallCaps w:val="0"/>
          <w:color w:val="auto"/>
          <w:spacing w:val="0"/>
          <w:w w:val="100"/>
          <w:sz w:val="30"/>
          <w:szCs w:val="30"/>
          <w:highlight w:val="none"/>
          <w:lang w:eastAsia="zh-CN"/>
        </w:rPr>
        <w:t>年）》、州人民政府《关于甘孜州高标准农田建设规划（2012年—2030年）的批复》（甘府函〔2024〕1号）的建设任务及欠发达县域托底性帮扶协调机制及领导批示要求，落实全省农田水利暨高标准农田建设推进会议精神。按照省农业农村厅《关于加强高标准农田建设项目储备的通知》（川农函〔2023〕602号）、《关于做好2026年中央财政补助资金支持高标准农田建设项目储备工作的通知》（N〔2025〕2049号）文件要求，制定全州2025年—2030年高标准农田建设（新建及改造提升）推进目标任务方案。</w:t>
      </w:r>
    </w:p>
    <w:p w14:paraId="00168B29">
      <w:pPr>
        <w:kinsoku/>
        <w:spacing w:line="560" w:lineRule="exact"/>
        <w:ind w:left="48"/>
        <w:outlineLvl w:val="1"/>
        <w:rPr>
          <w:rFonts w:hint="default" w:ascii="Times New Roman" w:hAnsi="Times New Roman" w:eastAsia="宋体" w:cs="Times New Roman"/>
          <w:smallCaps w:val="0"/>
          <w:color w:val="auto"/>
          <w:spacing w:val="0"/>
          <w:w w:val="100"/>
          <w:highlight w:val="none"/>
          <w:lang w:eastAsia="zh-CN"/>
        </w:rPr>
      </w:pPr>
      <w:bookmarkStart w:id="9" w:name="_Toc15552"/>
      <w:bookmarkStart w:id="10" w:name="_Toc30884"/>
      <w:bookmarkStart w:id="11" w:name="_Toc30504"/>
      <w:r>
        <w:rPr>
          <w:rFonts w:hint="default" w:ascii="Times New Roman" w:hAnsi="Times New Roman" w:eastAsia="宋体" w:cs="Times New Roman"/>
          <w:b/>
          <w:bCs/>
          <w:smallCaps w:val="0"/>
          <w:color w:val="auto"/>
          <w:spacing w:val="0"/>
          <w:w w:val="100"/>
          <w:sz w:val="30"/>
          <w:szCs w:val="30"/>
          <w:highlight w:val="none"/>
          <w:lang w:eastAsia="zh-CN"/>
        </w:rPr>
        <w:t>1.2 甘孜县高标准农田建设</w:t>
      </w:r>
      <w:bookmarkEnd w:id="9"/>
      <w:bookmarkEnd w:id="10"/>
      <w:bookmarkEnd w:id="11"/>
    </w:p>
    <w:p w14:paraId="0FB36295">
      <w:pPr>
        <w:kinsoku/>
        <w:spacing w:line="560" w:lineRule="exact"/>
        <w:ind w:left="39" w:right="-61" w:firstLine="59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按照甘孜州2025年—2030年高标准农田建设（新建及改造提升）推进目标任务方案，本次新建高标准农田项目建设100</w:t>
      </w:r>
      <w:r>
        <w:rPr>
          <w:rFonts w:hint="default" w:ascii="Times New Roman" w:hAnsi="Times New Roman" w:eastAsia="宋体" w:cs="Times New Roman"/>
          <w:smallCaps w:val="0"/>
          <w:color w:val="auto"/>
          <w:spacing w:val="0"/>
          <w:w w:val="100"/>
          <w:sz w:val="30"/>
          <w:szCs w:val="30"/>
          <w:highlight w:val="none"/>
          <w:lang w:val="en-US" w:eastAsia="zh-CN"/>
        </w:rPr>
        <w:t>00</w:t>
      </w:r>
      <w:r>
        <w:rPr>
          <w:rFonts w:hint="default" w:ascii="Times New Roman" w:hAnsi="Times New Roman" w:eastAsia="宋体" w:cs="Times New Roman"/>
          <w:smallCaps w:val="0"/>
          <w:color w:val="auto"/>
          <w:spacing w:val="0"/>
          <w:w w:val="100"/>
          <w:sz w:val="30"/>
          <w:szCs w:val="30"/>
          <w:highlight w:val="none"/>
          <w:lang w:eastAsia="zh-CN"/>
        </w:rPr>
        <w:t>亩（</w:t>
      </w:r>
      <w:r>
        <w:rPr>
          <w:rFonts w:hint="default" w:ascii="Times New Roman" w:hAnsi="Times New Roman" w:eastAsia="宋体" w:cs="Times New Roman"/>
          <w:smallCaps w:val="0"/>
          <w:color w:val="auto"/>
          <w:spacing w:val="0"/>
          <w:w w:val="100"/>
          <w:sz w:val="30"/>
          <w:szCs w:val="30"/>
          <w:highlight w:val="none"/>
          <w:lang w:val="en-US" w:eastAsia="zh-CN"/>
        </w:rPr>
        <w:t>其中高效节水2000亩（管灌）</w:t>
      </w:r>
      <w:r>
        <w:rPr>
          <w:rFonts w:hint="default" w:ascii="Times New Roman" w:hAnsi="Times New Roman" w:eastAsia="宋体" w:cs="Times New Roman"/>
          <w:smallCaps w:val="0"/>
          <w:color w:val="auto"/>
          <w:spacing w:val="0"/>
          <w:w w:val="100"/>
          <w:sz w:val="30"/>
          <w:szCs w:val="30"/>
          <w:highlight w:val="none"/>
          <w:lang w:eastAsia="zh-CN"/>
        </w:rPr>
        <w:t>）。</w:t>
      </w:r>
    </w:p>
    <w:p w14:paraId="6FD9AD11">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2" w:name="_Toc6631"/>
      <w:r>
        <w:rPr>
          <w:rFonts w:hint="default" w:ascii="Times New Roman" w:hAnsi="Times New Roman" w:eastAsia="宋体" w:cs="Times New Roman"/>
          <w:smallCaps w:val="0"/>
          <w:color w:val="auto"/>
          <w:spacing w:val="0"/>
          <w:w w:val="100"/>
          <w:highlight w:val="none"/>
        </w:rPr>
        <w:t>1.2.1 项目建设范围</w:t>
      </w:r>
      <w:bookmarkEnd w:id="12"/>
    </w:p>
    <w:p w14:paraId="7B0E4A85">
      <w:pPr>
        <w:kinsoku/>
        <w:spacing w:line="560" w:lineRule="exact"/>
        <w:ind w:left="40" w:right="57" w:firstLine="628"/>
        <w:jc w:val="both"/>
        <w:rPr>
          <w:rFonts w:hint="default" w:ascii="Times New Roman" w:hAnsi="Times New Roman" w:eastAsia="宋体" w:cs="Times New Roman"/>
          <w:smallCaps w:val="0"/>
          <w:color w:val="auto"/>
          <w:spacing w:val="0"/>
          <w:w w:val="100"/>
          <w:highlight w:val="none"/>
          <w:lang w:eastAsia="zh-CN"/>
        </w:rPr>
      </w:pPr>
      <w:r>
        <w:rPr>
          <w:rFonts w:hint="eastAsia" w:ascii="Times New Roman" w:hAnsi="Times New Roman" w:eastAsia="宋体" w:cs="Times New Roman"/>
          <w:smallCaps w:val="0"/>
          <w:color w:val="auto"/>
          <w:spacing w:val="0"/>
          <w:w w:val="100"/>
          <w:sz w:val="30"/>
          <w:szCs w:val="30"/>
          <w:highlight w:val="none"/>
          <w:lang w:eastAsia="zh-CN"/>
        </w:rPr>
        <w:t>甘孜县2026年财政转移支付资金高标准农田建设项目（新建）</w:t>
      </w:r>
      <w:r>
        <w:rPr>
          <w:rFonts w:hint="default" w:ascii="Times New Roman" w:hAnsi="Times New Roman" w:eastAsia="宋体" w:cs="Times New Roman"/>
          <w:smallCaps w:val="0"/>
          <w:color w:val="auto"/>
          <w:spacing w:val="0"/>
          <w:w w:val="100"/>
          <w:sz w:val="30"/>
          <w:szCs w:val="30"/>
          <w:highlight w:val="none"/>
          <w:lang w:eastAsia="zh-CN"/>
        </w:rPr>
        <w:t>，涉及甘孜镇（霍古都村、吉绒达村、日安村、也哈村、也伦达村）、来马镇（夺日村、格通村、里拉村）、泥柯乡（和谐村、彭达村、仁达村）、庭卡乡（苦绒村、拉西村、斯兰达村）、拖坝乡（卡呷村、拖坝村），共5个乡镇16个村。</w:t>
      </w:r>
    </w:p>
    <w:p w14:paraId="6E4DBC96">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3" w:name="_Toc4098"/>
      <w:r>
        <w:rPr>
          <w:rFonts w:hint="default" w:ascii="Times New Roman" w:hAnsi="Times New Roman" w:eastAsia="宋体" w:cs="Times New Roman"/>
          <w:smallCaps w:val="0"/>
          <w:color w:val="auto"/>
          <w:spacing w:val="0"/>
          <w:w w:val="100"/>
          <w:highlight w:val="none"/>
        </w:rPr>
        <w:t>1.2.2 项目建设规模</w:t>
      </w:r>
      <w:bookmarkEnd w:id="13"/>
    </w:p>
    <w:p w14:paraId="3748B277">
      <w:pPr>
        <w:kinsoku/>
        <w:spacing w:line="560" w:lineRule="exact"/>
        <w:ind w:left="48" w:right="110" w:firstLine="596"/>
        <w:jc w:val="both"/>
        <w:rPr>
          <w:rFonts w:hint="default" w:ascii="Times New Roman" w:hAnsi="Times New Roman" w:eastAsia="宋体" w:cs="Times New Roman"/>
          <w:smallCaps w:val="0"/>
          <w:color w:val="auto"/>
          <w:spacing w:val="0"/>
          <w:w w:val="100"/>
          <w:sz w:val="30"/>
          <w:szCs w:val="30"/>
          <w:highlight w:val="none"/>
          <w:lang w:eastAsia="zh-CN"/>
        </w:rPr>
      </w:pPr>
      <w:r>
        <w:rPr>
          <w:rFonts w:hint="eastAsia" w:ascii="Times New Roman" w:hAnsi="Times New Roman" w:eastAsia="宋体" w:cs="Times New Roman"/>
          <w:smallCaps w:val="0"/>
          <w:color w:val="auto"/>
          <w:spacing w:val="0"/>
          <w:w w:val="100"/>
          <w:sz w:val="30"/>
          <w:szCs w:val="30"/>
          <w:highlight w:val="none"/>
          <w:lang w:eastAsia="zh-CN"/>
        </w:rPr>
        <w:t>甘孜县2026年财政转移支付资金高标准农田建设项目（新建）</w:t>
      </w:r>
      <w:r>
        <w:rPr>
          <w:rFonts w:hint="default" w:ascii="Times New Roman" w:hAnsi="Times New Roman" w:eastAsia="宋体" w:cs="Times New Roman"/>
          <w:smallCaps w:val="0"/>
          <w:color w:val="auto"/>
          <w:spacing w:val="0"/>
          <w:w w:val="100"/>
          <w:sz w:val="30"/>
          <w:szCs w:val="30"/>
          <w:highlight w:val="none"/>
          <w:lang w:eastAsia="zh-CN"/>
        </w:rPr>
        <w:t>，通过田（</w:t>
      </w:r>
      <w:r>
        <w:rPr>
          <w:rFonts w:hint="default" w:ascii="Times New Roman" w:hAnsi="Times New Roman" w:eastAsia="宋体" w:cs="Times New Roman"/>
          <w:smallCaps w:val="0"/>
          <w:color w:val="auto"/>
          <w:spacing w:val="0"/>
          <w:w w:val="100"/>
          <w:sz w:val="30"/>
          <w:szCs w:val="30"/>
          <w:highlight w:val="none"/>
          <w:lang w:val="en-US" w:eastAsia="zh-CN"/>
        </w:rPr>
        <w:t>地）</w:t>
      </w:r>
      <w:r>
        <w:rPr>
          <w:rFonts w:hint="default" w:ascii="Times New Roman" w:hAnsi="Times New Roman" w:eastAsia="宋体" w:cs="Times New Roman"/>
          <w:smallCaps w:val="0"/>
          <w:color w:val="auto"/>
          <w:spacing w:val="0"/>
          <w:w w:val="100"/>
          <w:sz w:val="30"/>
          <w:szCs w:val="30"/>
          <w:highlight w:val="none"/>
          <w:lang w:eastAsia="zh-CN"/>
        </w:rPr>
        <w:t>块整治、农田地力提升、灌溉与排水、田间道路、农田防护工程，新建高标准农田项目建设10000亩（其中高效节水2000亩（管灌））。</w:t>
      </w:r>
    </w:p>
    <w:p w14:paraId="0E4C8755">
      <w:pPr>
        <w:pStyle w:val="17"/>
        <w:rPr>
          <w:rFonts w:hint="default" w:ascii="Times New Roman" w:hAnsi="Times New Roman" w:eastAsia="宋体" w:cs="Times New Roman"/>
          <w:smallCaps w:val="0"/>
          <w:color w:val="auto"/>
          <w:spacing w:val="0"/>
          <w:w w:val="100"/>
          <w:sz w:val="30"/>
          <w:szCs w:val="30"/>
          <w:highlight w:val="none"/>
          <w:lang w:eastAsia="zh-CN"/>
        </w:rPr>
      </w:pPr>
    </w:p>
    <w:p w14:paraId="139690F7">
      <w:pPr>
        <w:rPr>
          <w:rFonts w:hint="default" w:ascii="Times New Roman" w:hAnsi="Times New Roman" w:eastAsia="宋体" w:cs="Times New Roman"/>
          <w:smallCaps w:val="0"/>
          <w:color w:val="auto"/>
          <w:spacing w:val="0"/>
          <w:w w:val="100"/>
          <w:sz w:val="30"/>
          <w:szCs w:val="30"/>
          <w:highlight w:val="none"/>
          <w:lang w:eastAsia="zh-CN"/>
        </w:rPr>
      </w:pPr>
    </w:p>
    <w:p w14:paraId="0D05F9CA">
      <w:pPr>
        <w:pStyle w:val="17"/>
        <w:rPr>
          <w:rFonts w:hint="default" w:ascii="Times New Roman" w:hAnsi="Times New Roman" w:eastAsia="宋体" w:cs="Times New Roman"/>
          <w:smallCaps w:val="0"/>
          <w:color w:val="auto"/>
          <w:spacing w:val="0"/>
          <w:w w:val="100"/>
          <w:sz w:val="30"/>
          <w:szCs w:val="30"/>
          <w:highlight w:val="none"/>
          <w:lang w:eastAsia="zh-CN"/>
        </w:rPr>
      </w:pPr>
    </w:p>
    <w:p w14:paraId="3E30A85A">
      <w:pPr>
        <w:rPr>
          <w:rFonts w:hint="default" w:ascii="Times New Roman" w:hAnsi="Times New Roman" w:eastAsia="宋体" w:cs="Times New Roman"/>
          <w:smallCaps w:val="0"/>
          <w:color w:val="auto"/>
          <w:spacing w:val="0"/>
          <w:w w:val="100"/>
          <w:sz w:val="30"/>
          <w:szCs w:val="30"/>
          <w:highlight w:val="none"/>
          <w:lang w:eastAsia="zh-CN"/>
        </w:rPr>
      </w:pPr>
    </w:p>
    <w:p w14:paraId="02A0DC6C">
      <w:pPr>
        <w:pStyle w:val="17"/>
        <w:rPr>
          <w:rFonts w:hint="default" w:ascii="Times New Roman" w:hAnsi="Times New Roman" w:eastAsia="宋体" w:cs="Times New Roman"/>
          <w:smallCaps w:val="0"/>
          <w:color w:val="auto"/>
          <w:spacing w:val="0"/>
          <w:w w:val="100"/>
          <w:sz w:val="30"/>
          <w:szCs w:val="30"/>
          <w:highlight w:val="none"/>
          <w:lang w:eastAsia="zh-CN"/>
        </w:rPr>
      </w:pPr>
    </w:p>
    <w:p w14:paraId="6057BF1C">
      <w:pPr>
        <w:rPr>
          <w:rFonts w:hint="default" w:ascii="Times New Roman" w:hAnsi="Times New Roman" w:eastAsia="宋体" w:cs="Times New Roman"/>
          <w:smallCaps w:val="0"/>
          <w:color w:val="auto"/>
          <w:spacing w:val="0"/>
          <w:w w:val="100"/>
          <w:sz w:val="30"/>
          <w:szCs w:val="30"/>
          <w:highlight w:val="none"/>
          <w:lang w:eastAsia="zh-CN"/>
        </w:rPr>
      </w:pPr>
    </w:p>
    <w:p w14:paraId="65FEEEE6">
      <w:pPr>
        <w:pStyle w:val="17"/>
        <w:rPr>
          <w:rFonts w:hint="default" w:ascii="Times New Roman" w:hAnsi="Times New Roman" w:eastAsia="宋体" w:cs="Times New Roman"/>
          <w:smallCaps w:val="0"/>
          <w:color w:val="auto"/>
          <w:spacing w:val="0"/>
          <w:w w:val="100"/>
          <w:sz w:val="30"/>
          <w:szCs w:val="30"/>
          <w:highlight w:val="none"/>
          <w:lang w:eastAsia="zh-CN"/>
        </w:rPr>
      </w:pPr>
    </w:p>
    <w:p w14:paraId="61B210FF">
      <w:pPr>
        <w:rPr>
          <w:rFonts w:hint="default" w:ascii="Times New Roman" w:hAnsi="Times New Roman" w:cs="Times New Roman"/>
          <w:color w:val="auto"/>
          <w:highlight w:val="none"/>
          <w:lang w:eastAsia="zh-CN"/>
        </w:rPr>
      </w:pPr>
    </w:p>
    <w:p w14:paraId="6A0B44C4">
      <w:pPr>
        <w:kinsoku/>
        <w:spacing w:line="560" w:lineRule="exact"/>
        <w:ind w:left="48" w:right="110" w:firstLine="596"/>
        <w:jc w:val="center"/>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建设规模汇总表</w:t>
      </w:r>
    </w:p>
    <w:p w14:paraId="6A28DB2E">
      <w:pPr>
        <w:kinsoku/>
        <w:spacing w:line="560" w:lineRule="exact"/>
        <w:ind w:right="110"/>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表1.2-1</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1176"/>
        <w:gridCol w:w="1176"/>
        <w:gridCol w:w="1896"/>
        <w:gridCol w:w="4333"/>
      </w:tblGrid>
      <w:tr w14:paraId="69355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CEBF5">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序号</w:t>
            </w:r>
          </w:p>
        </w:tc>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C1184">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乡镇名称</w:t>
            </w: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98234">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村名</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090E3">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图斑面积（亩）</w:t>
            </w:r>
          </w:p>
        </w:tc>
        <w:tc>
          <w:tcPr>
            <w:tcW w:w="2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A40EE">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建设内容</w:t>
            </w:r>
          </w:p>
        </w:tc>
      </w:tr>
      <w:tr w14:paraId="59380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D980A">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w:t>
            </w:r>
          </w:p>
        </w:tc>
        <w:tc>
          <w:tcPr>
            <w:tcW w:w="4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4858F">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甘孜镇</w:t>
            </w: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806FC">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霍古都村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0911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1592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9553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地块整治413.70亩，整治道路4574米,高效节水2000亩，地力培肥1592亩</w:t>
            </w:r>
          </w:p>
        </w:tc>
      </w:tr>
      <w:tr w14:paraId="40AC1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AB1BF">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4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C8F23">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A5EB2">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吉绒达村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7693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383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B7D7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地力培肥383亩</w:t>
            </w:r>
          </w:p>
        </w:tc>
      </w:tr>
      <w:tr w14:paraId="757CE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A7B65">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4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F9828">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DD7F8">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日安村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B067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1337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7D2C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整治道路972米，水渠1213米，地力培肥1337亩</w:t>
            </w:r>
          </w:p>
        </w:tc>
      </w:tr>
      <w:tr w14:paraId="47DFB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B017B">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4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C5BFF">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FE90F">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也哈村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8506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322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CA44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地力培肥322亩</w:t>
            </w:r>
          </w:p>
        </w:tc>
      </w:tr>
      <w:tr w14:paraId="4821C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F8BFF">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4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9B54B">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21D61">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也伦达村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4ECD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2172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7BA9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整治道路1550米，水渠1236米，围栏11827米，地力培肥2172亩</w:t>
            </w:r>
          </w:p>
        </w:tc>
      </w:tr>
      <w:tr w14:paraId="7EB59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4453D">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w:t>
            </w:r>
          </w:p>
        </w:tc>
        <w:tc>
          <w:tcPr>
            <w:tcW w:w="4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74198">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来马镇</w:t>
            </w: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19F3F">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夺日村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9060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284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5B2F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新建围栏873米，捡石头284亩，地力培肥284亩</w:t>
            </w:r>
          </w:p>
        </w:tc>
      </w:tr>
      <w:tr w14:paraId="17F88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C13DD">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4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10DA7">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0026E">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格通村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5AEC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739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1BBD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捡石头739亩，地力培肥739亩</w:t>
            </w:r>
          </w:p>
        </w:tc>
      </w:tr>
      <w:tr w14:paraId="2A806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38CA5">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4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82744">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42093">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里拉村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38F2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78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DE00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新建围栏3213米，捡石头78亩，地力培肥78亩</w:t>
            </w:r>
          </w:p>
        </w:tc>
      </w:tr>
      <w:tr w14:paraId="0C648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DE58B">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3</w:t>
            </w:r>
          </w:p>
        </w:tc>
        <w:tc>
          <w:tcPr>
            <w:tcW w:w="4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3F136">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泥柯乡</w:t>
            </w: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AF482">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和谐村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7B0D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667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DC62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围栏5588米，地力培肥667亩</w:t>
            </w:r>
          </w:p>
        </w:tc>
      </w:tr>
      <w:tr w14:paraId="0E2D1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20F73">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4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DF50D">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E58D7">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彭达村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581E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326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4B2B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围栏5567米，地力培肥326亩</w:t>
            </w:r>
          </w:p>
        </w:tc>
      </w:tr>
      <w:tr w14:paraId="6B34D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C8EBC">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4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5BCBE">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7ED5A">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仁达村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3722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538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68A4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围栏5469米，地力培肥538亩</w:t>
            </w:r>
          </w:p>
        </w:tc>
      </w:tr>
      <w:tr w14:paraId="32F0B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57E52">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4</w:t>
            </w:r>
          </w:p>
        </w:tc>
        <w:tc>
          <w:tcPr>
            <w:tcW w:w="4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5F5E5">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庭卡乡</w:t>
            </w: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5E8B6">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苦绒村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16FB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323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F7C3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围栏896米，地力培肥323亩</w:t>
            </w:r>
          </w:p>
        </w:tc>
      </w:tr>
      <w:tr w14:paraId="2FFD8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3B7A4">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4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ED2E1">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3594E">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拉西村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58B2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404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9D22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围栏2457米，地力培肥404亩</w:t>
            </w:r>
          </w:p>
        </w:tc>
      </w:tr>
      <w:tr w14:paraId="3967C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F0895">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4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6822A">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38485">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斯兰达村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49B2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197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A4DC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地力培肥197亩</w:t>
            </w:r>
          </w:p>
        </w:tc>
      </w:tr>
      <w:tr w14:paraId="67D25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126E0">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5</w:t>
            </w:r>
          </w:p>
        </w:tc>
        <w:tc>
          <w:tcPr>
            <w:tcW w:w="4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CBA03">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拖坝乡</w:t>
            </w: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E5C6F">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卡呷村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D580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416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C8A9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围栏2290米，水渠316米，地力培肥416亩</w:t>
            </w:r>
          </w:p>
        </w:tc>
      </w:tr>
      <w:tr w14:paraId="4D32D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FC995">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4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24EC3">
            <w:pPr>
              <w:keepNext w:val="0"/>
              <w:keepLines w:val="0"/>
              <w:pageBreakBefore w:val="0"/>
              <w:widowControl/>
              <w:wordWrap/>
              <w:overflowPunct/>
              <w:topLinePunct w:val="0"/>
              <w:bidi w:val="0"/>
              <w:spacing w:line="240" w:lineRule="auto"/>
              <w:jc w:val="center"/>
              <w:rPr>
                <w:rFonts w:hint="default" w:ascii="Times New Roman" w:hAnsi="Times New Roman" w:eastAsia="宋体" w:cs="Times New Roman"/>
                <w:i w:val="0"/>
                <w:iCs w:val="0"/>
                <w:color w:val="auto"/>
                <w:sz w:val="24"/>
                <w:szCs w:val="24"/>
                <w:highlight w:val="none"/>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D0191">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拖坝村</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0596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223 </w:t>
            </w:r>
          </w:p>
        </w:tc>
        <w:tc>
          <w:tcPr>
            <w:tcW w:w="4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7B70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围栏1489米，整治道路717米，地力培肥223亩</w:t>
            </w:r>
          </w:p>
        </w:tc>
      </w:tr>
      <w:tr w14:paraId="58D25B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61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B5E0B">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b/>
                <w:bCs/>
                <w:i w:val="0"/>
                <w:iCs w:val="0"/>
                <w:color w:val="auto"/>
                <w:sz w:val="24"/>
                <w:szCs w:val="24"/>
                <w:highlight w:val="none"/>
                <w:u w:val="none"/>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总计</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C7859">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b/>
                <w:bCs/>
                <w:i w:val="0"/>
                <w:iCs w:val="0"/>
                <w:color w:val="auto"/>
                <w:sz w:val="24"/>
                <w:szCs w:val="24"/>
                <w:highlight w:val="none"/>
                <w:u w:val="none"/>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 xml:space="preserve">10000 </w:t>
            </w:r>
          </w:p>
        </w:tc>
        <w:tc>
          <w:tcPr>
            <w:tcW w:w="2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C96A6">
            <w:pPr>
              <w:keepNext w:val="0"/>
              <w:keepLines w:val="0"/>
              <w:pageBreakBefore w:val="0"/>
              <w:widowControl/>
              <w:suppressLineNumbers w:val="0"/>
              <w:wordWrap/>
              <w:overflowPunct/>
              <w:topLinePunct w:val="0"/>
              <w:bidi w:val="0"/>
              <w:spacing w:line="240" w:lineRule="auto"/>
              <w:jc w:val="center"/>
              <w:textAlignment w:val="center"/>
              <w:rPr>
                <w:rFonts w:hint="default" w:ascii="Times New Roman" w:hAnsi="Times New Roman" w:eastAsia="宋体" w:cs="Times New Roman"/>
                <w:b/>
                <w:bCs/>
                <w:i w:val="0"/>
                <w:iCs w:val="0"/>
                <w:color w:val="auto"/>
                <w:sz w:val="24"/>
                <w:szCs w:val="24"/>
                <w:highlight w:val="none"/>
                <w:u w:val="none"/>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w:t>
            </w:r>
          </w:p>
        </w:tc>
      </w:tr>
    </w:tbl>
    <w:p w14:paraId="1A926B09">
      <w:pPr>
        <w:pStyle w:val="17"/>
        <w:rPr>
          <w:rFonts w:hint="default" w:ascii="Times New Roman" w:hAnsi="Times New Roman" w:cs="Times New Roman"/>
          <w:color w:val="auto"/>
          <w:highlight w:val="none"/>
          <w:lang w:eastAsia="zh-CN"/>
        </w:rPr>
      </w:pPr>
    </w:p>
    <w:p w14:paraId="7AF34F53">
      <w:pPr>
        <w:pStyle w:val="4"/>
        <w:keepNext w:val="0"/>
        <w:keepLines w:val="0"/>
        <w:pageBreakBefore w:val="0"/>
        <w:kinsoku/>
        <w:wordWrap/>
        <w:overflowPunct/>
        <w:topLinePunct w:val="0"/>
        <w:bidi w:val="0"/>
        <w:adjustRightInd/>
        <w:snapToGrid w:val="0"/>
        <w:spacing w:before="0" w:after="0" w:line="560" w:lineRule="exact"/>
        <w:rPr>
          <w:rFonts w:hint="default" w:ascii="Times New Roman" w:hAnsi="Times New Roman" w:eastAsia="宋体" w:cs="Times New Roman"/>
          <w:smallCaps w:val="0"/>
          <w:color w:val="auto"/>
          <w:spacing w:val="0"/>
          <w:w w:val="100"/>
          <w:highlight w:val="none"/>
        </w:rPr>
      </w:pPr>
      <w:bookmarkStart w:id="14" w:name="_Toc12978"/>
      <w:r>
        <w:rPr>
          <w:rFonts w:hint="default" w:ascii="Times New Roman" w:hAnsi="Times New Roman" w:eastAsia="宋体" w:cs="Times New Roman"/>
          <w:smallCaps w:val="0"/>
          <w:color w:val="auto"/>
          <w:spacing w:val="0"/>
          <w:w w:val="100"/>
          <w:highlight w:val="none"/>
        </w:rPr>
        <w:t>1.2.3 项目建设内容</w:t>
      </w:r>
      <w:bookmarkEnd w:id="14"/>
    </w:p>
    <w:p w14:paraId="4BDB85A0">
      <w:pPr>
        <w:keepNext w:val="0"/>
        <w:keepLines w:val="0"/>
        <w:pageBreakBefore w:val="0"/>
        <w:kinsoku/>
        <w:wordWrap/>
        <w:overflowPunct/>
        <w:topLinePunct w:val="0"/>
        <w:bidi w:val="0"/>
        <w:adjustRightInd/>
        <w:snapToGrid w:val="0"/>
        <w:spacing w:line="560" w:lineRule="exact"/>
        <w:ind w:left="48" w:right="110" w:firstLine="59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依据《四川省高标准农田建设项目管理办法》（川农规〔2023〕5号）、《四川省高标准农田建设管理条例》《高标准农田建设通则2022》《耕地建设与利用资金管理办法实施细则》（川财农〔2023〕95号）等规定，项目建设坚持</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突出重点</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缺啥补啥</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综合开发</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的原则，充分利用现有设施和条件，科学规划建设高标准农田的各项措施，在</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个乡镇建设高标准农田10000亩。</w:t>
      </w:r>
    </w:p>
    <w:p w14:paraId="57674AF7">
      <w:pPr>
        <w:keepNext w:val="0"/>
        <w:keepLines w:val="0"/>
        <w:pageBreakBefore w:val="0"/>
        <w:kinsoku/>
        <w:wordWrap/>
        <w:overflowPunct/>
        <w:topLinePunct w:val="0"/>
        <w:bidi w:val="0"/>
        <w:adjustRightInd/>
        <w:snapToGrid w:val="0"/>
        <w:spacing w:line="560" w:lineRule="exact"/>
        <w:ind w:left="48" w:right="110" w:firstLine="59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（1）总体建设内容</w:t>
      </w:r>
    </w:p>
    <w:p w14:paraId="34A449B5">
      <w:pPr>
        <w:keepNext w:val="0"/>
        <w:keepLines w:val="0"/>
        <w:pageBreakBefore w:val="0"/>
        <w:kinsoku/>
        <w:wordWrap/>
        <w:overflowPunct/>
        <w:topLinePunct w:val="0"/>
        <w:bidi w:val="0"/>
        <w:adjustRightInd/>
        <w:snapToGrid w:val="0"/>
        <w:spacing w:line="560" w:lineRule="exact"/>
        <w:ind w:left="48" w:right="110" w:firstLine="59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1）田（地）块整治工程：</w:t>
      </w:r>
      <w:r>
        <w:rPr>
          <w:rFonts w:hint="eastAsia" w:ascii="Times New Roman" w:hAnsi="Times New Roman" w:eastAsia="宋体" w:cs="Times New Roman"/>
          <w:smallCaps w:val="0"/>
          <w:color w:val="auto"/>
          <w:spacing w:val="0"/>
          <w:w w:val="100"/>
          <w:sz w:val="30"/>
          <w:szCs w:val="30"/>
          <w:highlight w:val="none"/>
          <w:lang w:eastAsia="zh-CN"/>
        </w:rPr>
        <w:t>地块整治面积413.70亩</w:t>
      </w:r>
      <w:r>
        <w:rPr>
          <w:rFonts w:hint="default" w:ascii="Times New Roman" w:hAnsi="Times New Roman" w:eastAsia="宋体" w:cs="Times New Roman"/>
          <w:smallCaps w:val="0"/>
          <w:color w:val="auto"/>
          <w:spacing w:val="0"/>
          <w:w w:val="100"/>
          <w:sz w:val="30"/>
          <w:szCs w:val="30"/>
          <w:highlight w:val="none"/>
          <w:lang w:eastAsia="zh-CN"/>
        </w:rPr>
        <w:t>，捡石面积</w:t>
      </w:r>
      <w:r>
        <w:rPr>
          <w:rFonts w:hint="default" w:ascii="Times New Roman" w:hAnsi="Times New Roman" w:eastAsia="宋体" w:cs="Times New Roman"/>
          <w:smallCaps w:val="0"/>
          <w:color w:val="auto"/>
          <w:spacing w:val="0"/>
          <w:w w:val="100"/>
          <w:sz w:val="30"/>
          <w:szCs w:val="30"/>
          <w:highlight w:val="none"/>
          <w:lang w:val="en-US" w:eastAsia="zh-CN"/>
        </w:rPr>
        <w:t>1101</w:t>
      </w:r>
      <w:r>
        <w:rPr>
          <w:rFonts w:hint="default" w:ascii="Times New Roman" w:hAnsi="Times New Roman" w:eastAsia="宋体" w:cs="Times New Roman"/>
          <w:smallCaps w:val="0"/>
          <w:color w:val="auto"/>
          <w:spacing w:val="0"/>
          <w:w w:val="100"/>
          <w:sz w:val="30"/>
          <w:szCs w:val="30"/>
          <w:highlight w:val="none"/>
          <w:lang w:eastAsia="zh-CN"/>
        </w:rPr>
        <w:t>亩。</w:t>
      </w:r>
    </w:p>
    <w:p w14:paraId="4994F370">
      <w:pPr>
        <w:keepNext w:val="0"/>
        <w:keepLines w:val="0"/>
        <w:pageBreakBefore w:val="0"/>
        <w:kinsoku/>
        <w:wordWrap/>
        <w:overflowPunct/>
        <w:topLinePunct w:val="0"/>
        <w:bidi w:val="0"/>
        <w:adjustRightInd/>
        <w:snapToGrid w:val="0"/>
        <w:spacing w:line="560" w:lineRule="exact"/>
        <w:ind w:left="48" w:right="110" w:firstLine="596"/>
        <w:jc w:val="both"/>
        <w:rPr>
          <w:rFonts w:hint="default" w:ascii="Times New Roman" w:hAnsi="Times New Roman" w:eastAsia="宋体" w:cs="Times New Roman"/>
          <w:smallCaps w:val="0"/>
          <w:color w:val="auto"/>
          <w:spacing w:val="0"/>
          <w:w w:val="100"/>
          <w:sz w:val="30"/>
          <w:szCs w:val="30"/>
          <w:highlight w:val="none"/>
          <w:lang w:eastAsia="zh-CN"/>
        </w:rPr>
      </w:pPr>
      <w:r>
        <w:rPr>
          <w:rFonts w:hint="eastAsia" w:ascii="Times New Roman" w:hAnsi="Times New Roman" w:eastAsia="宋体" w:cs="Times New Roman"/>
          <w:smallCaps w:val="0"/>
          <w:color w:val="auto"/>
          <w:spacing w:val="0"/>
          <w:w w:val="100"/>
          <w:sz w:val="30"/>
          <w:szCs w:val="30"/>
          <w:highlight w:val="none"/>
          <w:lang w:eastAsia="zh-CN"/>
        </w:rPr>
        <w:t>2）农田地力提升工程：土壤改良面积10000亩，增施商品有机肥2875.89t（300kg/亩），增施有机-无机复混肥I型33.096t(80KG/亩）（</w:t>
      </w:r>
      <w:r>
        <w:rPr>
          <w:rFonts w:hint="eastAsia" w:ascii="Times New Roman" w:hAnsi="Times New Roman" w:eastAsia="宋体" w:cs="Times New Roman"/>
          <w:smallCaps w:val="0"/>
          <w:color w:val="auto"/>
          <w:spacing w:val="0"/>
          <w:w w:val="100"/>
          <w:sz w:val="30"/>
          <w:szCs w:val="30"/>
          <w:highlight w:val="none"/>
          <w:lang w:val="en-US" w:eastAsia="zh-CN"/>
        </w:rPr>
        <w:t>地块整治区域施撒</w:t>
      </w:r>
      <w:r>
        <w:rPr>
          <w:rFonts w:hint="eastAsia" w:ascii="Times New Roman" w:hAnsi="Times New Roman" w:eastAsia="宋体" w:cs="Times New Roman"/>
          <w:smallCaps w:val="0"/>
          <w:color w:val="auto"/>
          <w:spacing w:val="0"/>
          <w:w w:val="100"/>
          <w:sz w:val="30"/>
          <w:szCs w:val="30"/>
          <w:highlight w:val="none"/>
          <w:lang w:eastAsia="zh-CN"/>
        </w:rPr>
        <w:t>有机-无机复混肥I型，</w:t>
      </w:r>
      <w:r>
        <w:rPr>
          <w:rFonts w:hint="eastAsia" w:ascii="Times New Roman" w:hAnsi="Times New Roman" w:eastAsia="宋体" w:cs="Times New Roman"/>
          <w:smallCaps w:val="0"/>
          <w:color w:val="auto"/>
          <w:spacing w:val="0"/>
          <w:w w:val="100"/>
          <w:sz w:val="30"/>
          <w:szCs w:val="30"/>
          <w:highlight w:val="none"/>
          <w:lang w:val="en-US" w:eastAsia="zh-CN"/>
        </w:rPr>
        <w:t>其余区域施撒商品有机肥</w:t>
      </w:r>
      <w:r>
        <w:rPr>
          <w:rFonts w:hint="eastAsia" w:ascii="Times New Roman" w:hAnsi="Times New Roman" w:eastAsia="宋体" w:cs="Times New Roman"/>
          <w:smallCaps w:val="0"/>
          <w:color w:val="auto"/>
          <w:spacing w:val="0"/>
          <w:w w:val="100"/>
          <w:sz w:val="30"/>
          <w:szCs w:val="30"/>
          <w:highlight w:val="none"/>
          <w:lang w:eastAsia="zh-CN"/>
        </w:rPr>
        <w:t>）。</w:t>
      </w:r>
    </w:p>
    <w:p w14:paraId="732C1058">
      <w:pPr>
        <w:keepNext w:val="0"/>
        <w:keepLines w:val="0"/>
        <w:pageBreakBefore w:val="0"/>
        <w:kinsoku/>
        <w:wordWrap/>
        <w:overflowPunct/>
        <w:topLinePunct w:val="0"/>
        <w:bidi w:val="0"/>
        <w:adjustRightInd/>
        <w:snapToGrid w:val="0"/>
        <w:spacing w:line="560" w:lineRule="exact"/>
        <w:ind w:left="48" w:right="110" w:firstLine="59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3）灌溉与排水工程：新建300m³蓄水池1口，</w:t>
      </w:r>
      <w:r>
        <w:rPr>
          <w:rFonts w:hint="eastAsia" w:ascii="Times New Roman" w:hAnsi="Times New Roman" w:eastAsia="宋体" w:cs="Times New Roman"/>
          <w:smallCaps w:val="0"/>
          <w:color w:val="auto"/>
          <w:spacing w:val="0"/>
          <w:w w:val="100"/>
          <w:sz w:val="30"/>
          <w:szCs w:val="30"/>
          <w:highlight w:val="none"/>
          <w:lang w:eastAsia="zh-CN"/>
        </w:rPr>
        <w:t>整治排水渠</w:t>
      </w:r>
      <w:r>
        <w:rPr>
          <w:rFonts w:hint="default" w:ascii="Times New Roman" w:hAnsi="Times New Roman" w:eastAsia="宋体" w:cs="Times New Roman"/>
          <w:smallCaps w:val="0"/>
          <w:color w:val="auto"/>
          <w:spacing w:val="0"/>
          <w:w w:val="100"/>
          <w:sz w:val="30"/>
          <w:szCs w:val="30"/>
          <w:highlight w:val="none"/>
          <w:lang w:eastAsia="zh-CN"/>
        </w:rPr>
        <w:t>2765米，新建拦河坝1座，DN200主管61</w:t>
      </w:r>
      <w:r>
        <w:rPr>
          <w:rFonts w:hint="default" w:ascii="Times New Roman" w:hAnsi="Times New Roman" w:eastAsia="宋体" w:cs="Times New Roman"/>
          <w:smallCaps w:val="0"/>
          <w:color w:val="auto"/>
          <w:spacing w:val="0"/>
          <w:w w:val="100"/>
          <w:sz w:val="30"/>
          <w:szCs w:val="30"/>
          <w:highlight w:val="none"/>
          <w:lang w:val="en-US" w:eastAsia="zh-CN"/>
        </w:rPr>
        <w:t>7</w:t>
      </w:r>
      <w:r>
        <w:rPr>
          <w:rFonts w:hint="default" w:ascii="Times New Roman" w:hAnsi="Times New Roman" w:eastAsia="宋体" w:cs="Times New Roman"/>
          <w:smallCaps w:val="0"/>
          <w:color w:val="auto"/>
          <w:spacing w:val="0"/>
          <w:w w:val="100"/>
          <w:sz w:val="30"/>
          <w:szCs w:val="30"/>
          <w:highlight w:val="none"/>
          <w:lang w:eastAsia="zh-CN"/>
        </w:rPr>
        <w:t>1m，</w:t>
      </w:r>
      <w:r>
        <w:rPr>
          <w:rFonts w:hint="eastAsia" w:ascii="Times New Roman" w:hAnsi="Times New Roman" w:eastAsia="宋体" w:cs="Times New Roman"/>
          <w:smallCaps w:val="0"/>
          <w:color w:val="auto"/>
          <w:spacing w:val="0"/>
          <w:w w:val="100"/>
          <w:sz w:val="30"/>
          <w:szCs w:val="30"/>
          <w:highlight w:val="none"/>
          <w:lang w:eastAsia="zh-CN"/>
        </w:rPr>
        <w:t>DN75支管</w:t>
      </w:r>
      <w:r>
        <w:rPr>
          <w:rFonts w:hint="default" w:ascii="Times New Roman" w:hAnsi="Times New Roman" w:eastAsia="宋体" w:cs="Times New Roman"/>
          <w:smallCaps w:val="0"/>
          <w:color w:val="auto"/>
          <w:spacing w:val="0"/>
          <w:w w:val="100"/>
          <w:sz w:val="30"/>
          <w:szCs w:val="30"/>
          <w:highlight w:val="none"/>
          <w:lang w:eastAsia="zh-CN"/>
        </w:rPr>
        <w:t>21263m。</w:t>
      </w:r>
    </w:p>
    <w:p w14:paraId="497586C0">
      <w:pPr>
        <w:keepNext w:val="0"/>
        <w:keepLines w:val="0"/>
        <w:pageBreakBefore w:val="0"/>
        <w:kinsoku/>
        <w:wordWrap/>
        <w:overflowPunct/>
        <w:topLinePunct w:val="0"/>
        <w:bidi w:val="0"/>
        <w:adjustRightInd/>
        <w:snapToGrid w:val="0"/>
        <w:spacing w:line="560" w:lineRule="exact"/>
        <w:ind w:left="48" w:right="110" w:firstLine="59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4）田间道路工程：整治机耕道</w:t>
      </w:r>
      <w:r>
        <w:rPr>
          <w:rFonts w:hint="default" w:ascii="Times New Roman" w:hAnsi="Times New Roman" w:eastAsia="宋体" w:cs="Times New Roman"/>
          <w:smallCaps w:val="0"/>
          <w:color w:val="auto"/>
          <w:spacing w:val="0"/>
          <w:w w:val="100"/>
          <w:sz w:val="30"/>
          <w:szCs w:val="30"/>
          <w:highlight w:val="none"/>
          <w:lang w:val="en-US" w:eastAsia="zh-CN"/>
        </w:rPr>
        <w:t>7813</w:t>
      </w:r>
      <w:r>
        <w:rPr>
          <w:rFonts w:hint="default" w:ascii="Times New Roman" w:hAnsi="Times New Roman" w:eastAsia="宋体" w:cs="Times New Roman"/>
          <w:smallCaps w:val="0"/>
          <w:color w:val="auto"/>
          <w:spacing w:val="0"/>
          <w:w w:val="100"/>
          <w:sz w:val="30"/>
          <w:szCs w:val="30"/>
          <w:highlight w:val="none"/>
          <w:lang w:eastAsia="zh-CN"/>
        </w:rPr>
        <w:t>米。</w:t>
      </w:r>
    </w:p>
    <w:p w14:paraId="2E749B2B">
      <w:pPr>
        <w:keepNext w:val="0"/>
        <w:keepLines w:val="0"/>
        <w:pageBreakBefore w:val="0"/>
        <w:kinsoku/>
        <w:wordWrap/>
        <w:overflowPunct/>
        <w:topLinePunct w:val="0"/>
        <w:bidi w:val="0"/>
        <w:adjustRightInd/>
        <w:snapToGrid w:val="0"/>
        <w:spacing w:line="560" w:lineRule="exact"/>
        <w:ind w:left="48" w:right="110" w:firstLine="59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5）农田防护与生态保护工程：新建农田防护围栏</w:t>
      </w:r>
      <w:r>
        <w:rPr>
          <w:rFonts w:hint="eastAsia" w:ascii="Times New Roman" w:hAnsi="Times New Roman" w:eastAsia="宋体" w:cs="Times New Roman"/>
          <w:smallCaps w:val="0"/>
          <w:color w:val="auto"/>
          <w:spacing w:val="0"/>
          <w:w w:val="100"/>
          <w:sz w:val="30"/>
          <w:szCs w:val="30"/>
          <w:highlight w:val="none"/>
          <w:lang w:val="en-US" w:eastAsia="zh-CN"/>
        </w:rPr>
        <w:t>39874</w:t>
      </w:r>
      <w:r>
        <w:rPr>
          <w:rFonts w:hint="default" w:ascii="Times New Roman" w:hAnsi="Times New Roman" w:eastAsia="宋体" w:cs="Times New Roman"/>
          <w:smallCaps w:val="0"/>
          <w:color w:val="auto"/>
          <w:spacing w:val="0"/>
          <w:w w:val="100"/>
          <w:sz w:val="30"/>
          <w:szCs w:val="30"/>
          <w:highlight w:val="none"/>
          <w:lang w:eastAsia="zh-CN"/>
        </w:rPr>
        <w:t>米。</w:t>
      </w:r>
    </w:p>
    <w:p w14:paraId="49D67C64">
      <w:pPr>
        <w:keepNext w:val="0"/>
        <w:keepLines w:val="0"/>
        <w:pageBreakBefore w:val="0"/>
        <w:kinsoku/>
        <w:wordWrap/>
        <w:overflowPunct/>
        <w:topLinePunct w:val="0"/>
        <w:bidi w:val="0"/>
        <w:adjustRightInd/>
        <w:snapToGrid w:val="0"/>
        <w:spacing w:line="560" w:lineRule="exact"/>
        <w:ind w:left="48" w:right="110" w:firstLine="59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6）其他工程：新建项目公示牌1个，标识牌</w:t>
      </w:r>
      <w:r>
        <w:rPr>
          <w:rFonts w:hint="default" w:ascii="Times New Roman" w:hAnsi="Times New Roman" w:eastAsia="宋体" w:cs="Times New Roman"/>
          <w:smallCaps w:val="0"/>
          <w:color w:val="auto"/>
          <w:spacing w:val="0"/>
          <w:w w:val="100"/>
          <w:sz w:val="30"/>
          <w:szCs w:val="30"/>
          <w:highlight w:val="none"/>
          <w:lang w:val="en-US" w:eastAsia="zh-CN"/>
        </w:rPr>
        <w:t>78</w:t>
      </w:r>
      <w:r>
        <w:rPr>
          <w:rFonts w:hint="default" w:ascii="Times New Roman" w:hAnsi="Times New Roman" w:eastAsia="宋体" w:cs="Times New Roman"/>
          <w:smallCaps w:val="0"/>
          <w:color w:val="auto"/>
          <w:spacing w:val="0"/>
          <w:w w:val="100"/>
          <w:sz w:val="30"/>
          <w:szCs w:val="30"/>
          <w:highlight w:val="none"/>
          <w:lang w:eastAsia="zh-CN"/>
        </w:rPr>
        <w:t>块。</w:t>
      </w:r>
    </w:p>
    <w:p w14:paraId="3BF2A30F">
      <w:pPr>
        <w:kinsoku/>
        <w:spacing w:line="560" w:lineRule="exact"/>
        <w:ind w:left="48" w:right="110" w:firstLine="596"/>
        <w:jc w:val="both"/>
        <w:rPr>
          <w:rFonts w:hint="default" w:ascii="Times New Roman" w:hAnsi="Times New Roman" w:eastAsia="宋体" w:cs="Times New Roman"/>
          <w:smallCaps w:val="0"/>
          <w:color w:val="auto"/>
          <w:spacing w:val="0"/>
          <w:w w:val="100"/>
          <w:sz w:val="30"/>
          <w:szCs w:val="30"/>
          <w:highlight w:val="none"/>
          <w:lang w:eastAsia="zh-CN"/>
        </w:rPr>
        <w:sectPr>
          <w:footerReference r:id="rId7" w:type="default"/>
          <w:pgSz w:w="11900" w:h="16840"/>
          <w:pgMar w:top="1134" w:right="1418" w:bottom="1134" w:left="1417" w:header="862" w:footer="1214" w:gutter="0"/>
          <w:pgBorders>
            <w:top w:val="none" w:sz="0" w:space="0"/>
            <w:left w:val="none" w:sz="0" w:space="0"/>
            <w:bottom w:val="none" w:sz="0" w:space="0"/>
            <w:right w:val="none" w:sz="0" w:space="0"/>
          </w:pgBorders>
          <w:pgNumType w:fmt="numberInDash" w:start="1"/>
          <w:cols w:space="720" w:num="1"/>
        </w:sectPr>
      </w:pPr>
    </w:p>
    <w:p w14:paraId="4E7D57B0">
      <w:pPr>
        <w:kinsoku/>
        <w:spacing w:line="560" w:lineRule="exact"/>
        <w:ind w:left="48" w:right="110" w:firstLine="596"/>
        <w:jc w:val="center"/>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主要措施一览表</w:t>
      </w:r>
    </w:p>
    <w:p w14:paraId="3999D17B">
      <w:pPr>
        <w:kinsoku/>
        <w:spacing w:line="560" w:lineRule="exact"/>
        <w:ind w:right="110"/>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表1.2-2</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7"/>
        <w:gridCol w:w="947"/>
        <w:gridCol w:w="947"/>
        <w:gridCol w:w="947"/>
        <w:gridCol w:w="947"/>
        <w:gridCol w:w="947"/>
        <w:gridCol w:w="947"/>
        <w:gridCol w:w="947"/>
        <w:gridCol w:w="947"/>
        <w:gridCol w:w="947"/>
        <w:gridCol w:w="947"/>
        <w:gridCol w:w="947"/>
        <w:gridCol w:w="956"/>
        <w:gridCol w:w="947"/>
        <w:gridCol w:w="948"/>
      </w:tblGrid>
      <w:tr w14:paraId="15B78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980A7">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序号</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33DC3">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项目</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483BC">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田块整治工程</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4516D">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农田地力提升工程</w:t>
            </w:r>
          </w:p>
        </w:tc>
        <w:tc>
          <w:tcPr>
            <w:tcW w:w="3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EC0847A">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灌溉与排水工程</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792664">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田间道路工程</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4B695">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农田防护和生态保护工程</w:t>
            </w:r>
          </w:p>
        </w:tc>
      </w:tr>
      <w:tr w14:paraId="5D656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trPr>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A64A2">
            <w:pPr>
              <w:pStyle w:val="71"/>
              <w:bidi w:val="0"/>
              <w:rPr>
                <w:rFonts w:hint="default" w:ascii="Times New Roman" w:hAnsi="Times New Roman" w:cs="Times New Roman"/>
                <w:color w:val="auto"/>
                <w:sz w:val="18"/>
                <w:szCs w:val="18"/>
                <w:highlight w:val="none"/>
                <w:lang w:val="en-US" w:eastAsia="zh-CN"/>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64C5E">
            <w:pPr>
              <w:pStyle w:val="71"/>
              <w:bidi w:val="0"/>
              <w:rPr>
                <w:rFonts w:hint="default" w:ascii="Times New Roman" w:hAnsi="Times New Roman" w:cs="Times New Roman"/>
                <w:color w:val="auto"/>
                <w:sz w:val="18"/>
                <w:szCs w:val="18"/>
                <w:highlight w:val="none"/>
                <w:lang w:val="en-US" w:eastAsia="zh-CN"/>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6D83C">
            <w:pPr>
              <w:pStyle w:val="71"/>
              <w:bidi w:val="0"/>
              <w:rPr>
                <w:rFonts w:hint="eastAsia"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地</w:t>
            </w:r>
            <w:r>
              <w:rPr>
                <w:rFonts w:hint="eastAsia" w:ascii="Times New Roman" w:hAnsi="Times New Roman" w:cs="Times New Roman"/>
                <w:color w:val="auto"/>
                <w:sz w:val="18"/>
                <w:szCs w:val="18"/>
                <w:highlight w:val="none"/>
                <w:lang w:val="en-US" w:eastAsia="zh-CN"/>
              </w:rPr>
              <w:t>块整治（亩）</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73CEBA">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土壤培肥（亩）</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07E9C">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300m³</w:t>
            </w:r>
            <w:r>
              <w:rPr>
                <w:rFonts w:hint="eastAsia" w:ascii="Times New Roman" w:hAnsi="Times New Roman" w:cs="Times New Roman"/>
                <w:color w:val="auto"/>
                <w:sz w:val="18"/>
                <w:szCs w:val="18"/>
                <w:highlight w:val="none"/>
                <w:lang w:val="en-US" w:eastAsia="zh-CN"/>
              </w:rPr>
              <w:t>蓄水池（口）</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40B20">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新建拦河坝（座）</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512A6">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DN200</w:t>
            </w:r>
            <w:r>
              <w:rPr>
                <w:rFonts w:hint="eastAsia" w:ascii="Times New Roman" w:hAnsi="Times New Roman" w:cs="Times New Roman"/>
                <w:color w:val="auto"/>
                <w:sz w:val="18"/>
                <w:szCs w:val="18"/>
                <w:highlight w:val="none"/>
                <w:lang w:val="en-US" w:eastAsia="zh-CN"/>
              </w:rPr>
              <w:t>主管（</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DF84B">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DN75</w:t>
            </w:r>
            <w:r>
              <w:rPr>
                <w:rFonts w:hint="eastAsia" w:ascii="Times New Roman" w:hAnsi="Times New Roman" w:cs="Times New Roman"/>
                <w:color w:val="auto"/>
                <w:sz w:val="18"/>
                <w:szCs w:val="18"/>
                <w:highlight w:val="none"/>
                <w:lang w:val="en-US" w:eastAsia="zh-CN"/>
              </w:rPr>
              <w:t>支管（</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C80A2">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整治</w:t>
            </w:r>
            <w:r>
              <w:rPr>
                <w:rFonts w:hint="default" w:ascii="Times New Roman" w:hAnsi="Times New Roman" w:cs="Times New Roman"/>
                <w:color w:val="auto"/>
                <w:sz w:val="18"/>
                <w:szCs w:val="18"/>
                <w:highlight w:val="none"/>
                <w:lang w:val="en-US" w:eastAsia="zh-CN"/>
              </w:rPr>
              <w:t>1.0*1.0</w:t>
            </w:r>
            <w:r>
              <w:rPr>
                <w:rFonts w:hint="eastAsia" w:ascii="Times New Roman" w:hAnsi="Times New Roman" w:cs="Times New Roman"/>
                <w:color w:val="auto"/>
                <w:sz w:val="18"/>
                <w:szCs w:val="18"/>
                <w:highlight w:val="none"/>
                <w:lang w:val="en-US" w:eastAsia="zh-CN"/>
              </w:rPr>
              <w:t>排水渠（</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9A783">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整治</w:t>
            </w:r>
            <w:r>
              <w:rPr>
                <w:rFonts w:hint="default" w:ascii="Times New Roman" w:hAnsi="Times New Roman" w:cs="Times New Roman"/>
                <w:color w:val="auto"/>
                <w:sz w:val="18"/>
                <w:szCs w:val="18"/>
                <w:highlight w:val="none"/>
                <w:lang w:val="en-US" w:eastAsia="zh-CN"/>
              </w:rPr>
              <w:t>0.5*0.5</w:t>
            </w:r>
            <w:r>
              <w:rPr>
                <w:rFonts w:hint="eastAsia" w:ascii="Times New Roman" w:hAnsi="Times New Roman" w:cs="Times New Roman"/>
                <w:color w:val="auto"/>
                <w:sz w:val="18"/>
                <w:szCs w:val="18"/>
                <w:highlight w:val="none"/>
                <w:lang w:val="en-US" w:eastAsia="zh-CN"/>
              </w:rPr>
              <w:t>排水渠（</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0465B">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整治</w:t>
            </w:r>
            <w:r>
              <w:rPr>
                <w:rFonts w:hint="default" w:ascii="Times New Roman" w:hAnsi="Times New Roman" w:cs="Times New Roman"/>
                <w:color w:val="auto"/>
                <w:sz w:val="18"/>
                <w:szCs w:val="18"/>
                <w:highlight w:val="none"/>
                <w:lang w:val="en-US" w:eastAsia="zh-CN"/>
              </w:rPr>
              <w:t>1.5*1.5</w:t>
            </w:r>
            <w:r>
              <w:rPr>
                <w:rFonts w:hint="eastAsia" w:ascii="Times New Roman" w:hAnsi="Times New Roman" w:cs="Times New Roman"/>
                <w:color w:val="auto"/>
                <w:sz w:val="18"/>
                <w:szCs w:val="18"/>
                <w:highlight w:val="none"/>
                <w:lang w:val="en-US" w:eastAsia="zh-CN"/>
              </w:rPr>
              <w:t>排水渠（</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831F9">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整治</w:t>
            </w:r>
            <w:r>
              <w:rPr>
                <w:rFonts w:hint="default" w:ascii="Times New Roman" w:hAnsi="Times New Roman" w:cs="Times New Roman"/>
                <w:color w:val="auto"/>
                <w:sz w:val="18"/>
                <w:szCs w:val="18"/>
                <w:highlight w:val="none"/>
                <w:lang w:val="en-US" w:eastAsia="zh-CN"/>
              </w:rPr>
              <w:t>0.8*0.8</w:t>
            </w:r>
            <w:r>
              <w:rPr>
                <w:rFonts w:hint="eastAsia" w:ascii="Times New Roman" w:hAnsi="Times New Roman" w:cs="Times New Roman"/>
                <w:color w:val="auto"/>
                <w:sz w:val="18"/>
                <w:szCs w:val="18"/>
                <w:highlight w:val="none"/>
                <w:lang w:val="en-US" w:eastAsia="zh-CN"/>
              </w:rPr>
              <w:t>排水渠（</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C644F">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整治</w:t>
            </w:r>
            <w:r>
              <w:rPr>
                <w:rFonts w:hint="default" w:ascii="Times New Roman" w:hAnsi="Times New Roman" w:cs="Times New Roman"/>
                <w:color w:val="auto"/>
                <w:sz w:val="18"/>
                <w:szCs w:val="18"/>
                <w:highlight w:val="none"/>
                <w:lang w:val="en-US" w:eastAsia="zh-CN"/>
              </w:rPr>
              <w:t>0.3*0.3</w:t>
            </w:r>
            <w:r>
              <w:rPr>
                <w:rFonts w:hint="eastAsia" w:ascii="Times New Roman" w:hAnsi="Times New Roman" w:cs="Times New Roman"/>
                <w:color w:val="auto"/>
                <w:sz w:val="18"/>
                <w:szCs w:val="18"/>
                <w:highlight w:val="none"/>
                <w:lang w:val="en-US" w:eastAsia="zh-CN"/>
              </w:rPr>
              <w:t>排水渠（</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6A1CD">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机耕道（</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3B1A6">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围栏（</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r>
      <w:tr w14:paraId="0A475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5DC29D">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53BCD">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新建</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8640D">
            <w:pPr>
              <w:pStyle w:val="71"/>
              <w:bidi w:val="0"/>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413.70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432239">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10000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EB866A">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6596EB">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D57B8">
            <w:pPr>
              <w:pStyle w:val="71"/>
              <w:bidi w:val="0"/>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6171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30565">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21263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1BFC4">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629</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DEF97">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607</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1B0E94">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602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50A89">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611</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AA4C9">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316</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7C6F5">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7813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26335">
            <w:pPr>
              <w:pStyle w:val="71"/>
              <w:bidi w:val="0"/>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39874</w:t>
            </w:r>
          </w:p>
        </w:tc>
      </w:tr>
    </w:tbl>
    <w:p w14:paraId="339E093A">
      <w:pPr>
        <w:kinsoku/>
        <w:spacing w:line="560" w:lineRule="exact"/>
        <w:ind w:right="110"/>
        <w:rPr>
          <w:rFonts w:hint="default" w:ascii="Times New Roman" w:hAnsi="Times New Roman" w:eastAsia="宋体" w:cs="Times New Roman"/>
          <w:smallCaps w:val="0"/>
          <w:color w:val="auto"/>
          <w:spacing w:val="0"/>
          <w:w w:val="100"/>
          <w:sz w:val="28"/>
          <w:szCs w:val="28"/>
          <w:highlight w:val="none"/>
          <w:lang w:eastAsia="zh-CN"/>
        </w:rPr>
      </w:pPr>
    </w:p>
    <w:p w14:paraId="6C7A647B">
      <w:pPr>
        <w:kinsoku/>
        <w:spacing w:before="42" w:line="375" w:lineRule="auto"/>
        <w:ind w:left="35" w:right="78" w:firstLine="606"/>
        <w:rPr>
          <w:rFonts w:hint="default" w:ascii="Times New Roman" w:hAnsi="Times New Roman" w:eastAsia="宋体" w:cs="Times New Roman"/>
          <w:smallCaps w:val="0"/>
          <w:color w:val="auto"/>
          <w:spacing w:val="0"/>
          <w:w w:val="100"/>
          <w:sz w:val="30"/>
          <w:szCs w:val="30"/>
          <w:highlight w:val="none"/>
          <w:lang w:eastAsia="zh-CN"/>
        </w:rPr>
      </w:pPr>
    </w:p>
    <w:p w14:paraId="70C19886">
      <w:pPr>
        <w:kinsoku/>
        <w:spacing w:line="560" w:lineRule="exact"/>
        <w:ind w:left="648" w:right="357" w:hanging="3"/>
        <w:rPr>
          <w:rFonts w:hint="default" w:ascii="Times New Roman" w:hAnsi="Times New Roman" w:eastAsia="宋体" w:cs="Times New Roman"/>
          <w:smallCaps w:val="0"/>
          <w:color w:val="auto"/>
          <w:spacing w:val="0"/>
          <w:w w:val="100"/>
          <w:sz w:val="30"/>
          <w:szCs w:val="30"/>
          <w:highlight w:val="none"/>
          <w:lang w:eastAsia="zh-CN"/>
        </w:rPr>
        <w:sectPr>
          <w:type w:val="nextColumn"/>
          <w:pgSz w:w="16840" w:h="11900" w:orient="landscape"/>
          <w:pgMar w:top="1134" w:right="1418" w:bottom="1134" w:left="1417" w:header="862" w:footer="1213" w:gutter="0"/>
          <w:pgBorders>
            <w:top w:val="none" w:sz="0" w:space="0"/>
            <w:left w:val="none" w:sz="0" w:space="0"/>
            <w:bottom w:val="none" w:sz="0" w:space="0"/>
            <w:right w:val="none" w:sz="0" w:space="0"/>
          </w:pgBorders>
          <w:pgNumType w:fmt="numberInDash"/>
          <w:cols w:space="720" w:num="1"/>
        </w:sectPr>
      </w:pPr>
    </w:p>
    <w:p w14:paraId="2D9D8957">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5" w:name="_Toc29326"/>
      <w:r>
        <w:rPr>
          <w:rFonts w:hint="default" w:ascii="Times New Roman" w:hAnsi="Times New Roman" w:eastAsia="宋体" w:cs="Times New Roman"/>
          <w:smallCaps w:val="0"/>
          <w:color w:val="auto"/>
          <w:spacing w:val="0"/>
          <w:w w:val="100"/>
          <w:highlight w:val="none"/>
        </w:rPr>
        <w:t>1.2.4 建设工期</w:t>
      </w:r>
      <w:bookmarkEnd w:id="15"/>
    </w:p>
    <w:p w14:paraId="3916A672">
      <w:pPr>
        <w:kinsoku/>
        <w:spacing w:before="265" w:line="375" w:lineRule="auto"/>
        <w:ind w:left="41" w:right="84" w:firstLine="62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本工程计划总</w:t>
      </w:r>
      <w:r>
        <w:rPr>
          <w:rFonts w:hint="default" w:ascii="Times New Roman" w:hAnsi="Times New Roman" w:eastAsia="宋体" w:cs="Times New Roman"/>
          <w:smallCaps w:val="0"/>
          <w:color w:val="auto"/>
          <w:spacing w:val="0"/>
          <w:w w:val="100"/>
          <w:sz w:val="30"/>
          <w:szCs w:val="30"/>
          <w:highlight w:val="none"/>
          <w:lang w:val="en-US" w:eastAsia="zh-CN"/>
        </w:rPr>
        <w:t>建设</w:t>
      </w:r>
      <w:r>
        <w:rPr>
          <w:rFonts w:hint="default" w:ascii="Times New Roman" w:hAnsi="Times New Roman" w:eastAsia="宋体" w:cs="Times New Roman"/>
          <w:smallCaps w:val="0"/>
          <w:color w:val="auto"/>
          <w:spacing w:val="0"/>
          <w:w w:val="100"/>
          <w:sz w:val="30"/>
          <w:szCs w:val="30"/>
          <w:highlight w:val="none"/>
          <w:lang w:eastAsia="zh-CN"/>
        </w:rPr>
        <w:t>工期1</w:t>
      </w: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个月，202</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月至202</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val="en-US" w:eastAsia="zh-CN"/>
        </w:rPr>
        <w:t>11</w:t>
      </w:r>
      <w:r>
        <w:rPr>
          <w:rFonts w:hint="default" w:ascii="Times New Roman" w:hAnsi="Times New Roman" w:eastAsia="宋体" w:cs="Times New Roman"/>
          <w:smallCaps w:val="0"/>
          <w:color w:val="auto"/>
          <w:spacing w:val="0"/>
          <w:w w:val="100"/>
          <w:sz w:val="30"/>
          <w:szCs w:val="30"/>
          <w:highlight w:val="none"/>
          <w:lang w:eastAsia="zh-CN"/>
        </w:rPr>
        <w:t>月为项目施工建设期；202</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年1</w:t>
      </w: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月至202</w:t>
      </w:r>
      <w:r>
        <w:rPr>
          <w:rFonts w:hint="default" w:ascii="Times New Roman" w:hAnsi="Times New Roman" w:eastAsia="宋体" w:cs="Times New Roman"/>
          <w:smallCaps w:val="0"/>
          <w:color w:val="auto"/>
          <w:spacing w:val="0"/>
          <w:w w:val="100"/>
          <w:sz w:val="30"/>
          <w:szCs w:val="30"/>
          <w:highlight w:val="none"/>
          <w:lang w:val="en-US" w:eastAsia="zh-CN"/>
        </w:rPr>
        <w:t>7</w:t>
      </w:r>
      <w:r>
        <w:rPr>
          <w:rFonts w:hint="default"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月为项目完建期。202</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年1月1日至4月30日前为工程准备期，主要完成工程设计、财政评审、招投标等前期工作。</w:t>
      </w:r>
    </w:p>
    <w:p w14:paraId="0E090A18">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6" w:name="_Toc22113"/>
      <w:r>
        <w:rPr>
          <w:rFonts w:hint="default" w:ascii="Times New Roman" w:hAnsi="Times New Roman" w:eastAsia="宋体" w:cs="Times New Roman"/>
          <w:smallCaps w:val="0"/>
          <w:color w:val="auto"/>
          <w:spacing w:val="0"/>
          <w:w w:val="100"/>
          <w:highlight w:val="none"/>
        </w:rPr>
        <w:t>1.2.</w:t>
      </w:r>
      <w:r>
        <w:rPr>
          <w:rFonts w:hint="default" w:ascii="Times New Roman" w:hAnsi="Times New Roman" w:eastAsia="宋体" w:cs="Times New Roman"/>
          <w:smallCaps w:val="0"/>
          <w:color w:val="auto"/>
          <w:spacing w:val="0"/>
          <w:w w:val="100"/>
          <w:highlight w:val="none"/>
          <w:lang w:val="en-US" w:eastAsia="zh-CN"/>
        </w:rPr>
        <w:t>5</w:t>
      </w:r>
      <w:r>
        <w:rPr>
          <w:rFonts w:hint="default" w:ascii="Times New Roman" w:hAnsi="Times New Roman" w:eastAsia="宋体" w:cs="Times New Roman"/>
          <w:smallCaps w:val="0"/>
          <w:color w:val="auto"/>
          <w:spacing w:val="0"/>
          <w:w w:val="100"/>
          <w:highlight w:val="none"/>
        </w:rPr>
        <w:t xml:space="preserve"> 建设方式</w:t>
      </w:r>
      <w:bookmarkEnd w:id="16"/>
    </w:p>
    <w:p w14:paraId="0BD4FBAF">
      <w:pPr>
        <w:kinsoku/>
        <w:spacing w:before="265" w:line="375" w:lineRule="auto"/>
        <w:ind w:left="41" w:right="84" w:firstLine="626"/>
        <w:jc w:val="both"/>
        <w:rPr>
          <w:rFonts w:hint="default" w:ascii="Times New Roman" w:hAnsi="Times New Roman" w:eastAsia="宋体" w:cs="Times New Roman"/>
          <w:smallCaps w:val="0"/>
          <w:color w:val="auto"/>
          <w:spacing w:val="0"/>
          <w:w w:val="100"/>
          <w:sz w:val="30"/>
          <w:szCs w:val="30"/>
          <w:highlight w:val="none"/>
          <w:lang w:eastAsia="zh-CN"/>
        </w:rPr>
      </w:pPr>
      <w:r>
        <w:rPr>
          <w:rFonts w:hint="eastAsia" w:ascii="Times New Roman" w:hAnsi="Times New Roman" w:eastAsia="宋体" w:cs="Times New Roman"/>
          <w:smallCaps w:val="0"/>
          <w:color w:val="auto"/>
          <w:spacing w:val="0"/>
          <w:w w:val="100"/>
          <w:sz w:val="30"/>
          <w:szCs w:val="30"/>
          <w:highlight w:val="none"/>
          <w:lang w:eastAsia="zh-CN"/>
        </w:rPr>
        <w:t>甘孜县2026年财政转移支付资金高标准农田建设项目（新建）</w:t>
      </w:r>
      <w:r>
        <w:rPr>
          <w:rFonts w:hint="default" w:ascii="Times New Roman" w:hAnsi="Times New Roman" w:eastAsia="宋体" w:cs="Times New Roman"/>
          <w:smallCaps w:val="0"/>
          <w:color w:val="auto"/>
          <w:spacing w:val="0"/>
          <w:w w:val="100"/>
          <w:sz w:val="30"/>
          <w:szCs w:val="30"/>
          <w:highlight w:val="none"/>
          <w:lang w:eastAsia="zh-CN"/>
        </w:rPr>
        <w:t>，实行项目公示制、法人负责制、合同管理制、工程招投标制、工程监理制、编制科学合理、操作性强的项目实施方案、严格项目审批制度。加强实施主体项目实施管理。项目竣工后按程序国家、省、甘孜州级验收。</w:t>
      </w:r>
    </w:p>
    <w:p w14:paraId="04C82E90">
      <w:pPr>
        <w:kinsoku/>
        <w:spacing w:before="42" w:line="220" w:lineRule="auto"/>
        <w:ind w:left="48"/>
        <w:outlineLvl w:val="1"/>
        <w:rPr>
          <w:rFonts w:hint="default" w:ascii="Times New Roman" w:hAnsi="Times New Roman" w:eastAsia="宋体" w:cs="Times New Roman"/>
          <w:smallCaps w:val="0"/>
          <w:color w:val="auto"/>
          <w:spacing w:val="0"/>
          <w:w w:val="100"/>
          <w:sz w:val="30"/>
          <w:szCs w:val="30"/>
          <w:highlight w:val="none"/>
          <w:lang w:eastAsia="zh-CN"/>
        </w:rPr>
      </w:pPr>
      <w:bookmarkStart w:id="17" w:name="_Toc12062"/>
      <w:bookmarkStart w:id="18" w:name="_Toc11631"/>
      <w:bookmarkStart w:id="19" w:name="_Toc23068"/>
      <w:r>
        <w:rPr>
          <w:rFonts w:hint="default" w:ascii="Times New Roman" w:hAnsi="Times New Roman" w:eastAsia="宋体" w:cs="Times New Roman"/>
          <w:b/>
          <w:bCs/>
          <w:smallCaps w:val="0"/>
          <w:color w:val="auto"/>
          <w:spacing w:val="0"/>
          <w:w w:val="100"/>
          <w:sz w:val="30"/>
          <w:szCs w:val="30"/>
          <w:highlight w:val="none"/>
          <w:lang w:eastAsia="zh-CN"/>
        </w:rPr>
        <w:t>1.3 投资概算和资金筹措</w:t>
      </w:r>
      <w:bookmarkEnd w:id="17"/>
      <w:bookmarkEnd w:id="18"/>
      <w:bookmarkEnd w:id="19"/>
    </w:p>
    <w:p w14:paraId="0EAEF074">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20" w:name="_Toc3319"/>
      <w:r>
        <w:rPr>
          <w:rFonts w:hint="default" w:ascii="Times New Roman" w:hAnsi="Times New Roman" w:eastAsia="宋体" w:cs="Times New Roman"/>
          <w:smallCaps w:val="0"/>
          <w:color w:val="auto"/>
          <w:spacing w:val="0"/>
          <w:w w:val="100"/>
          <w:highlight w:val="none"/>
        </w:rPr>
        <w:t>1.3.1 投资概算</w:t>
      </w:r>
      <w:bookmarkEnd w:id="20"/>
    </w:p>
    <w:p w14:paraId="684B5713">
      <w:pPr>
        <w:kinsoku/>
        <w:spacing w:before="267" w:line="220" w:lineRule="auto"/>
        <w:ind w:left="645"/>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项目总投资</w:t>
      </w:r>
      <w:r>
        <w:rPr>
          <w:rFonts w:hint="default" w:ascii="Times New Roman" w:hAnsi="Times New Roman" w:eastAsia="宋体" w:cs="Times New Roman"/>
          <w:smallCaps w:val="0"/>
          <w:color w:val="auto"/>
          <w:spacing w:val="0"/>
          <w:w w:val="100"/>
          <w:sz w:val="30"/>
          <w:szCs w:val="30"/>
          <w:highlight w:val="none"/>
          <w:lang w:val="en-US" w:eastAsia="zh-CN"/>
        </w:rPr>
        <w:t>3500</w:t>
      </w:r>
      <w:r>
        <w:rPr>
          <w:rFonts w:hint="default" w:ascii="Times New Roman" w:hAnsi="Times New Roman" w:eastAsia="宋体" w:cs="Times New Roman"/>
          <w:smallCaps w:val="0"/>
          <w:color w:val="auto"/>
          <w:spacing w:val="0"/>
          <w:w w:val="100"/>
          <w:sz w:val="30"/>
          <w:szCs w:val="30"/>
          <w:highlight w:val="none"/>
          <w:lang w:eastAsia="zh-CN"/>
        </w:rPr>
        <w:t>万元。</w:t>
      </w:r>
    </w:p>
    <w:p w14:paraId="38C53528">
      <w:pPr>
        <w:kinsoku/>
        <w:spacing w:before="265" w:line="375" w:lineRule="auto"/>
        <w:ind w:left="41" w:right="84" w:firstLine="62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GB" w:eastAsia="zh-CN"/>
        </w:rPr>
        <w:t>高标准农田建设专项资金投资</w:t>
      </w:r>
      <w:r>
        <w:rPr>
          <w:rFonts w:hint="default" w:ascii="Times New Roman" w:hAnsi="Times New Roman" w:eastAsia="宋体" w:cs="Times New Roman"/>
          <w:smallCaps w:val="0"/>
          <w:color w:val="auto"/>
          <w:spacing w:val="0"/>
          <w:w w:val="100"/>
          <w:sz w:val="30"/>
          <w:szCs w:val="30"/>
          <w:highlight w:val="none"/>
          <w:lang w:val="en-US" w:eastAsia="zh-CN"/>
        </w:rPr>
        <w:t>3500</w:t>
      </w:r>
      <w:r>
        <w:rPr>
          <w:rFonts w:hint="default" w:ascii="Times New Roman" w:hAnsi="Times New Roman" w:eastAsia="宋体" w:cs="Times New Roman"/>
          <w:smallCaps w:val="0"/>
          <w:color w:val="auto"/>
          <w:spacing w:val="0"/>
          <w:w w:val="100"/>
          <w:sz w:val="30"/>
          <w:szCs w:val="30"/>
          <w:highlight w:val="none"/>
          <w:lang w:val="en-GB" w:eastAsia="zh-CN"/>
        </w:rPr>
        <w:t>万元。具体为：</w:t>
      </w:r>
      <w:r>
        <w:rPr>
          <w:rFonts w:hint="default" w:ascii="Times New Roman" w:hAnsi="Times New Roman" w:eastAsia="宋体" w:cs="Times New Roman"/>
          <w:smallCaps w:val="0"/>
          <w:color w:val="auto"/>
          <w:spacing w:val="0"/>
          <w:w w:val="100"/>
          <w:sz w:val="30"/>
          <w:szCs w:val="30"/>
          <w:highlight w:val="none"/>
          <w:lang w:eastAsia="zh-CN"/>
        </w:rPr>
        <w:t>第一部分建筑工程投资</w:t>
      </w:r>
      <w:r>
        <w:rPr>
          <w:rFonts w:hint="eastAsia" w:ascii="Times New Roman" w:hAnsi="Times New Roman" w:eastAsia="宋体" w:cs="Times New Roman"/>
          <w:smallCaps w:val="0"/>
          <w:color w:val="auto"/>
          <w:spacing w:val="0"/>
          <w:w w:val="100"/>
          <w:sz w:val="30"/>
          <w:szCs w:val="30"/>
          <w:highlight w:val="none"/>
          <w:lang w:val="en-US" w:eastAsia="zh-CN"/>
        </w:rPr>
        <w:t>3061.40</w:t>
      </w:r>
      <w:r>
        <w:rPr>
          <w:rFonts w:hint="default" w:ascii="Times New Roman" w:hAnsi="Times New Roman" w:eastAsia="宋体" w:cs="Times New Roman"/>
          <w:smallCaps w:val="0"/>
          <w:color w:val="auto"/>
          <w:spacing w:val="0"/>
          <w:w w:val="100"/>
          <w:sz w:val="30"/>
          <w:szCs w:val="30"/>
          <w:highlight w:val="none"/>
          <w:lang w:eastAsia="zh-CN"/>
        </w:rPr>
        <w:t>万元，占总投资的</w:t>
      </w:r>
      <w:r>
        <w:rPr>
          <w:rFonts w:hint="default" w:ascii="Times New Roman" w:hAnsi="Times New Roman" w:eastAsia="宋体" w:cs="Times New Roman"/>
          <w:smallCaps w:val="0"/>
          <w:color w:val="auto"/>
          <w:spacing w:val="0"/>
          <w:w w:val="100"/>
          <w:sz w:val="30"/>
          <w:szCs w:val="30"/>
          <w:highlight w:val="none"/>
          <w:lang w:val="en-US" w:eastAsia="zh-CN"/>
        </w:rPr>
        <w:t>87.</w:t>
      </w:r>
      <w:r>
        <w:rPr>
          <w:rFonts w:hint="eastAsia" w:ascii="Times New Roman" w:hAnsi="Times New Roman" w:eastAsia="宋体" w:cs="Times New Roman"/>
          <w:smallCaps w:val="0"/>
          <w:color w:val="auto"/>
          <w:spacing w:val="0"/>
          <w:w w:val="100"/>
          <w:sz w:val="30"/>
          <w:szCs w:val="30"/>
          <w:highlight w:val="none"/>
          <w:lang w:val="en-US" w:eastAsia="zh-CN"/>
        </w:rPr>
        <w:t>49</w:t>
      </w:r>
      <w:r>
        <w:rPr>
          <w:rFonts w:hint="default" w:ascii="Times New Roman" w:hAnsi="Times New Roman" w:eastAsia="宋体" w:cs="Times New Roman"/>
          <w:smallCaps w:val="0"/>
          <w:color w:val="auto"/>
          <w:spacing w:val="0"/>
          <w:w w:val="100"/>
          <w:sz w:val="30"/>
          <w:szCs w:val="30"/>
          <w:highlight w:val="none"/>
          <w:lang w:eastAsia="zh-CN"/>
        </w:rPr>
        <w:t>%（其中：田</w:t>
      </w:r>
      <w:r>
        <w:rPr>
          <w:rFonts w:hint="eastAsia"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地</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块整治工程投资</w:t>
      </w:r>
      <w:r>
        <w:rPr>
          <w:rFonts w:hint="eastAsia" w:ascii="Times New Roman" w:hAnsi="Times New Roman" w:eastAsia="宋体" w:cs="Times New Roman"/>
          <w:smallCaps w:val="0"/>
          <w:color w:val="auto"/>
          <w:spacing w:val="0"/>
          <w:w w:val="100"/>
          <w:sz w:val="30"/>
          <w:szCs w:val="30"/>
          <w:highlight w:val="none"/>
          <w:lang w:val="en-US" w:eastAsia="zh-CN"/>
        </w:rPr>
        <w:t>533.5</w:t>
      </w:r>
      <w:r>
        <w:rPr>
          <w:rFonts w:hint="default" w:ascii="Times New Roman" w:hAnsi="Times New Roman" w:eastAsia="宋体" w:cs="Times New Roman"/>
          <w:smallCaps w:val="0"/>
          <w:color w:val="auto"/>
          <w:spacing w:val="0"/>
          <w:w w:val="100"/>
          <w:sz w:val="30"/>
          <w:szCs w:val="30"/>
          <w:highlight w:val="none"/>
          <w:lang w:eastAsia="zh-CN"/>
        </w:rPr>
        <w:t>万元，占总投资的</w:t>
      </w:r>
      <w:r>
        <w:rPr>
          <w:rFonts w:hint="eastAsia" w:ascii="Times New Roman" w:hAnsi="Times New Roman" w:eastAsia="宋体" w:cs="Times New Roman"/>
          <w:smallCaps w:val="0"/>
          <w:color w:val="auto"/>
          <w:spacing w:val="0"/>
          <w:w w:val="100"/>
          <w:sz w:val="30"/>
          <w:szCs w:val="30"/>
          <w:highlight w:val="none"/>
          <w:lang w:val="en-US" w:eastAsia="zh-CN"/>
        </w:rPr>
        <w:t>15.23</w:t>
      </w:r>
      <w:r>
        <w:rPr>
          <w:rFonts w:hint="default" w:ascii="Times New Roman" w:hAnsi="Times New Roman" w:eastAsia="宋体" w:cs="Times New Roman"/>
          <w:smallCaps w:val="0"/>
          <w:color w:val="auto"/>
          <w:spacing w:val="0"/>
          <w:w w:val="100"/>
          <w:sz w:val="30"/>
          <w:szCs w:val="30"/>
          <w:highlight w:val="none"/>
          <w:lang w:eastAsia="zh-CN"/>
        </w:rPr>
        <w:t>%；土壤改良工程投资</w:t>
      </w:r>
      <w:r>
        <w:rPr>
          <w:rFonts w:hint="eastAsia" w:ascii="Times New Roman" w:hAnsi="Times New Roman" w:eastAsia="宋体" w:cs="Times New Roman"/>
          <w:smallCaps w:val="0"/>
          <w:color w:val="auto"/>
          <w:spacing w:val="0"/>
          <w:w w:val="100"/>
          <w:sz w:val="30"/>
          <w:szCs w:val="30"/>
          <w:highlight w:val="none"/>
          <w:lang w:val="en-US" w:eastAsia="zh-CN"/>
        </w:rPr>
        <w:t>503.38</w:t>
      </w:r>
      <w:r>
        <w:rPr>
          <w:rFonts w:hint="default" w:ascii="Times New Roman" w:hAnsi="Times New Roman" w:eastAsia="宋体" w:cs="Times New Roman"/>
          <w:smallCaps w:val="0"/>
          <w:color w:val="auto"/>
          <w:spacing w:val="0"/>
          <w:w w:val="100"/>
          <w:sz w:val="30"/>
          <w:szCs w:val="30"/>
          <w:highlight w:val="none"/>
          <w:lang w:eastAsia="zh-CN"/>
        </w:rPr>
        <w:t>万元，占总投资的</w:t>
      </w:r>
      <w:r>
        <w:rPr>
          <w:rFonts w:hint="eastAsia" w:ascii="Times New Roman" w:hAnsi="Times New Roman" w:eastAsia="宋体" w:cs="Times New Roman"/>
          <w:smallCaps w:val="0"/>
          <w:color w:val="auto"/>
          <w:spacing w:val="0"/>
          <w:w w:val="100"/>
          <w:sz w:val="30"/>
          <w:szCs w:val="30"/>
          <w:highlight w:val="none"/>
          <w:lang w:val="en-US" w:eastAsia="zh-CN"/>
        </w:rPr>
        <w:t>14.38</w:t>
      </w:r>
      <w:r>
        <w:rPr>
          <w:rFonts w:hint="default" w:ascii="Times New Roman" w:hAnsi="Times New Roman" w:eastAsia="宋体" w:cs="Times New Roman"/>
          <w:smallCaps w:val="0"/>
          <w:color w:val="auto"/>
          <w:spacing w:val="0"/>
          <w:w w:val="100"/>
          <w:sz w:val="30"/>
          <w:szCs w:val="30"/>
          <w:highlight w:val="none"/>
          <w:lang w:eastAsia="zh-CN"/>
        </w:rPr>
        <w:t>%；灌溉与排水工程投资</w:t>
      </w:r>
      <w:r>
        <w:rPr>
          <w:rFonts w:hint="eastAsia" w:ascii="Times New Roman" w:hAnsi="Times New Roman" w:eastAsia="宋体" w:cs="Times New Roman"/>
          <w:smallCaps w:val="0"/>
          <w:color w:val="auto"/>
          <w:spacing w:val="0"/>
          <w:w w:val="100"/>
          <w:sz w:val="30"/>
          <w:szCs w:val="30"/>
          <w:highlight w:val="none"/>
          <w:lang w:val="en-US" w:eastAsia="zh-CN"/>
        </w:rPr>
        <w:t>1345.74</w:t>
      </w:r>
      <w:r>
        <w:rPr>
          <w:rFonts w:hint="default" w:ascii="Times New Roman" w:hAnsi="Times New Roman" w:eastAsia="宋体" w:cs="Times New Roman"/>
          <w:smallCaps w:val="0"/>
          <w:color w:val="auto"/>
          <w:spacing w:val="0"/>
          <w:w w:val="100"/>
          <w:sz w:val="30"/>
          <w:szCs w:val="30"/>
          <w:highlight w:val="none"/>
          <w:lang w:val="en-GB" w:eastAsia="zh-CN"/>
        </w:rPr>
        <w:t>万元，占总投资的</w:t>
      </w:r>
      <w:r>
        <w:rPr>
          <w:rFonts w:hint="eastAsia" w:ascii="Times New Roman" w:hAnsi="Times New Roman" w:eastAsia="宋体" w:cs="Times New Roman"/>
          <w:smallCaps w:val="0"/>
          <w:color w:val="auto"/>
          <w:spacing w:val="0"/>
          <w:w w:val="100"/>
          <w:sz w:val="30"/>
          <w:szCs w:val="30"/>
          <w:highlight w:val="none"/>
          <w:lang w:val="en-US" w:eastAsia="zh-CN"/>
        </w:rPr>
        <w:t>38.45</w:t>
      </w:r>
      <w:r>
        <w:rPr>
          <w:rFonts w:hint="default" w:ascii="Times New Roman" w:hAnsi="Times New Roman" w:eastAsia="宋体" w:cs="Times New Roman"/>
          <w:smallCaps w:val="0"/>
          <w:color w:val="auto"/>
          <w:spacing w:val="0"/>
          <w:w w:val="100"/>
          <w:sz w:val="30"/>
          <w:szCs w:val="30"/>
          <w:highlight w:val="none"/>
          <w:lang w:val="en-GB" w:eastAsia="zh-CN"/>
        </w:rPr>
        <w:t>%；田间道路工程投资3</w:t>
      </w:r>
      <w:r>
        <w:rPr>
          <w:rFonts w:hint="eastAsia" w:ascii="Times New Roman" w:hAnsi="Times New Roman" w:eastAsia="宋体" w:cs="Times New Roman"/>
          <w:smallCaps w:val="0"/>
          <w:color w:val="auto"/>
          <w:spacing w:val="0"/>
          <w:w w:val="100"/>
          <w:sz w:val="30"/>
          <w:szCs w:val="30"/>
          <w:highlight w:val="none"/>
          <w:lang w:val="en-US" w:eastAsia="zh-CN"/>
        </w:rPr>
        <w:t>28.85</w:t>
      </w:r>
      <w:r>
        <w:rPr>
          <w:rFonts w:hint="default" w:ascii="Times New Roman" w:hAnsi="Times New Roman" w:eastAsia="宋体" w:cs="Times New Roman"/>
          <w:smallCaps w:val="0"/>
          <w:color w:val="auto"/>
          <w:spacing w:val="0"/>
          <w:w w:val="100"/>
          <w:sz w:val="30"/>
          <w:szCs w:val="30"/>
          <w:highlight w:val="none"/>
          <w:lang w:val="en-GB" w:eastAsia="zh-CN"/>
        </w:rPr>
        <w:t>万元，占总投资的</w:t>
      </w:r>
      <w:r>
        <w:rPr>
          <w:rFonts w:hint="eastAsia" w:ascii="Times New Roman" w:hAnsi="Times New Roman" w:eastAsia="宋体" w:cs="Times New Roman"/>
          <w:smallCaps w:val="0"/>
          <w:color w:val="auto"/>
          <w:spacing w:val="0"/>
          <w:w w:val="100"/>
          <w:sz w:val="30"/>
          <w:szCs w:val="30"/>
          <w:highlight w:val="none"/>
          <w:lang w:val="en-US" w:eastAsia="zh-CN"/>
        </w:rPr>
        <w:t>9.40</w:t>
      </w:r>
      <w:r>
        <w:rPr>
          <w:rFonts w:hint="default" w:ascii="Times New Roman" w:hAnsi="Times New Roman" w:eastAsia="宋体" w:cs="Times New Roman"/>
          <w:smallCaps w:val="0"/>
          <w:color w:val="auto"/>
          <w:spacing w:val="0"/>
          <w:w w:val="100"/>
          <w:sz w:val="30"/>
          <w:szCs w:val="30"/>
          <w:highlight w:val="none"/>
          <w:lang w:val="en-GB" w:eastAsia="zh-CN"/>
        </w:rPr>
        <w:t>%；农田防护与生态保护工程投资</w:t>
      </w:r>
      <w:r>
        <w:rPr>
          <w:rFonts w:hint="eastAsia" w:ascii="Times New Roman" w:hAnsi="Times New Roman" w:eastAsia="宋体" w:cs="Times New Roman"/>
          <w:smallCaps w:val="0"/>
          <w:color w:val="auto"/>
          <w:spacing w:val="0"/>
          <w:w w:val="100"/>
          <w:sz w:val="30"/>
          <w:szCs w:val="30"/>
          <w:highlight w:val="none"/>
          <w:lang w:val="en-US" w:eastAsia="zh-CN"/>
        </w:rPr>
        <w:t>350.38</w:t>
      </w:r>
      <w:r>
        <w:rPr>
          <w:rFonts w:hint="default" w:ascii="Times New Roman" w:hAnsi="Times New Roman" w:eastAsia="宋体" w:cs="Times New Roman"/>
          <w:smallCaps w:val="0"/>
          <w:color w:val="auto"/>
          <w:spacing w:val="0"/>
          <w:w w:val="100"/>
          <w:sz w:val="30"/>
          <w:szCs w:val="30"/>
          <w:highlight w:val="none"/>
          <w:lang w:val="en-GB" w:eastAsia="zh-CN"/>
        </w:rPr>
        <w:t>万元，占总投资的</w:t>
      </w:r>
      <w:r>
        <w:rPr>
          <w:rFonts w:hint="eastAsia" w:ascii="Times New Roman" w:hAnsi="Times New Roman" w:eastAsia="宋体" w:cs="Times New Roman"/>
          <w:smallCaps w:val="0"/>
          <w:color w:val="auto"/>
          <w:spacing w:val="0"/>
          <w:w w:val="100"/>
          <w:sz w:val="30"/>
          <w:szCs w:val="30"/>
          <w:highlight w:val="none"/>
          <w:lang w:val="en-US" w:eastAsia="zh-CN"/>
        </w:rPr>
        <w:t>10.01</w:t>
      </w:r>
      <w:r>
        <w:rPr>
          <w:rFonts w:hint="default" w:ascii="Times New Roman" w:hAnsi="Times New Roman" w:eastAsia="宋体" w:cs="Times New Roman"/>
          <w:smallCaps w:val="0"/>
          <w:color w:val="auto"/>
          <w:spacing w:val="0"/>
          <w:w w:val="100"/>
          <w:sz w:val="30"/>
          <w:szCs w:val="30"/>
          <w:highlight w:val="none"/>
          <w:lang w:val="en-GB" w:eastAsia="zh-CN"/>
        </w:rPr>
        <w:t>%）；第四部分施工临时工程投资</w:t>
      </w:r>
      <w:r>
        <w:rPr>
          <w:rFonts w:hint="eastAsia" w:ascii="Times New Roman" w:hAnsi="Times New Roman" w:eastAsia="宋体" w:cs="Times New Roman"/>
          <w:smallCaps w:val="0"/>
          <w:color w:val="auto"/>
          <w:spacing w:val="0"/>
          <w:w w:val="100"/>
          <w:sz w:val="30"/>
          <w:szCs w:val="30"/>
          <w:highlight w:val="none"/>
          <w:lang w:val="en-US" w:eastAsia="zh-CN"/>
        </w:rPr>
        <w:t>19.06</w:t>
      </w:r>
      <w:r>
        <w:rPr>
          <w:rFonts w:hint="default" w:ascii="Times New Roman" w:hAnsi="Times New Roman" w:eastAsia="宋体" w:cs="Times New Roman"/>
          <w:smallCaps w:val="0"/>
          <w:color w:val="auto"/>
          <w:spacing w:val="0"/>
          <w:w w:val="100"/>
          <w:sz w:val="30"/>
          <w:szCs w:val="30"/>
          <w:highlight w:val="none"/>
          <w:lang w:val="en-GB" w:eastAsia="zh-CN"/>
        </w:rPr>
        <w:t>万元，占总投资的0.</w:t>
      </w:r>
      <w:r>
        <w:rPr>
          <w:rFonts w:hint="eastAsia" w:ascii="Times New Roman" w:hAnsi="Times New Roman" w:eastAsia="宋体" w:cs="Times New Roman"/>
          <w:smallCaps w:val="0"/>
          <w:color w:val="auto"/>
          <w:spacing w:val="0"/>
          <w:w w:val="100"/>
          <w:sz w:val="30"/>
          <w:szCs w:val="30"/>
          <w:highlight w:val="none"/>
          <w:lang w:val="en-US" w:eastAsia="zh-CN"/>
        </w:rPr>
        <w:t>54</w:t>
      </w:r>
      <w:r>
        <w:rPr>
          <w:rFonts w:hint="default" w:ascii="Times New Roman" w:hAnsi="Times New Roman" w:eastAsia="宋体" w:cs="Times New Roman"/>
          <w:smallCaps w:val="0"/>
          <w:color w:val="auto"/>
          <w:spacing w:val="0"/>
          <w:w w:val="100"/>
          <w:sz w:val="30"/>
          <w:szCs w:val="30"/>
          <w:highlight w:val="none"/>
          <w:lang w:val="en-GB" w:eastAsia="zh-CN"/>
        </w:rPr>
        <w:t>%；第五部分独立费用投资25</w:t>
      </w:r>
      <w:r>
        <w:rPr>
          <w:rFonts w:hint="eastAsia" w:ascii="Times New Roman" w:hAnsi="Times New Roman" w:eastAsia="宋体" w:cs="Times New Roman"/>
          <w:smallCaps w:val="0"/>
          <w:color w:val="auto"/>
          <w:spacing w:val="0"/>
          <w:w w:val="100"/>
          <w:sz w:val="30"/>
          <w:szCs w:val="30"/>
          <w:highlight w:val="none"/>
          <w:lang w:val="en-US" w:eastAsia="zh-CN"/>
        </w:rPr>
        <w:t>2.87</w:t>
      </w:r>
      <w:r>
        <w:rPr>
          <w:rFonts w:hint="default" w:ascii="Times New Roman" w:hAnsi="Times New Roman" w:eastAsia="宋体" w:cs="Times New Roman"/>
          <w:smallCaps w:val="0"/>
          <w:color w:val="auto"/>
          <w:spacing w:val="0"/>
          <w:w w:val="100"/>
          <w:sz w:val="30"/>
          <w:szCs w:val="30"/>
          <w:highlight w:val="none"/>
          <w:lang w:val="en-GB" w:eastAsia="zh-CN"/>
        </w:rPr>
        <w:t>万元，占总投资的7.</w:t>
      </w:r>
      <w:r>
        <w:rPr>
          <w:rFonts w:hint="default" w:ascii="Times New Roman" w:hAnsi="Times New Roman" w:eastAsia="宋体" w:cs="Times New Roman"/>
          <w:smallCaps w:val="0"/>
          <w:color w:val="auto"/>
          <w:spacing w:val="0"/>
          <w:w w:val="100"/>
          <w:sz w:val="30"/>
          <w:szCs w:val="30"/>
          <w:highlight w:val="none"/>
          <w:lang w:val="en-US" w:eastAsia="zh-CN"/>
        </w:rPr>
        <w:t>2</w:t>
      </w:r>
      <w:r>
        <w:rPr>
          <w:rFonts w:hint="eastAsia"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val="en-GB" w:eastAsia="zh-CN"/>
        </w:rPr>
        <w:t>%（建设管理费73.8</w:t>
      </w:r>
      <w:r>
        <w:rPr>
          <w:rFonts w:hint="eastAsia"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val="en-GB" w:eastAsia="zh-CN"/>
        </w:rPr>
        <w:t>万</w:t>
      </w:r>
      <w:r>
        <w:rPr>
          <w:rFonts w:hint="default" w:ascii="Times New Roman" w:hAnsi="Times New Roman" w:eastAsia="宋体" w:cs="Times New Roman"/>
          <w:smallCaps w:val="0"/>
          <w:color w:val="auto"/>
          <w:spacing w:val="0"/>
          <w:w w:val="100"/>
          <w:sz w:val="30"/>
          <w:szCs w:val="30"/>
          <w:highlight w:val="none"/>
          <w:lang w:eastAsia="zh-CN"/>
        </w:rPr>
        <w:t>元，占总投资的2.</w:t>
      </w:r>
      <w:r>
        <w:rPr>
          <w:rFonts w:hint="default" w:ascii="Times New Roman" w:hAnsi="Times New Roman" w:eastAsia="宋体" w:cs="Times New Roman"/>
          <w:smallCaps w:val="0"/>
          <w:color w:val="auto"/>
          <w:spacing w:val="0"/>
          <w:w w:val="100"/>
          <w:sz w:val="30"/>
          <w:szCs w:val="30"/>
          <w:highlight w:val="none"/>
          <w:lang w:val="en-US" w:eastAsia="zh-CN"/>
        </w:rPr>
        <w:t>11</w:t>
      </w:r>
      <w:r>
        <w:rPr>
          <w:rFonts w:hint="default" w:ascii="Times New Roman" w:hAnsi="Times New Roman" w:eastAsia="宋体" w:cs="Times New Roman"/>
          <w:smallCaps w:val="0"/>
          <w:color w:val="auto"/>
          <w:spacing w:val="0"/>
          <w:w w:val="100"/>
          <w:sz w:val="30"/>
          <w:szCs w:val="30"/>
          <w:highlight w:val="none"/>
          <w:lang w:eastAsia="zh-CN"/>
        </w:rPr>
        <w:t>%；经济技术咨询费</w:t>
      </w:r>
      <w:r>
        <w:rPr>
          <w:rFonts w:hint="default" w:ascii="Times New Roman" w:hAnsi="Times New Roman" w:eastAsia="宋体" w:cs="Times New Roman"/>
          <w:smallCaps w:val="0"/>
          <w:color w:val="auto"/>
          <w:spacing w:val="0"/>
          <w:w w:val="100"/>
          <w:sz w:val="30"/>
          <w:szCs w:val="30"/>
          <w:highlight w:val="none"/>
          <w:lang w:val="en-US" w:eastAsia="zh-CN"/>
        </w:rPr>
        <w:t>30.8</w:t>
      </w:r>
      <w:r>
        <w:rPr>
          <w:rFonts w:hint="eastAsia" w:ascii="Times New Roman" w:hAnsi="Times New Roman" w:eastAsia="宋体" w:cs="Times New Roman"/>
          <w:smallCaps w:val="0"/>
          <w:color w:val="auto"/>
          <w:spacing w:val="0"/>
          <w:w w:val="100"/>
          <w:sz w:val="30"/>
          <w:szCs w:val="30"/>
          <w:highlight w:val="none"/>
          <w:lang w:val="en-US" w:eastAsia="zh-CN"/>
        </w:rPr>
        <w:t>0</w:t>
      </w:r>
      <w:r>
        <w:rPr>
          <w:rFonts w:hint="default" w:ascii="Times New Roman" w:hAnsi="Times New Roman" w:eastAsia="宋体" w:cs="Times New Roman"/>
          <w:smallCaps w:val="0"/>
          <w:color w:val="auto"/>
          <w:spacing w:val="0"/>
          <w:w w:val="100"/>
          <w:sz w:val="30"/>
          <w:szCs w:val="30"/>
          <w:highlight w:val="none"/>
          <w:lang w:eastAsia="zh-CN"/>
        </w:rPr>
        <w:t>万元，占总投资的</w:t>
      </w:r>
      <w:r>
        <w:rPr>
          <w:rFonts w:hint="default" w:ascii="Times New Roman" w:hAnsi="Times New Roman" w:eastAsia="宋体" w:cs="Times New Roman"/>
          <w:smallCaps w:val="0"/>
          <w:color w:val="auto"/>
          <w:spacing w:val="0"/>
          <w:w w:val="100"/>
          <w:sz w:val="30"/>
          <w:szCs w:val="30"/>
          <w:highlight w:val="none"/>
          <w:lang w:val="en-US" w:eastAsia="zh-CN"/>
        </w:rPr>
        <w:t>0.88</w:t>
      </w:r>
      <w:r>
        <w:rPr>
          <w:rFonts w:hint="default" w:ascii="Times New Roman" w:hAnsi="Times New Roman" w:eastAsia="宋体" w:cs="Times New Roman"/>
          <w:smallCaps w:val="0"/>
          <w:color w:val="auto"/>
          <w:spacing w:val="0"/>
          <w:w w:val="100"/>
          <w:sz w:val="30"/>
          <w:szCs w:val="30"/>
          <w:highlight w:val="none"/>
          <w:lang w:eastAsia="zh-CN"/>
        </w:rPr>
        <w:t>%；工程监理费54.2</w:t>
      </w:r>
      <w:r>
        <w:rPr>
          <w:rFonts w:hint="eastAsia" w:ascii="Times New Roman" w:hAnsi="Times New Roman" w:eastAsia="宋体" w:cs="Times New Roman"/>
          <w:smallCaps w:val="0"/>
          <w:color w:val="auto"/>
          <w:spacing w:val="0"/>
          <w:w w:val="100"/>
          <w:sz w:val="30"/>
          <w:szCs w:val="30"/>
          <w:highlight w:val="none"/>
          <w:lang w:val="en-US" w:eastAsia="zh-CN"/>
        </w:rPr>
        <w:t>8</w:t>
      </w:r>
      <w:r>
        <w:rPr>
          <w:rFonts w:hint="default" w:ascii="Times New Roman" w:hAnsi="Times New Roman" w:eastAsia="宋体" w:cs="Times New Roman"/>
          <w:smallCaps w:val="0"/>
          <w:color w:val="auto"/>
          <w:spacing w:val="0"/>
          <w:w w:val="100"/>
          <w:sz w:val="30"/>
          <w:szCs w:val="30"/>
          <w:highlight w:val="none"/>
          <w:lang w:eastAsia="zh-CN"/>
        </w:rPr>
        <w:t>万元，占总投资的1.</w:t>
      </w:r>
      <w:r>
        <w:rPr>
          <w:rFonts w:hint="default" w:ascii="Times New Roman" w:hAnsi="Times New Roman" w:eastAsia="宋体" w:cs="Times New Roman"/>
          <w:smallCaps w:val="0"/>
          <w:color w:val="auto"/>
          <w:spacing w:val="0"/>
          <w:w w:val="100"/>
          <w:sz w:val="30"/>
          <w:szCs w:val="30"/>
          <w:highlight w:val="none"/>
          <w:lang w:val="en-US" w:eastAsia="zh-CN"/>
        </w:rPr>
        <w:t>55</w:t>
      </w:r>
      <w:r>
        <w:rPr>
          <w:rFonts w:hint="default" w:ascii="Times New Roman" w:hAnsi="Times New Roman" w:eastAsia="宋体" w:cs="Times New Roman"/>
          <w:smallCaps w:val="0"/>
          <w:color w:val="auto"/>
          <w:spacing w:val="0"/>
          <w:w w:val="100"/>
          <w:sz w:val="30"/>
          <w:szCs w:val="30"/>
          <w:highlight w:val="none"/>
          <w:lang w:eastAsia="zh-CN"/>
        </w:rPr>
        <w:t>%；工程勘测设计费7</w:t>
      </w:r>
      <w:r>
        <w:rPr>
          <w:rFonts w:hint="eastAsia" w:ascii="Times New Roman" w:hAnsi="Times New Roman" w:eastAsia="宋体" w:cs="Times New Roman"/>
          <w:smallCaps w:val="0"/>
          <w:color w:val="auto"/>
          <w:spacing w:val="0"/>
          <w:w w:val="100"/>
          <w:sz w:val="30"/>
          <w:szCs w:val="30"/>
          <w:highlight w:val="none"/>
          <w:lang w:val="en-US" w:eastAsia="zh-CN"/>
        </w:rPr>
        <w:t>0.84</w:t>
      </w:r>
      <w:r>
        <w:rPr>
          <w:rFonts w:hint="default" w:ascii="Times New Roman" w:hAnsi="Times New Roman" w:eastAsia="宋体" w:cs="Times New Roman"/>
          <w:smallCaps w:val="0"/>
          <w:color w:val="auto"/>
          <w:spacing w:val="0"/>
          <w:w w:val="100"/>
          <w:sz w:val="30"/>
          <w:szCs w:val="30"/>
          <w:highlight w:val="none"/>
          <w:lang w:eastAsia="zh-CN"/>
        </w:rPr>
        <w:t>万元，占总投资的2.</w:t>
      </w:r>
      <w:r>
        <w:rPr>
          <w:rFonts w:hint="default" w:ascii="Times New Roman" w:hAnsi="Times New Roman" w:eastAsia="宋体" w:cs="Times New Roman"/>
          <w:smallCaps w:val="0"/>
          <w:color w:val="auto"/>
          <w:spacing w:val="0"/>
          <w:w w:val="100"/>
          <w:sz w:val="30"/>
          <w:szCs w:val="30"/>
          <w:highlight w:val="none"/>
          <w:lang w:val="en-US" w:eastAsia="zh-CN"/>
        </w:rPr>
        <w:t>0</w:t>
      </w:r>
      <w:r>
        <w:rPr>
          <w:rFonts w:hint="eastAsia"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%；其他</w:t>
      </w:r>
      <w:r>
        <w:rPr>
          <w:rFonts w:hint="default" w:ascii="Times New Roman" w:hAnsi="Times New Roman" w:eastAsia="宋体" w:cs="Times New Roman"/>
          <w:smallCaps w:val="0"/>
          <w:color w:val="auto"/>
          <w:spacing w:val="0"/>
          <w:w w:val="100"/>
          <w:sz w:val="30"/>
          <w:szCs w:val="30"/>
          <w:highlight w:val="none"/>
          <w:lang w:val="en-US" w:eastAsia="zh-CN"/>
        </w:rPr>
        <w:t>投资23.1万元，占总投资的0.66%）基本预备费166.67万元，占总投</w:t>
      </w:r>
      <w:r>
        <w:rPr>
          <w:rFonts w:hint="default" w:ascii="Times New Roman" w:hAnsi="Times New Roman" w:eastAsia="宋体" w:cs="Times New Roman"/>
          <w:smallCaps w:val="0"/>
          <w:color w:val="auto"/>
          <w:spacing w:val="0"/>
          <w:w w:val="100"/>
          <w:sz w:val="30"/>
          <w:szCs w:val="30"/>
          <w:highlight w:val="none"/>
          <w:lang w:eastAsia="zh-CN"/>
        </w:rPr>
        <w:t>资的</w:t>
      </w:r>
      <w:r>
        <w:rPr>
          <w:rFonts w:hint="default" w:ascii="Times New Roman" w:hAnsi="Times New Roman" w:eastAsia="宋体" w:cs="Times New Roman"/>
          <w:smallCaps w:val="0"/>
          <w:color w:val="auto"/>
          <w:spacing w:val="0"/>
          <w:w w:val="100"/>
          <w:sz w:val="30"/>
          <w:szCs w:val="30"/>
          <w:highlight w:val="none"/>
          <w:lang w:val="en-US" w:eastAsia="zh-CN"/>
        </w:rPr>
        <w:t>4.76</w:t>
      </w:r>
      <w:r>
        <w:rPr>
          <w:rFonts w:hint="default" w:ascii="Times New Roman" w:hAnsi="Times New Roman" w:eastAsia="宋体" w:cs="Times New Roman"/>
          <w:smallCaps w:val="0"/>
          <w:color w:val="auto"/>
          <w:spacing w:val="0"/>
          <w:w w:val="100"/>
          <w:sz w:val="30"/>
          <w:szCs w:val="30"/>
          <w:highlight w:val="none"/>
          <w:lang w:eastAsia="zh-CN"/>
        </w:rPr>
        <w:t>%。</w:t>
      </w:r>
    </w:p>
    <w:p w14:paraId="06A2557C">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21" w:name="_Toc7469"/>
      <w:r>
        <w:rPr>
          <w:rFonts w:hint="default" w:ascii="Times New Roman" w:hAnsi="Times New Roman" w:eastAsia="宋体" w:cs="Times New Roman"/>
          <w:smallCaps w:val="0"/>
          <w:color w:val="auto"/>
          <w:spacing w:val="0"/>
          <w:w w:val="100"/>
          <w:highlight w:val="none"/>
        </w:rPr>
        <w:t>1.3.2 资金筹措</w:t>
      </w:r>
      <w:bookmarkEnd w:id="21"/>
    </w:p>
    <w:p w14:paraId="67E66B17">
      <w:pPr>
        <w:kinsoku/>
        <w:spacing w:before="265" w:line="375" w:lineRule="auto"/>
        <w:ind w:left="41" w:right="84" w:firstLine="62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项目总投资3500万元，其中：中央</w:t>
      </w:r>
      <w:r>
        <w:rPr>
          <w:rFonts w:hint="default" w:ascii="Times New Roman" w:hAnsi="Times New Roman" w:eastAsia="宋体" w:cs="Times New Roman"/>
          <w:smallCaps w:val="0"/>
          <w:color w:val="auto"/>
          <w:spacing w:val="0"/>
          <w:w w:val="100"/>
          <w:sz w:val="30"/>
          <w:szCs w:val="30"/>
          <w:highlight w:val="none"/>
          <w:lang w:val="en-US" w:eastAsia="zh-CN"/>
        </w:rPr>
        <w:t>、省级财政资金</w:t>
      </w:r>
      <w:r>
        <w:rPr>
          <w:rFonts w:hint="default" w:ascii="Times New Roman" w:hAnsi="Times New Roman" w:eastAsia="宋体" w:cs="Times New Roman"/>
          <w:smallCaps w:val="0"/>
          <w:color w:val="auto"/>
          <w:spacing w:val="0"/>
          <w:w w:val="100"/>
          <w:sz w:val="30"/>
          <w:szCs w:val="30"/>
          <w:highlight w:val="none"/>
          <w:lang w:eastAsia="zh-CN"/>
        </w:rPr>
        <w:t>2900万元（</w:t>
      </w:r>
      <w:r>
        <w:rPr>
          <w:rFonts w:hint="default" w:ascii="Times New Roman" w:hAnsi="Times New Roman" w:eastAsia="宋体" w:cs="Times New Roman"/>
          <w:smallCaps w:val="0"/>
          <w:color w:val="auto"/>
          <w:spacing w:val="0"/>
          <w:w w:val="100"/>
          <w:sz w:val="30"/>
          <w:szCs w:val="30"/>
          <w:highlight w:val="none"/>
          <w:lang w:val="en-US" w:eastAsia="zh-CN"/>
        </w:rPr>
        <w:t>中央</w:t>
      </w:r>
      <w:r>
        <w:rPr>
          <w:rFonts w:hint="default" w:ascii="Times New Roman" w:hAnsi="Times New Roman" w:eastAsia="宋体" w:cs="Times New Roman"/>
          <w:smallCaps w:val="0"/>
          <w:color w:val="auto"/>
          <w:spacing w:val="0"/>
          <w:w w:val="100"/>
          <w:sz w:val="30"/>
          <w:szCs w:val="30"/>
          <w:highlight w:val="none"/>
          <w:lang w:eastAsia="zh-CN"/>
        </w:rPr>
        <w:t>2400/亩、省级500元/亩）、州级财政资金100万元（100元/亩），县级配套资金计划投资500万元。</w:t>
      </w:r>
    </w:p>
    <w:p w14:paraId="10DD0874">
      <w:pPr>
        <w:kinsoku/>
        <w:spacing w:before="50" w:line="220" w:lineRule="auto"/>
        <w:ind w:left="48"/>
        <w:outlineLvl w:val="1"/>
        <w:rPr>
          <w:rFonts w:hint="default" w:ascii="Times New Roman" w:hAnsi="Times New Roman" w:eastAsia="宋体" w:cs="Times New Roman"/>
          <w:smallCaps w:val="0"/>
          <w:color w:val="auto"/>
          <w:spacing w:val="0"/>
          <w:w w:val="100"/>
          <w:sz w:val="30"/>
          <w:szCs w:val="30"/>
          <w:highlight w:val="none"/>
          <w:lang w:eastAsia="zh-CN"/>
        </w:rPr>
      </w:pPr>
      <w:bookmarkStart w:id="22" w:name="_Toc2425"/>
      <w:bookmarkStart w:id="23" w:name="_Toc27347"/>
      <w:bookmarkStart w:id="24" w:name="_Toc25816"/>
      <w:r>
        <w:rPr>
          <w:rFonts w:hint="default" w:ascii="Times New Roman" w:hAnsi="Times New Roman" w:eastAsia="宋体" w:cs="Times New Roman"/>
          <w:b/>
          <w:bCs/>
          <w:smallCaps w:val="0"/>
          <w:color w:val="auto"/>
          <w:spacing w:val="0"/>
          <w:w w:val="100"/>
          <w:sz w:val="30"/>
          <w:szCs w:val="30"/>
          <w:highlight w:val="none"/>
          <w:lang w:eastAsia="zh-CN"/>
        </w:rPr>
        <w:t>1.4 项目组织实施</w:t>
      </w:r>
      <w:bookmarkEnd w:id="22"/>
      <w:bookmarkEnd w:id="23"/>
      <w:bookmarkEnd w:id="24"/>
    </w:p>
    <w:p w14:paraId="06F8A02B">
      <w:pPr>
        <w:kinsoku/>
        <w:spacing w:line="560" w:lineRule="exact"/>
        <w:ind w:left="41" w:right="80" w:firstLine="603"/>
        <w:jc w:val="both"/>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项目投资主要为高标准农田建设资金，由项目业主（甘孜县农牧农村和科技局）采取招投标方式实施。项目成立工作领导机构，实行</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农牧农村和科技局牵头、相关单位参与、项目镇（乡）与业主负责具体落实与实施</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的管理体制，自上而下建起一套完整的组织管理体系。</w:t>
      </w:r>
    </w:p>
    <w:p w14:paraId="0B253B23">
      <w:pPr>
        <w:kinsoku/>
        <w:spacing w:line="560" w:lineRule="exact"/>
        <w:ind w:left="48"/>
        <w:outlineLvl w:val="1"/>
        <w:rPr>
          <w:rFonts w:hint="default" w:ascii="Times New Roman" w:hAnsi="Times New Roman" w:eastAsia="宋体" w:cs="Times New Roman"/>
          <w:smallCaps w:val="0"/>
          <w:color w:val="auto"/>
          <w:spacing w:val="0"/>
          <w:w w:val="100"/>
          <w:sz w:val="30"/>
          <w:szCs w:val="30"/>
          <w:highlight w:val="none"/>
          <w:lang w:eastAsia="zh-CN"/>
        </w:rPr>
      </w:pPr>
      <w:bookmarkStart w:id="25" w:name="bookmark52"/>
      <w:bookmarkEnd w:id="25"/>
      <w:bookmarkStart w:id="26" w:name="_Toc4775"/>
      <w:bookmarkStart w:id="27" w:name="_Toc5814"/>
      <w:bookmarkStart w:id="28" w:name="_Toc24380"/>
      <w:r>
        <w:rPr>
          <w:rFonts w:hint="default" w:ascii="Times New Roman" w:hAnsi="Times New Roman" w:eastAsia="宋体" w:cs="Times New Roman"/>
          <w:b/>
          <w:bCs/>
          <w:smallCaps w:val="0"/>
          <w:color w:val="auto"/>
          <w:spacing w:val="0"/>
          <w:w w:val="100"/>
          <w:sz w:val="30"/>
          <w:szCs w:val="30"/>
          <w:highlight w:val="none"/>
          <w:lang w:eastAsia="zh-CN"/>
        </w:rPr>
        <w:t>1.5</w:t>
      </w:r>
      <w:bookmarkStart w:id="29" w:name="_Hlk172104932"/>
      <w:r>
        <w:rPr>
          <w:rFonts w:hint="default" w:ascii="Times New Roman" w:hAnsi="Times New Roman" w:eastAsia="宋体" w:cs="Times New Roman"/>
          <w:b/>
          <w:bCs/>
          <w:smallCaps w:val="0"/>
          <w:color w:val="auto"/>
          <w:spacing w:val="0"/>
          <w:w w:val="100"/>
          <w:sz w:val="30"/>
          <w:szCs w:val="30"/>
          <w:highlight w:val="none"/>
          <w:lang w:eastAsia="zh-CN"/>
        </w:rPr>
        <w:t xml:space="preserve"> 水土保持</w:t>
      </w:r>
      <w:bookmarkEnd w:id="29"/>
      <w:r>
        <w:rPr>
          <w:rFonts w:hint="default" w:ascii="Times New Roman" w:hAnsi="Times New Roman" w:eastAsia="宋体" w:cs="Times New Roman"/>
          <w:b/>
          <w:bCs/>
          <w:smallCaps w:val="0"/>
          <w:color w:val="auto"/>
          <w:spacing w:val="0"/>
          <w:w w:val="100"/>
          <w:sz w:val="30"/>
          <w:szCs w:val="30"/>
          <w:highlight w:val="none"/>
          <w:lang w:eastAsia="zh-CN"/>
        </w:rPr>
        <w:t>及环境影响评价</w:t>
      </w:r>
      <w:bookmarkEnd w:id="26"/>
      <w:bookmarkEnd w:id="27"/>
      <w:bookmarkEnd w:id="28"/>
    </w:p>
    <w:p w14:paraId="576F29D2">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30" w:name="_Toc31151"/>
      <w:r>
        <w:rPr>
          <w:rFonts w:hint="default" w:ascii="Times New Roman" w:hAnsi="Times New Roman" w:eastAsia="宋体" w:cs="Times New Roman"/>
          <w:smallCaps w:val="0"/>
          <w:color w:val="auto"/>
          <w:spacing w:val="0"/>
          <w:w w:val="100"/>
          <w:highlight w:val="none"/>
        </w:rPr>
        <w:t>1.5.1 水土保持</w:t>
      </w:r>
      <w:bookmarkEnd w:id="30"/>
    </w:p>
    <w:p w14:paraId="286F00B8">
      <w:pPr>
        <w:kinsoku/>
        <w:spacing w:line="560" w:lineRule="exact"/>
        <w:ind w:left="41" w:right="8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按《生产建设项目水土保持技术标准》（GB50433-2018）规定，根据对建设区自然环境和水土流失现状调查的基础上，通过对工程布置的分析，结合本工程的特点，根据</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谁开发谁保护，谁造成水土流失谁负责治理</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的原则，项目建设单位应负责对工程建设过程中造成的新增水土流失进行治理。本项目水土流失防治责任范围包括项目建设区和直接影响区。</w:t>
      </w:r>
    </w:p>
    <w:p w14:paraId="52ACB8AF">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31" w:name="_Toc21525"/>
      <w:r>
        <w:rPr>
          <w:rFonts w:hint="default" w:ascii="Times New Roman" w:hAnsi="Times New Roman" w:eastAsia="宋体" w:cs="Times New Roman"/>
          <w:smallCaps w:val="0"/>
          <w:color w:val="auto"/>
          <w:spacing w:val="0"/>
          <w:w w:val="100"/>
          <w:highlight w:val="none"/>
        </w:rPr>
        <w:t>1.5.2 环境影响</w:t>
      </w:r>
      <w:bookmarkEnd w:id="31"/>
    </w:p>
    <w:p w14:paraId="28B47F4B">
      <w:pPr>
        <w:kinsoku/>
        <w:spacing w:line="560" w:lineRule="exact"/>
        <w:ind w:left="40"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本工程属于非污染生态影响建设项目，根据工程特点和工程布置情况，结合评价区环境功能要求，确定环境保护目标如下：</w:t>
      </w:r>
    </w:p>
    <w:p w14:paraId="4AE99FCF">
      <w:pPr>
        <w:kinsoku/>
        <w:spacing w:line="560" w:lineRule="exact"/>
        <w:ind w:left="40"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在分析研究区域和工程影响地区的自然、生态、社会环境现状调查的基础上，根据工程总体布置及其开发利用方式，针对评价区的生态环境现状，明确有无制约工程建设的环境因素，分析预测工程建设对周边环境的影响范围和程度，预测评价区环境总体变化趋势。</w:t>
      </w:r>
    </w:p>
    <w:p w14:paraId="3A08F7B9">
      <w:pPr>
        <w:kinsoku/>
        <w:spacing w:line="560" w:lineRule="exact"/>
        <w:ind w:left="40"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根据工程布置和施工组织设计，将工程建设的生态影响，水土流失影响、施工期环境影响以及工程拟采取的环保措施论证等进行分析和评价，提出不利影响减免和改善措施，以及工程施工过程中进一步优化设计的环保意见，规范施工活动，实现项目建设与自然、经济、环境的协调和可持续发展。</w:t>
      </w:r>
    </w:p>
    <w:p w14:paraId="3047B421">
      <w:pPr>
        <w:kinsoku/>
        <w:spacing w:line="560" w:lineRule="exact"/>
        <w:ind w:left="40"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（3）从环境保护角度论证工程建设的可行性和合理性，并落实环保责任，为管理部门提供实施监督和管理的对策，为主管部门决策和工程设计提供依据。</w:t>
      </w:r>
    </w:p>
    <w:p w14:paraId="45F4892A">
      <w:pPr>
        <w:kinsoku/>
        <w:spacing w:line="560" w:lineRule="exact"/>
        <w:ind w:left="48"/>
        <w:outlineLvl w:val="1"/>
        <w:rPr>
          <w:rFonts w:hint="default" w:ascii="Times New Roman" w:hAnsi="Times New Roman" w:eastAsia="宋体" w:cs="Times New Roman"/>
          <w:smallCaps w:val="0"/>
          <w:color w:val="auto"/>
          <w:spacing w:val="0"/>
          <w:w w:val="100"/>
          <w:sz w:val="30"/>
          <w:szCs w:val="30"/>
          <w:highlight w:val="none"/>
          <w:lang w:eastAsia="zh-CN"/>
        </w:rPr>
      </w:pPr>
      <w:bookmarkStart w:id="32" w:name="_Toc14636"/>
      <w:bookmarkStart w:id="33" w:name="_Toc11392"/>
      <w:bookmarkStart w:id="34" w:name="_Toc4305"/>
      <w:r>
        <w:rPr>
          <w:rFonts w:hint="default" w:ascii="Times New Roman" w:hAnsi="Times New Roman" w:eastAsia="宋体" w:cs="Times New Roman"/>
          <w:b/>
          <w:bCs/>
          <w:smallCaps w:val="0"/>
          <w:color w:val="auto"/>
          <w:spacing w:val="0"/>
          <w:w w:val="100"/>
          <w:sz w:val="30"/>
          <w:szCs w:val="30"/>
          <w:highlight w:val="none"/>
          <w:lang w:eastAsia="zh-CN"/>
        </w:rPr>
        <w:t>1.6项目改革与管理</w:t>
      </w:r>
      <w:bookmarkEnd w:id="32"/>
      <w:bookmarkEnd w:id="33"/>
      <w:bookmarkEnd w:id="34"/>
    </w:p>
    <w:p w14:paraId="7C285A69">
      <w:pPr>
        <w:kinsoku/>
        <w:spacing w:line="560" w:lineRule="exact"/>
        <w:ind w:left="40"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建设项目完成后，通过上级检查验收，及时完成建成项目的移交。甘孜县农牧农村和科技局可组织制定项目管理维护制度，制定保护公约，层层落实责任，建立专业管理维护组织，落实管理维护人员和资金，延长项目寿命，长期受益。</w:t>
      </w:r>
    </w:p>
    <w:p w14:paraId="11510CCD">
      <w:pPr>
        <w:kinsoku/>
        <w:spacing w:line="560" w:lineRule="exact"/>
        <w:ind w:left="40" w:leftChars="0" w:firstLine="601" w:firstLineChars="0"/>
        <w:outlineLvl w:val="2"/>
        <w:rPr>
          <w:rFonts w:hint="default" w:ascii="Times New Roman" w:hAnsi="Times New Roman" w:eastAsia="宋体" w:cs="Times New Roman"/>
          <w:smallCaps w:val="0"/>
          <w:color w:val="auto"/>
          <w:spacing w:val="0"/>
          <w:w w:val="100"/>
          <w:sz w:val="30"/>
          <w:szCs w:val="30"/>
          <w:highlight w:val="none"/>
          <w:lang w:eastAsia="zh-CN"/>
        </w:rPr>
      </w:pPr>
      <w:bookmarkStart w:id="35" w:name="_Toc29846"/>
      <w:bookmarkStart w:id="36" w:name="_Toc32238"/>
      <w:bookmarkStart w:id="37" w:name="_Toc12078"/>
      <w:bookmarkStart w:id="38" w:name="_Toc2078"/>
      <w:bookmarkStart w:id="39" w:name="_Toc23362"/>
      <w:r>
        <w:rPr>
          <w:rFonts w:hint="default" w:ascii="Times New Roman" w:hAnsi="Times New Roman" w:eastAsia="宋体" w:cs="Times New Roman"/>
          <w:smallCaps w:val="0"/>
          <w:color w:val="auto"/>
          <w:spacing w:val="0"/>
          <w:w w:val="100"/>
          <w:sz w:val="30"/>
          <w:szCs w:val="30"/>
          <w:highlight w:val="none"/>
          <w:lang w:val="en-US" w:eastAsia="zh-CN"/>
        </w:rPr>
        <w:t>1.6.1</w:t>
      </w:r>
      <w:r>
        <w:rPr>
          <w:rFonts w:hint="default" w:ascii="Times New Roman" w:hAnsi="Times New Roman" w:eastAsia="宋体" w:cs="Times New Roman"/>
          <w:smallCaps w:val="0"/>
          <w:color w:val="auto"/>
          <w:spacing w:val="0"/>
          <w:w w:val="100"/>
          <w:sz w:val="30"/>
          <w:szCs w:val="30"/>
          <w:highlight w:val="none"/>
          <w:lang w:eastAsia="zh-CN"/>
        </w:rPr>
        <w:t>建立用水系统</w:t>
      </w:r>
      <w:bookmarkEnd w:id="35"/>
      <w:bookmarkEnd w:id="36"/>
      <w:bookmarkEnd w:id="37"/>
      <w:bookmarkEnd w:id="38"/>
      <w:bookmarkEnd w:id="39"/>
    </w:p>
    <w:p w14:paraId="2FD7C667">
      <w:pPr>
        <w:kinsoku/>
        <w:spacing w:line="560" w:lineRule="exact"/>
        <w:ind w:left="40"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根据作物需水季节和需水量，本着节约用水的原则，制定用水计划，实现有序用水，减少农田灌溉高峰期水事纠纷，有效服务受益群众。</w:t>
      </w:r>
    </w:p>
    <w:p w14:paraId="03E32B1F">
      <w:pPr>
        <w:kinsoku/>
        <w:spacing w:line="560" w:lineRule="exact"/>
        <w:ind w:left="40" w:leftChars="0" w:firstLine="601" w:firstLineChars="0"/>
        <w:outlineLvl w:val="2"/>
        <w:rPr>
          <w:rFonts w:hint="default" w:ascii="Times New Roman" w:hAnsi="Times New Roman" w:eastAsia="宋体" w:cs="Times New Roman"/>
          <w:smallCaps w:val="0"/>
          <w:color w:val="auto"/>
          <w:spacing w:val="0"/>
          <w:w w:val="100"/>
          <w:sz w:val="30"/>
          <w:szCs w:val="30"/>
          <w:highlight w:val="none"/>
          <w:lang w:eastAsia="zh-CN"/>
        </w:rPr>
      </w:pPr>
      <w:bookmarkStart w:id="40" w:name="_Toc29507"/>
      <w:bookmarkStart w:id="41" w:name="_Toc23306"/>
      <w:bookmarkStart w:id="42" w:name="_Toc3250"/>
      <w:bookmarkStart w:id="43" w:name="_Toc6090"/>
      <w:bookmarkStart w:id="44" w:name="_Toc5462"/>
      <w:r>
        <w:rPr>
          <w:rFonts w:hint="default" w:ascii="Times New Roman" w:hAnsi="Times New Roman" w:eastAsia="宋体" w:cs="Times New Roman"/>
          <w:smallCaps w:val="0"/>
          <w:color w:val="auto"/>
          <w:spacing w:val="0"/>
          <w:w w:val="100"/>
          <w:sz w:val="30"/>
          <w:szCs w:val="30"/>
          <w:highlight w:val="none"/>
          <w:lang w:val="en-US" w:eastAsia="zh-CN"/>
        </w:rPr>
        <w:t>1.6.2</w:t>
      </w:r>
      <w:r>
        <w:rPr>
          <w:rFonts w:hint="default" w:ascii="Times New Roman" w:hAnsi="Times New Roman" w:eastAsia="宋体" w:cs="Times New Roman"/>
          <w:smallCaps w:val="0"/>
          <w:color w:val="auto"/>
          <w:spacing w:val="0"/>
          <w:w w:val="100"/>
          <w:sz w:val="30"/>
          <w:szCs w:val="30"/>
          <w:highlight w:val="none"/>
          <w:lang w:eastAsia="zh-CN"/>
        </w:rPr>
        <w:t>工程管护</w:t>
      </w:r>
      <w:bookmarkEnd w:id="40"/>
      <w:bookmarkEnd w:id="41"/>
      <w:bookmarkEnd w:id="42"/>
      <w:bookmarkEnd w:id="43"/>
      <w:bookmarkEnd w:id="44"/>
    </w:p>
    <w:p w14:paraId="3CFA059A">
      <w:pPr>
        <w:kinsoku/>
        <w:spacing w:line="560" w:lineRule="exact"/>
        <w:ind w:left="40"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严格按照有关高标准农田建设项目的管理规定执行，认真做好项目管理，充分发挥项目的作用和效益。</w:t>
      </w:r>
    </w:p>
    <w:p w14:paraId="3F87AFCE">
      <w:pPr>
        <w:kinsoku/>
        <w:spacing w:line="560" w:lineRule="exact"/>
        <w:ind w:left="40" w:leftChars="0" w:firstLine="601" w:firstLineChars="0"/>
        <w:outlineLvl w:val="2"/>
        <w:rPr>
          <w:rFonts w:hint="default" w:ascii="Times New Roman" w:hAnsi="Times New Roman" w:eastAsia="宋体" w:cs="Times New Roman"/>
          <w:smallCaps w:val="0"/>
          <w:color w:val="auto"/>
          <w:spacing w:val="0"/>
          <w:w w:val="100"/>
          <w:sz w:val="30"/>
          <w:szCs w:val="30"/>
          <w:highlight w:val="none"/>
          <w:lang w:eastAsia="zh-CN"/>
        </w:rPr>
      </w:pPr>
      <w:bookmarkStart w:id="45" w:name="_Toc31243"/>
      <w:bookmarkStart w:id="46" w:name="_Toc19982"/>
      <w:bookmarkStart w:id="47" w:name="_Toc30468"/>
      <w:bookmarkStart w:id="48" w:name="_Toc22583"/>
      <w:bookmarkStart w:id="49" w:name="_Toc1536"/>
      <w:r>
        <w:rPr>
          <w:rFonts w:hint="default" w:ascii="Times New Roman" w:hAnsi="Times New Roman" w:eastAsia="宋体" w:cs="Times New Roman"/>
          <w:smallCaps w:val="0"/>
          <w:color w:val="auto"/>
          <w:spacing w:val="0"/>
          <w:w w:val="100"/>
          <w:sz w:val="30"/>
          <w:szCs w:val="30"/>
          <w:highlight w:val="none"/>
          <w:lang w:val="en-US" w:eastAsia="zh-CN"/>
        </w:rPr>
        <w:t>1.6.3</w:t>
      </w:r>
      <w:r>
        <w:rPr>
          <w:rFonts w:hint="default" w:ascii="Times New Roman" w:hAnsi="Times New Roman" w:eastAsia="宋体" w:cs="Times New Roman"/>
          <w:smallCaps w:val="0"/>
          <w:color w:val="auto"/>
          <w:spacing w:val="0"/>
          <w:w w:val="100"/>
          <w:sz w:val="30"/>
          <w:szCs w:val="30"/>
          <w:highlight w:val="none"/>
          <w:lang w:eastAsia="zh-CN"/>
        </w:rPr>
        <w:t>加强技术指导，做好技术培训</w:t>
      </w:r>
      <w:bookmarkEnd w:id="45"/>
      <w:bookmarkEnd w:id="46"/>
      <w:bookmarkEnd w:id="47"/>
      <w:bookmarkEnd w:id="48"/>
      <w:bookmarkEnd w:id="49"/>
    </w:p>
    <w:p w14:paraId="2BDDB27D">
      <w:pPr>
        <w:kinsoku/>
        <w:spacing w:line="560" w:lineRule="exact"/>
        <w:ind w:left="40"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积极推进项目区先进农业应用技术，发展优质、高产、高效农业，实现土地利用与土地养护相结合。通过一段时间的努力，将项目区建设成高产稳产的基本农田，提高农业生产能力，促进农业效率的持续提高，增加农民收入。</w:t>
      </w:r>
    </w:p>
    <w:p w14:paraId="33217039">
      <w:pPr>
        <w:kinsoku/>
        <w:spacing w:before="43" w:line="220" w:lineRule="auto"/>
        <w:ind w:left="48"/>
        <w:outlineLvl w:val="1"/>
        <w:rPr>
          <w:rFonts w:hint="default" w:ascii="Times New Roman" w:hAnsi="Times New Roman" w:eastAsia="宋体" w:cs="Times New Roman"/>
          <w:smallCaps w:val="0"/>
          <w:color w:val="auto"/>
          <w:spacing w:val="0"/>
          <w:w w:val="100"/>
          <w:sz w:val="30"/>
          <w:szCs w:val="30"/>
          <w:highlight w:val="none"/>
          <w:lang w:eastAsia="zh-CN"/>
        </w:rPr>
      </w:pPr>
      <w:bookmarkStart w:id="50" w:name="_Toc3557"/>
      <w:bookmarkStart w:id="51" w:name="_Toc10186"/>
      <w:bookmarkStart w:id="52" w:name="_Toc12580"/>
      <w:r>
        <w:rPr>
          <w:rFonts w:hint="default" w:ascii="Times New Roman" w:hAnsi="Times New Roman" w:eastAsia="宋体" w:cs="Times New Roman"/>
          <w:b/>
          <w:bCs/>
          <w:smallCaps w:val="0"/>
          <w:color w:val="auto"/>
          <w:spacing w:val="0"/>
          <w:w w:val="100"/>
          <w:sz w:val="30"/>
          <w:szCs w:val="30"/>
          <w:highlight w:val="none"/>
          <w:lang w:eastAsia="zh-CN"/>
        </w:rPr>
        <w:t>1.7 项目效益</w:t>
      </w:r>
      <w:bookmarkEnd w:id="50"/>
      <w:bookmarkEnd w:id="51"/>
      <w:bookmarkEnd w:id="52"/>
    </w:p>
    <w:p w14:paraId="24DAFAC6">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53" w:name="_Toc22992"/>
      <w:r>
        <w:rPr>
          <w:rFonts w:hint="default" w:ascii="Times New Roman" w:hAnsi="Times New Roman" w:eastAsia="宋体" w:cs="Times New Roman"/>
          <w:smallCaps w:val="0"/>
          <w:color w:val="auto"/>
          <w:spacing w:val="0"/>
          <w:w w:val="100"/>
          <w:highlight w:val="none"/>
        </w:rPr>
        <w:t>1.7.1 经济效益</w:t>
      </w:r>
      <w:bookmarkEnd w:id="53"/>
    </w:p>
    <w:p w14:paraId="0BE5E5CD">
      <w:pPr>
        <w:kinsoku/>
        <w:spacing w:before="270" w:line="375" w:lineRule="auto"/>
        <w:ind w:left="40" w:firstLine="64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政策支持带来机遇：国家和地方政府对甘孜地区有一系列扶持政策，如《甘孜州进一步激发市场活力推动经济运行持续向好16条政策措施》《甘孜州有机产业发展规划（2023-2030）》等甘孜县人民政府。随着这些政策的落实落地，将在产业培育、企业扶持、市场活力激发等方面发挥积极作用，为甘孜县经济效益提升创造良好政策环境。</w:t>
      </w:r>
    </w:p>
    <w:p w14:paraId="475A3CA8">
      <w:pPr>
        <w:kinsoku/>
        <w:spacing w:before="270" w:line="375" w:lineRule="auto"/>
        <w:ind w:left="40" w:firstLine="647"/>
        <w:jc w:val="both"/>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项目实施前，项目区以种植青稞、马铃薯为主。通过项目的实施，项目区仍以种植青稞、马铃薯为主。项目建成后，通过进行基础设施的建设，改善了项目区农田排灌条件，提高了土壤肥力，改</w:t>
      </w:r>
      <w:r>
        <w:rPr>
          <w:rFonts w:hint="eastAsia" w:ascii="Times New Roman" w:hAnsi="Times New Roman" w:eastAsia="宋体" w:cs="Times New Roman"/>
          <w:smallCaps w:val="0"/>
          <w:color w:val="auto"/>
          <w:spacing w:val="0"/>
          <w:w w:val="100"/>
          <w:sz w:val="30"/>
          <w:szCs w:val="30"/>
          <w:highlight w:val="none"/>
          <w:lang w:eastAsia="zh-CN"/>
        </w:rPr>
        <w:t>善了</w:t>
      </w:r>
      <w:r>
        <w:rPr>
          <w:rFonts w:hint="default" w:ascii="Times New Roman" w:hAnsi="Times New Roman" w:eastAsia="宋体" w:cs="Times New Roman"/>
          <w:smallCaps w:val="0"/>
          <w:color w:val="auto"/>
          <w:spacing w:val="0"/>
          <w:w w:val="100"/>
          <w:sz w:val="30"/>
          <w:szCs w:val="30"/>
          <w:highlight w:val="none"/>
          <w:lang w:eastAsia="zh-CN"/>
        </w:rPr>
        <w:t>灌溉面积10000亩，带动区域经济发展。</w:t>
      </w:r>
      <w:r>
        <w:rPr>
          <w:rFonts w:hint="default" w:ascii="Times New Roman" w:hAnsi="Times New Roman" w:eastAsia="宋体" w:cs="Times New Roman"/>
          <w:smallCaps w:val="0"/>
          <w:color w:val="auto"/>
          <w:spacing w:val="0"/>
          <w:w w:val="100"/>
          <w:sz w:val="30"/>
          <w:szCs w:val="30"/>
          <w:highlight w:val="none"/>
          <w:lang w:val="en-US" w:eastAsia="zh-CN"/>
        </w:rPr>
        <w:t>本项目实施后</w:t>
      </w:r>
      <w:r>
        <w:rPr>
          <w:rFonts w:hint="default" w:ascii="Times New Roman" w:hAnsi="Times New Roman" w:eastAsia="宋体" w:cs="Times New Roman"/>
          <w:smallCaps w:val="0"/>
          <w:color w:val="auto"/>
          <w:spacing w:val="0"/>
          <w:w w:val="100"/>
          <w:sz w:val="30"/>
          <w:szCs w:val="30"/>
          <w:highlight w:val="none"/>
          <w:lang w:eastAsia="zh-CN"/>
        </w:rPr>
        <w:t>预计效益，新增青稞年生产能力</w:t>
      </w:r>
      <w:r>
        <w:rPr>
          <w:rFonts w:hint="default" w:ascii="Times New Roman" w:hAnsi="Times New Roman" w:eastAsia="宋体" w:cs="Times New Roman"/>
          <w:smallCaps w:val="0"/>
          <w:color w:val="auto"/>
          <w:spacing w:val="0"/>
          <w:w w:val="100"/>
          <w:sz w:val="30"/>
          <w:szCs w:val="30"/>
          <w:highlight w:val="none"/>
          <w:lang w:val="en-US" w:eastAsia="zh-CN"/>
        </w:rPr>
        <w:t>16.11</w:t>
      </w:r>
      <w:r>
        <w:rPr>
          <w:rFonts w:hint="default" w:ascii="Times New Roman" w:hAnsi="Times New Roman" w:eastAsia="宋体" w:cs="Times New Roman"/>
          <w:smallCaps w:val="0"/>
          <w:color w:val="auto"/>
          <w:spacing w:val="0"/>
          <w:w w:val="100"/>
          <w:sz w:val="30"/>
          <w:szCs w:val="30"/>
          <w:highlight w:val="none"/>
          <w:lang w:eastAsia="zh-CN"/>
        </w:rPr>
        <w:t>万公斤，新增马铃薯年生产能力</w:t>
      </w:r>
      <w:r>
        <w:rPr>
          <w:rFonts w:hint="default" w:ascii="Times New Roman" w:hAnsi="Times New Roman" w:eastAsia="宋体" w:cs="Times New Roman"/>
          <w:smallCaps w:val="0"/>
          <w:color w:val="auto"/>
          <w:spacing w:val="0"/>
          <w:w w:val="100"/>
          <w:sz w:val="30"/>
          <w:szCs w:val="30"/>
          <w:highlight w:val="none"/>
          <w:lang w:val="en-US" w:eastAsia="zh-CN"/>
        </w:rPr>
        <w:t>6.82</w:t>
      </w:r>
      <w:r>
        <w:rPr>
          <w:rFonts w:hint="default" w:ascii="Times New Roman" w:hAnsi="Times New Roman" w:eastAsia="宋体" w:cs="Times New Roman"/>
          <w:smallCaps w:val="0"/>
          <w:color w:val="auto"/>
          <w:spacing w:val="0"/>
          <w:w w:val="100"/>
          <w:sz w:val="30"/>
          <w:szCs w:val="30"/>
          <w:highlight w:val="none"/>
          <w:lang w:eastAsia="zh-CN"/>
        </w:rPr>
        <w:t>万公斤。新增总产值</w:t>
      </w:r>
      <w:r>
        <w:rPr>
          <w:rFonts w:hint="default" w:ascii="Times New Roman" w:hAnsi="Times New Roman" w:eastAsia="宋体" w:cs="Times New Roman"/>
          <w:smallCaps w:val="0"/>
          <w:color w:val="auto"/>
          <w:spacing w:val="0"/>
          <w:w w:val="100"/>
          <w:sz w:val="30"/>
          <w:szCs w:val="30"/>
          <w:highlight w:val="none"/>
          <w:lang w:val="en-US" w:eastAsia="zh-CN"/>
        </w:rPr>
        <w:t>65.35</w:t>
      </w:r>
      <w:r>
        <w:rPr>
          <w:rFonts w:hint="default" w:ascii="Times New Roman" w:hAnsi="Times New Roman" w:eastAsia="宋体" w:cs="Times New Roman"/>
          <w:smallCaps w:val="0"/>
          <w:color w:val="auto"/>
          <w:spacing w:val="0"/>
          <w:w w:val="100"/>
          <w:sz w:val="30"/>
          <w:szCs w:val="30"/>
          <w:highlight w:val="none"/>
          <w:lang w:eastAsia="zh-CN"/>
        </w:rPr>
        <w:t>万元。</w:t>
      </w:r>
    </w:p>
    <w:p w14:paraId="07494CB1">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54" w:name="_Toc21426"/>
      <w:r>
        <w:rPr>
          <w:rFonts w:hint="default" w:ascii="Times New Roman" w:hAnsi="Times New Roman" w:eastAsia="宋体" w:cs="Times New Roman"/>
          <w:smallCaps w:val="0"/>
          <w:color w:val="auto"/>
          <w:spacing w:val="0"/>
          <w:w w:val="100"/>
          <w:highlight w:val="none"/>
        </w:rPr>
        <w:t>1.7.2 社会效益</w:t>
      </w:r>
      <w:bookmarkEnd w:id="54"/>
    </w:p>
    <w:p w14:paraId="7771DF80">
      <w:pPr>
        <w:kinsoku/>
        <w:spacing w:before="270" w:line="375" w:lineRule="auto"/>
        <w:ind w:left="40" w:firstLine="64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通过</w:t>
      </w:r>
      <w:r>
        <w:rPr>
          <w:rFonts w:hint="default" w:ascii="Times New Roman" w:hAnsi="Times New Roman" w:eastAsia="宋体" w:cs="Times New Roman"/>
          <w:smallCaps w:val="0"/>
          <w:color w:val="auto"/>
          <w:spacing w:val="0"/>
          <w:w w:val="100"/>
          <w:sz w:val="30"/>
          <w:szCs w:val="30"/>
          <w:highlight w:val="none"/>
          <w:lang w:val="en-US" w:eastAsia="zh-CN"/>
        </w:rPr>
        <w:t>10000亩高标准农田</w:t>
      </w:r>
      <w:r>
        <w:rPr>
          <w:rFonts w:hint="default" w:ascii="Times New Roman" w:hAnsi="Times New Roman" w:eastAsia="宋体" w:cs="Times New Roman"/>
          <w:smallCaps w:val="0"/>
          <w:color w:val="auto"/>
          <w:spacing w:val="0"/>
          <w:w w:val="100"/>
          <w:sz w:val="30"/>
          <w:szCs w:val="30"/>
          <w:highlight w:val="none"/>
          <w:lang w:eastAsia="zh-CN"/>
        </w:rPr>
        <w:t>建设项目的实施，将使项目区</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个</w:t>
      </w:r>
      <w:r>
        <w:rPr>
          <w:rFonts w:hint="default" w:ascii="Times New Roman" w:hAnsi="Times New Roman" w:eastAsia="宋体" w:cs="Times New Roman"/>
          <w:smallCaps w:val="0"/>
          <w:color w:val="auto"/>
          <w:spacing w:val="0"/>
          <w:w w:val="100"/>
          <w:sz w:val="30"/>
          <w:szCs w:val="30"/>
          <w:highlight w:val="none"/>
          <w:lang w:val="en-US" w:eastAsia="zh-CN"/>
        </w:rPr>
        <w:t>乡镇</w:t>
      </w:r>
      <w:r>
        <w:rPr>
          <w:rFonts w:hint="default" w:ascii="Times New Roman" w:hAnsi="Times New Roman" w:eastAsia="宋体" w:cs="Times New Roman"/>
          <w:smallCaps w:val="0"/>
          <w:color w:val="auto"/>
          <w:spacing w:val="0"/>
          <w:w w:val="100"/>
          <w:sz w:val="30"/>
          <w:szCs w:val="30"/>
          <w:highlight w:val="none"/>
          <w:lang w:eastAsia="zh-CN"/>
        </w:rPr>
        <w:t>农户直接受益，受益农业人口数量达1</w:t>
      </w:r>
      <w:r>
        <w:rPr>
          <w:rFonts w:hint="default" w:ascii="Times New Roman" w:hAnsi="Times New Roman" w:eastAsia="宋体" w:cs="Times New Roman"/>
          <w:smallCaps w:val="0"/>
          <w:color w:val="auto"/>
          <w:spacing w:val="0"/>
          <w:w w:val="100"/>
          <w:sz w:val="30"/>
          <w:szCs w:val="30"/>
          <w:highlight w:val="none"/>
          <w:lang w:val="en-US" w:eastAsia="zh-CN"/>
        </w:rPr>
        <w:t>3659</w:t>
      </w:r>
      <w:r>
        <w:rPr>
          <w:rFonts w:hint="default" w:ascii="Times New Roman" w:hAnsi="Times New Roman" w:eastAsia="宋体" w:cs="Times New Roman"/>
          <w:smallCaps w:val="0"/>
          <w:color w:val="auto"/>
          <w:spacing w:val="0"/>
          <w:w w:val="100"/>
          <w:sz w:val="30"/>
          <w:szCs w:val="30"/>
          <w:highlight w:val="none"/>
          <w:lang w:eastAsia="zh-CN"/>
        </w:rPr>
        <w:t>人，公众满意度达9</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以上，给农民群众创造了看得见、摸得着的实惠，加深项目区农民群众对高标准农田建设工程的了解，亲身感受到党和政府的关怀，使公共财政的阳光照耀广大项目区农村，进一步增强党政干部与人民群众的密切联系，促进项目区形成良好民风；通过田间道路、水利设施、农田建设，改善项目区村容村貌。项目建成后，将显著改善项目区农田基础条件，实现灌溉有渠排水有沟，提高农业基础设施抗灾能力，促进水资源的合理利用和生态环境的良性循环。通过</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水、田、路</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综合治理，使项目区形成</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渠成网、田成方、路相通</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的现代农业格局。</w:t>
      </w:r>
    </w:p>
    <w:p w14:paraId="5AD08670">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55" w:name="_Toc3408"/>
      <w:r>
        <w:rPr>
          <w:rFonts w:hint="default" w:ascii="Times New Roman" w:hAnsi="Times New Roman" w:eastAsia="宋体" w:cs="Times New Roman"/>
          <w:smallCaps w:val="0"/>
          <w:color w:val="auto"/>
          <w:spacing w:val="0"/>
          <w:w w:val="100"/>
          <w:highlight w:val="none"/>
        </w:rPr>
        <w:t>1.7.3 生态效益</w:t>
      </w:r>
      <w:bookmarkEnd w:id="55"/>
    </w:p>
    <w:p w14:paraId="3AA9252B">
      <w:pPr>
        <w:kinsoku/>
        <w:spacing w:line="560" w:lineRule="exact"/>
        <w:ind w:left="40" w:firstLine="64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1.项目建设可大</w:t>
      </w:r>
      <w:r>
        <w:rPr>
          <w:rFonts w:hint="default" w:ascii="Times New Roman" w:hAnsi="Times New Roman" w:eastAsia="宋体" w:cs="Times New Roman"/>
          <w:smallCaps w:val="0"/>
          <w:color w:val="auto"/>
          <w:spacing w:val="0"/>
          <w:w w:val="100"/>
          <w:sz w:val="30"/>
          <w:szCs w:val="30"/>
          <w:highlight w:val="none"/>
          <w:lang w:val="en-US" w:eastAsia="zh-CN"/>
        </w:rPr>
        <w:t>幅</w:t>
      </w:r>
      <w:r>
        <w:rPr>
          <w:rFonts w:hint="default" w:ascii="Times New Roman" w:hAnsi="Times New Roman" w:eastAsia="宋体" w:cs="Times New Roman"/>
          <w:smallCaps w:val="0"/>
          <w:color w:val="auto"/>
          <w:spacing w:val="0"/>
          <w:w w:val="100"/>
          <w:sz w:val="30"/>
          <w:szCs w:val="30"/>
          <w:highlight w:val="none"/>
          <w:lang w:eastAsia="zh-CN"/>
        </w:rPr>
        <w:t>度提高灌溉水利用率。</w:t>
      </w:r>
    </w:p>
    <w:p w14:paraId="0603AF20">
      <w:pPr>
        <w:kinsoku/>
        <w:spacing w:line="560" w:lineRule="exact"/>
        <w:ind w:left="40" w:firstLine="64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2.通过项目实施，可在一定程度上缓解农业发展和耕地、水资源紧张的矛盾，有利于促进农业生产中的生态保护与建设。</w:t>
      </w:r>
    </w:p>
    <w:p w14:paraId="5662238F">
      <w:pPr>
        <w:kinsoku/>
        <w:spacing w:line="560" w:lineRule="exact"/>
        <w:ind w:left="40" w:firstLine="647"/>
        <w:jc w:val="both"/>
        <w:rPr>
          <w:rFonts w:hint="default" w:ascii="Times New Roman" w:hAnsi="Times New Roman" w:eastAsia="宋体" w:cs="Times New Roman"/>
          <w:smallCaps w:val="0"/>
          <w:color w:val="auto"/>
          <w:spacing w:val="0"/>
          <w:w w:val="100"/>
          <w:sz w:val="30"/>
          <w:szCs w:val="30"/>
          <w:highlight w:val="none"/>
          <w:lang w:eastAsia="zh-CN"/>
        </w:rPr>
        <w:sectPr>
          <w:headerReference r:id="rId8" w:type="default"/>
          <w:footerReference r:id="rId9" w:type="default"/>
          <w:type w:val="nextColumn"/>
          <w:pgSz w:w="11900" w:h="16840"/>
          <w:pgMar w:top="1134" w:right="1418" w:bottom="1134" w:left="1417" w:header="862" w:footer="1214" w:gutter="0"/>
          <w:pgBorders>
            <w:top w:val="none" w:sz="0" w:space="0"/>
            <w:left w:val="none" w:sz="0" w:space="0"/>
            <w:bottom w:val="none" w:sz="0" w:space="0"/>
            <w:right w:val="none" w:sz="0" w:space="0"/>
          </w:pgBorders>
          <w:pgNumType w:fmt="numberInDash"/>
          <w:cols w:space="720" w:num="1"/>
        </w:sectPr>
      </w:pPr>
      <w:r>
        <w:rPr>
          <w:rFonts w:hint="default" w:ascii="Times New Roman" w:hAnsi="Times New Roman" w:eastAsia="宋体" w:cs="Times New Roman"/>
          <w:smallCaps w:val="0"/>
          <w:color w:val="auto"/>
          <w:spacing w:val="0"/>
          <w:w w:val="100"/>
          <w:sz w:val="30"/>
          <w:szCs w:val="30"/>
          <w:highlight w:val="none"/>
          <w:lang w:eastAsia="zh-CN"/>
        </w:rPr>
        <w:t>3.通过改善农田基础设施，农作物秸秆还田、增施有机肥改良土壤和推广测土配方施肥，可改善土壤理化性状，土壤有机质含量提高，减少了化肥的用量，减少肥料流失和浪费，减轻地表水和地下水的硝酸盐污染，净化空气环境，保护农田生态环境。项目实施后，改善灌溉面积10000亩。</w:t>
      </w:r>
    </w:p>
    <w:p w14:paraId="0A33DAD7">
      <w:pPr>
        <w:kinsoku/>
        <w:spacing w:line="560" w:lineRule="atLeast"/>
        <w:ind w:left="2658"/>
        <w:outlineLvl w:val="0"/>
        <w:rPr>
          <w:rFonts w:hint="default" w:ascii="Times New Roman" w:hAnsi="Times New Roman" w:eastAsia="宋体" w:cs="Times New Roman"/>
          <w:smallCaps w:val="0"/>
          <w:color w:val="auto"/>
          <w:spacing w:val="0"/>
          <w:w w:val="100"/>
          <w:sz w:val="36"/>
          <w:szCs w:val="36"/>
          <w:highlight w:val="none"/>
          <w:lang w:eastAsia="zh-CN"/>
        </w:rPr>
      </w:pPr>
      <w:bookmarkStart w:id="56" w:name="_Toc21150"/>
      <w:bookmarkStart w:id="57" w:name="_Toc16606"/>
      <w:bookmarkStart w:id="58" w:name="_Toc8666"/>
      <w:r>
        <w:rPr>
          <w:rFonts w:hint="default" w:ascii="Times New Roman" w:hAnsi="Times New Roman" w:eastAsia="宋体" w:cs="Times New Roman"/>
          <w:b/>
          <w:bCs/>
          <w:smallCaps w:val="0"/>
          <w:color w:val="auto"/>
          <w:spacing w:val="0"/>
          <w:w w:val="100"/>
          <w:sz w:val="36"/>
          <w:szCs w:val="36"/>
          <w:highlight w:val="none"/>
          <w:lang w:eastAsia="zh-CN"/>
        </w:rPr>
        <w:t>第二章</w:t>
      </w:r>
      <w:r>
        <w:rPr>
          <w:rFonts w:hint="default" w:ascii="Times New Roman" w:hAnsi="Times New Roman" w:eastAsia="宋体" w:cs="Times New Roman"/>
          <w:smallCaps w:val="0"/>
          <w:color w:val="auto"/>
          <w:spacing w:val="0"/>
          <w:w w:val="100"/>
          <w:sz w:val="36"/>
          <w:szCs w:val="36"/>
          <w:highlight w:val="none"/>
          <w:lang w:eastAsia="zh-CN"/>
        </w:rPr>
        <w:t xml:space="preserve"> </w:t>
      </w:r>
      <w:r>
        <w:rPr>
          <w:rFonts w:hint="default" w:ascii="Times New Roman" w:hAnsi="Times New Roman" w:eastAsia="宋体" w:cs="Times New Roman"/>
          <w:b/>
          <w:bCs/>
          <w:smallCaps w:val="0"/>
          <w:color w:val="auto"/>
          <w:spacing w:val="0"/>
          <w:w w:val="100"/>
          <w:sz w:val="36"/>
          <w:szCs w:val="36"/>
          <w:highlight w:val="none"/>
          <w:lang w:eastAsia="zh-CN"/>
        </w:rPr>
        <w:t>项目区概况</w:t>
      </w:r>
      <w:bookmarkEnd w:id="56"/>
      <w:bookmarkEnd w:id="57"/>
      <w:bookmarkEnd w:id="58"/>
    </w:p>
    <w:p w14:paraId="025F15CB">
      <w:pPr>
        <w:kinsoku/>
        <w:spacing w:line="560" w:lineRule="atLeast"/>
        <w:ind w:left="36"/>
        <w:outlineLvl w:val="1"/>
        <w:rPr>
          <w:rFonts w:hint="default" w:ascii="Times New Roman" w:hAnsi="Times New Roman" w:eastAsia="宋体" w:cs="Times New Roman"/>
          <w:smallCaps w:val="0"/>
          <w:color w:val="auto"/>
          <w:spacing w:val="0"/>
          <w:w w:val="100"/>
          <w:sz w:val="30"/>
          <w:szCs w:val="30"/>
          <w:highlight w:val="none"/>
          <w:lang w:eastAsia="zh-CN"/>
        </w:rPr>
      </w:pPr>
      <w:bookmarkStart w:id="59" w:name="_Toc14976"/>
      <w:bookmarkStart w:id="60" w:name="_Toc25742"/>
      <w:bookmarkStart w:id="61" w:name="_Toc5673"/>
      <w:r>
        <w:rPr>
          <w:rFonts w:hint="default" w:ascii="Times New Roman" w:hAnsi="Times New Roman" w:eastAsia="宋体" w:cs="Times New Roman"/>
          <w:b/>
          <w:bCs/>
          <w:smallCaps w:val="0"/>
          <w:color w:val="auto"/>
          <w:spacing w:val="0"/>
          <w:w w:val="100"/>
          <w:sz w:val="30"/>
          <w:szCs w:val="30"/>
          <w:highlight w:val="none"/>
          <w:lang w:eastAsia="zh-CN"/>
        </w:rPr>
        <w:t>2.1 项目选址原则</w:t>
      </w:r>
      <w:bookmarkEnd w:id="59"/>
      <w:bookmarkEnd w:id="60"/>
      <w:bookmarkEnd w:id="61"/>
    </w:p>
    <w:p w14:paraId="38379573">
      <w:pPr>
        <w:kinsoku/>
        <w:spacing w:line="560" w:lineRule="atLeast"/>
        <w:ind w:left="47" w:right="114"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据中央和省委、省政府关于农田建设的政策部署，结合甘孜县的永久基本农田情况及《甘孜州2025年—2030年高标准农田建设（新建及改造提升）推进目标任务方案》的要求，本次项目选址按照甘孜县自然资源部门</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三区三线</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划定最新成果、甘孜县农牧农村和科技局2011—202</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年甘孜县高标准上图入库成果基础上，结合实地勘察现状选定高标准农田建设项目区，项目选址应符合原则包括：</w:t>
      </w:r>
    </w:p>
    <w:p w14:paraId="5D716E61">
      <w:pPr>
        <w:kinsoku/>
        <w:spacing w:line="560" w:lineRule="atLeast"/>
        <w:ind w:left="47" w:right="114"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1</w:t>
      </w:r>
      <w:r>
        <w:rPr>
          <w:rFonts w:hint="default" w:ascii="Times New Roman" w:hAnsi="Times New Roman" w:eastAsia="宋体" w:cs="Times New Roman"/>
          <w:smallCaps w:val="0"/>
          <w:color w:val="auto"/>
          <w:spacing w:val="0"/>
          <w:w w:val="100"/>
          <w:sz w:val="30"/>
          <w:szCs w:val="30"/>
          <w:highlight w:val="none"/>
          <w:lang w:eastAsia="zh-CN"/>
        </w:rPr>
        <w:t>）排除已建高标准农田原则。通过摸排，资料收集整理，复核2011—202</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年已建成且入库的高标准农田区域，已建成的区域不再作为本次高标准农田选址范围。</w:t>
      </w:r>
    </w:p>
    <w:p w14:paraId="0EB625B6">
      <w:pPr>
        <w:kinsoku/>
        <w:spacing w:line="560" w:lineRule="atLeast"/>
        <w:ind w:left="47" w:right="114"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）选址考虑</w:t>
      </w:r>
      <w:r>
        <w:rPr>
          <w:rFonts w:hint="eastAsia" w:ascii="Times New Roman" w:hAnsi="Times New Roman" w:eastAsia="宋体" w:cs="Times New Roman"/>
          <w:smallCaps w:val="0"/>
          <w:color w:val="auto"/>
          <w:spacing w:val="0"/>
          <w:w w:val="100"/>
          <w:sz w:val="30"/>
          <w:szCs w:val="30"/>
          <w:highlight w:val="none"/>
          <w:lang w:eastAsia="zh-CN"/>
        </w:rPr>
        <w:t>多种</w:t>
      </w:r>
      <w:r>
        <w:rPr>
          <w:rFonts w:hint="default" w:ascii="Times New Roman" w:hAnsi="Times New Roman" w:eastAsia="宋体" w:cs="Times New Roman"/>
          <w:smallCaps w:val="0"/>
          <w:color w:val="auto"/>
          <w:spacing w:val="0"/>
          <w:w w:val="100"/>
          <w:sz w:val="30"/>
          <w:szCs w:val="30"/>
          <w:highlight w:val="none"/>
          <w:lang w:eastAsia="zh-CN"/>
        </w:rPr>
        <w:t>因素。聚焦永久基本农田，综合考虑可建空间、水源保障、资金投入、农民意愿、建设效益等因素，合理选择区域对高标准农田建设项目进行布局。</w:t>
      </w:r>
    </w:p>
    <w:p w14:paraId="14D3BC41">
      <w:pPr>
        <w:kinsoku/>
        <w:spacing w:line="560" w:lineRule="atLeast"/>
        <w:ind w:left="47" w:right="114"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3</w:t>
      </w:r>
      <w:r>
        <w:rPr>
          <w:rFonts w:hint="default" w:ascii="Times New Roman" w:hAnsi="Times New Roman" w:eastAsia="宋体" w:cs="Times New Roman"/>
          <w:smallCaps w:val="0"/>
          <w:color w:val="auto"/>
          <w:spacing w:val="0"/>
          <w:w w:val="100"/>
          <w:sz w:val="30"/>
          <w:szCs w:val="30"/>
          <w:highlight w:val="none"/>
          <w:lang w:eastAsia="zh-CN"/>
        </w:rPr>
        <w:t>）禁止在严格管控类耕地，生态保护红线内区域，城镇开发边界内区域，自然保护区（地）区域、退耕还林区、退牧还草区，河流、湖泊、水库水面及其保护范围等区域规划高标准农田建设项目。</w:t>
      </w:r>
    </w:p>
    <w:p w14:paraId="59B0C81B">
      <w:pPr>
        <w:kinsoku/>
        <w:spacing w:line="560" w:lineRule="atLeast"/>
        <w:ind w:left="47" w:right="114"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）避开</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非粮化</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或有</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非农化</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倾向区域，确保选址范围能够精准上图。</w:t>
      </w:r>
    </w:p>
    <w:p w14:paraId="1D0E4110">
      <w:pPr>
        <w:kinsoku/>
        <w:spacing w:line="560" w:lineRule="atLeast"/>
        <w:ind w:left="47" w:right="114"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）集中连片原则。优选地块相对集中连片，整村整乡（镇）成片推进，建设后能有效改善项目区农业生产条件，提高粮食产能。</w:t>
      </w:r>
    </w:p>
    <w:p w14:paraId="0367DE60">
      <w:pPr>
        <w:kinsoku/>
        <w:spacing w:line="560" w:lineRule="exact"/>
        <w:ind w:left="47" w:right="114"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综上所</w:t>
      </w:r>
      <w:r>
        <w:rPr>
          <w:rFonts w:hint="default" w:ascii="Times New Roman" w:hAnsi="Times New Roman" w:eastAsia="宋体" w:cs="Times New Roman"/>
          <w:smallCaps w:val="0"/>
          <w:color w:val="auto"/>
          <w:spacing w:val="0"/>
          <w:w w:val="100"/>
          <w:sz w:val="30"/>
          <w:szCs w:val="30"/>
          <w:highlight w:val="none"/>
          <w:lang w:val="en-US" w:eastAsia="zh-CN"/>
        </w:rPr>
        <w:t>述</w:t>
      </w:r>
      <w:r>
        <w:rPr>
          <w:rFonts w:hint="default" w:ascii="Times New Roman" w:hAnsi="Times New Roman" w:eastAsia="宋体" w:cs="Times New Roman"/>
          <w:smallCaps w:val="0"/>
          <w:color w:val="auto"/>
          <w:spacing w:val="0"/>
          <w:w w:val="100"/>
          <w:sz w:val="30"/>
          <w:szCs w:val="30"/>
          <w:highlight w:val="none"/>
          <w:lang w:eastAsia="zh-CN"/>
        </w:rPr>
        <w:t>，本次项目区集中选择在甘孜县甘孜镇（霍古都村、吉绒达村、日安村、也哈村、也伦达村）、来马镇（夺日村、格通村、里拉村）、泥柯乡（和谐村、彭达村、仁达村）、庭卡乡（苦绒村、拉西村、斯兰达村）、拖坝乡（卡呷村、拖坝村），共5个乡镇16个村内进行</w:t>
      </w:r>
      <w:r>
        <w:rPr>
          <w:rFonts w:hint="eastAsia"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均符合以上选址原则</w:t>
      </w:r>
      <w:r>
        <w:rPr>
          <w:rFonts w:hint="default" w:ascii="Times New Roman" w:hAnsi="Times New Roman" w:eastAsia="宋体" w:cs="Times New Roman"/>
          <w:smallCaps w:val="0"/>
          <w:color w:val="auto"/>
          <w:spacing w:val="0"/>
          <w:w w:val="100"/>
          <w:sz w:val="30"/>
          <w:szCs w:val="30"/>
          <w:highlight w:val="none"/>
          <w:lang w:eastAsia="zh-CN"/>
        </w:rPr>
        <w:t>。</w:t>
      </w:r>
    </w:p>
    <w:p w14:paraId="3DA519FC">
      <w:pPr>
        <w:kinsoku/>
        <w:spacing w:line="560" w:lineRule="exact"/>
        <w:ind w:left="35"/>
        <w:outlineLvl w:val="1"/>
        <w:rPr>
          <w:rFonts w:hint="default" w:ascii="Times New Roman" w:hAnsi="Times New Roman" w:eastAsia="宋体" w:cs="Times New Roman"/>
          <w:smallCaps w:val="0"/>
          <w:color w:val="auto"/>
          <w:spacing w:val="0"/>
          <w:w w:val="100"/>
          <w:sz w:val="30"/>
          <w:szCs w:val="30"/>
          <w:highlight w:val="none"/>
          <w:lang w:eastAsia="zh-CN"/>
        </w:rPr>
      </w:pPr>
      <w:bookmarkStart w:id="62" w:name="_Toc5032"/>
      <w:bookmarkStart w:id="63" w:name="_Toc24176"/>
      <w:bookmarkStart w:id="64" w:name="_Toc28947"/>
      <w:r>
        <w:rPr>
          <w:rFonts w:hint="default" w:ascii="Times New Roman" w:hAnsi="Times New Roman" w:eastAsia="宋体" w:cs="Times New Roman"/>
          <w:b/>
          <w:bCs/>
          <w:smallCaps w:val="0"/>
          <w:color w:val="auto"/>
          <w:spacing w:val="0"/>
          <w:w w:val="100"/>
          <w:sz w:val="30"/>
          <w:szCs w:val="30"/>
          <w:highlight w:val="none"/>
          <w:lang w:eastAsia="zh-CN"/>
        </w:rPr>
        <w:t>2.2 自然概况</w:t>
      </w:r>
      <w:bookmarkEnd w:id="62"/>
      <w:bookmarkEnd w:id="63"/>
      <w:bookmarkEnd w:id="64"/>
    </w:p>
    <w:p w14:paraId="01E29BE9">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65" w:name="_Toc5864"/>
      <w:r>
        <w:rPr>
          <w:rFonts w:hint="default" w:ascii="Times New Roman" w:hAnsi="Times New Roman" w:eastAsia="宋体" w:cs="Times New Roman"/>
          <w:smallCaps w:val="0"/>
          <w:color w:val="auto"/>
          <w:spacing w:val="0"/>
          <w:w w:val="100"/>
          <w:highlight w:val="none"/>
        </w:rPr>
        <w:t>2.2.1 地理位置及范围</w:t>
      </w:r>
      <w:bookmarkEnd w:id="65"/>
    </w:p>
    <w:p w14:paraId="5D265D4F">
      <w:pPr>
        <w:kinsoku/>
        <w:spacing w:line="560" w:lineRule="exact"/>
        <w:ind w:left="35"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甘孜县位于四川省西北部、甘孜藏族自治州北部，地理坐标东经99°08′—100°25′，北纬31°24′-32°54′。地处川西高原（青藏高原东南缘）向山原过渡地带，属青藏高原的一部分。东与炉霍县接壤，西与德格县毗邻，南与新龙县、白玉县交界北与石渠县、色达县相依，北与青海省相望。全县幅员辽阔，南北长164千米、东西宽117千米，辖区面积7303平方公里。</w:t>
      </w:r>
    </w:p>
    <w:p w14:paraId="327723C6">
      <w:pPr>
        <w:kinsoku/>
        <w:spacing w:line="560" w:lineRule="exact"/>
        <w:ind w:left="35"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来马镇位于甘孜县西侧，距离甘孜县城33千米，海拔3500米，辖区面积637平方公里。全镇辖14个行政村，总户数681户，总人口3025 人。来马镇建成丹霞小镇占地面积120亩，由14个村产业用房3个致富车间、10个新型民居藏房构成。集马匹交易、马饰品加工销售为一体，涵盖民俗餐饮、茶楼等各种业态。</w:t>
      </w:r>
    </w:p>
    <w:p w14:paraId="053B6073">
      <w:pPr>
        <w:kinsoku/>
        <w:spacing w:line="560" w:lineRule="exact"/>
        <w:ind w:left="125" w:right="111" w:firstLine="629"/>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甘孜镇位于东经100°00′，北纬31°38′，东连拖坝乡，西接南多乡，南与拉乡隔江相望，北同四通达乡毗邻。辖区面积164平方公里，辖27个行政村、4个社区居委会和2个异地迁居办，辖区内5座寺庙。镇人民政府驻清河街北段，平均海拔3500米。甘孜镇共建立11个集体牧场建设项目。按照</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园区+合作社+集体牧场+牧户</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四位一体的方式，合作社组成管理团队对集体资金等各方面运行进行管理；各村牧场经济由专人进行管理：主要通过销售牛奶、酥油、奶渣等奶制品收购获利。依托格萨尔王城成立乡村旅游合作社，涉及休闲娱乐、餐饮、住宿行业。</w:t>
      </w:r>
    </w:p>
    <w:p w14:paraId="51EFC42A">
      <w:pPr>
        <w:kinsoku/>
        <w:spacing w:line="560" w:lineRule="exact"/>
        <w:ind w:left="125" w:right="111" w:firstLine="629"/>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拖坝乡位于甘孜县东南部，距县城约10千米，海拔3400米。辖区面积63平方公里，辖7个行政村，9个自然村（西泥、拉戈底、曲卡郎、色朵、珠西隆、拖坝、卡呷、卡斯兰达、朱龙），总人口552户2743人，易地搬迁39户210 人。</w:t>
      </w:r>
    </w:p>
    <w:p w14:paraId="5B158187">
      <w:pPr>
        <w:kinsoku/>
        <w:spacing w:line="560" w:lineRule="exact"/>
        <w:ind w:left="35"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庭卡乡位于甘孜县东南部，距县城15千米、辖区面积227.25平方公里。乡政府驻地庭卡村，海拔3550米。全乡辖巴俄底村、斯兰达村、拉西村、庭卡村、苦绒村、洛戈村6个行政村、总户数347户，总人口1908人。为打造最美317沿线，组织各村组织网格员、村干部、村级公益性岗位人员在各村开展房前屋后和公路沿线美化栽种花草等充分发挥结对帮扶单位和结对帮扶干部作用、通过小手拉大手，以卫生评比方式推动人居环境整治。</w:t>
      </w:r>
    </w:p>
    <w:p w14:paraId="5E945C04">
      <w:pPr>
        <w:kinsoku/>
        <w:spacing w:line="560" w:lineRule="exact"/>
        <w:ind w:left="35"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泥柯乡地处甘孜县城东北部，海拔3620米，西南距县城105千米，东南距州府康定489千米，省会成都847千米。区域面积397.92平方千米，截至2019年末，</w:t>
      </w:r>
      <w:r>
        <w:rPr>
          <w:rFonts w:hint="default" w:ascii="Times New Roman" w:hAnsi="Times New Roman" w:eastAsia="宋体" w:cs="Times New Roman"/>
          <w:smallCaps w:val="0"/>
          <w:color w:val="auto"/>
          <w:spacing w:val="0"/>
          <w:w w:val="100"/>
          <w:sz w:val="30"/>
          <w:szCs w:val="30"/>
          <w:highlight w:val="none"/>
          <w:lang w:val="en-US" w:eastAsia="zh-CN"/>
        </w:rPr>
        <w:t>总户数345户，</w:t>
      </w:r>
      <w:r>
        <w:rPr>
          <w:rFonts w:hint="default" w:ascii="Times New Roman" w:hAnsi="Times New Roman" w:eastAsia="宋体" w:cs="Times New Roman"/>
          <w:smallCaps w:val="0"/>
          <w:color w:val="auto"/>
          <w:spacing w:val="0"/>
          <w:w w:val="100"/>
          <w:sz w:val="30"/>
          <w:szCs w:val="30"/>
          <w:highlight w:val="none"/>
          <w:lang w:eastAsia="zh-CN"/>
        </w:rPr>
        <w:t>户籍人口</w:t>
      </w:r>
      <w:r>
        <w:rPr>
          <w:rFonts w:hint="default" w:ascii="Times New Roman" w:hAnsi="Times New Roman" w:eastAsia="宋体" w:cs="Times New Roman"/>
          <w:smallCaps w:val="0"/>
          <w:color w:val="auto"/>
          <w:spacing w:val="0"/>
          <w:w w:val="100"/>
          <w:sz w:val="30"/>
          <w:szCs w:val="30"/>
          <w:highlight w:val="none"/>
          <w:lang w:val="en-US" w:eastAsia="zh-CN"/>
        </w:rPr>
        <w:t>2140</w:t>
      </w:r>
      <w:r>
        <w:rPr>
          <w:rFonts w:hint="default" w:ascii="Times New Roman" w:hAnsi="Times New Roman" w:eastAsia="宋体" w:cs="Times New Roman"/>
          <w:smallCaps w:val="0"/>
          <w:color w:val="auto"/>
          <w:spacing w:val="0"/>
          <w:w w:val="100"/>
          <w:sz w:val="30"/>
          <w:szCs w:val="30"/>
          <w:highlight w:val="none"/>
          <w:lang w:eastAsia="zh-CN"/>
        </w:rPr>
        <w:t>人，以藏族为主，占99.8%。全乡辖仁达村、彭达村、布日邓措村、夺衣村、昌谷村、和谐村6个行政村。</w:t>
      </w:r>
      <w:r>
        <w:rPr>
          <w:rFonts w:hint="default" w:ascii="Times New Roman" w:hAnsi="Times New Roman" w:eastAsia="宋体" w:cs="Times New Roman"/>
          <w:smallCaps w:val="0"/>
          <w:color w:val="auto"/>
          <w:spacing w:val="0"/>
          <w:w w:val="100"/>
          <w:sz w:val="30"/>
          <w:szCs w:val="30"/>
          <w:highlight w:val="none"/>
          <w:lang w:val="en-US" w:eastAsia="zh-CN"/>
        </w:rPr>
        <w:t>经济发展</w:t>
      </w:r>
      <w:r>
        <w:rPr>
          <w:rFonts w:hint="default" w:ascii="Times New Roman" w:hAnsi="Times New Roman" w:eastAsia="宋体" w:cs="Times New Roman"/>
          <w:smallCaps w:val="0"/>
          <w:color w:val="auto"/>
          <w:spacing w:val="0"/>
          <w:w w:val="100"/>
          <w:sz w:val="30"/>
          <w:szCs w:val="30"/>
          <w:highlight w:val="none"/>
          <w:lang w:eastAsia="zh-CN"/>
        </w:rPr>
        <w:t>以畜牧业为主，主要饲养牛、马、羊，2011年末存栏牛11347头，马1636匹，羊4004只。境内还出产香草、雪莲花、黄芪等名贵药材，沿泥曲河两岸沙金储量丰富。</w:t>
      </w:r>
    </w:p>
    <w:p w14:paraId="6503DC31">
      <w:pPr>
        <w:kinsoku/>
        <w:spacing w:line="560" w:lineRule="exact"/>
        <w:ind w:left="35"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2026年财政转移支付高标准农田建设项目（新建）涉及来马镇、甘孜镇、拖坝乡、庭卡乡、泥柯乡</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个乡镇，项目乡镇幅员面积</w:t>
      </w:r>
      <w:r>
        <w:rPr>
          <w:rFonts w:hint="default" w:ascii="Times New Roman" w:hAnsi="Times New Roman" w:eastAsia="宋体" w:cs="Times New Roman"/>
          <w:smallCaps w:val="0"/>
          <w:color w:val="auto"/>
          <w:spacing w:val="0"/>
          <w:w w:val="100"/>
          <w:sz w:val="30"/>
          <w:szCs w:val="30"/>
          <w:highlight w:val="none"/>
          <w:lang w:val="en-US" w:eastAsia="zh-CN"/>
        </w:rPr>
        <w:t>1121.52</w:t>
      </w:r>
      <w:r>
        <w:rPr>
          <w:rFonts w:hint="default" w:ascii="Times New Roman" w:hAnsi="Times New Roman" w:eastAsia="宋体" w:cs="Times New Roman"/>
          <w:smallCaps w:val="0"/>
          <w:color w:val="auto"/>
          <w:spacing w:val="0"/>
          <w:w w:val="100"/>
          <w:sz w:val="30"/>
          <w:szCs w:val="30"/>
          <w:highlight w:val="none"/>
          <w:lang w:eastAsia="zh-CN"/>
        </w:rPr>
        <w:t>平方公里，项目区高标准农田建设面积10000亩。</w:t>
      </w:r>
    </w:p>
    <w:p w14:paraId="48CF2F24">
      <w:pPr>
        <w:kinsoku/>
        <w:spacing w:line="560" w:lineRule="exact"/>
        <w:ind w:left="35" w:firstLine="605"/>
        <w:jc w:val="both"/>
        <w:rPr>
          <w:rFonts w:hint="default" w:ascii="Times New Roman" w:hAnsi="Times New Roman" w:eastAsia="宋体" w:cs="Times New Roman"/>
          <w:smallCaps w:val="0"/>
          <w:color w:val="auto"/>
          <w:spacing w:val="0"/>
          <w:w w:val="100"/>
          <w:sz w:val="30"/>
          <w:szCs w:val="30"/>
          <w:highlight w:val="none"/>
          <w:lang w:eastAsia="zh-CN"/>
        </w:rPr>
      </w:pPr>
    </w:p>
    <w:p w14:paraId="22848834">
      <w:pPr>
        <w:kinsoku/>
        <w:spacing w:line="560" w:lineRule="exact"/>
        <w:ind w:left="35" w:firstLine="605"/>
        <w:jc w:val="both"/>
        <w:rPr>
          <w:rFonts w:hint="default" w:ascii="Times New Roman" w:hAnsi="Times New Roman" w:eastAsia="宋体" w:cs="Times New Roman"/>
          <w:smallCaps w:val="0"/>
          <w:color w:val="auto"/>
          <w:spacing w:val="0"/>
          <w:w w:val="100"/>
          <w:sz w:val="30"/>
          <w:szCs w:val="30"/>
          <w:highlight w:val="none"/>
          <w:lang w:eastAsia="zh-CN"/>
        </w:rPr>
      </w:pPr>
    </w:p>
    <w:p w14:paraId="1715B5CE">
      <w:pPr>
        <w:kinsoku/>
        <w:spacing w:line="560" w:lineRule="exact"/>
        <w:ind w:left="35" w:firstLine="605"/>
        <w:jc w:val="both"/>
        <w:rPr>
          <w:rFonts w:hint="default" w:ascii="Times New Roman" w:hAnsi="Times New Roman" w:eastAsia="宋体" w:cs="Times New Roman"/>
          <w:smallCaps w:val="0"/>
          <w:color w:val="auto"/>
          <w:spacing w:val="0"/>
          <w:w w:val="100"/>
          <w:sz w:val="30"/>
          <w:szCs w:val="30"/>
          <w:highlight w:val="none"/>
          <w:lang w:eastAsia="zh-CN"/>
        </w:rPr>
      </w:pPr>
    </w:p>
    <w:p w14:paraId="1C258DCB">
      <w:pPr>
        <w:kinsoku/>
        <w:spacing w:line="560" w:lineRule="exact"/>
        <w:ind w:left="35" w:firstLine="605"/>
        <w:jc w:val="both"/>
        <w:rPr>
          <w:rFonts w:hint="default" w:ascii="Times New Roman" w:hAnsi="Times New Roman" w:eastAsia="宋体" w:cs="Times New Roman"/>
          <w:smallCaps w:val="0"/>
          <w:color w:val="auto"/>
          <w:spacing w:val="0"/>
          <w:w w:val="100"/>
          <w:sz w:val="30"/>
          <w:szCs w:val="30"/>
          <w:highlight w:val="none"/>
          <w:lang w:eastAsia="zh-CN"/>
        </w:rPr>
      </w:pPr>
    </w:p>
    <w:p w14:paraId="60234307">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66" w:name="_Toc30425"/>
      <w:r>
        <w:rPr>
          <w:rFonts w:hint="default" w:ascii="Times New Roman" w:hAnsi="Times New Roman" w:eastAsia="宋体" w:cs="Times New Roman"/>
          <w:smallCaps w:val="0"/>
          <w:color w:val="auto"/>
          <w:spacing w:val="0"/>
          <w:w w:val="100"/>
          <w:highlight w:val="none"/>
        </w:rPr>
        <w:t>2.2.2 水文气象</w:t>
      </w:r>
      <w:bookmarkEnd w:id="66"/>
    </w:p>
    <w:p w14:paraId="0FF04AB9">
      <w:pPr>
        <w:kinsoku/>
        <w:spacing w:line="560" w:lineRule="exact"/>
        <w:ind w:left="32" w:firstLine="60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甘孜县属青藏高原季风气候，具有四季不分明，气温低，雨量少风沙大，气候干燥，日照时数长，无霜期短，春旱、冰雹、积雪等自然灾害频繁的特点。全县分为高山寒温带、高山亚温带、 高山寒带、高山永冻带四类气候区。</w:t>
      </w:r>
    </w:p>
    <w:p w14:paraId="2A7ADD02">
      <w:pPr>
        <w:kinsoku/>
        <w:spacing w:line="560" w:lineRule="exact"/>
        <w:ind w:left="32" w:firstLine="606"/>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202</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年，气温偏高，降水偏少，日照偏少。年内大雪、暴雨、寒潮、干旱、连阴雨等灾害性天气过程对道路交通、农牧业生产造成一定不利影响。</w:t>
      </w:r>
      <w:r>
        <w:rPr>
          <w:rFonts w:hint="eastAsia"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eastAsia="zh-CN"/>
        </w:rPr>
        <w:t>平均气温为6.8℃，较历年（1991—2020年）平均气温6.3℃偏高0.5℃，年极端最高气温30.3℃，较历年极端最高气温30.1℃偏高0.2℃；年极端最低气温-16.8℃，较历年极端最低气温-22.6℃偏高5.8℃。</w:t>
      </w:r>
    </w:p>
    <w:p w14:paraId="1334A551">
      <w:pPr>
        <w:kinsoku/>
        <w:spacing w:line="560" w:lineRule="exact"/>
        <w:ind w:left="32" w:firstLine="60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年度降水量631.2毫米，较历年（1991—2020年）平均676.5毫米偏少6.7%。年最多月降水出现在9月，月总降水量达131.2毫米，超历史同期最高极值；年最多旬降水出现在9月上旬，旬降水量达68.9毫米；降水量主要特点是年际变化小，月季降水量极不均匀，水热同季，干雨季分明。</w:t>
      </w:r>
    </w:p>
    <w:p w14:paraId="7420E833">
      <w:pPr>
        <w:kinsoku/>
        <w:spacing w:line="560" w:lineRule="exact"/>
        <w:ind w:left="32" w:firstLine="606"/>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本年度日照时数2433.1小时，与县境历年（1991—2020年）平均日照2539.6小时相比偏少4.2%。</w:t>
      </w:r>
    </w:p>
    <w:p w14:paraId="1A6F32A3">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67" w:name="_Toc6252"/>
      <w:r>
        <w:rPr>
          <w:rFonts w:hint="default" w:ascii="Times New Roman" w:hAnsi="Times New Roman" w:eastAsia="宋体" w:cs="Times New Roman"/>
          <w:smallCaps w:val="0"/>
          <w:color w:val="auto"/>
          <w:spacing w:val="0"/>
          <w:w w:val="100"/>
          <w:highlight w:val="none"/>
        </w:rPr>
        <w:t>2.2.3 地形、地貌及土壤</w:t>
      </w:r>
      <w:bookmarkEnd w:id="67"/>
    </w:p>
    <w:p w14:paraId="608F7835">
      <w:pPr>
        <w:kinsoku/>
        <w:spacing w:line="560" w:lineRule="exact"/>
        <w:ind w:left="32" w:firstLine="60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甘孜县地处川西高原（青藏高原东南缘）向山原的过渡地带，属青藏高原的一部分。全县地貌复杂，整个地势自西北向东南逐渐倾斜，地貌特征为丘状高原区和高山宽谷区、高山峡谷区三种地貌。甘孜县境内的雅江下段，谷底开阔、地势平坦，形成约40km长的断陷宽盆地，谷底宽2000～3000m，海拔3400m左右由农耕地向四周山地过</w:t>
      </w:r>
      <w:r>
        <w:rPr>
          <w:rFonts w:hint="default" w:ascii="Times New Roman" w:hAnsi="Times New Roman" w:eastAsia="宋体" w:cs="Times New Roman"/>
          <w:smallCaps w:val="0"/>
          <w:color w:val="auto"/>
          <w:spacing w:val="0"/>
          <w:w w:val="100"/>
          <w:sz w:val="30"/>
          <w:szCs w:val="30"/>
          <w:highlight w:val="none"/>
          <w:lang w:val="en-US" w:eastAsia="zh-CN"/>
        </w:rPr>
        <w:t>渡</w:t>
      </w:r>
      <w:r>
        <w:rPr>
          <w:rFonts w:hint="default" w:ascii="Times New Roman" w:hAnsi="Times New Roman" w:eastAsia="宋体" w:cs="Times New Roman"/>
          <w:smallCaps w:val="0"/>
          <w:color w:val="auto"/>
          <w:spacing w:val="0"/>
          <w:w w:val="100"/>
          <w:sz w:val="30"/>
          <w:szCs w:val="30"/>
          <w:highlight w:val="none"/>
          <w:lang w:eastAsia="zh-CN"/>
        </w:rPr>
        <w:t>为牧草地，谷底海拔4000m左右，相对高差1000m左右，西部雅砻江上段与东部境内的达曲河、泥曲河下切剧烈，形成高山宽谷地貌山脉自西向东走向，山峰林立，谷坡陡峻，其下段谷口为宽谷地带，中段切割深，谷地上段逐渐向丘原过渡，山顶海拔多在5000m以上，谷底宽50～150m，谷底谷肩相对高差1500m左右，北部丘原地貌为石渠、色达丘原区的东南部分，地势起伏和缓，河流浅，河床平缓开阔，海拔3700～4500m，岭谷相差 500～700m之间。</w:t>
      </w:r>
    </w:p>
    <w:p w14:paraId="20BEE3EF">
      <w:pPr>
        <w:kinsoku/>
        <w:spacing w:line="560" w:lineRule="exact"/>
        <w:ind w:left="32" w:firstLine="60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全县地貌复杂，有台地1183.78公顷，丘陵171.5公顷，山地 638161公顷，高平坝 49723.6公顷，丘状高原 43414.16公顷，水面2203.89公顷，冰川 928公顷。</w:t>
      </w:r>
    </w:p>
    <w:p w14:paraId="563B0544">
      <w:pPr>
        <w:kinsoku/>
        <w:spacing w:line="560" w:lineRule="exact"/>
        <w:ind w:left="32" w:firstLine="60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甘孜县地层，自古生代的志留系到新生代的第四系（缺失泥 盆系、侏罗系和白垩系），发育齐全。甘孜县在青藏滇缅印</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歹</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字形构造的头部向中部转折部位上，是西藏板块、华北板块和扬 子江板块的三角形挤压地带，构造形迹比较复杂。根据四川省地 震灾害分区图，甘孜县属地震烈度 Ⅷ度区。</w:t>
      </w:r>
    </w:p>
    <w:p w14:paraId="7B4757A2">
      <w:pPr>
        <w:kinsoku/>
        <w:spacing w:line="560" w:lineRule="exact"/>
        <w:ind w:left="32" w:firstLine="60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因受江水冲积和山洪冲积的影响，项目区属于非地带性土壤，有冲积沉积土、淤沙土两个土类。土体结构多为粘土和壤土相间分布，项目区耕地土壤类型主要为山地褐土、暗棕壤</w:t>
      </w:r>
      <w:r>
        <w:rPr>
          <w:rFonts w:hint="eastAsia" w:ascii="Times New Roman" w:hAnsi="Times New Roman" w:eastAsia="宋体" w:cs="Times New Roman"/>
          <w:smallCaps w:val="0"/>
          <w:color w:val="auto"/>
          <w:spacing w:val="0"/>
          <w:w w:val="100"/>
          <w:sz w:val="30"/>
          <w:szCs w:val="30"/>
          <w:highlight w:val="none"/>
          <w:lang w:eastAsia="zh-CN"/>
        </w:rPr>
        <w:t>等</w:t>
      </w:r>
      <w:r>
        <w:rPr>
          <w:rFonts w:hint="default" w:ascii="Times New Roman" w:hAnsi="Times New Roman" w:eastAsia="宋体" w:cs="Times New Roman"/>
          <w:smallCaps w:val="0"/>
          <w:color w:val="auto"/>
          <w:spacing w:val="0"/>
          <w:w w:val="100"/>
          <w:sz w:val="30"/>
          <w:szCs w:val="30"/>
          <w:highlight w:val="none"/>
          <w:lang w:eastAsia="zh-CN"/>
        </w:rPr>
        <w:t>，保水保肥能力较差。</w:t>
      </w:r>
    </w:p>
    <w:p w14:paraId="6796966B">
      <w:pPr>
        <w:kinsoku/>
        <w:spacing w:line="560" w:lineRule="exact"/>
        <w:ind w:left="32" w:firstLine="60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11月到次年3月为冻结期，冻土层厚度为0.8</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val="en-US" w:eastAsia="zh-CN"/>
        </w:rPr>
        <w:t>1.2m。</w:t>
      </w:r>
    </w:p>
    <w:p w14:paraId="7AF9E9D8">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68" w:name="bookmark54"/>
      <w:bookmarkEnd w:id="68"/>
      <w:bookmarkStart w:id="69" w:name="_Toc5935"/>
      <w:r>
        <w:rPr>
          <w:rFonts w:hint="default" w:ascii="Times New Roman" w:hAnsi="Times New Roman" w:eastAsia="宋体" w:cs="Times New Roman"/>
          <w:smallCaps w:val="0"/>
          <w:color w:val="auto"/>
          <w:spacing w:val="0"/>
          <w:w w:val="100"/>
          <w:highlight w:val="none"/>
        </w:rPr>
        <w:t>2.2.4 水资源</w:t>
      </w:r>
      <w:bookmarkEnd w:id="69"/>
    </w:p>
    <w:p w14:paraId="702FDC01">
      <w:pPr>
        <w:kinsoku/>
        <w:spacing w:line="560" w:lineRule="exact"/>
        <w:ind w:firstLine="690" w:firstLineChars="23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甘孜县境内河流属雅砻江水系，由雅砻江、达曲、鲜水河3条河与50余条河溪流组成树枝状水系。全县流域面积50km²以上的河流有53条。境内地质断层发达，岩石破碎极其严重，蓄水能力极弱，地下水储量较少，主要以覆盖层潜水、基岩孔隙裂隙水及上层滞水形式存在，地下水多以井、泉等形式出露于地表。地下水以地表径流为主，水量季节变化性大。雅江斜贯县境南部流经新龙县境内流长92km，年均径流量90.5亿m³；达曲河自西北向东南穿达通玛区、东谷区流经炉霍县，境内流长154km，年均径流量15.2 亿m³；泥曲河境内流长42km，年均径流量20.5亿m³。全县的所有河流均属雅砻江水域，主要河流包括泥曲、达曲等，主要山溪河流包括打柯沟、柯日可、哦打沟、阿洛曲、麦玉曲、燃达柯、卓达曲、绒岔沟、索达柯、纳达柯、凯河。</w:t>
      </w:r>
    </w:p>
    <w:p w14:paraId="608CF762">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（1）地表水资源</w:t>
      </w:r>
    </w:p>
    <w:p w14:paraId="1AFB4471">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本项目区涉及来马镇、甘孜镇、拖坝乡、庭卡乡、泥柯乡，项目乡镇幅员面积</w:t>
      </w:r>
      <w:r>
        <w:rPr>
          <w:rFonts w:hint="default" w:ascii="Times New Roman" w:hAnsi="Times New Roman" w:eastAsia="宋体" w:cs="Times New Roman"/>
          <w:smallCaps w:val="0"/>
          <w:color w:val="auto"/>
          <w:spacing w:val="0"/>
          <w:w w:val="100"/>
          <w:sz w:val="30"/>
          <w:szCs w:val="30"/>
          <w:highlight w:val="none"/>
          <w:lang w:val="en-US" w:eastAsia="zh-CN"/>
        </w:rPr>
        <w:t>1121.52</w:t>
      </w:r>
      <w:r>
        <w:rPr>
          <w:rFonts w:hint="default" w:ascii="Times New Roman" w:hAnsi="Times New Roman" w:eastAsia="宋体" w:cs="Times New Roman"/>
          <w:smallCaps w:val="0"/>
          <w:color w:val="auto"/>
          <w:spacing w:val="0"/>
          <w:w w:val="100"/>
          <w:sz w:val="30"/>
          <w:szCs w:val="30"/>
          <w:highlight w:val="none"/>
          <w:lang w:eastAsia="zh-CN"/>
        </w:rPr>
        <w:t>km² ，查《四川省水文手册》</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多</w:t>
      </w:r>
      <w:r>
        <w:rPr>
          <w:rFonts w:hint="default" w:ascii="Times New Roman" w:hAnsi="Times New Roman" w:eastAsia="宋体" w:cs="Times New Roman"/>
          <w:smallCaps w:val="0"/>
          <w:color w:val="auto"/>
          <w:spacing w:val="0"/>
          <w:w w:val="100"/>
          <w:sz w:val="30"/>
          <w:szCs w:val="30"/>
          <w:highlight w:val="none"/>
          <w:lang w:val="en-US" w:eastAsia="zh-CN"/>
        </w:rPr>
        <w:t>年</w:t>
      </w:r>
      <w:r>
        <w:rPr>
          <w:rFonts w:hint="default" w:ascii="Times New Roman" w:hAnsi="Times New Roman" w:eastAsia="宋体" w:cs="Times New Roman"/>
          <w:smallCaps w:val="0"/>
          <w:color w:val="auto"/>
          <w:spacing w:val="0"/>
          <w:w w:val="100"/>
          <w:sz w:val="30"/>
          <w:szCs w:val="30"/>
          <w:highlight w:val="none"/>
          <w:lang w:eastAsia="zh-CN"/>
        </w:rPr>
        <w:t>平均降雨量等值线图</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可知：项目区多年平均降雨量为 （1991-2020年） 676.5mm，多年平均降雨总量为</w:t>
      </w:r>
      <w:r>
        <w:rPr>
          <w:rFonts w:hint="default" w:ascii="Times New Roman" w:hAnsi="Times New Roman" w:eastAsia="宋体" w:cs="Times New Roman"/>
          <w:smallCaps w:val="0"/>
          <w:color w:val="auto"/>
          <w:spacing w:val="0"/>
          <w:w w:val="100"/>
          <w:sz w:val="30"/>
          <w:szCs w:val="30"/>
          <w:highlight w:val="none"/>
          <w:lang w:val="en-US" w:eastAsia="zh-CN"/>
        </w:rPr>
        <w:t>1121.52</w:t>
      </w:r>
      <w:r>
        <w:rPr>
          <w:rFonts w:hint="default" w:ascii="Times New Roman" w:hAnsi="Times New Roman" w:eastAsia="宋体" w:cs="Times New Roman"/>
          <w:smallCaps w:val="0"/>
          <w:color w:val="auto"/>
          <w:spacing w:val="0"/>
          <w:w w:val="100"/>
          <w:sz w:val="30"/>
          <w:szCs w:val="30"/>
          <w:highlight w:val="none"/>
          <w:lang w:eastAsia="zh-CN"/>
        </w:rPr>
        <w:t>km² ×676.5=</w:t>
      </w:r>
      <w:r>
        <w:rPr>
          <w:rFonts w:hint="default" w:ascii="Times New Roman" w:hAnsi="Times New Roman" w:eastAsia="宋体" w:cs="Times New Roman"/>
          <w:smallCaps w:val="0"/>
          <w:color w:val="auto"/>
          <w:spacing w:val="0"/>
          <w:w w:val="100"/>
          <w:sz w:val="30"/>
          <w:szCs w:val="30"/>
          <w:highlight w:val="none"/>
          <w:lang w:val="en-US" w:eastAsia="zh-CN"/>
        </w:rPr>
        <w:t>758708.28</w:t>
      </w:r>
      <w:r>
        <w:rPr>
          <w:rFonts w:hint="default" w:ascii="Times New Roman" w:hAnsi="Times New Roman" w:eastAsia="宋体" w:cs="Times New Roman"/>
          <w:smallCaps w:val="0"/>
          <w:color w:val="auto"/>
          <w:spacing w:val="0"/>
          <w:w w:val="100"/>
          <w:sz w:val="30"/>
          <w:szCs w:val="30"/>
          <w:highlight w:val="none"/>
          <w:lang w:eastAsia="zh-CN"/>
        </w:rPr>
        <w:t>万 m³。</w:t>
      </w:r>
    </w:p>
    <w:p w14:paraId="347D74B9">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查《四川省水文手册》</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多年平均年径流深等值线图</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得项目区多年平均径流深为 325.6mm ，Cv=0.24（Cs=2Cv），则项目区地表水资源总量为</w:t>
      </w:r>
      <w:r>
        <w:rPr>
          <w:rFonts w:hint="default" w:ascii="Times New Roman" w:hAnsi="Times New Roman" w:eastAsia="宋体" w:cs="Times New Roman"/>
          <w:smallCaps w:val="0"/>
          <w:color w:val="auto"/>
          <w:spacing w:val="0"/>
          <w:w w:val="100"/>
          <w:sz w:val="30"/>
          <w:szCs w:val="30"/>
          <w:highlight w:val="none"/>
          <w:lang w:val="en-US" w:eastAsia="zh-CN"/>
        </w:rPr>
        <w:t>87640.05</w:t>
      </w:r>
      <w:r>
        <w:rPr>
          <w:rFonts w:hint="default" w:ascii="Times New Roman" w:hAnsi="Times New Roman" w:eastAsia="宋体" w:cs="Times New Roman"/>
          <w:smallCaps w:val="0"/>
          <w:color w:val="auto"/>
          <w:spacing w:val="0"/>
          <w:w w:val="100"/>
          <w:sz w:val="30"/>
          <w:szCs w:val="30"/>
          <w:highlight w:val="none"/>
          <w:lang w:eastAsia="zh-CN"/>
        </w:rPr>
        <w:t>万 m³。</w:t>
      </w:r>
    </w:p>
    <w:p w14:paraId="2DFA1721">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（2）地下水资源</w:t>
      </w:r>
    </w:p>
    <w:p w14:paraId="4BF3B699">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根据公式 Q=M.F</w:t>
      </w:r>
    </w:p>
    <w:p w14:paraId="5FB0D9CE">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Q——地下径流总量 m³/a</w:t>
      </w:r>
    </w:p>
    <w:p w14:paraId="1EA0A5F4">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M——地下径流模数 m³/（a.km²） ，由《四川省地下水资源开发利用规划》本次取值5万 m³/（a.km²）</w:t>
      </w:r>
    </w:p>
    <w:p w14:paraId="140B4D9F">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 xml:space="preserve">F——测流点控制的上游总汇水补给面积，项目区幅员面积 </w:t>
      </w:r>
      <w:r>
        <w:rPr>
          <w:rFonts w:hint="default" w:ascii="Times New Roman" w:hAnsi="Times New Roman" w:eastAsia="宋体" w:cs="Times New Roman"/>
          <w:smallCaps w:val="0"/>
          <w:color w:val="auto"/>
          <w:spacing w:val="0"/>
          <w:w w:val="100"/>
          <w:sz w:val="30"/>
          <w:szCs w:val="30"/>
          <w:highlight w:val="none"/>
          <w:lang w:val="en-US" w:eastAsia="zh-CN"/>
        </w:rPr>
        <w:t>1121.52</w:t>
      </w:r>
      <w:r>
        <w:rPr>
          <w:rFonts w:hint="default" w:ascii="Times New Roman" w:hAnsi="Times New Roman" w:eastAsia="宋体" w:cs="Times New Roman"/>
          <w:smallCaps w:val="0"/>
          <w:color w:val="auto"/>
          <w:spacing w:val="0"/>
          <w:w w:val="100"/>
          <w:sz w:val="30"/>
          <w:szCs w:val="30"/>
          <w:highlight w:val="none"/>
          <w:lang w:eastAsia="zh-CN"/>
        </w:rPr>
        <w:t>km²</w:t>
      </w:r>
    </w:p>
    <w:p w14:paraId="10AD8749">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经计算，项目区地下水资源量为</w:t>
      </w:r>
      <w:r>
        <w:rPr>
          <w:rFonts w:hint="default" w:ascii="Times New Roman" w:hAnsi="Times New Roman" w:eastAsia="宋体" w:cs="Times New Roman"/>
          <w:smallCaps w:val="0"/>
          <w:color w:val="auto"/>
          <w:spacing w:val="0"/>
          <w:w w:val="100"/>
          <w:sz w:val="30"/>
          <w:szCs w:val="30"/>
          <w:highlight w:val="none"/>
          <w:lang w:val="en-US" w:eastAsia="zh-CN"/>
        </w:rPr>
        <w:t>5607.60</w:t>
      </w:r>
      <w:r>
        <w:rPr>
          <w:rFonts w:hint="default" w:ascii="Times New Roman" w:hAnsi="Times New Roman" w:eastAsia="宋体" w:cs="Times New Roman"/>
          <w:smallCaps w:val="0"/>
          <w:color w:val="auto"/>
          <w:spacing w:val="0"/>
          <w:w w:val="100"/>
          <w:sz w:val="30"/>
          <w:szCs w:val="30"/>
          <w:highlight w:val="none"/>
          <w:lang w:eastAsia="zh-CN"/>
        </w:rPr>
        <w:t>万m³/a。</w:t>
      </w:r>
    </w:p>
    <w:p w14:paraId="6C2BA9AC">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（3）过境水资源</w:t>
      </w:r>
    </w:p>
    <w:p w14:paraId="627174B9">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项目区所在地境内主要河流为雅砻江，在甘孜县境内流长92 km，流经项目区的河流长度为22.09km，水面面积约3.31km²，河道平均比降2.34‰，年均流量1870m³/s。雅砻江甘孜县境内多年平均过境水资源量为90.455亿m³。项目区集雨面积276.87km²，多年平均过境水资源量4916万m³。</w:t>
      </w:r>
    </w:p>
    <w:p w14:paraId="3597BCAB">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70" w:name="_Toc14685"/>
      <w:r>
        <w:rPr>
          <w:rFonts w:hint="default" w:ascii="Times New Roman" w:hAnsi="Times New Roman" w:eastAsia="宋体" w:cs="Times New Roman"/>
          <w:smallCaps w:val="0"/>
          <w:color w:val="auto"/>
          <w:spacing w:val="0"/>
          <w:w w:val="100"/>
          <w:highlight w:val="none"/>
        </w:rPr>
        <w:t>2.2.5 耕地</w:t>
      </w:r>
      <w:bookmarkEnd w:id="70"/>
    </w:p>
    <w:p w14:paraId="6CA1299D">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据土地利用调查数据，甘孜县农用地中：耕地13390.06公顷，占农用地总面积的 2.05% ，主要分布在雅砻江、达曲、泥曲沿岸海拔3350～3750m的阶地上。尤以雅砻江沿岸绒坝岔至拖坝长达46km的宽谷断陷盆地面积较大，是省定青稞商品粮基地。林地面积275153.87公顷，占农用地面积的42.14%，主要分布在县域东南部；牧草地面积 362970.09公顷，占55.59%，主要分布在县域北部的牧区乡；其他农用地1419.45公顷，占0.22%。</w:t>
      </w:r>
    </w:p>
    <w:p w14:paraId="6475AC2B">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项目区处于高原地区，以旱地为主。项目区所在乡镇现有耕地96583.4亩，全部为旱地。</w:t>
      </w:r>
    </w:p>
    <w:p w14:paraId="011FE5C5">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项目区现有耕地多为中低产田，主要表现为：干旱缺水型，瘠薄型。严重制约了农产品产量和质量，制约了农业和农村经济 发展。其形成原因如下：</w:t>
      </w:r>
    </w:p>
    <w:p w14:paraId="3FBE68FF">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① 旱缺水型</w:t>
      </w:r>
    </w:p>
    <w:p w14:paraId="06CEC9DB">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主要因为该区域缺少农田灌溉水利设施，农作物主要灌溉水 来源于降水，在连续性干旱时，农作物不能得到及时有效</w:t>
      </w:r>
      <w:r>
        <w:rPr>
          <w:rFonts w:hint="eastAsia" w:ascii="Times New Roman" w:hAnsi="Times New Roman" w:eastAsia="宋体" w:cs="Times New Roman"/>
          <w:smallCaps w:val="0"/>
          <w:color w:val="auto"/>
          <w:spacing w:val="0"/>
          <w:w w:val="100"/>
          <w:sz w:val="30"/>
          <w:szCs w:val="30"/>
          <w:highlight w:val="none"/>
          <w:lang w:eastAsia="zh-CN"/>
        </w:rPr>
        <w:t>的</w:t>
      </w:r>
      <w:r>
        <w:rPr>
          <w:rFonts w:hint="default" w:ascii="Times New Roman" w:hAnsi="Times New Roman" w:eastAsia="宋体" w:cs="Times New Roman"/>
          <w:smallCaps w:val="0"/>
          <w:color w:val="auto"/>
          <w:spacing w:val="0"/>
          <w:w w:val="100"/>
          <w:sz w:val="30"/>
          <w:szCs w:val="30"/>
          <w:highlight w:val="none"/>
          <w:lang w:eastAsia="zh-CN"/>
        </w:rPr>
        <w:t xml:space="preserve">灌溉，导致农作物产量下降，影响农民的生产收入。 </w:t>
      </w:r>
    </w:p>
    <w:p w14:paraId="46228CBB">
      <w:pPr>
        <w:kinsoku/>
        <w:spacing w:line="560" w:lineRule="exact"/>
        <w:ind w:left="41" w:leftChars="0" w:right="25" w:rightChars="0" w:firstLine="601" w:firstLine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②贫瘠型</w:t>
      </w:r>
    </w:p>
    <w:p w14:paraId="367DC849">
      <w:pPr>
        <w:kinsoku/>
        <w:spacing w:line="560" w:lineRule="exact"/>
        <w:ind w:left="41" w:right="57" w:firstLine="603"/>
        <w:jc w:val="both"/>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项目区耕地土壤类型主要为山地褐土、暗棕壤</w:t>
      </w:r>
      <w:r>
        <w:rPr>
          <w:rFonts w:hint="eastAsia" w:ascii="Times New Roman" w:hAnsi="Times New Roman" w:eastAsia="宋体" w:cs="Times New Roman"/>
          <w:smallCaps w:val="0"/>
          <w:color w:val="auto"/>
          <w:spacing w:val="0"/>
          <w:w w:val="100"/>
          <w:sz w:val="30"/>
          <w:szCs w:val="30"/>
          <w:highlight w:val="none"/>
          <w:lang w:val="en-US" w:eastAsia="zh-CN"/>
        </w:rPr>
        <w:t>等</w:t>
      </w:r>
      <w:r>
        <w:rPr>
          <w:rFonts w:hint="default" w:ascii="Times New Roman" w:hAnsi="Times New Roman" w:eastAsia="宋体" w:cs="Times New Roman"/>
          <w:smallCaps w:val="0"/>
          <w:color w:val="auto"/>
          <w:spacing w:val="0"/>
          <w:w w:val="100"/>
          <w:sz w:val="30"/>
          <w:szCs w:val="30"/>
          <w:highlight w:val="none"/>
          <w:lang w:eastAsia="zh-CN"/>
        </w:rPr>
        <w:t>，保水保肥能力较差，加之</w:t>
      </w:r>
      <w:r>
        <w:rPr>
          <w:rFonts w:hint="default" w:ascii="Times New Roman" w:hAnsi="Times New Roman" w:eastAsia="宋体" w:cs="Times New Roman"/>
          <w:smallCaps w:val="0"/>
          <w:color w:val="auto"/>
          <w:spacing w:val="0"/>
          <w:w w:val="100"/>
          <w:sz w:val="30"/>
          <w:szCs w:val="30"/>
          <w:highlight w:val="none"/>
          <w:lang w:val="en-US" w:eastAsia="zh-CN"/>
        </w:rPr>
        <w:t>群众在农业生产上，一直沿袭粗放经营，成为制约项目区农业生产优质、高效、环保的关键因素</w:t>
      </w:r>
      <w:r>
        <w:rPr>
          <w:rFonts w:hint="default" w:ascii="Times New Roman" w:hAnsi="Times New Roman" w:eastAsia="宋体" w:cs="Times New Roman"/>
          <w:smallCaps w:val="0"/>
          <w:color w:val="auto"/>
          <w:spacing w:val="0"/>
          <w:w w:val="100"/>
          <w:sz w:val="30"/>
          <w:szCs w:val="30"/>
          <w:highlight w:val="none"/>
          <w:lang w:eastAsia="zh-CN"/>
        </w:rPr>
        <w:t>。</w:t>
      </w:r>
    </w:p>
    <w:p w14:paraId="5B0F17D6">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cs="Times New Roman"/>
          <w:color w:val="auto"/>
          <w:highlight w:val="none"/>
        </w:rPr>
        <w:drawing>
          <wp:inline distT="0" distB="0" distL="114300" distR="114300">
            <wp:extent cx="5751830" cy="6903720"/>
            <wp:effectExtent l="0" t="0" r="1270" b="11430"/>
            <wp:docPr id="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
                    <pic:cNvPicPr>
                      <a:picLocks noChangeAspect="1"/>
                    </pic:cNvPicPr>
                  </pic:nvPicPr>
                  <pic:blipFill>
                    <a:blip r:embed="rId36"/>
                    <a:stretch>
                      <a:fillRect/>
                    </a:stretch>
                  </pic:blipFill>
                  <pic:spPr>
                    <a:xfrm>
                      <a:off x="0" y="0"/>
                      <a:ext cx="5751830" cy="6903720"/>
                    </a:xfrm>
                    <a:prstGeom prst="rect">
                      <a:avLst/>
                    </a:prstGeom>
                    <a:noFill/>
                    <a:ln>
                      <a:noFill/>
                    </a:ln>
                  </pic:spPr>
                </pic:pic>
              </a:graphicData>
            </a:graphic>
          </wp:inline>
        </w:drawing>
      </w:r>
    </w:p>
    <w:p w14:paraId="416F0EA4">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2B6BD071">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4F2E7DB7">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68C46149">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2F6D06AD">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56471150">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714212DE">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5BBED122">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19738FE2">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5998DC46">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74E51C98">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12A86465">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2BA8FA5D">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3326DFF1">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cs="Times New Roman"/>
          <w:color w:val="auto"/>
          <w:highlight w:val="none"/>
        </w:rPr>
      </w:pPr>
    </w:p>
    <w:p w14:paraId="2F78A6B1">
      <w:pPr>
        <w:kinsoku/>
        <w:spacing w:line="560" w:lineRule="exact"/>
        <w:ind w:left="41" w:right="57" w:firstLine="603"/>
        <w:jc w:val="both"/>
        <w:outlineLvl w:val="9"/>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部分土地大石（粒径30</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val="en-US" w:eastAsia="zh-CN"/>
        </w:rPr>
        <w:t>100cm）头过多。</w:t>
      </w:r>
    </w:p>
    <w:p w14:paraId="50CB6A10">
      <w:pPr>
        <w:keepNext w:val="0"/>
        <w:keepLines w:val="0"/>
        <w:pageBreakBefore w:val="0"/>
        <w:widowControl/>
        <w:kinsoku/>
        <w:wordWrap/>
        <w:overflowPunct/>
        <w:topLinePunct w:val="0"/>
        <w:autoSpaceDE w:val="0"/>
        <w:autoSpaceDN w:val="0"/>
        <w:bidi w:val="0"/>
        <w:adjustRightInd w:val="0"/>
        <w:snapToGrid w:val="0"/>
        <w:spacing w:line="240" w:lineRule="auto"/>
        <w:ind w:left="0" w:right="0" w:firstLine="0"/>
        <w:jc w:val="both"/>
        <w:textAlignment w:val="baseline"/>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cs="Times New Roman"/>
          <w:color w:val="auto"/>
          <w:highlight w:val="none"/>
        </w:rPr>
        <w:drawing>
          <wp:inline distT="0" distB="0" distL="114300" distR="114300">
            <wp:extent cx="5748655" cy="2888615"/>
            <wp:effectExtent l="0" t="0" r="4445" b="6985"/>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37"/>
                    <a:stretch>
                      <a:fillRect/>
                    </a:stretch>
                  </pic:blipFill>
                  <pic:spPr>
                    <a:xfrm>
                      <a:off x="0" y="0"/>
                      <a:ext cx="5748655" cy="2888615"/>
                    </a:xfrm>
                    <a:prstGeom prst="rect">
                      <a:avLst/>
                    </a:prstGeom>
                    <a:noFill/>
                    <a:ln>
                      <a:noFill/>
                    </a:ln>
                  </pic:spPr>
                </pic:pic>
              </a:graphicData>
            </a:graphic>
          </wp:inline>
        </w:drawing>
      </w:r>
    </w:p>
    <w:p w14:paraId="302A2D5D">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71" w:name="_Toc23709"/>
      <w:r>
        <w:rPr>
          <w:rFonts w:hint="default" w:ascii="Times New Roman" w:hAnsi="Times New Roman" w:eastAsia="宋体" w:cs="Times New Roman"/>
          <w:smallCaps w:val="0"/>
          <w:color w:val="auto"/>
          <w:spacing w:val="0"/>
          <w:w w:val="100"/>
          <w:highlight w:val="none"/>
        </w:rPr>
        <w:t>2.2.</w:t>
      </w:r>
      <w:r>
        <w:rPr>
          <w:rFonts w:hint="default" w:ascii="Times New Roman" w:hAnsi="Times New Roman" w:cs="Times New Roman"/>
          <w:smallCaps w:val="0"/>
          <w:color w:val="auto"/>
          <w:spacing w:val="0"/>
          <w:w w:val="100"/>
          <w:highlight w:val="none"/>
          <w:lang w:eastAsia="zh-CN"/>
        </w:rPr>
        <w:t>6</w:t>
      </w:r>
      <w:r>
        <w:rPr>
          <w:rFonts w:hint="default" w:ascii="Times New Roman" w:hAnsi="Times New Roman" w:eastAsia="宋体" w:cs="Times New Roman"/>
          <w:smallCaps w:val="0"/>
          <w:color w:val="auto"/>
          <w:spacing w:val="0"/>
          <w:w w:val="100"/>
          <w:highlight w:val="none"/>
        </w:rPr>
        <w:t>自然灾害</w:t>
      </w:r>
      <w:bookmarkEnd w:id="71"/>
    </w:p>
    <w:p w14:paraId="35465865">
      <w:pPr>
        <w:kinsoku/>
        <w:spacing w:line="560" w:lineRule="exact"/>
        <w:ind w:firstLine="567" w:firstLineChars="18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自然灾害以干旱、冰雹、霜冻、泥石流为主。冬干春旱是县境内的气候特征之一，每年均有不同程度的春旱发生，常年达40天以上。特别严重的达60天左右，经常导致全县大面积减产。甘孜县地貌属高原平原型向高原丘陵过渡地带，地形多由狭窄型山谷组成，另外，由于森林植被的破坏，暴雨成灾，境内泥石流的痕迹在各河流、支沟两岸比比皆是。甘孜冰雹、霜冻及雪灾是较为常见的气象灾害，这是由特殊的地理气候环境决定的。冰雹、霜冻及雪灾每年都要造成农作物的大面积减产，给全县农牧民群众的生产和生活带来了极大的困难，阻碍了农牧业和农村经济的发展，延缓了乡村振兴的进程。</w:t>
      </w:r>
    </w:p>
    <w:p w14:paraId="34B10762">
      <w:pPr>
        <w:kinsoku/>
        <w:spacing w:line="560" w:lineRule="exact"/>
        <w:ind w:firstLine="567" w:firstLineChars="18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2022年，县域内出现两次冰雹，8月出现中度伏旱。</w:t>
      </w:r>
    </w:p>
    <w:p w14:paraId="11E3600B">
      <w:pPr>
        <w:kinsoku/>
        <w:spacing w:line="560" w:lineRule="exact"/>
        <w:ind w:left="36"/>
        <w:outlineLvl w:val="1"/>
        <w:rPr>
          <w:rFonts w:hint="default" w:ascii="Times New Roman" w:hAnsi="Times New Roman" w:eastAsia="宋体" w:cs="Times New Roman"/>
          <w:smallCaps w:val="0"/>
          <w:color w:val="auto"/>
          <w:spacing w:val="0"/>
          <w:w w:val="100"/>
          <w:sz w:val="30"/>
          <w:szCs w:val="30"/>
          <w:highlight w:val="none"/>
          <w:lang w:eastAsia="zh-CN"/>
        </w:rPr>
      </w:pPr>
      <w:bookmarkStart w:id="72" w:name="_Toc17165"/>
      <w:bookmarkStart w:id="73" w:name="_Toc26097"/>
      <w:bookmarkStart w:id="74" w:name="_Toc8099"/>
      <w:r>
        <w:rPr>
          <w:rFonts w:hint="default" w:ascii="Times New Roman" w:hAnsi="Times New Roman" w:eastAsia="宋体" w:cs="Times New Roman"/>
          <w:b/>
          <w:bCs/>
          <w:smallCaps w:val="0"/>
          <w:color w:val="auto"/>
          <w:spacing w:val="0"/>
          <w:w w:val="100"/>
          <w:sz w:val="30"/>
          <w:szCs w:val="30"/>
          <w:highlight w:val="none"/>
          <w:lang w:eastAsia="zh-CN"/>
        </w:rPr>
        <w:t>2.3 社会经济状况</w:t>
      </w:r>
      <w:bookmarkEnd w:id="72"/>
      <w:bookmarkEnd w:id="73"/>
      <w:bookmarkEnd w:id="74"/>
    </w:p>
    <w:p w14:paraId="5AE830C7">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75" w:name="_Toc32617"/>
      <w:r>
        <w:rPr>
          <w:rFonts w:hint="default" w:ascii="Times New Roman" w:hAnsi="Times New Roman" w:eastAsia="宋体" w:cs="Times New Roman"/>
          <w:smallCaps w:val="0"/>
          <w:color w:val="auto"/>
          <w:spacing w:val="0"/>
          <w:w w:val="100"/>
          <w:highlight w:val="none"/>
        </w:rPr>
        <w:t>2.3.1 人口及</w:t>
      </w:r>
      <w:r>
        <w:rPr>
          <w:rFonts w:hint="default" w:ascii="Times New Roman" w:hAnsi="Times New Roman" w:cs="Times New Roman"/>
          <w:smallCaps w:val="0"/>
          <w:color w:val="auto"/>
          <w:spacing w:val="0"/>
          <w:w w:val="100"/>
          <w:highlight w:val="none"/>
          <w:lang w:eastAsia="zh-CN"/>
        </w:rPr>
        <w:t>劳动</w:t>
      </w:r>
      <w:r>
        <w:rPr>
          <w:rFonts w:hint="default" w:ascii="Times New Roman" w:hAnsi="Times New Roman" w:eastAsia="宋体" w:cs="Times New Roman"/>
          <w:smallCaps w:val="0"/>
          <w:color w:val="auto"/>
          <w:spacing w:val="0"/>
          <w:w w:val="100"/>
          <w:highlight w:val="none"/>
        </w:rPr>
        <w:t>力</w:t>
      </w:r>
      <w:bookmarkEnd w:id="75"/>
    </w:p>
    <w:p w14:paraId="09C952AF">
      <w:pPr>
        <w:kinsoku/>
        <w:spacing w:line="560" w:lineRule="exact"/>
        <w:ind w:firstLine="567" w:firstLineChars="18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甘孜</w:t>
      </w:r>
      <w:r>
        <w:rPr>
          <w:rFonts w:hint="default" w:ascii="Times New Roman" w:hAnsi="Times New Roman" w:eastAsia="宋体" w:cs="Times New Roman"/>
          <w:smallCaps w:val="0"/>
          <w:color w:val="auto"/>
          <w:spacing w:val="0"/>
          <w:w w:val="100"/>
          <w:sz w:val="30"/>
          <w:szCs w:val="30"/>
          <w:highlight w:val="none"/>
          <w:lang w:val="en-US" w:eastAsia="zh-CN"/>
        </w:rPr>
        <w:t>镇</w:t>
      </w:r>
      <w:r>
        <w:rPr>
          <w:rFonts w:hint="default" w:ascii="Times New Roman" w:hAnsi="Times New Roman" w:eastAsia="宋体" w:cs="Times New Roman"/>
          <w:smallCaps w:val="0"/>
          <w:color w:val="auto"/>
          <w:spacing w:val="0"/>
          <w:w w:val="100"/>
          <w:sz w:val="30"/>
          <w:szCs w:val="30"/>
          <w:highlight w:val="none"/>
          <w:lang w:eastAsia="zh-CN"/>
        </w:rPr>
        <w:t>位于四川省西北部、甘孜州北部，东与炉霍县接壤，西与德格县毗邻，南与新龙县、白玉县交界，北与石渠县、色达县及青海省相依，距州府康定385千米，距省会成都737千米。幅员面积7303平方公里。截至2019年末，</w:t>
      </w:r>
      <w:r>
        <w:rPr>
          <w:rFonts w:hint="default" w:ascii="Times New Roman" w:hAnsi="Times New Roman" w:eastAsia="宋体" w:cs="Times New Roman"/>
          <w:smallCaps w:val="0"/>
          <w:color w:val="auto"/>
          <w:spacing w:val="0"/>
          <w:w w:val="100"/>
          <w:sz w:val="30"/>
          <w:szCs w:val="30"/>
          <w:highlight w:val="none"/>
          <w:lang w:val="en-US" w:eastAsia="zh-CN"/>
        </w:rPr>
        <w:t>总户数762户，</w:t>
      </w:r>
      <w:r>
        <w:rPr>
          <w:rFonts w:hint="default" w:ascii="Times New Roman" w:hAnsi="Times New Roman" w:eastAsia="宋体" w:cs="Times New Roman"/>
          <w:smallCaps w:val="0"/>
          <w:color w:val="auto"/>
          <w:spacing w:val="0"/>
          <w:w w:val="100"/>
          <w:sz w:val="30"/>
          <w:szCs w:val="30"/>
          <w:highlight w:val="none"/>
          <w:lang w:eastAsia="zh-CN"/>
        </w:rPr>
        <w:t>户籍人口</w:t>
      </w:r>
      <w:r>
        <w:rPr>
          <w:rFonts w:hint="default" w:ascii="Times New Roman" w:hAnsi="Times New Roman" w:eastAsia="宋体" w:cs="Times New Roman"/>
          <w:smallCaps w:val="0"/>
          <w:color w:val="auto"/>
          <w:spacing w:val="0"/>
          <w:w w:val="100"/>
          <w:sz w:val="30"/>
          <w:szCs w:val="30"/>
          <w:highlight w:val="none"/>
          <w:lang w:val="en-US" w:eastAsia="zh-CN"/>
        </w:rPr>
        <w:t>2745</w:t>
      </w:r>
      <w:r>
        <w:rPr>
          <w:rFonts w:hint="default" w:ascii="Times New Roman" w:hAnsi="Times New Roman" w:eastAsia="宋体" w:cs="Times New Roman"/>
          <w:smallCaps w:val="0"/>
          <w:color w:val="auto"/>
          <w:spacing w:val="0"/>
          <w:w w:val="100"/>
          <w:sz w:val="30"/>
          <w:szCs w:val="30"/>
          <w:highlight w:val="none"/>
          <w:lang w:eastAsia="zh-CN"/>
        </w:rPr>
        <w:t>人。截至 2020 年 6月，甘孜镇下辖 4 个社区和 27 个行政村，镇人民政府驻清河街社区清河街75号。</w:t>
      </w:r>
    </w:p>
    <w:p w14:paraId="45606748">
      <w:pPr>
        <w:kinsoku/>
        <w:spacing w:line="560" w:lineRule="exact"/>
        <w:ind w:firstLine="567" w:firstLineChars="18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来马镇地处甘孜县城西部，东连卡攻乡，南与新龙县相邻，西接德格县，北靠昔色乡，海拔3480米，东距县城 34 千米，东南距州府康定 418 千米、省会成都742千米。</w:t>
      </w:r>
      <w:r>
        <w:rPr>
          <w:rFonts w:hint="default" w:ascii="Times New Roman" w:hAnsi="Times New Roman" w:eastAsia="宋体" w:cs="Times New Roman"/>
          <w:smallCaps w:val="0"/>
          <w:color w:val="auto"/>
          <w:spacing w:val="0"/>
          <w:w w:val="100"/>
          <w:sz w:val="30"/>
          <w:szCs w:val="30"/>
          <w:highlight w:val="none"/>
          <w:lang w:val="en-US" w:eastAsia="zh-CN"/>
        </w:rPr>
        <w:t>总户数546户，</w:t>
      </w:r>
      <w:r>
        <w:rPr>
          <w:rFonts w:hint="default" w:ascii="Times New Roman" w:hAnsi="Times New Roman" w:eastAsia="宋体" w:cs="Times New Roman"/>
          <w:smallCaps w:val="0"/>
          <w:color w:val="auto"/>
          <w:spacing w:val="0"/>
          <w:w w:val="100"/>
          <w:sz w:val="30"/>
          <w:szCs w:val="30"/>
          <w:highlight w:val="none"/>
          <w:lang w:eastAsia="zh-CN"/>
        </w:rPr>
        <w:t xml:space="preserve">户籍人口 </w:t>
      </w:r>
      <w:r>
        <w:rPr>
          <w:rFonts w:hint="default" w:ascii="Times New Roman" w:hAnsi="Times New Roman" w:eastAsia="宋体" w:cs="Times New Roman"/>
          <w:smallCaps w:val="0"/>
          <w:color w:val="auto"/>
          <w:spacing w:val="0"/>
          <w:w w:val="100"/>
          <w:sz w:val="30"/>
          <w:szCs w:val="30"/>
          <w:highlight w:val="none"/>
          <w:lang w:val="en-US" w:eastAsia="zh-CN"/>
        </w:rPr>
        <w:t>2783</w:t>
      </w:r>
      <w:r>
        <w:rPr>
          <w:rFonts w:hint="default" w:ascii="Times New Roman" w:hAnsi="Times New Roman" w:eastAsia="宋体" w:cs="Times New Roman"/>
          <w:smallCaps w:val="0"/>
          <w:color w:val="auto"/>
          <w:spacing w:val="0"/>
          <w:w w:val="100"/>
          <w:sz w:val="30"/>
          <w:szCs w:val="30"/>
          <w:highlight w:val="none"/>
          <w:lang w:eastAsia="zh-CN"/>
        </w:rPr>
        <w:t>人。截至 2020 年 6月，来马镇下辖14个行政村，镇人民政府驻来马村。</w:t>
      </w:r>
    </w:p>
    <w:p w14:paraId="1E8B6DAA">
      <w:pPr>
        <w:kinsoku/>
        <w:spacing w:line="560" w:lineRule="exact"/>
        <w:ind w:firstLine="567" w:firstLineChars="18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拖坝乡位于甘孜县境东南部，距县城 10 公里。面积约63平方公里，</w:t>
      </w:r>
      <w:r>
        <w:rPr>
          <w:rFonts w:hint="eastAsia" w:ascii="Times New Roman" w:hAnsi="Times New Roman" w:eastAsia="宋体" w:cs="Times New Roman"/>
          <w:smallCaps w:val="0"/>
          <w:color w:val="auto"/>
          <w:spacing w:val="0"/>
          <w:w w:val="100"/>
          <w:sz w:val="30"/>
          <w:szCs w:val="30"/>
          <w:highlight w:val="none"/>
          <w:lang w:eastAsia="zh-CN"/>
        </w:rPr>
        <w:t>根据2024年1月的信息</w:t>
      </w:r>
      <w:r>
        <w:rPr>
          <w:rFonts w:hint="default" w:ascii="Times New Roman" w:hAnsi="Times New Roman" w:eastAsia="宋体" w:cs="Times New Roman"/>
          <w:smallCaps w:val="0"/>
          <w:color w:val="auto"/>
          <w:spacing w:val="0"/>
          <w:w w:val="100"/>
          <w:sz w:val="30"/>
          <w:szCs w:val="30"/>
          <w:highlight w:val="none"/>
          <w:lang w:eastAsia="zh-CN"/>
        </w:rPr>
        <w:t>，人口约0.3万。</w:t>
      </w:r>
      <w:r>
        <w:rPr>
          <w:rFonts w:hint="default" w:ascii="Times New Roman" w:hAnsi="Times New Roman" w:eastAsia="宋体" w:cs="Times New Roman"/>
          <w:smallCaps w:val="0"/>
          <w:color w:val="auto"/>
          <w:spacing w:val="0"/>
          <w:w w:val="100"/>
          <w:sz w:val="30"/>
          <w:szCs w:val="30"/>
          <w:highlight w:val="none"/>
          <w:lang w:val="en-US" w:eastAsia="zh-CN"/>
        </w:rPr>
        <w:t>总户数528户，</w:t>
      </w:r>
      <w:r>
        <w:rPr>
          <w:rFonts w:hint="default" w:ascii="Times New Roman" w:hAnsi="Times New Roman" w:eastAsia="宋体" w:cs="Times New Roman"/>
          <w:smallCaps w:val="0"/>
          <w:color w:val="auto"/>
          <w:spacing w:val="0"/>
          <w:w w:val="100"/>
          <w:sz w:val="30"/>
          <w:szCs w:val="30"/>
          <w:highlight w:val="none"/>
          <w:lang w:eastAsia="zh-CN"/>
        </w:rPr>
        <w:t>户籍人口</w:t>
      </w:r>
      <w:r>
        <w:rPr>
          <w:rFonts w:hint="default" w:ascii="Times New Roman" w:hAnsi="Times New Roman" w:eastAsia="宋体" w:cs="Times New Roman"/>
          <w:smallCaps w:val="0"/>
          <w:color w:val="auto"/>
          <w:spacing w:val="0"/>
          <w:w w:val="100"/>
          <w:sz w:val="30"/>
          <w:szCs w:val="30"/>
          <w:highlight w:val="none"/>
          <w:lang w:val="en-US" w:eastAsia="zh-CN"/>
        </w:rPr>
        <w:t>2501</w:t>
      </w:r>
      <w:r>
        <w:rPr>
          <w:rFonts w:hint="default" w:ascii="Times New Roman" w:hAnsi="Times New Roman" w:eastAsia="宋体" w:cs="Times New Roman"/>
          <w:smallCaps w:val="0"/>
          <w:color w:val="auto"/>
          <w:spacing w:val="0"/>
          <w:w w:val="100"/>
          <w:sz w:val="30"/>
          <w:szCs w:val="30"/>
          <w:highlight w:val="none"/>
          <w:lang w:eastAsia="zh-CN"/>
        </w:rPr>
        <w:t>人。截至 2025年3月，拖坝乡辖拖坝村、楚洛村、西泥村、拉戈底村、曲卡郎村、卡呷村、扎来村、普衣隆村、移民扶贫新村 9 个行政村。</w:t>
      </w:r>
    </w:p>
    <w:p w14:paraId="3821C946">
      <w:pPr>
        <w:kinsoku/>
        <w:spacing w:line="560" w:lineRule="exact"/>
        <w:ind w:firstLine="567" w:firstLineChars="18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庭卡乡位于甘孜县东部，东连下雄乡，南靠新龙县，西接拖坝乡，北与下雄乡毗邻。海拔约 3500 米，西距甘孜县城 15 千米，东南距州府康定 369 千米，省会成都 727 千米。总面积 227.25 平方千米。截至 2019 年末，</w:t>
      </w:r>
      <w:r>
        <w:rPr>
          <w:rFonts w:hint="default" w:ascii="Times New Roman" w:hAnsi="Times New Roman" w:eastAsia="宋体" w:cs="Times New Roman"/>
          <w:smallCaps w:val="0"/>
          <w:color w:val="auto"/>
          <w:spacing w:val="0"/>
          <w:w w:val="100"/>
          <w:sz w:val="30"/>
          <w:szCs w:val="30"/>
          <w:highlight w:val="none"/>
          <w:lang w:val="en-US" w:eastAsia="zh-CN"/>
        </w:rPr>
        <w:t>总户数345户，</w:t>
      </w:r>
      <w:r>
        <w:rPr>
          <w:rFonts w:hint="default" w:ascii="Times New Roman" w:hAnsi="Times New Roman" w:eastAsia="宋体" w:cs="Times New Roman"/>
          <w:smallCaps w:val="0"/>
          <w:color w:val="auto"/>
          <w:spacing w:val="0"/>
          <w:w w:val="100"/>
          <w:sz w:val="30"/>
          <w:szCs w:val="30"/>
          <w:highlight w:val="none"/>
          <w:lang w:eastAsia="zh-CN"/>
        </w:rPr>
        <w:t>户籍人口</w:t>
      </w:r>
      <w:r>
        <w:rPr>
          <w:rFonts w:hint="default" w:ascii="Times New Roman" w:hAnsi="Times New Roman" w:eastAsia="宋体" w:cs="Times New Roman"/>
          <w:smallCaps w:val="0"/>
          <w:color w:val="auto"/>
          <w:spacing w:val="0"/>
          <w:w w:val="100"/>
          <w:sz w:val="30"/>
          <w:szCs w:val="30"/>
          <w:highlight w:val="none"/>
          <w:lang w:val="en-US" w:eastAsia="zh-CN"/>
        </w:rPr>
        <w:t>2140</w:t>
      </w:r>
      <w:r>
        <w:rPr>
          <w:rFonts w:hint="default" w:ascii="Times New Roman" w:hAnsi="Times New Roman" w:eastAsia="宋体" w:cs="Times New Roman"/>
          <w:smallCaps w:val="0"/>
          <w:color w:val="auto"/>
          <w:spacing w:val="0"/>
          <w:w w:val="100"/>
          <w:sz w:val="30"/>
          <w:szCs w:val="30"/>
          <w:highlight w:val="none"/>
          <w:lang w:eastAsia="zh-CN"/>
        </w:rPr>
        <w:t>人。截至 2020 年 6月，庭卡乡下辖 6个行政村，分别是庭卡村、苦绒村、洛戈村、拉西村、斯兰达村、巴俄底村，乡人民政府驻庭卡村。</w:t>
      </w:r>
    </w:p>
    <w:p w14:paraId="415FFD5C">
      <w:pPr>
        <w:kinsoku/>
        <w:spacing w:line="560" w:lineRule="exact"/>
        <w:ind w:firstLine="567" w:firstLineChars="18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泥柯乡地处甘孜县城东北部，海拔3620米，西南距县城105千米，东南距州府康定489千米，距省会成都847千米。区域面积397.92平方千米，截至2019年末，</w:t>
      </w:r>
      <w:r>
        <w:rPr>
          <w:rFonts w:hint="default" w:ascii="Times New Roman" w:hAnsi="Times New Roman" w:eastAsia="宋体" w:cs="Times New Roman"/>
          <w:smallCaps w:val="0"/>
          <w:color w:val="auto"/>
          <w:spacing w:val="0"/>
          <w:w w:val="100"/>
          <w:sz w:val="30"/>
          <w:szCs w:val="30"/>
          <w:highlight w:val="none"/>
          <w:lang w:val="en-US" w:eastAsia="zh-CN"/>
        </w:rPr>
        <w:t>总户数361户，</w:t>
      </w:r>
      <w:r>
        <w:rPr>
          <w:rFonts w:hint="default" w:ascii="Times New Roman" w:hAnsi="Times New Roman" w:eastAsia="宋体" w:cs="Times New Roman"/>
          <w:smallCaps w:val="0"/>
          <w:color w:val="auto"/>
          <w:spacing w:val="0"/>
          <w:w w:val="100"/>
          <w:sz w:val="30"/>
          <w:szCs w:val="30"/>
          <w:highlight w:val="none"/>
          <w:lang w:eastAsia="zh-CN"/>
        </w:rPr>
        <w:t>户籍人口</w:t>
      </w:r>
      <w:r>
        <w:rPr>
          <w:rFonts w:hint="default" w:ascii="Times New Roman" w:hAnsi="Times New Roman" w:eastAsia="宋体" w:cs="Times New Roman"/>
          <w:smallCaps w:val="0"/>
          <w:color w:val="auto"/>
          <w:spacing w:val="0"/>
          <w:w w:val="100"/>
          <w:sz w:val="30"/>
          <w:szCs w:val="30"/>
          <w:highlight w:val="none"/>
          <w:lang w:val="en-US" w:eastAsia="zh-CN"/>
        </w:rPr>
        <w:t>1574</w:t>
      </w:r>
      <w:r>
        <w:rPr>
          <w:rFonts w:hint="default" w:ascii="Times New Roman" w:hAnsi="Times New Roman" w:eastAsia="宋体" w:cs="Times New Roman"/>
          <w:smallCaps w:val="0"/>
          <w:color w:val="auto"/>
          <w:spacing w:val="0"/>
          <w:w w:val="100"/>
          <w:sz w:val="30"/>
          <w:szCs w:val="30"/>
          <w:highlight w:val="none"/>
          <w:lang w:eastAsia="zh-CN"/>
        </w:rPr>
        <w:t>人。截至2020年6月，泥柯乡下辖6个行政村，乡人民政府驻彭达村。</w:t>
      </w:r>
    </w:p>
    <w:p w14:paraId="0B75B4E1">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76" w:name="_Toc9876"/>
      <w:r>
        <w:rPr>
          <w:rFonts w:hint="default" w:ascii="Times New Roman" w:hAnsi="Times New Roman" w:eastAsia="宋体" w:cs="Times New Roman"/>
          <w:smallCaps w:val="0"/>
          <w:color w:val="auto"/>
          <w:spacing w:val="0"/>
          <w:w w:val="100"/>
          <w:highlight w:val="none"/>
        </w:rPr>
        <w:t>2.3.2 土地利用现状</w:t>
      </w:r>
      <w:bookmarkEnd w:id="76"/>
    </w:p>
    <w:p w14:paraId="15E77983">
      <w:pPr>
        <w:kinsoku/>
        <w:spacing w:line="560" w:lineRule="exact"/>
        <w:ind w:left="48" w:right="110" w:firstLine="596"/>
        <w:jc w:val="center"/>
        <w:rPr>
          <w:rFonts w:hint="default" w:ascii="Times New Roman" w:hAnsi="Times New Roman" w:eastAsia="宋体" w:cs="Times New Roman"/>
          <w:b/>
          <w:bCs/>
          <w:smallCaps w:val="0"/>
          <w:color w:val="auto"/>
          <w:spacing w:val="0"/>
          <w:w w:val="100"/>
          <w:sz w:val="30"/>
          <w:szCs w:val="30"/>
          <w:highlight w:val="none"/>
          <w:lang w:eastAsia="zh-CN"/>
        </w:rPr>
      </w:pPr>
    </w:p>
    <w:p w14:paraId="2699289C">
      <w:pPr>
        <w:pStyle w:val="17"/>
        <w:rPr>
          <w:rFonts w:hint="default" w:ascii="Times New Roman" w:hAnsi="Times New Roman" w:eastAsia="宋体" w:cs="Times New Roman"/>
          <w:b/>
          <w:bCs/>
          <w:smallCaps w:val="0"/>
          <w:color w:val="auto"/>
          <w:spacing w:val="0"/>
          <w:w w:val="100"/>
          <w:sz w:val="30"/>
          <w:szCs w:val="30"/>
          <w:highlight w:val="none"/>
          <w:lang w:eastAsia="zh-CN"/>
        </w:rPr>
      </w:pPr>
    </w:p>
    <w:p w14:paraId="550315D1">
      <w:pPr>
        <w:rPr>
          <w:rFonts w:hint="default"/>
          <w:color w:val="auto"/>
          <w:highlight w:val="none"/>
          <w:lang w:eastAsia="zh-CN"/>
        </w:rPr>
      </w:pPr>
    </w:p>
    <w:p w14:paraId="2BD2B46D">
      <w:pPr>
        <w:kinsoku/>
        <w:spacing w:line="560" w:lineRule="exact"/>
        <w:ind w:left="48" w:right="110" w:firstLine="596"/>
        <w:jc w:val="center"/>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项目区土地利用现状统计表</w:t>
      </w:r>
    </w:p>
    <w:p w14:paraId="7B3E1010">
      <w:pPr>
        <w:kinsoku/>
        <w:spacing w:before="1" w:line="220" w:lineRule="auto"/>
        <w:ind w:left="142"/>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表2.3.2-1                                                                                             单位：亩</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070"/>
        <w:gridCol w:w="982"/>
        <w:gridCol w:w="1090"/>
        <w:gridCol w:w="983"/>
        <w:gridCol w:w="892"/>
        <w:gridCol w:w="1198"/>
        <w:gridCol w:w="1198"/>
        <w:gridCol w:w="862"/>
      </w:tblGrid>
      <w:tr w14:paraId="5AD50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blHeader/>
        </w:trPr>
        <w:tc>
          <w:tcPr>
            <w:tcW w:w="1116" w:type="pct"/>
            <w:shd w:val="clear" w:color="auto" w:fill="auto"/>
            <w:noWrap/>
            <w:vAlign w:val="center"/>
          </w:tcPr>
          <w:p w14:paraId="134FFB8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地类名称</w:t>
            </w:r>
          </w:p>
        </w:tc>
        <w:tc>
          <w:tcPr>
            <w:tcW w:w="530" w:type="pct"/>
            <w:shd w:val="clear" w:color="auto" w:fill="auto"/>
            <w:noWrap/>
            <w:vAlign w:val="center"/>
          </w:tcPr>
          <w:p w14:paraId="7B72B3D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甘孜镇</w:t>
            </w:r>
          </w:p>
        </w:tc>
        <w:tc>
          <w:tcPr>
            <w:tcW w:w="588" w:type="pct"/>
            <w:shd w:val="clear" w:color="auto" w:fill="auto"/>
            <w:noWrap/>
            <w:vAlign w:val="center"/>
          </w:tcPr>
          <w:p w14:paraId="0903043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来马镇</w:t>
            </w:r>
          </w:p>
        </w:tc>
        <w:tc>
          <w:tcPr>
            <w:tcW w:w="530" w:type="pct"/>
            <w:shd w:val="clear" w:color="auto" w:fill="auto"/>
            <w:noWrap/>
            <w:vAlign w:val="center"/>
          </w:tcPr>
          <w:p w14:paraId="6E2B827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庭卡乡</w:t>
            </w:r>
          </w:p>
        </w:tc>
        <w:tc>
          <w:tcPr>
            <w:tcW w:w="479" w:type="pct"/>
            <w:shd w:val="clear" w:color="auto" w:fill="auto"/>
            <w:noWrap/>
            <w:vAlign w:val="center"/>
          </w:tcPr>
          <w:p w14:paraId="168A419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拖坝乡</w:t>
            </w:r>
          </w:p>
        </w:tc>
        <w:tc>
          <w:tcPr>
            <w:tcW w:w="646" w:type="pct"/>
            <w:shd w:val="clear" w:color="auto" w:fill="auto"/>
            <w:noWrap/>
            <w:vAlign w:val="center"/>
          </w:tcPr>
          <w:p w14:paraId="66AE892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泥柯乡</w:t>
            </w:r>
          </w:p>
        </w:tc>
        <w:tc>
          <w:tcPr>
            <w:tcW w:w="646" w:type="pct"/>
            <w:shd w:val="clear" w:color="auto" w:fill="auto"/>
            <w:noWrap/>
            <w:vAlign w:val="center"/>
          </w:tcPr>
          <w:p w14:paraId="2A1D475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合计</w:t>
            </w:r>
          </w:p>
        </w:tc>
        <w:tc>
          <w:tcPr>
            <w:tcW w:w="460" w:type="pct"/>
            <w:shd w:val="clear" w:color="auto" w:fill="auto"/>
            <w:noWrap/>
            <w:vAlign w:val="center"/>
          </w:tcPr>
          <w:p w14:paraId="2CB2E74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比例</w:t>
            </w:r>
          </w:p>
        </w:tc>
      </w:tr>
      <w:tr w14:paraId="69FF7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1116" w:type="pct"/>
            <w:shd w:val="clear" w:color="auto" w:fill="auto"/>
            <w:noWrap/>
            <w:vAlign w:val="center"/>
          </w:tcPr>
          <w:p w14:paraId="3D9DA64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水浇地</w:t>
            </w:r>
          </w:p>
        </w:tc>
        <w:tc>
          <w:tcPr>
            <w:tcW w:w="530" w:type="pct"/>
            <w:shd w:val="clear" w:color="auto" w:fill="auto"/>
            <w:noWrap/>
            <w:vAlign w:val="center"/>
          </w:tcPr>
          <w:p w14:paraId="3A2390D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588" w:type="pct"/>
            <w:shd w:val="clear" w:color="auto" w:fill="auto"/>
            <w:noWrap/>
            <w:vAlign w:val="center"/>
          </w:tcPr>
          <w:p w14:paraId="74FD281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530" w:type="pct"/>
            <w:shd w:val="clear" w:color="auto" w:fill="auto"/>
            <w:noWrap/>
            <w:vAlign w:val="center"/>
          </w:tcPr>
          <w:p w14:paraId="7CA8CA0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431949F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67717A2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5D491F8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60" w:type="pct"/>
            <w:shd w:val="clear" w:color="auto" w:fill="auto"/>
            <w:noWrap/>
            <w:vAlign w:val="center"/>
          </w:tcPr>
          <w:p w14:paraId="5B847E7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0.00%</w:t>
            </w:r>
          </w:p>
        </w:tc>
      </w:tr>
      <w:tr w14:paraId="19AAE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1116" w:type="pct"/>
            <w:shd w:val="clear" w:color="auto" w:fill="auto"/>
            <w:noWrap/>
            <w:vAlign w:val="center"/>
          </w:tcPr>
          <w:p w14:paraId="5E04C28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旱地</w:t>
            </w:r>
          </w:p>
        </w:tc>
        <w:tc>
          <w:tcPr>
            <w:tcW w:w="530" w:type="pct"/>
            <w:shd w:val="clear" w:color="auto" w:fill="auto"/>
            <w:noWrap/>
            <w:vAlign w:val="center"/>
          </w:tcPr>
          <w:p w14:paraId="49E478F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23019.38</w:t>
            </w:r>
          </w:p>
        </w:tc>
        <w:tc>
          <w:tcPr>
            <w:tcW w:w="588" w:type="pct"/>
            <w:shd w:val="clear" w:color="auto" w:fill="auto"/>
            <w:noWrap/>
            <w:vAlign w:val="center"/>
          </w:tcPr>
          <w:p w14:paraId="09E59B4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17510.65</w:t>
            </w:r>
          </w:p>
        </w:tc>
        <w:tc>
          <w:tcPr>
            <w:tcW w:w="530" w:type="pct"/>
            <w:shd w:val="clear" w:color="auto" w:fill="auto"/>
            <w:noWrap/>
            <w:vAlign w:val="center"/>
          </w:tcPr>
          <w:p w14:paraId="6576421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7092.65</w:t>
            </w:r>
          </w:p>
        </w:tc>
        <w:tc>
          <w:tcPr>
            <w:tcW w:w="479" w:type="pct"/>
            <w:shd w:val="clear" w:color="auto" w:fill="auto"/>
            <w:noWrap/>
            <w:vAlign w:val="center"/>
          </w:tcPr>
          <w:p w14:paraId="686D20C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23439.93</w:t>
            </w:r>
          </w:p>
        </w:tc>
        <w:tc>
          <w:tcPr>
            <w:tcW w:w="646" w:type="pct"/>
            <w:shd w:val="clear" w:color="auto" w:fill="auto"/>
            <w:noWrap/>
            <w:vAlign w:val="center"/>
          </w:tcPr>
          <w:p w14:paraId="608444B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25520.76</w:t>
            </w:r>
          </w:p>
        </w:tc>
        <w:tc>
          <w:tcPr>
            <w:tcW w:w="646" w:type="pct"/>
            <w:shd w:val="clear" w:color="auto" w:fill="auto"/>
            <w:noWrap/>
            <w:vAlign w:val="center"/>
          </w:tcPr>
          <w:p w14:paraId="318FDFD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96583.37 </w:t>
            </w:r>
          </w:p>
        </w:tc>
        <w:tc>
          <w:tcPr>
            <w:tcW w:w="460" w:type="pct"/>
            <w:shd w:val="clear" w:color="auto" w:fill="auto"/>
            <w:noWrap/>
            <w:vAlign w:val="center"/>
          </w:tcPr>
          <w:p w14:paraId="5622FAC7">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5.74%</w:t>
            </w:r>
          </w:p>
        </w:tc>
      </w:tr>
      <w:tr w14:paraId="284FE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77924A7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果园</w:t>
            </w:r>
          </w:p>
        </w:tc>
        <w:tc>
          <w:tcPr>
            <w:tcW w:w="530" w:type="pct"/>
            <w:shd w:val="clear" w:color="auto" w:fill="auto"/>
            <w:noWrap/>
            <w:vAlign w:val="center"/>
          </w:tcPr>
          <w:p w14:paraId="72EB9B5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3.32</w:t>
            </w:r>
          </w:p>
        </w:tc>
        <w:tc>
          <w:tcPr>
            <w:tcW w:w="588" w:type="pct"/>
            <w:shd w:val="clear" w:color="auto" w:fill="auto"/>
            <w:noWrap/>
            <w:vAlign w:val="center"/>
          </w:tcPr>
          <w:p w14:paraId="319863A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530" w:type="pct"/>
            <w:shd w:val="clear" w:color="auto" w:fill="auto"/>
            <w:noWrap/>
            <w:vAlign w:val="center"/>
          </w:tcPr>
          <w:p w14:paraId="3C131C9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76D8A37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4485A8F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1BD6E25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3.32 </w:t>
            </w:r>
          </w:p>
        </w:tc>
        <w:tc>
          <w:tcPr>
            <w:tcW w:w="460" w:type="pct"/>
            <w:shd w:val="clear" w:color="auto" w:fill="auto"/>
            <w:noWrap/>
            <w:vAlign w:val="center"/>
          </w:tcPr>
          <w:p w14:paraId="638C7316">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0.00%</w:t>
            </w:r>
          </w:p>
        </w:tc>
      </w:tr>
      <w:tr w14:paraId="392D8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6887D3F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其他园地</w:t>
            </w:r>
          </w:p>
        </w:tc>
        <w:tc>
          <w:tcPr>
            <w:tcW w:w="530" w:type="pct"/>
            <w:shd w:val="clear" w:color="auto" w:fill="auto"/>
            <w:noWrap/>
            <w:vAlign w:val="center"/>
          </w:tcPr>
          <w:p w14:paraId="7A3D417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1.71</w:t>
            </w:r>
          </w:p>
        </w:tc>
        <w:tc>
          <w:tcPr>
            <w:tcW w:w="588" w:type="pct"/>
            <w:shd w:val="clear" w:color="auto" w:fill="auto"/>
            <w:noWrap/>
            <w:vAlign w:val="center"/>
          </w:tcPr>
          <w:p w14:paraId="10ADF9A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530" w:type="pct"/>
            <w:shd w:val="clear" w:color="auto" w:fill="auto"/>
            <w:noWrap/>
            <w:vAlign w:val="center"/>
          </w:tcPr>
          <w:p w14:paraId="2C367DF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4A0A839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02789C7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4939753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1.71 </w:t>
            </w:r>
          </w:p>
        </w:tc>
        <w:tc>
          <w:tcPr>
            <w:tcW w:w="460" w:type="pct"/>
            <w:shd w:val="clear" w:color="auto" w:fill="auto"/>
            <w:noWrap/>
            <w:vAlign w:val="center"/>
          </w:tcPr>
          <w:p w14:paraId="630E4A8F">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0.00%</w:t>
            </w:r>
          </w:p>
        </w:tc>
      </w:tr>
      <w:tr w14:paraId="0B773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4175084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乔木林地</w:t>
            </w:r>
          </w:p>
        </w:tc>
        <w:tc>
          <w:tcPr>
            <w:tcW w:w="530" w:type="pct"/>
            <w:shd w:val="clear" w:color="auto" w:fill="auto"/>
            <w:noWrap/>
            <w:vAlign w:val="center"/>
          </w:tcPr>
          <w:p w14:paraId="1D6ED54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11429.62</w:t>
            </w:r>
          </w:p>
        </w:tc>
        <w:tc>
          <w:tcPr>
            <w:tcW w:w="588" w:type="pct"/>
            <w:shd w:val="clear" w:color="auto" w:fill="auto"/>
            <w:noWrap/>
            <w:vAlign w:val="center"/>
          </w:tcPr>
          <w:p w14:paraId="0F06657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5174.72</w:t>
            </w:r>
          </w:p>
        </w:tc>
        <w:tc>
          <w:tcPr>
            <w:tcW w:w="530" w:type="pct"/>
            <w:shd w:val="clear" w:color="auto" w:fill="auto"/>
            <w:noWrap/>
            <w:vAlign w:val="center"/>
          </w:tcPr>
          <w:p w14:paraId="2A76159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23171.7</w:t>
            </w:r>
          </w:p>
        </w:tc>
        <w:tc>
          <w:tcPr>
            <w:tcW w:w="479" w:type="pct"/>
            <w:shd w:val="clear" w:color="auto" w:fill="auto"/>
            <w:noWrap/>
            <w:vAlign w:val="center"/>
          </w:tcPr>
          <w:p w14:paraId="2F39358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871.82</w:t>
            </w:r>
          </w:p>
        </w:tc>
        <w:tc>
          <w:tcPr>
            <w:tcW w:w="646" w:type="pct"/>
            <w:shd w:val="clear" w:color="auto" w:fill="auto"/>
            <w:noWrap/>
            <w:vAlign w:val="center"/>
          </w:tcPr>
          <w:p w14:paraId="3E7446E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7541.80 </w:t>
            </w:r>
          </w:p>
        </w:tc>
        <w:tc>
          <w:tcPr>
            <w:tcW w:w="646" w:type="pct"/>
            <w:shd w:val="clear" w:color="auto" w:fill="auto"/>
            <w:noWrap/>
            <w:vAlign w:val="center"/>
          </w:tcPr>
          <w:p w14:paraId="3B39F09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48189.66</w:t>
            </w:r>
          </w:p>
        </w:tc>
        <w:tc>
          <w:tcPr>
            <w:tcW w:w="460" w:type="pct"/>
            <w:shd w:val="clear" w:color="auto" w:fill="auto"/>
            <w:noWrap/>
            <w:vAlign w:val="center"/>
          </w:tcPr>
          <w:p w14:paraId="13D540A6">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2.86%</w:t>
            </w:r>
          </w:p>
        </w:tc>
      </w:tr>
      <w:tr w14:paraId="51D51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61E9E3B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灌木林地</w:t>
            </w:r>
          </w:p>
        </w:tc>
        <w:tc>
          <w:tcPr>
            <w:tcW w:w="530" w:type="pct"/>
            <w:shd w:val="clear" w:color="auto" w:fill="auto"/>
            <w:noWrap/>
            <w:vAlign w:val="center"/>
          </w:tcPr>
          <w:p w14:paraId="2830CE7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65939.89</w:t>
            </w:r>
          </w:p>
        </w:tc>
        <w:tc>
          <w:tcPr>
            <w:tcW w:w="588" w:type="pct"/>
            <w:shd w:val="clear" w:color="auto" w:fill="auto"/>
            <w:noWrap/>
            <w:vAlign w:val="center"/>
          </w:tcPr>
          <w:p w14:paraId="7E354F7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96048.13</w:t>
            </w:r>
          </w:p>
        </w:tc>
        <w:tc>
          <w:tcPr>
            <w:tcW w:w="530" w:type="pct"/>
            <w:shd w:val="clear" w:color="auto" w:fill="auto"/>
            <w:noWrap/>
            <w:vAlign w:val="center"/>
          </w:tcPr>
          <w:p w14:paraId="35C1BAD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102724.39</w:t>
            </w:r>
          </w:p>
        </w:tc>
        <w:tc>
          <w:tcPr>
            <w:tcW w:w="479" w:type="pct"/>
            <w:shd w:val="clear" w:color="auto" w:fill="auto"/>
            <w:noWrap/>
            <w:vAlign w:val="center"/>
          </w:tcPr>
          <w:p w14:paraId="48D6ECE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10002.73</w:t>
            </w:r>
          </w:p>
        </w:tc>
        <w:tc>
          <w:tcPr>
            <w:tcW w:w="646" w:type="pct"/>
            <w:shd w:val="clear" w:color="auto" w:fill="auto"/>
            <w:noWrap/>
            <w:vAlign w:val="center"/>
          </w:tcPr>
          <w:p w14:paraId="5166CFA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139983.18 </w:t>
            </w:r>
          </w:p>
        </w:tc>
        <w:tc>
          <w:tcPr>
            <w:tcW w:w="646" w:type="pct"/>
            <w:shd w:val="clear" w:color="auto" w:fill="auto"/>
            <w:noWrap/>
            <w:vAlign w:val="center"/>
          </w:tcPr>
          <w:p w14:paraId="6EA999C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414698.32 </w:t>
            </w:r>
          </w:p>
        </w:tc>
        <w:tc>
          <w:tcPr>
            <w:tcW w:w="460" w:type="pct"/>
            <w:shd w:val="clear" w:color="auto" w:fill="auto"/>
            <w:noWrap/>
            <w:vAlign w:val="center"/>
          </w:tcPr>
          <w:p w14:paraId="2CD28D5E">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24.65%</w:t>
            </w:r>
          </w:p>
        </w:tc>
      </w:tr>
      <w:tr w14:paraId="3DCA7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546B6A6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灌丛沼泽</w:t>
            </w:r>
          </w:p>
        </w:tc>
        <w:tc>
          <w:tcPr>
            <w:tcW w:w="530" w:type="pct"/>
            <w:shd w:val="clear" w:color="auto" w:fill="auto"/>
            <w:noWrap/>
            <w:vAlign w:val="center"/>
          </w:tcPr>
          <w:p w14:paraId="612FD1F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588" w:type="pct"/>
            <w:shd w:val="clear" w:color="auto" w:fill="auto"/>
            <w:noWrap/>
            <w:vAlign w:val="center"/>
          </w:tcPr>
          <w:p w14:paraId="3219C05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530" w:type="pct"/>
            <w:shd w:val="clear" w:color="auto" w:fill="auto"/>
            <w:noWrap/>
            <w:vAlign w:val="center"/>
          </w:tcPr>
          <w:p w14:paraId="6430703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837.07</w:t>
            </w:r>
          </w:p>
        </w:tc>
        <w:tc>
          <w:tcPr>
            <w:tcW w:w="479" w:type="pct"/>
            <w:shd w:val="clear" w:color="auto" w:fill="auto"/>
            <w:noWrap/>
            <w:vAlign w:val="center"/>
          </w:tcPr>
          <w:p w14:paraId="088D1BE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5DFA7FF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4DB31E6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837.07 </w:t>
            </w:r>
          </w:p>
        </w:tc>
        <w:tc>
          <w:tcPr>
            <w:tcW w:w="460" w:type="pct"/>
            <w:shd w:val="clear" w:color="auto" w:fill="auto"/>
            <w:noWrap/>
            <w:vAlign w:val="center"/>
          </w:tcPr>
          <w:p w14:paraId="74E70851">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0.05%</w:t>
            </w:r>
          </w:p>
        </w:tc>
      </w:tr>
      <w:tr w14:paraId="46DB2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39BBCF6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其他林地</w:t>
            </w:r>
          </w:p>
        </w:tc>
        <w:tc>
          <w:tcPr>
            <w:tcW w:w="530" w:type="pct"/>
            <w:shd w:val="clear" w:color="auto" w:fill="auto"/>
            <w:noWrap/>
            <w:vAlign w:val="center"/>
          </w:tcPr>
          <w:p w14:paraId="376D11B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389.3</w:t>
            </w:r>
          </w:p>
        </w:tc>
        <w:tc>
          <w:tcPr>
            <w:tcW w:w="588" w:type="pct"/>
            <w:shd w:val="clear" w:color="auto" w:fill="auto"/>
            <w:noWrap/>
            <w:vAlign w:val="center"/>
          </w:tcPr>
          <w:p w14:paraId="43FF13F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19.68</w:t>
            </w:r>
          </w:p>
        </w:tc>
        <w:tc>
          <w:tcPr>
            <w:tcW w:w="530" w:type="pct"/>
            <w:shd w:val="clear" w:color="auto" w:fill="auto"/>
            <w:noWrap/>
            <w:vAlign w:val="center"/>
          </w:tcPr>
          <w:p w14:paraId="33C9472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28.62</w:t>
            </w:r>
          </w:p>
        </w:tc>
        <w:tc>
          <w:tcPr>
            <w:tcW w:w="479" w:type="pct"/>
            <w:shd w:val="clear" w:color="auto" w:fill="auto"/>
            <w:noWrap/>
            <w:vAlign w:val="center"/>
          </w:tcPr>
          <w:p w14:paraId="4596C8B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52.1</w:t>
            </w:r>
          </w:p>
        </w:tc>
        <w:tc>
          <w:tcPr>
            <w:tcW w:w="646" w:type="pct"/>
            <w:shd w:val="clear" w:color="auto" w:fill="auto"/>
            <w:noWrap/>
            <w:vAlign w:val="center"/>
          </w:tcPr>
          <w:p w14:paraId="27DD922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28.68 </w:t>
            </w:r>
          </w:p>
        </w:tc>
        <w:tc>
          <w:tcPr>
            <w:tcW w:w="646" w:type="pct"/>
            <w:shd w:val="clear" w:color="auto" w:fill="auto"/>
            <w:noWrap/>
            <w:vAlign w:val="center"/>
          </w:tcPr>
          <w:p w14:paraId="3509BEC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518.38 </w:t>
            </w:r>
          </w:p>
        </w:tc>
        <w:tc>
          <w:tcPr>
            <w:tcW w:w="460" w:type="pct"/>
            <w:shd w:val="clear" w:color="auto" w:fill="auto"/>
            <w:noWrap/>
            <w:vAlign w:val="center"/>
          </w:tcPr>
          <w:p w14:paraId="4B4CE8C7">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0.03%</w:t>
            </w:r>
          </w:p>
        </w:tc>
      </w:tr>
      <w:tr w14:paraId="0EAD9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0744BBE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天然牧草地</w:t>
            </w:r>
          </w:p>
        </w:tc>
        <w:tc>
          <w:tcPr>
            <w:tcW w:w="530" w:type="pct"/>
            <w:shd w:val="clear" w:color="auto" w:fill="auto"/>
            <w:noWrap/>
            <w:vAlign w:val="center"/>
          </w:tcPr>
          <w:p w14:paraId="2C77EB9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226784.41</w:t>
            </w:r>
          </w:p>
        </w:tc>
        <w:tc>
          <w:tcPr>
            <w:tcW w:w="588" w:type="pct"/>
            <w:shd w:val="clear" w:color="auto" w:fill="auto"/>
            <w:noWrap/>
            <w:vAlign w:val="center"/>
          </w:tcPr>
          <w:p w14:paraId="5C9A379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224179.67</w:t>
            </w:r>
          </w:p>
        </w:tc>
        <w:tc>
          <w:tcPr>
            <w:tcW w:w="530" w:type="pct"/>
            <w:shd w:val="clear" w:color="auto" w:fill="auto"/>
            <w:noWrap/>
            <w:vAlign w:val="center"/>
          </w:tcPr>
          <w:p w14:paraId="455A6CF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110624.19</w:t>
            </w:r>
          </w:p>
        </w:tc>
        <w:tc>
          <w:tcPr>
            <w:tcW w:w="479" w:type="pct"/>
            <w:shd w:val="clear" w:color="auto" w:fill="auto"/>
            <w:noWrap/>
            <w:vAlign w:val="center"/>
          </w:tcPr>
          <w:p w14:paraId="31A8332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51537.93</w:t>
            </w:r>
          </w:p>
        </w:tc>
        <w:tc>
          <w:tcPr>
            <w:tcW w:w="646" w:type="pct"/>
            <w:shd w:val="clear" w:color="auto" w:fill="auto"/>
            <w:noWrap/>
            <w:vAlign w:val="center"/>
          </w:tcPr>
          <w:p w14:paraId="1015B3C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326723.09 </w:t>
            </w:r>
          </w:p>
        </w:tc>
        <w:tc>
          <w:tcPr>
            <w:tcW w:w="646" w:type="pct"/>
            <w:shd w:val="clear" w:color="auto" w:fill="auto"/>
            <w:noWrap/>
            <w:vAlign w:val="center"/>
          </w:tcPr>
          <w:p w14:paraId="7413176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939849.29 </w:t>
            </w:r>
          </w:p>
        </w:tc>
        <w:tc>
          <w:tcPr>
            <w:tcW w:w="460" w:type="pct"/>
            <w:shd w:val="clear" w:color="auto" w:fill="auto"/>
            <w:noWrap/>
            <w:vAlign w:val="center"/>
          </w:tcPr>
          <w:p w14:paraId="446B2B4D">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55.87%</w:t>
            </w:r>
          </w:p>
        </w:tc>
      </w:tr>
      <w:tr w14:paraId="747CA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79FE476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沼泽草地</w:t>
            </w:r>
          </w:p>
        </w:tc>
        <w:tc>
          <w:tcPr>
            <w:tcW w:w="530" w:type="pct"/>
            <w:shd w:val="clear" w:color="auto" w:fill="auto"/>
            <w:noWrap/>
            <w:vAlign w:val="center"/>
          </w:tcPr>
          <w:p w14:paraId="5B905FB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720.77</w:t>
            </w:r>
          </w:p>
        </w:tc>
        <w:tc>
          <w:tcPr>
            <w:tcW w:w="588" w:type="pct"/>
            <w:shd w:val="clear" w:color="auto" w:fill="auto"/>
            <w:noWrap/>
            <w:vAlign w:val="center"/>
          </w:tcPr>
          <w:p w14:paraId="1CDBA6E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1200.99</w:t>
            </w:r>
          </w:p>
        </w:tc>
        <w:tc>
          <w:tcPr>
            <w:tcW w:w="530" w:type="pct"/>
            <w:shd w:val="clear" w:color="auto" w:fill="auto"/>
            <w:noWrap/>
            <w:vAlign w:val="center"/>
          </w:tcPr>
          <w:p w14:paraId="1414DC1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717.61</w:t>
            </w:r>
          </w:p>
        </w:tc>
        <w:tc>
          <w:tcPr>
            <w:tcW w:w="479" w:type="pct"/>
            <w:shd w:val="clear" w:color="auto" w:fill="auto"/>
            <w:noWrap/>
            <w:vAlign w:val="center"/>
          </w:tcPr>
          <w:p w14:paraId="6610A7A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1.13</w:t>
            </w:r>
          </w:p>
        </w:tc>
        <w:tc>
          <w:tcPr>
            <w:tcW w:w="646" w:type="pct"/>
            <w:shd w:val="clear" w:color="auto" w:fill="auto"/>
            <w:noWrap/>
            <w:vAlign w:val="center"/>
          </w:tcPr>
          <w:p w14:paraId="233C3C4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1750.34 </w:t>
            </w:r>
          </w:p>
        </w:tc>
        <w:tc>
          <w:tcPr>
            <w:tcW w:w="646" w:type="pct"/>
            <w:shd w:val="clear" w:color="auto" w:fill="auto"/>
            <w:noWrap/>
            <w:vAlign w:val="center"/>
          </w:tcPr>
          <w:p w14:paraId="140185A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4390.84 </w:t>
            </w:r>
          </w:p>
        </w:tc>
        <w:tc>
          <w:tcPr>
            <w:tcW w:w="460" w:type="pct"/>
            <w:shd w:val="clear" w:color="auto" w:fill="auto"/>
            <w:noWrap/>
            <w:vAlign w:val="center"/>
          </w:tcPr>
          <w:p w14:paraId="1926DF02">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0.26%</w:t>
            </w:r>
          </w:p>
        </w:tc>
      </w:tr>
      <w:tr w14:paraId="2F564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1116" w:type="pct"/>
            <w:shd w:val="clear" w:color="auto" w:fill="auto"/>
            <w:noWrap/>
            <w:vAlign w:val="center"/>
          </w:tcPr>
          <w:p w14:paraId="0472D3B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人工牧草地</w:t>
            </w:r>
          </w:p>
        </w:tc>
        <w:tc>
          <w:tcPr>
            <w:tcW w:w="530" w:type="pct"/>
            <w:shd w:val="clear" w:color="auto" w:fill="auto"/>
            <w:noWrap/>
            <w:vAlign w:val="center"/>
          </w:tcPr>
          <w:p w14:paraId="748742E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0.94</w:t>
            </w:r>
          </w:p>
        </w:tc>
        <w:tc>
          <w:tcPr>
            <w:tcW w:w="588" w:type="pct"/>
            <w:shd w:val="clear" w:color="auto" w:fill="auto"/>
            <w:noWrap/>
            <w:vAlign w:val="center"/>
          </w:tcPr>
          <w:p w14:paraId="474FB4D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2.87</w:t>
            </w:r>
          </w:p>
        </w:tc>
        <w:tc>
          <w:tcPr>
            <w:tcW w:w="530" w:type="pct"/>
            <w:shd w:val="clear" w:color="auto" w:fill="auto"/>
            <w:noWrap/>
            <w:vAlign w:val="center"/>
          </w:tcPr>
          <w:p w14:paraId="58859DB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51907DA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217.1</w:t>
            </w:r>
          </w:p>
        </w:tc>
        <w:tc>
          <w:tcPr>
            <w:tcW w:w="646" w:type="pct"/>
            <w:shd w:val="clear" w:color="auto" w:fill="auto"/>
            <w:noWrap/>
            <w:vAlign w:val="center"/>
          </w:tcPr>
          <w:p w14:paraId="765996B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4.18 </w:t>
            </w:r>
          </w:p>
        </w:tc>
        <w:tc>
          <w:tcPr>
            <w:tcW w:w="646" w:type="pct"/>
            <w:shd w:val="clear" w:color="auto" w:fill="auto"/>
            <w:noWrap/>
            <w:vAlign w:val="center"/>
          </w:tcPr>
          <w:p w14:paraId="3B41099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225.09 </w:t>
            </w:r>
          </w:p>
        </w:tc>
        <w:tc>
          <w:tcPr>
            <w:tcW w:w="460" w:type="pct"/>
            <w:shd w:val="clear" w:color="auto" w:fill="auto"/>
            <w:noWrap/>
            <w:vAlign w:val="center"/>
          </w:tcPr>
          <w:p w14:paraId="23F243F7">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0.01%</w:t>
            </w:r>
          </w:p>
        </w:tc>
      </w:tr>
      <w:tr w14:paraId="19D82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1116" w:type="pct"/>
            <w:shd w:val="clear" w:color="auto" w:fill="auto"/>
            <w:noWrap/>
            <w:vAlign w:val="center"/>
          </w:tcPr>
          <w:p w14:paraId="17AF152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其他草地</w:t>
            </w:r>
          </w:p>
        </w:tc>
        <w:tc>
          <w:tcPr>
            <w:tcW w:w="530" w:type="pct"/>
            <w:shd w:val="clear" w:color="auto" w:fill="auto"/>
            <w:noWrap/>
            <w:vAlign w:val="center"/>
          </w:tcPr>
          <w:p w14:paraId="7306BB0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25.11</w:t>
            </w:r>
          </w:p>
        </w:tc>
        <w:tc>
          <w:tcPr>
            <w:tcW w:w="588" w:type="pct"/>
            <w:shd w:val="clear" w:color="auto" w:fill="auto"/>
            <w:noWrap/>
            <w:vAlign w:val="center"/>
          </w:tcPr>
          <w:p w14:paraId="413BD10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22.36</w:t>
            </w:r>
          </w:p>
        </w:tc>
        <w:tc>
          <w:tcPr>
            <w:tcW w:w="530" w:type="pct"/>
            <w:shd w:val="clear" w:color="auto" w:fill="auto"/>
            <w:noWrap/>
            <w:vAlign w:val="center"/>
          </w:tcPr>
          <w:p w14:paraId="516EF17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2.19</w:t>
            </w:r>
          </w:p>
        </w:tc>
        <w:tc>
          <w:tcPr>
            <w:tcW w:w="479" w:type="pct"/>
            <w:shd w:val="clear" w:color="auto" w:fill="auto"/>
            <w:noWrap/>
            <w:vAlign w:val="center"/>
          </w:tcPr>
          <w:p w14:paraId="16137A4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5.84</w:t>
            </w:r>
          </w:p>
        </w:tc>
        <w:tc>
          <w:tcPr>
            <w:tcW w:w="646" w:type="pct"/>
            <w:shd w:val="clear" w:color="auto" w:fill="auto"/>
            <w:noWrap/>
            <w:vAlign w:val="center"/>
          </w:tcPr>
          <w:p w14:paraId="227F09F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32.59 </w:t>
            </w:r>
          </w:p>
        </w:tc>
        <w:tc>
          <w:tcPr>
            <w:tcW w:w="646" w:type="pct"/>
            <w:shd w:val="clear" w:color="auto" w:fill="auto"/>
            <w:noWrap/>
            <w:vAlign w:val="center"/>
          </w:tcPr>
          <w:p w14:paraId="0AA451F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88.09 </w:t>
            </w:r>
          </w:p>
        </w:tc>
        <w:tc>
          <w:tcPr>
            <w:tcW w:w="460" w:type="pct"/>
            <w:shd w:val="clear" w:color="auto" w:fill="auto"/>
            <w:noWrap/>
            <w:vAlign w:val="center"/>
          </w:tcPr>
          <w:p w14:paraId="11D1EA61">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0.01%</w:t>
            </w:r>
          </w:p>
        </w:tc>
      </w:tr>
      <w:tr w14:paraId="05E77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4E8CE96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物流仓储用地</w:t>
            </w:r>
          </w:p>
        </w:tc>
        <w:tc>
          <w:tcPr>
            <w:tcW w:w="530" w:type="pct"/>
            <w:shd w:val="clear" w:color="auto" w:fill="auto"/>
            <w:noWrap/>
            <w:vAlign w:val="center"/>
          </w:tcPr>
          <w:p w14:paraId="6CBA476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134.79</w:t>
            </w:r>
          </w:p>
        </w:tc>
        <w:tc>
          <w:tcPr>
            <w:tcW w:w="588" w:type="pct"/>
            <w:shd w:val="clear" w:color="auto" w:fill="auto"/>
            <w:noWrap/>
            <w:vAlign w:val="center"/>
          </w:tcPr>
          <w:p w14:paraId="5F8E23F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530" w:type="pct"/>
            <w:shd w:val="clear" w:color="auto" w:fill="auto"/>
            <w:noWrap/>
            <w:vAlign w:val="center"/>
          </w:tcPr>
          <w:p w14:paraId="478F409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08C1B7D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17.74</w:t>
            </w:r>
          </w:p>
        </w:tc>
        <w:tc>
          <w:tcPr>
            <w:tcW w:w="646" w:type="pct"/>
            <w:shd w:val="clear" w:color="auto" w:fill="auto"/>
            <w:noWrap/>
            <w:vAlign w:val="center"/>
          </w:tcPr>
          <w:p w14:paraId="2D464B7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73CFF24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152.53 </w:t>
            </w:r>
          </w:p>
        </w:tc>
        <w:tc>
          <w:tcPr>
            <w:tcW w:w="460" w:type="pct"/>
            <w:shd w:val="clear" w:color="auto" w:fill="auto"/>
            <w:noWrap/>
            <w:vAlign w:val="center"/>
          </w:tcPr>
          <w:p w14:paraId="40822378">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0.01%</w:t>
            </w:r>
          </w:p>
        </w:tc>
      </w:tr>
      <w:tr w14:paraId="4C61C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1116" w:type="pct"/>
            <w:shd w:val="clear" w:color="auto" w:fill="auto"/>
            <w:noWrap/>
            <w:vAlign w:val="center"/>
          </w:tcPr>
          <w:p w14:paraId="02AAA08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商业服务业设施用地</w:t>
            </w:r>
          </w:p>
        </w:tc>
        <w:tc>
          <w:tcPr>
            <w:tcW w:w="530" w:type="pct"/>
            <w:shd w:val="clear" w:color="auto" w:fill="auto"/>
            <w:noWrap/>
            <w:vAlign w:val="center"/>
          </w:tcPr>
          <w:p w14:paraId="37D198B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743.01</w:t>
            </w:r>
          </w:p>
        </w:tc>
        <w:tc>
          <w:tcPr>
            <w:tcW w:w="588" w:type="pct"/>
            <w:shd w:val="clear" w:color="auto" w:fill="auto"/>
            <w:noWrap/>
            <w:vAlign w:val="center"/>
          </w:tcPr>
          <w:p w14:paraId="29C5766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44.85</w:t>
            </w:r>
          </w:p>
        </w:tc>
        <w:tc>
          <w:tcPr>
            <w:tcW w:w="530" w:type="pct"/>
            <w:shd w:val="clear" w:color="auto" w:fill="auto"/>
            <w:noWrap/>
            <w:vAlign w:val="center"/>
          </w:tcPr>
          <w:p w14:paraId="144073B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29FFA12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22.95</w:t>
            </w:r>
          </w:p>
        </w:tc>
        <w:tc>
          <w:tcPr>
            <w:tcW w:w="646" w:type="pct"/>
            <w:shd w:val="clear" w:color="auto" w:fill="auto"/>
            <w:noWrap/>
            <w:vAlign w:val="center"/>
          </w:tcPr>
          <w:p w14:paraId="60C9BA8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65.36</w:t>
            </w:r>
          </w:p>
        </w:tc>
        <w:tc>
          <w:tcPr>
            <w:tcW w:w="646" w:type="pct"/>
            <w:shd w:val="clear" w:color="auto" w:fill="auto"/>
            <w:noWrap/>
            <w:vAlign w:val="center"/>
          </w:tcPr>
          <w:p w14:paraId="0F62A54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876.17 </w:t>
            </w:r>
          </w:p>
        </w:tc>
        <w:tc>
          <w:tcPr>
            <w:tcW w:w="460" w:type="pct"/>
            <w:shd w:val="clear" w:color="auto" w:fill="auto"/>
            <w:noWrap/>
            <w:vAlign w:val="center"/>
          </w:tcPr>
          <w:p w14:paraId="0C8C02A0">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0.05%</w:t>
            </w:r>
          </w:p>
        </w:tc>
      </w:tr>
      <w:tr w14:paraId="34053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01E044F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工业用地</w:t>
            </w:r>
          </w:p>
        </w:tc>
        <w:tc>
          <w:tcPr>
            <w:tcW w:w="530" w:type="pct"/>
            <w:shd w:val="clear" w:color="auto" w:fill="auto"/>
            <w:noWrap/>
            <w:vAlign w:val="center"/>
          </w:tcPr>
          <w:p w14:paraId="0CBFB8C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281.34</w:t>
            </w:r>
          </w:p>
        </w:tc>
        <w:tc>
          <w:tcPr>
            <w:tcW w:w="588" w:type="pct"/>
            <w:shd w:val="clear" w:color="auto" w:fill="auto"/>
            <w:noWrap/>
            <w:vAlign w:val="center"/>
          </w:tcPr>
          <w:p w14:paraId="09E3E19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14.64</w:t>
            </w:r>
          </w:p>
        </w:tc>
        <w:tc>
          <w:tcPr>
            <w:tcW w:w="530" w:type="pct"/>
            <w:shd w:val="clear" w:color="auto" w:fill="auto"/>
            <w:noWrap/>
            <w:vAlign w:val="center"/>
          </w:tcPr>
          <w:p w14:paraId="6B87282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41057C0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57.76</w:t>
            </w:r>
          </w:p>
        </w:tc>
        <w:tc>
          <w:tcPr>
            <w:tcW w:w="646" w:type="pct"/>
            <w:shd w:val="clear" w:color="auto" w:fill="auto"/>
            <w:noWrap/>
            <w:vAlign w:val="center"/>
          </w:tcPr>
          <w:p w14:paraId="1AAAACA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21.34 </w:t>
            </w:r>
          </w:p>
        </w:tc>
        <w:tc>
          <w:tcPr>
            <w:tcW w:w="646" w:type="pct"/>
            <w:shd w:val="clear" w:color="auto" w:fill="auto"/>
            <w:noWrap/>
            <w:vAlign w:val="center"/>
          </w:tcPr>
          <w:p w14:paraId="72DB426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375.08 </w:t>
            </w:r>
          </w:p>
        </w:tc>
        <w:tc>
          <w:tcPr>
            <w:tcW w:w="460" w:type="pct"/>
            <w:shd w:val="clear" w:color="auto" w:fill="auto"/>
            <w:noWrap/>
            <w:vAlign w:val="center"/>
          </w:tcPr>
          <w:p w14:paraId="5469167A">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0.02%</w:t>
            </w:r>
          </w:p>
        </w:tc>
      </w:tr>
      <w:tr w14:paraId="744DA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1AE4642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采矿用地</w:t>
            </w:r>
          </w:p>
        </w:tc>
        <w:tc>
          <w:tcPr>
            <w:tcW w:w="530" w:type="pct"/>
            <w:shd w:val="clear" w:color="auto" w:fill="auto"/>
            <w:noWrap/>
            <w:vAlign w:val="center"/>
          </w:tcPr>
          <w:p w14:paraId="0230A9C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234.97</w:t>
            </w:r>
          </w:p>
        </w:tc>
        <w:tc>
          <w:tcPr>
            <w:tcW w:w="588" w:type="pct"/>
            <w:shd w:val="clear" w:color="auto" w:fill="auto"/>
            <w:noWrap/>
            <w:vAlign w:val="center"/>
          </w:tcPr>
          <w:p w14:paraId="26AFB66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8</w:t>
            </w:r>
          </w:p>
        </w:tc>
        <w:tc>
          <w:tcPr>
            <w:tcW w:w="530" w:type="pct"/>
            <w:shd w:val="clear" w:color="auto" w:fill="auto"/>
            <w:noWrap/>
            <w:vAlign w:val="center"/>
          </w:tcPr>
          <w:p w14:paraId="4418DAC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2E218D4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183.77</w:t>
            </w:r>
          </w:p>
        </w:tc>
        <w:tc>
          <w:tcPr>
            <w:tcW w:w="646" w:type="pct"/>
            <w:shd w:val="clear" w:color="auto" w:fill="auto"/>
            <w:noWrap/>
            <w:vAlign w:val="center"/>
          </w:tcPr>
          <w:p w14:paraId="1068D93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11.66</w:t>
            </w:r>
          </w:p>
        </w:tc>
        <w:tc>
          <w:tcPr>
            <w:tcW w:w="646" w:type="pct"/>
            <w:shd w:val="clear" w:color="auto" w:fill="auto"/>
            <w:noWrap/>
            <w:vAlign w:val="center"/>
          </w:tcPr>
          <w:p w14:paraId="7EC0605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438.40 </w:t>
            </w:r>
          </w:p>
        </w:tc>
        <w:tc>
          <w:tcPr>
            <w:tcW w:w="460" w:type="pct"/>
            <w:shd w:val="clear" w:color="auto" w:fill="auto"/>
            <w:noWrap/>
            <w:vAlign w:val="center"/>
          </w:tcPr>
          <w:p w14:paraId="7BB4DDBA">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0.03%</w:t>
            </w:r>
          </w:p>
        </w:tc>
      </w:tr>
      <w:tr w14:paraId="214A3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7403F0F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城镇住宅用地</w:t>
            </w:r>
          </w:p>
        </w:tc>
        <w:tc>
          <w:tcPr>
            <w:tcW w:w="530" w:type="pct"/>
            <w:shd w:val="clear" w:color="auto" w:fill="auto"/>
            <w:noWrap/>
            <w:vAlign w:val="center"/>
          </w:tcPr>
          <w:p w14:paraId="2BA2466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2828.03</w:t>
            </w:r>
          </w:p>
        </w:tc>
        <w:tc>
          <w:tcPr>
            <w:tcW w:w="588" w:type="pct"/>
            <w:shd w:val="clear" w:color="auto" w:fill="auto"/>
            <w:noWrap/>
            <w:vAlign w:val="center"/>
          </w:tcPr>
          <w:p w14:paraId="3B2BF64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530" w:type="pct"/>
            <w:shd w:val="clear" w:color="auto" w:fill="auto"/>
            <w:noWrap/>
            <w:vAlign w:val="center"/>
          </w:tcPr>
          <w:p w14:paraId="7C43E6B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2AEA15B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36AFC70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78EE7B7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2828.03 </w:t>
            </w:r>
          </w:p>
        </w:tc>
        <w:tc>
          <w:tcPr>
            <w:tcW w:w="460" w:type="pct"/>
            <w:shd w:val="clear" w:color="auto" w:fill="auto"/>
            <w:noWrap/>
            <w:vAlign w:val="center"/>
          </w:tcPr>
          <w:p w14:paraId="5CC4FABE">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0.17%</w:t>
            </w:r>
          </w:p>
        </w:tc>
      </w:tr>
      <w:tr w14:paraId="6AC8D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5A27162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农村宅基地</w:t>
            </w:r>
          </w:p>
        </w:tc>
        <w:tc>
          <w:tcPr>
            <w:tcW w:w="530" w:type="pct"/>
            <w:shd w:val="clear" w:color="auto" w:fill="auto"/>
            <w:noWrap/>
            <w:vAlign w:val="center"/>
          </w:tcPr>
          <w:p w14:paraId="0A0B7B2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1641.54</w:t>
            </w:r>
          </w:p>
        </w:tc>
        <w:tc>
          <w:tcPr>
            <w:tcW w:w="588" w:type="pct"/>
            <w:shd w:val="clear" w:color="auto" w:fill="auto"/>
            <w:noWrap/>
            <w:vAlign w:val="center"/>
          </w:tcPr>
          <w:p w14:paraId="0CECDA3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1016.84</w:t>
            </w:r>
          </w:p>
        </w:tc>
        <w:tc>
          <w:tcPr>
            <w:tcW w:w="530" w:type="pct"/>
            <w:shd w:val="clear" w:color="auto" w:fill="auto"/>
            <w:noWrap/>
            <w:vAlign w:val="center"/>
          </w:tcPr>
          <w:p w14:paraId="6FFA641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577.82</w:t>
            </w:r>
          </w:p>
        </w:tc>
        <w:tc>
          <w:tcPr>
            <w:tcW w:w="479" w:type="pct"/>
            <w:shd w:val="clear" w:color="auto" w:fill="auto"/>
            <w:noWrap/>
            <w:vAlign w:val="center"/>
          </w:tcPr>
          <w:p w14:paraId="2E903C4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1069.53</w:t>
            </w:r>
          </w:p>
        </w:tc>
        <w:tc>
          <w:tcPr>
            <w:tcW w:w="646" w:type="pct"/>
            <w:shd w:val="clear" w:color="auto" w:fill="auto"/>
            <w:noWrap/>
            <w:vAlign w:val="center"/>
          </w:tcPr>
          <w:p w14:paraId="43CC582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1481.92 </w:t>
            </w:r>
          </w:p>
        </w:tc>
        <w:tc>
          <w:tcPr>
            <w:tcW w:w="646" w:type="pct"/>
            <w:shd w:val="clear" w:color="auto" w:fill="auto"/>
            <w:noWrap/>
            <w:vAlign w:val="center"/>
          </w:tcPr>
          <w:p w14:paraId="43AFEA4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5787.65 </w:t>
            </w:r>
          </w:p>
        </w:tc>
        <w:tc>
          <w:tcPr>
            <w:tcW w:w="460" w:type="pct"/>
            <w:shd w:val="clear" w:color="auto" w:fill="auto"/>
            <w:noWrap/>
            <w:vAlign w:val="center"/>
          </w:tcPr>
          <w:p w14:paraId="5806DF3C">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0.34%</w:t>
            </w:r>
          </w:p>
        </w:tc>
      </w:tr>
      <w:tr w14:paraId="36F12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41C604C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公用设施用地</w:t>
            </w:r>
          </w:p>
        </w:tc>
        <w:tc>
          <w:tcPr>
            <w:tcW w:w="530" w:type="pct"/>
            <w:shd w:val="clear" w:color="auto" w:fill="auto"/>
            <w:noWrap/>
            <w:vAlign w:val="center"/>
          </w:tcPr>
          <w:p w14:paraId="3A5C8A3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196.46</w:t>
            </w:r>
          </w:p>
        </w:tc>
        <w:tc>
          <w:tcPr>
            <w:tcW w:w="588" w:type="pct"/>
            <w:shd w:val="clear" w:color="auto" w:fill="auto"/>
            <w:noWrap/>
            <w:vAlign w:val="center"/>
          </w:tcPr>
          <w:p w14:paraId="07881C2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53.12</w:t>
            </w:r>
          </w:p>
        </w:tc>
        <w:tc>
          <w:tcPr>
            <w:tcW w:w="530" w:type="pct"/>
            <w:shd w:val="clear" w:color="auto" w:fill="auto"/>
            <w:noWrap/>
            <w:vAlign w:val="center"/>
          </w:tcPr>
          <w:p w14:paraId="72CC5B6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5.02</w:t>
            </w:r>
          </w:p>
        </w:tc>
        <w:tc>
          <w:tcPr>
            <w:tcW w:w="479" w:type="pct"/>
            <w:shd w:val="clear" w:color="auto" w:fill="auto"/>
            <w:noWrap/>
            <w:vAlign w:val="center"/>
          </w:tcPr>
          <w:p w14:paraId="77AF2E1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53.54</w:t>
            </w:r>
          </w:p>
        </w:tc>
        <w:tc>
          <w:tcPr>
            <w:tcW w:w="646" w:type="pct"/>
            <w:shd w:val="clear" w:color="auto" w:fill="auto"/>
            <w:noWrap/>
            <w:vAlign w:val="center"/>
          </w:tcPr>
          <w:p w14:paraId="0153DC4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77.42 </w:t>
            </w:r>
          </w:p>
        </w:tc>
        <w:tc>
          <w:tcPr>
            <w:tcW w:w="646" w:type="pct"/>
            <w:shd w:val="clear" w:color="auto" w:fill="auto"/>
            <w:noWrap/>
            <w:vAlign w:val="center"/>
          </w:tcPr>
          <w:p w14:paraId="7371344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385.56</w:t>
            </w:r>
          </w:p>
        </w:tc>
        <w:tc>
          <w:tcPr>
            <w:tcW w:w="460" w:type="pct"/>
            <w:shd w:val="clear" w:color="auto" w:fill="auto"/>
            <w:noWrap/>
            <w:vAlign w:val="center"/>
          </w:tcPr>
          <w:p w14:paraId="1AEFC1C1">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0.02%</w:t>
            </w:r>
          </w:p>
        </w:tc>
      </w:tr>
      <w:tr w14:paraId="5369A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23BBD60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公园与绿地</w:t>
            </w:r>
          </w:p>
        </w:tc>
        <w:tc>
          <w:tcPr>
            <w:tcW w:w="530" w:type="pct"/>
            <w:shd w:val="clear" w:color="auto" w:fill="auto"/>
            <w:noWrap/>
            <w:vAlign w:val="center"/>
          </w:tcPr>
          <w:p w14:paraId="736A1FC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838.79</w:t>
            </w:r>
          </w:p>
        </w:tc>
        <w:tc>
          <w:tcPr>
            <w:tcW w:w="588" w:type="pct"/>
            <w:shd w:val="clear" w:color="auto" w:fill="auto"/>
            <w:noWrap/>
            <w:vAlign w:val="center"/>
          </w:tcPr>
          <w:p w14:paraId="783C5A6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530" w:type="pct"/>
            <w:shd w:val="clear" w:color="auto" w:fill="auto"/>
            <w:noWrap/>
            <w:vAlign w:val="center"/>
          </w:tcPr>
          <w:p w14:paraId="14B5BA3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2CCC96F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4BAA4F9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433BE2C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838.79 </w:t>
            </w:r>
          </w:p>
        </w:tc>
        <w:tc>
          <w:tcPr>
            <w:tcW w:w="460" w:type="pct"/>
            <w:shd w:val="clear" w:color="auto" w:fill="auto"/>
            <w:noWrap/>
            <w:vAlign w:val="center"/>
          </w:tcPr>
          <w:p w14:paraId="7264B6CC">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0.05%</w:t>
            </w:r>
          </w:p>
        </w:tc>
      </w:tr>
      <w:tr w14:paraId="3EFFB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1116" w:type="pct"/>
            <w:shd w:val="clear" w:color="auto" w:fill="auto"/>
            <w:noWrap/>
            <w:vAlign w:val="center"/>
          </w:tcPr>
          <w:p w14:paraId="2DB7EC1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广场用地</w:t>
            </w:r>
          </w:p>
        </w:tc>
        <w:tc>
          <w:tcPr>
            <w:tcW w:w="530" w:type="pct"/>
            <w:shd w:val="clear" w:color="auto" w:fill="auto"/>
            <w:noWrap/>
            <w:vAlign w:val="center"/>
          </w:tcPr>
          <w:p w14:paraId="49E7CAC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37.84</w:t>
            </w:r>
          </w:p>
        </w:tc>
        <w:tc>
          <w:tcPr>
            <w:tcW w:w="588" w:type="pct"/>
            <w:shd w:val="clear" w:color="auto" w:fill="auto"/>
            <w:noWrap/>
            <w:vAlign w:val="center"/>
          </w:tcPr>
          <w:p w14:paraId="4281349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530" w:type="pct"/>
            <w:shd w:val="clear" w:color="auto" w:fill="auto"/>
            <w:noWrap/>
            <w:vAlign w:val="center"/>
          </w:tcPr>
          <w:p w14:paraId="15678E5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11A67AB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76204DB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66FA145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37.84 </w:t>
            </w:r>
          </w:p>
        </w:tc>
        <w:tc>
          <w:tcPr>
            <w:tcW w:w="460" w:type="pct"/>
            <w:shd w:val="clear" w:color="auto" w:fill="auto"/>
            <w:noWrap/>
            <w:vAlign w:val="center"/>
          </w:tcPr>
          <w:p w14:paraId="324AEEFE">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0.00%</w:t>
            </w:r>
          </w:p>
        </w:tc>
      </w:tr>
      <w:tr w14:paraId="3A0D6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2581B79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机关团体新闻出版用地</w:t>
            </w:r>
          </w:p>
        </w:tc>
        <w:tc>
          <w:tcPr>
            <w:tcW w:w="530" w:type="pct"/>
            <w:shd w:val="clear" w:color="auto" w:fill="auto"/>
            <w:noWrap/>
            <w:vAlign w:val="center"/>
          </w:tcPr>
          <w:p w14:paraId="2704FDE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353.78</w:t>
            </w:r>
          </w:p>
        </w:tc>
        <w:tc>
          <w:tcPr>
            <w:tcW w:w="588" w:type="pct"/>
            <w:shd w:val="clear" w:color="auto" w:fill="auto"/>
            <w:noWrap/>
            <w:vAlign w:val="center"/>
          </w:tcPr>
          <w:p w14:paraId="33F2E9D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57.34</w:t>
            </w:r>
          </w:p>
        </w:tc>
        <w:tc>
          <w:tcPr>
            <w:tcW w:w="530" w:type="pct"/>
            <w:shd w:val="clear" w:color="auto" w:fill="auto"/>
            <w:noWrap/>
            <w:vAlign w:val="center"/>
          </w:tcPr>
          <w:p w14:paraId="33B2E05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14.77</w:t>
            </w:r>
          </w:p>
        </w:tc>
        <w:tc>
          <w:tcPr>
            <w:tcW w:w="479" w:type="pct"/>
            <w:shd w:val="clear" w:color="auto" w:fill="auto"/>
            <w:noWrap/>
            <w:vAlign w:val="center"/>
          </w:tcPr>
          <w:p w14:paraId="5D7D38F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51.7</w:t>
            </w:r>
          </w:p>
        </w:tc>
        <w:tc>
          <w:tcPr>
            <w:tcW w:w="646" w:type="pct"/>
            <w:shd w:val="clear" w:color="auto" w:fill="auto"/>
            <w:noWrap/>
            <w:vAlign w:val="center"/>
          </w:tcPr>
          <w:p w14:paraId="73DA074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83.57 </w:t>
            </w:r>
          </w:p>
        </w:tc>
        <w:tc>
          <w:tcPr>
            <w:tcW w:w="646" w:type="pct"/>
            <w:shd w:val="clear" w:color="auto" w:fill="auto"/>
            <w:noWrap/>
            <w:vAlign w:val="center"/>
          </w:tcPr>
          <w:p w14:paraId="6C7D563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561.16</w:t>
            </w:r>
          </w:p>
        </w:tc>
        <w:tc>
          <w:tcPr>
            <w:tcW w:w="460" w:type="pct"/>
            <w:shd w:val="clear" w:color="auto" w:fill="auto"/>
            <w:noWrap/>
            <w:vAlign w:val="center"/>
          </w:tcPr>
          <w:p w14:paraId="1D62FBB7">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0.03%</w:t>
            </w:r>
          </w:p>
        </w:tc>
      </w:tr>
      <w:tr w14:paraId="7EEE6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703A1F9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科教文卫用地</w:t>
            </w:r>
          </w:p>
        </w:tc>
        <w:tc>
          <w:tcPr>
            <w:tcW w:w="530" w:type="pct"/>
            <w:shd w:val="clear" w:color="auto" w:fill="auto"/>
            <w:noWrap/>
            <w:vAlign w:val="center"/>
          </w:tcPr>
          <w:p w14:paraId="06E1BC9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711.47</w:t>
            </w:r>
          </w:p>
        </w:tc>
        <w:tc>
          <w:tcPr>
            <w:tcW w:w="588" w:type="pct"/>
            <w:shd w:val="clear" w:color="auto" w:fill="auto"/>
            <w:noWrap/>
            <w:vAlign w:val="center"/>
          </w:tcPr>
          <w:p w14:paraId="56C94CD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68.33</w:t>
            </w:r>
          </w:p>
        </w:tc>
        <w:tc>
          <w:tcPr>
            <w:tcW w:w="530" w:type="pct"/>
            <w:shd w:val="clear" w:color="auto" w:fill="auto"/>
            <w:noWrap/>
            <w:vAlign w:val="center"/>
          </w:tcPr>
          <w:p w14:paraId="10C1530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20.02</w:t>
            </w:r>
          </w:p>
        </w:tc>
        <w:tc>
          <w:tcPr>
            <w:tcW w:w="479" w:type="pct"/>
            <w:shd w:val="clear" w:color="auto" w:fill="auto"/>
            <w:noWrap/>
            <w:vAlign w:val="center"/>
          </w:tcPr>
          <w:p w14:paraId="6432A07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34.58</w:t>
            </w:r>
          </w:p>
        </w:tc>
        <w:tc>
          <w:tcPr>
            <w:tcW w:w="646" w:type="pct"/>
            <w:shd w:val="clear" w:color="auto" w:fill="auto"/>
            <w:noWrap/>
            <w:vAlign w:val="center"/>
          </w:tcPr>
          <w:p w14:paraId="6402A44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99.58 </w:t>
            </w:r>
          </w:p>
        </w:tc>
        <w:tc>
          <w:tcPr>
            <w:tcW w:w="646" w:type="pct"/>
            <w:shd w:val="clear" w:color="auto" w:fill="auto"/>
            <w:noWrap/>
            <w:vAlign w:val="center"/>
          </w:tcPr>
          <w:p w14:paraId="3967C7A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933.98 </w:t>
            </w:r>
          </w:p>
        </w:tc>
        <w:tc>
          <w:tcPr>
            <w:tcW w:w="460" w:type="pct"/>
            <w:shd w:val="clear" w:color="auto" w:fill="auto"/>
            <w:noWrap/>
            <w:vAlign w:val="center"/>
          </w:tcPr>
          <w:p w14:paraId="42C97A4C">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0.06%</w:t>
            </w:r>
          </w:p>
        </w:tc>
      </w:tr>
      <w:tr w14:paraId="04E4B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19979C3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特殊用地</w:t>
            </w:r>
          </w:p>
        </w:tc>
        <w:tc>
          <w:tcPr>
            <w:tcW w:w="530" w:type="pct"/>
            <w:shd w:val="clear" w:color="auto" w:fill="auto"/>
            <w:noWrap/>
            <w:vAlign w:val="center"/>
          </w:tcPr>
          <w:p w14:paraId="6EA9B30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2031.31</w:t>
            </w:r>
          </w:p>
        </w:tc>
        <w:tc>
          <w:tcPr>
            <w:tcW w:w="588" w:type="pct"/>
            <w:shd w:val="clear" w:color="auto" w:fill="auto"/>
            <w:noWrap/>
            <w:vAlign w:val="center"/>
          </w:tcPr>
          <w:p w14:paraId="13262B2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168.93</w:t>
            </w:r>
          </w:p>
        </w:tc>
        <w:tc>
          <w:tcPr>
            <w:tcW w:w="530" w:type="pct"/>
            <w:shd w:val="clear" w:color="auto" w:fill="auto"/>
            <w:noWrap/>
            <w:vAlign w:val="center"/>
          </w:tcPr>
          <w:p w14:paraId="0EEC4F2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44.1</w:t>
            </w:r>
          </w:p>
        </w:tc>
        <w:tc>
          <w:tcPr>
            <w:tcW w:w="479" w:type="pct"/>
            <w:shd w:val="clear" w:color="auto" w:fill="auto"/>
            <w:noWrap/>
            <w:vAlign w:val="center"/>
          </w:tcPr>
          <w:p w14:paraId="1AAD3DA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104.44</w:t>
            </w:r>
          </w:p>
        </w:tc>
        <w:tc>
          <w:tcPr>
            <w:tcW w:w="646" w:type="pct"/>
            <w:shd w:val="clear" w:color="auto" w:fill="auto"/>
            <w:noWrap/>
            <w:vAlign w:val="center"/>
          </w:tcPr>
          <w:p w14:paraId="6EC74A9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246.19 </w:t>
            </w:r>
          </w:p>
        </w:tc>
        <w:tc>
          <w:tcPr>
            <w:tcW w:w="646" w:type="pct"/>
            <w:shd w:val="clear" w:color="auto" w:fill="auto"/>
            <w:noWrap/>
            <w:vAlign w:val="center"/>
          </w:tcPr>
          <w:p w14:paraId="71810CB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2594.97 </w:t>
            </w:r>
          </w:p>
        </w:tc>
        <w:tc>
          <w:tcPr>
            <w:tcW w:w="460" w:type="pct"/>
            <w:shd w:val="clear" w:color="auto" w:fill="auto"/>
            <w:noWrap/>
            <w:vAlign w:val="center"/>
          </w:tcPr>
          <w:p w14:paraId="152B6311">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0.15%</w:t>
            </w:r>
          </w:p>
        </w:tc>
      </w:tr>
      <w:tr w14:paraId="4FB87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65676B5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公路用地</w:t>
            </w:r>
          </w:p>
        </w:tc>
        <w:tc>
          <w:tcPr>
            <w:tcW w:w="530" w:type="pct"/>
            <w:shd w:val="clear" w:color="auto" w:fill="auto"/>
            <w:noWrap/>
            <w:vAlign w:val="center"/>
          </w:tcPr>
          <w:p w14:paraId="1AF826A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727.46</w:t>
            </w:r>
          </w:p>
        </w:tc>
        <w:tc>
          <w:tcPr>
            <w:tcW w:w="588" w:type="pct"/>
            <w:shd w:val="clear" w:color="auto" w:fill="auto"/>
            <w:noWrap/>
            <w:vAlign w:val="center"/>
          </w:tcPr>
          <w:p w14:paraId="37A61BD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836.86</w:t>
            </w:r>
          </w:p>
        </w:tc>
        <w:tc>
          <w:tcPr>
            <w:tcW w:w="530" w:type="pct"/>
            <w:shd w:val="clear" w:color="auto" w:fill="auto"/>
            <w:noWrap/>
            <w:vAlign w:val="center"/>
          </w:tcPr>
          <w:p w14:paraId="6861C83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278.21</w:t>
            </w:r>
          </w:p>
        </w:tc>
        <w:tc>
          <w:tcPr>
            <w:tcW w:w="479" w:type="pct"/>
            <w:shd w:val="clear" w:color="auto" w:fill="auto"/>
            <w:noWrap/>
            <w:vAlign w:val="center"/>
          </w:tcPr>
          <w:p w14:paraId="6692E9E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242.35</w:t>
            </w:r>
          </w:p>
        </w:tc>
        <w:tc>
          <w:tcPr>
            <w:tcW w:w="646" w:type="pct"/>
            <w:shd w:val="clear" w:color="auto" w:fill="auto"/>
            <w:noWrap/>
            <w:vAlign w:val="center"/>
          </w:tcPr>
          <w:p w14:paraId="2DE51CD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1219.60 </w:t>
            </w:r>
          </w:p>
        </w:tc>
        <w:tc>
          <w:tcPr>
            <w:tcW w:w="646" w:type="pct"/>
            <w:shd w:val="clear" w:color="auto" w:fill="auto"/>
            <w:noWrap/>
            <w:vAlign w:val="center"/>
          </w:tcPr>
          <w:p w14:paraId="079AD85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3304.48 </w:t>
            </w:r>
          </w:p>
        </w:tc>
        <w:tc>
          <w:tcPr>
            <w:tcW w:w="460" w:type="pct"/>
            <w:shd w:val="clear" w:color="auto" w:fill="auto"/>
            <w:noWrap/>
            <w:vAlign w:val="center"/>
          </w:tcPr>
          <w:p w14:paraId="3C35B7BF">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0.20%</w:t>
            </w:r>
          </w:p>
        </w:tc>
      </w:tr>
      <w:tr w14:paraId="75E11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6ECCE12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城镇村道路用地</w:t>
            </w:r>
          </w:p>
        </w:tc>
        <w:tc>
          <w:tcPr>
            <w:tcW w:w="530" w:type="pct"/>
            <w:shd w:val="clear" w:color="auto" w:fill="auto"/>
            <w:noWrap/>
            <w:vAlign w:val="center"/>
          </w:tcPr>
          <w:p w14:paraId="0BFC301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801.88</w:t>
            </w:r>
          </w:p>
        </w:tc>
        <w:tc>
          <w:tcPr>
            <w:tcW w:w="588" w:type="pct"/>
            <w:shd w:val="clear" w:color="auto" w:fill="auto"/>
            <w:noWrap/>
            <w:vAlign w:val="center"/>
          </w:tcPr>
          <w:p w14:paraId="68691DC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10.36</w:t>
            </w:r>
          </w:p>
        </w:tc>
        <w:tc>
          <w:tcPr>
            <w:tcW w:w="530" w:type="pct"/>
            <w:shd w:val="clear" w:color="auto" w:fill="auto"/>
            <w:noWrap/>
            <w:vAlign w:val="center"/>
          </w:tcPr>
          <w:p w14:paraId="471DF3C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21.14</w:t>
            </w:r>
          </w:p>
        </w:tc>
        <w:tc>
          <w:tcPr>
            <w:tcW w:w="479" w:type="pct"/>
            <w:shd w:val="clear" w:color="auto" w:fill="auto"/>
            <w:noWrap/>
            <w:vAlign w:val="center"/>
          </w:tcPr>
          <w:p w14:paraId="2BBE9E7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24.99</w:t>
            </w:r>
          </w:p>
        </w:tc>
        <w:tc>
          <w:tcPr>
            <w:tcW w:w="646" w:type="pct"/>
            <w:shd w:val="clear" w:color="auto" w:fill="auto"/>
            <w:noWrap/>
            <w:vAlign w:val="center"/>
          </w:tcPr>
          <w:p w14:paraId="2017D7B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15.10 </w:t>
            </w:r>
          </w:p>
        </w:tc>
        <w:tc>
          <w:tcPr>
            <w:tcW w:w="646" w:type="pct"/>
            <w:shd w:val="clear" w:color="auto" w:fill="auto"/>
            <w:noWrap/>
            <w:vAlign w:val="center"/>
          </w:tcPr>
          <w:p w14:paraId="08B1331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873.47 </w:t>
            </w:r>
          </w:p>
        </w:tc>
        <w:tc>
          <w:tcPr>
            <w:tcW w:w="460" w:type="pct"/>
            <w:shd w:val="clear" w:color="auto" w:fill="auto"/>
            <w:noWrap/>
            <w:vAlign w:val="center"/>
          </w:tcPr>
          <w:p w14:paraId="2D9A5AD7">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0.05%</w:t>
            </w:r>
          </w:p>
        </w:tc>
      </w:tr>
      <w:tr w14:paraId="7D00F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1116" w:type="pct"/>
            <w:shd w:val="clear" w:color="auto" w:fill="auto"/>
            <w:noWrap/>
            <w:vAlign w:val="center"/>
          </w:tcPr>
          <w:p w14:paraId="67A6638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交通服务场站用地</w:t>
            </w:r>
          </w:p>
        </w:tc>
        <w:tc>
          <w:tcPr>
            <w:tcW w:w="530" w:type="pct"/>
            <w:shd w:val="clear" w:color="auto" w:fill="auto"/>
            <w:noWrap/>
            <w:vAlign w:val="center"/>
          </w:tcPr>
          <w:p w14:paraId="2616D4E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93.6</w:t>
            </w:r>
          </w:p>
        </w:tc>
        <w:tc>
          <w:tcPr>
            <w:tcW w:w="588" w:type="pct"/>
            <w:shd w:val="clear" w:color="auto" w:fill="auto"/>
            <w:noWrap/>
            <w:vAlign w:val="center"/>
          </w:tcPr>
          <w:p w14:paraId="7F06906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5.08</w:t>
            </w:r>
          </w:p>
        </w:tc>
        <w:tc>
          <w:tcPr>
            <w:tcW w:w="530" w:type="pct"/>
            <w:shd w:val="clear" w:color="auto" w:fill="auto"/>
            <w:noWrap/>
            <w:vAlign w:val="center"/>
          </w:tcPr>
          <w:p w14:paraId="58F80AE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73EC756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9.98</w:t>
            </w:r>
          </w:p>
        </w:tc>
        <w:tc>
          <w:tcPr>
            <w:tcW w:w="646" w:type="pct"/>
            <w:shd w:val="clear" w:color="auto" w:fill="auto"/>
            <w:noWrap/>
            <w:vAlign w:val="center"/>
          </w:tcPr>
          <w:p w14:paraId="2E2E576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7.40 </w:t>
            </w:r>
          </w:p>
        </w:tc>
        <w:tc>
          <w:tcPr>
            <w:tcW w:w="646" w:type="pct"/>
            <w:shd w:val="clear" w:color="auto" w:fill="auto"/>
            <w:noWrap/>
            <w:vAlign w:val="center"/>
          </w:tcPr>
          <w:p w14:paraId="4B059F6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116.06</w:t>
            </w:r>
          </w:p>
        </w:tc>
        <w:tc>
          <w:tcPr>
            <w:tcW w:w="460" w:type="pct"/>
            <w:shd w:val="clear" w:color="auto" w:fill="auto"/>
            <w:noWrap/>
            <w:vAlign w:val="center"/>
          </w:tcPr>
          <w:p w14:paraId="3883CE25">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0.01%</w:t>
            </w:r>
          </w:p>
        </w:tc>
      </w:tr>
      <w:tr w14:paraId="341E6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2452CA5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农村道路</w:t>
            </w:r>
          </w:p>
        </w:tc>
        <w:tc>
          <w:tcPr>
            <w:tcW w:w="530" w:type="pct"/>
            <w:shd w:val="clear" w:color="auto" w:fill="auto"/>
            <w:noWrap/>
            <w:vAlign w:val="center"/>
          </w:tcPr>
          <w:p w14:paraId="49EF4BE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1203.18</w:t>
            </w:r>
          </w:p>
        </w:tc>
        <w:tc>
          <w:tcPr>
            <w:tcW w:w="588" w:type="pct"/>
            <w:shd w:val="clear" w:color="auto" w:fill="auto"/>
            <w:noWrap/>
            <w:vAlign w:val="center"/>
          </w:tcPr>
          <w:p w14:paraId="793A63B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1013.63</w:t>
            </w:r>
          </w:p>
        </w:tc>
        <w:tc>
          <w:tcPr>
            <w:tcW w:w="530" w:type="pct"/>
            <w:shd w:val="clear" w:color="auto" w:fill="auto"/>
            <w:noWrap/>
            <w:vAlign w:val="center"/>
          </w:tcPr>
          <w:p w14:paraId="2B7379D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413.2</w:t>
            </w:r>
          </w:p>
        </w:tc>
        <w:tc>
          <w:tcPr>
            <w:tcW w:w="479" w:type="pct"/>
            <w:shd w:val="clear" w:color="auto" w:fill="auto"/>
            <w:noWrap/>
            <w:vAlign w:val="center"/>
          </w:tcPr>
          <w:p w14:paraId="72C4A07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673.89</w:t>
            </w:r>
          </w:p>
        </w:tc>
        <w:tc>
          <w:tcPr>
            <w:tcW w:w="646" w:type="pct"/>
            <w:shd w:val="clear" w:color="auto" w:fill="auto"/>
            <w:noWrap/>
            <w:vAlign w:val="center"/>
          </w:tcPr>
          <w:p w14:paraId="17A6B79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1477.21 </w:t>
            </w:r>
          </w:p>
        </w:tc>
        <w:tc>
          <w:tcPr>
            <w:tcW w:w="646" w:type="pct"/>
            <w:shd w:val="clear" w:color="auto" w:fill="auto"/>
            <w:noWrap/>
            <w:vAlign w:val="center"/>
          </w:tcPr>
          <w:p w14:paraId="7F36C8E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4781.11 </w:t>
            </w:r>
          </w:p>
        </w:tc>
        <w:tc>
          <w:tcPr>
            <w:tcW w:w="460" w:type="pct"/>
            <w:shd w:val="clear" w:color="auto" w:fill="auto"/>
            <w:noWrap/>
            <w:vAlign w:val="center"/>
          </w:tcPr>
          <w:p w14:paraId="553FFC0E">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0.28%</w:t>
            </w:r>
          </w:p>
        </w:tc>
      </w:tr>
      <w:tr w14:paraId="11EBA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0372C74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机场用地</w:t>
            </w:r>
          </w:p>
        </w:tc>
        <w:tc>
          <w:tcPr>
            <w:tcW w:w="530" w:type="pct"/>
            <w:shd w:val="clear" w:color="auto" w:fill="auto"/>
            <w:noWrap/>
            <w:vAlign w:val="center"/>
          </w:tcPr>
          <w:p w14:paraId="689150A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588" w:type="pct"/>
            <w:shd w:val="clear" w:color="auto" w:fill="auto"/>
            <w:noWrap/>
            <w:vAlign w:val="center"/>
          </w:tcPr>
          <w:p w14:paraId="6E73DD0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427.18</w:t>
            </w:r>
          </w:p>
        </w:tc>
        <w:tc>
          <w:tcPr>
            <w:tcW w:w="530" w:type="pct"/>
            <w:shd w:val="clear" w:color="auto" w:fill="auto"/>
            <w:noWrap/>
            <w:vAlign w:val="center"/>
          </w:tcPr>
          <w:p w14:paraId="42F36A5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2AA1087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7C8F609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622.55 </w:t>
            </w:r>
          </w:p>
        </w:tc>
        <w:tc>
          <w:tcPr>
            <w:tcW w:w="646" w:type="pct"/>
            <w:shd w:val="clear" w:color="auto" w:fill="auto"/>
            <w:noWrap/>
            <w:vAlign w:val="center"/>
          </w:tcPr>
          <w:p w14:paraId="3D3E72C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1049.73 </w:t>
            </w:r>
          </w:p>
        </w:tc>
        <w:tc>
          <w:tcPr>
            <w:tcW w:w="460" w:type="pct"/>
            <w:shd w:val="clear" w:color="auto" w:fill="auto"/>
            <w:noWrap/>
            <w:vAlign w:val="center"/>
          </w:tcPr>
          <w:p w14:paraId="5F71D960">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0.06%</w:t>
            </w:r>
          </w:p>
        </w:tc>
      </w:tr>
      <w:tr w14:paraId="1FC97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5A2C902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河流水面</w:t>
            </w:r>
          </w:p>
        </w:tc>
        <w:tc>
          <w:tcPr>
            <w:tcW w:w="530" w:type="pct"/>
            <w:shd w:val="clear" w:color="auto" w:fill="auto"/>
            <w:noWrap/>
            <w:vAlign w:val="center"/>
          </w:tcPr>
          <w:p w14:paraId="58D255D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5177.25</w:t>
            </w:r>
          </w:p>
        </w:tc>
        <w:tc>
          <w:tcPr>
            <w:tcW w:w="588" w:type="pct"/>
            <w:shd w:val="clear" w:color="auto" w:fill="auto"/>
            <w:noWrap/>
            <w:vAlign w:val="center"/>
          </w:tcPr>
          <w:p w14:paraId="32CE9D1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2826.48</w:t>
            </w:r>
          </w:p>
        </w:tc>
        <w:tc>
          <w:tcPr>
            <w:tcW w:w="530" w:type="pct"/>
            <w:shd w:val="clear" w:color="auto" w:fill="auto"/>
            <w:noWrap/>
            <w:vAlign w:val="center"/>
          </w:tcPr>
          <w:p w14:paraId="14A4CB8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1918.36</w:t>
            </w:r>
          </w:p>
        </w:tc>
        <w:tc>
          <w:tcPr>
            <w:tcW w:w="479" w:type="pct"/>
            <w:shd w:val="clear" w:color="auto" w:fill="auto"/>
            <w:noWrap/>
            <w:vAlign w:val="center"/>
          </w:tcPr>
          <w:p w14:paraId="75DD0D1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1876.34</w:t>
            </w:r>
          </w:p>
        </w:tc>
        <w:tc>
          <w:tcPr>
            <w:tcW w:w="646" w:type="pct"/>
            <w:shd w:val="clear" w:color="auto" w:fill="auto"/>
            <w:noWrap/>
            <w:vAlign w:val="center"/>
          </w:tcPr>
          <w:p w14:paraId="54D833A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4119.14 </w:t>
            </w:r>
          </w:p>
        </w:tc>
        <w:tc>
          <w:tcPr>
            <w:tcW w:w="646" w:type="pct"/>
            <w:shd w:val="clear" w:color="auto" w:fill="auto"/>
            <w:noWrap/>
            <w:vAlign w:val="center"/>
          </w:tcPr>
          <w:p w14:paraId="4C616CC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15917.57 </w:t>
            </w:r>
          </w:p>
        </w:tc>
        <w:tc>
          <w:tcPr>
            <w:tcW w:w="460" w:type="pct"/>
            <w:shd w:val="clear" w:color="auto" w:fill="auto"/>
            <w:noWrap/>
            <w:vAlign w:val="center"/>
          </w:tcPr>
          <w:p w14:paraId="4B8CA226">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0.95%</w:t>
            </w:r>
          </w:p>
        </w:tc>
      </w:tr>
      <w:tr w14:paraId="3F03A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6533A90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湖泊水面</w:t>
            </w:r>
          </w:p>
        </w:tc>
        <w:tc>
          <w:tcPr>
            <w:tcW w:w="530" w:type="pct"/>
            <w:shd w:val="clear" w:color="auto" w:fill="auto"/>
            <w:noWrap/>
            <w:vAlign w:val="center"/>
          </w:tcPr>
          <w:p w14:paraId="30C5AE9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71.52</w:t>
            </w:r>
          </w:p>
        </w:tc>
        <w:tc>
          <w:tcPr>
            <w:tcW w:w="588" w:type="pct"/>
            <w:shd w:val="clear" w:color="auto" w:fill="auto"/>
            <w:noWrap/>
            <w:vAlign w:val="center"/>
          </w:tcPr>
          <w:p w14:paraId="4DDEDD8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573.21</w:t>
            </w:r>
          </w:p>
        </w:tc>
        <w:tc>
          <w:tcPr>
            <w:tcW w:w="530" w:type="pct"/>
            <w:shd w:val="clear" w:color="auto" w:fill="auto"/>
            <w:noWrap/>
            <w:vAlign w:val="center"/>
          </w:tcPr>
          <w:p w14:paraId="23ADB31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1.69</w:t>
            </w:r>
          </w:p>
        </w:tc>
        <w:tc>
          <w:tcPr>
            <w:tcW w:w="479" w:type="pct"/>
            <w:shd w:val="clear" w:color="auto" w:fill="auto"/>
            <w:noWrap/>
            <w:vAlign w:val="center"/>
          </w:tcPr>
          <w:p w14:paraId="066B11D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1E4F775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835.36</w:t>
            </w:r>
          </w:p>
        </w:tc>
        <w:tc>
          <w:tcPr>
            <w:tcW w:w="646" w:type="pct"/>
            <w:shd w:val="clear" w:color="auto" w:fill="auto"/>
            <w:noWrap/>
            <w:vAlign w:val="center"/>
          </w:tcPr>
          <w:p w14:paraId="33AF79C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1481.78 </w:t>
            </w:r>
          </w:p>
        </w:tc>
        <w:tc>
          <w:tcPr>
            <w:tcW w:w="460" w:type="pct"/>
            <w:shd w:val="clear" w:color="auto" w:fill="auto"/>
            <w:noWrap/>
            <w:vAlign w:val="center"/>
          </w:tcPr>
          <w:p w14:paraId="7987720C">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0.09%</w:t>
            </w:r>
          </w:p>
        </w:tc>
      </w:tr>
      <w:tr w14:paraId="64658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606EAED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坑塘水面</w:t>
            </w:r>
          </w:p>
        </w:tc>
        <w:tc>
          <w:tcPr>
            <w:tcW w:w="530" w:type="pct"/>
            <w:shd w:val="clear" w:color="auto" w:fill="auto"/>
            <w:noWrap/>
            <w:vAlign w:val="center"/>
          </w:tcPr>
          <w:p w14:paraId="213FD3E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7.9</w:t>
            </w:r>
          </w:p>
        </w:tc>
        <w:tc>
          <w:tcPr>
            <w:tcW w:w="588" w:type="pct"/>
            <w:shd w:val="clear" w:color="auto" w:fill="auto"/>
            <w:noWrap/>
            <w:vAlign w:val="center"/>
          </w:tcPr>
          <w:p w14:paraId="76227C0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40.76</w:t>
            </w:r>
          </w:p>
        </w:tc>
        <w:tc>
          <w:tcPr>
            <w:tcW w:w="530" w:type="pct"/>
            <w:shd w:val="clear" w:color="auto" w:fill="auto"/>
            <w:noWrap/>
            <w:vAlign w:val="center"/>
          </w:tcPr>
          <w:p w14:paraId="04D6799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0.59</w:t>
            </w:r>
          </w:p>
        </w:tc>
        <w:tc>
          <w:tcPr>
            <w:tcW w:w="479" w:type="pct"/>
            <w:shd w:val="clear" w:color="auto" w:fill="auto"/>
            <w:noWrap/>
            <w:vAlign w:val="center"/>
          </w:tcPr>
          <w:p w14:paraId="2E6262B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18.76</w:t>
            </w:r>
          </w:p>
        </w:tc>
        <w:tc>
          <w:tcPr>
            <w:tcW w:w="646" w:type="pct"/>
            <w:shd w:val="clear" w:color="auto" w:fill="auto"/>
            <w:noWrap/>
            <w:vAlign w:val="center"/>
          </w:tcPr>
          <w:p w14:paraId="7CC963B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59.40 </w:t>
            </w:r>
          </w:p>
        </w:tc>
        <w:tc>
          <w:tcPr>
            <w:tcW w:w="646" w:type="pct"/>
            <w:shd w:val="clear" w:color="auto" w:fill="auto"/>
            <w:noWrap/>
            <w:vAlign w:val="center"/>
          </w:tcPr>
          <w:p w14:paraId="6DB4AA3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127.41 </w:t>
            </w:r>
          </w:p>
        </w:tc>
        <w:tc>
          <w:tcPr>
            <w:tcW w:w="460" w:type="pct"/>
            <w:shd w:val="clear" w:color="auto" w:fill="auto"/>
            <w:noWrap/>
            <w:vAlign w:val="center"/>
          </w:tcPr>
          <w:p w14:paraId="7F13EA31">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0.01%</w:t>
            </w:r>
          </w:p>
        </w:tc>
      </w:tr>
      <w:tr w14:paraId="35BF6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0FBA7CA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内陆滩涂</w:t>
            </w:r>
          </w:p>
        </w:tc>
        <w:tc>
          <w:tcPr>
            <w:tcW w:w="530" w:type="pct"/>
            <w:shd w:val="clear" w:color="auto" w:fill="auto"/>
            <w:noWrap/>
            <w:vAlign w:val="center"/>
          </w:tcPr>
          <w:p w14:paraId="7DFAA54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1886.76</w:t>
            </w:r>
          </w:p>
        </w:tc>
        <w:tc>
          <w:tcPr>
            <w:tcW w:w="588" w:type="pct"/>
            <w:shd w:val="clear" w:color="auto" w:fill="auto"/>
            <w:noWrap/>
            <w:vAlign w:val="center"/>
          </w:tcPr>
          <w:p w14:paraId="5069F15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126.54</w:t>
            </w:r>
          </w:p>
        </w:tc>
        <w:tc>
          <w:tcPr>
            <w:tcW w:w="530" w:type="pct"/>
            <w:shd w:val="clear" w:color="auto" w:fill="auto"/>
            <w:noWrap/>
            <w:vAlign w:val="center"/>
          </w:tcPr>
          <w:p w14:paraId="6093DD4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181.29</w:t>
            </w:r>
          </w:p>
        </w:tc>
        <w:tc>
          <w:tcPr>
            <w:tcW w:w="479" w:type="pct"/>
            <w:shd w:val="clear" w:color="auto" w:fill="auto"/>
            <w:noWrap/>
            <w:vAlign w:val="center"/>
          </w:tcPr>
          <w:p w14:paraId="4A4DA13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760.15</w:t>
            </w:r>
          </w:p>
        </w:tc>
        <w:tc>
          <w:tcPr>
            <w:tcW w:w="646" w:type="pct"/>
            <w:shd w:val="clear" w:color="auto" w:fill="auto"/>
            <w:noWrap/>
            <w:vAlign w:val="center"/>
          </w:tcPr>
          <w:p w14:paraId="5ECD541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184.41 </w:t>
            </w:r>
          </w:p>
        </w:tc>
        <w:tc>
          <w:tcPr>
            <w:tcW w:w="646" w:type="pct"/>
            <w:shd w:val="clear" w:color="auto" w:fill="auto"/>
            <w:noWrap/>
            <w:vAlign w:val="center"/>
          </w:tcPr>
          <w:p w14:paraId="47D3079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3139.15 </w:t>
            </w:r>
          </w:p>
        </w:tc>
        <w:tc>
          <w:tcPr>
            <w:tcW w:w="460" w:type="pct"/>
            <w:shd w:val="clear" w:color="auto" w:fill="auto"/>
            <w:noWrap/>
            <w:vAlign w:val="center"/>
          </w:tcPr>
          <w:p w14:paraId="6BAA4535">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0.19%</w:t>
            </w:r>
          </w:p>
        </w:tc>
      </w:tr>
      <w:tr w14:paraId="2CAA5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580390F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沟渠</w:t>
            </w:r>
          </w:p>
        </w:tc>
        <w:tc>
          <w:tcPr>
            <w:tcW w:w="530" w:type="pct"/>
            <w:shd w:val="clear" w:color="auto" w:fill="auto"/>
            <w:noWrap/>
            <w:vAlign w:val="center"/>
          </w:tcPr>
          <w:p w14:paraId="557E763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7.05</w:t>
            </w:r>
          </w:p>
        </w:tc>
        <w:tc>
          <w:tcPr>
            <w:tcW w:w="588" w:type="pct"/>
            <w:shd w:val="clear" w:color="auto" w:fill="auto"/>
            <w:noWrap/>
            <w:vAlign w:val="center"/>
          </w:tcPr>
          <w:p w14:paraId="7B4EF3F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32.78</w:t>
            </w:r>
          </w:p>
        </w:tc>
        <w:tc>
          <w:tcPr>
            <w:tcW w:w="530" w:type="pct"/>
            <w:shd w:val="clear" w:color="auto" w:fill="auto"/>
            <w:noWrap/>
            <w:vAlign w:val="center"/>
          </w:tcPr>
          <w:p w14:paraId="12C81B4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3.39</w:t>
            </w:r>
          </w:p>
        </w:tc>
        <w:tc>
          <w:tcPr>
            <w:tcW w:w="479" w:type="pct"/>
            <w:shd w:val="clear" w:color="auto" w:fill="auto"/>
            <w:noWrap/>
            <w:vAlign w:val="center"/>
          </w:tcPr>
          <w:p w14:paraId="05E3544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21.89</w:t>
            </w:r>
          </w:p>
        </w:tc>
        <w:tc>
          <w:tcPr>
            <w:tcW w:w="646" w:type="pct"/>
            <w:shd w:val="clear" w:color="auto" w:fill="auto"/>
            <w:noWrap/>
            <w:vAlign w:val="center"/>
          </w:tcPr>
          <w:p w14:paraId="27BE72A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47.77 </w:t>
            </w:r>
          </w:p>
        </w:tc>
        <w:tc>
          <w:tcPr>
            <w:tcW w:w="646" w:type="pct"/>
            <w:shd w:val="clear" w:color="auto" w:fill="auto"/>
            <w:noWrap/>
            <w:vAlign w:val="center"/>
          </w:tcPr>
          <w:p w14:paraId="708E289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112.88 </w:t>
            </w:r>
          </w:p>
        </w:tc>
        <w:tc>
          <w:tcPr>
            <w:tcW w:w="460" w:type="pct"/>
            <w:shd w:val="clear" w:color="auto" w:fill="auto"/>
            <w:noWrap/>
            <w:vAlign w:val="center"/>
          </w:tcPr>
          <w:p w14:paraId="406D6408">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0.01%</w:t>
            </w:r>
          </w:p>
        </w:tc>
      </w:tr>
      <w:tr w14:paraId="0233F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7374CE3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水工建筑用地</w:t>
            </w:r>
          </w:p>
        </w:tc>
        <w:tc>
          <w:tcPr>
            <w:tcW w:w="530" w:type="pct"/>
            <w:shd w:val="clear" w:color="auto" w:fill="auto"/>
            <w:noWrap/>
            <w:vAlign w:val="center"/>
          </w:tcPr>
          <w:p w14:paraId="54D2CBE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84.19</w:t>
            </w:r>
          </w:p>
        </w:tc>
        <w:tc>
          <w:tcPr>
            <w:tcW w:w="588" w:type="pct"/>
            <w:shd w:val="clear" w:color="auto" w:fill="auto"/>
            <w:noWrap/>
            <w:vAlign w:val="center"/>
          </w:tcPr>
          <w:p w14:paraId="2785821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31.95</w:t>
            </w:r>
          </w:p>
        </w:tc>
        <w:tc>
          <w:tcPr>
            <w:tcW w:w="530" w:type="pct"/>
            <w:shd w:val="clear" w:color="auto" w:fill="auto"/>
            <w:noWrap/>
            <w:vAlign w:val="center"/>
          </w:tcPr>
          <w:p w14:paraId="3F793A9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0451273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3.44</w:t>
            </w:r>
          </w:p>
        </w:tc>
        <w:tc>
          <w:tcPr>
            <w:tcW w:w="646" w:type="pct"/>
            <w:shd w:val="clear" w:color="auto" w:fill="auto"/>
            <w:noWrap/>
            <w:vAlign w:val="center"/>
          </w:tcPr>
          <w:p w14:paraId="52DFB06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46.56</w:t>
            </w:r>
          </w:p>
        </w:tc>
        <w:tc>
          <w:tcPr>
            <w:tcW w:w="646" w:type="pct"/>
            <w:shd w:val="clear" w:color="auto" w:fill="auto"/>
            <w:noWrap/>
            <w:vAlign w:val="center"/>
          </w:tcPr>
          <w:p w14:paraId="66C202C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166.14 </w:t>
            </w:r>
          </w:p>
        </w:tc>
        <w:tc>
          <w:tcPr>
            <w:tcW w:w="460" w:type="pct"/>
            <w:shd w:val="clear" w:color="auto" w:fill="auto"/>
            <w:noWrap/>
            <w:vAlign w:val="center"/>
          </w:tcPr>
          <w:p w14:paraId="57015EE1">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0.01%</w:t>
            </w:r>
          </w:p>
        </w:tc>
      </w:tr>
      <w:tr w14:paraId="07BB4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5BB1A32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空闲地</w:t>
            </w:r>
          </w:p>
        </w:tc>
        <w:tc>
          <w:tcPr>
            <w:tcW w:w="530" w:type="pct"/>
            <w:shd w:val="clear" w:color="auto" w:fill="auto"/>
            <w:noWrap/>
            <w:vAlign w:val="center"/>
          </w:tcPr>
          <w:p w14:paraId="3F8C3FE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77.96</w:t>
            </w:r>
          </w:p>
        </w:tc>
        <w:tc>
          <w:tcPr>
            <w:tcW w:w="588" w:type="pct"/>
            <w:shd w:val="clear" w:color="auto" w:fill="auto"/>
            <w:noWrap/>
            <w:vAlign w:val="center"/>
          </w:tcPr>
          <w:p w14:paraId="48C7CD3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530" w:type="pct"/>
            <w:shd w:val="clear" w:color="auto" w:fill="auto"/>
            <w:noWrap/>
            <w:vAlign w:val="center"/>
          </w:tcPr>
          <w:p w14:paraId="4C427EB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479" w:type="pct"/>
            <w:shd w:val="clear" w:color="auto" w:fill="auto"/>
            <w:noWrap/>
            <w:vAlign w:val="center"/>
          </w:tcPr>
          <w:p w14:paraId="421D74A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19F8505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w:t>
            </w:r>
          </w:p>
        </w:tc>
        <w:tc>
          <w:tcPr>
            <w:tcW w:w="646" w:type="pct"/>
            <w:shd w:val="clear" w:color="auto" w:fill="auto"/>
            <w:noWrap/>
            <w:vAlign w:val="center"/>
          </w:tcPr>
          <w:p w14:paraId="30B5039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77.96</w:t>
            </w:r>
          </w:p>
        </w:tc>
        <w:tc>
          <w:tcPr>
            <w:tcW w:w="460" w:type="pct"/>
            <w:shd w:val="clear" w:color="auto" w:fill="auto"/>
            <w:noWrap/>
            <w:vAlign w:val="center"/>
          </w:tcPr>
          <w:p w14:paraId="547216B8">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0.00%</w:t>
            </w:r>
          </w:p>
        </w:tc>
      </w:tr>
      <w:tr w14:paraId="21D82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216793C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设施农用地</w:t>
            </w:r>
          </w:p>
        </w:tc>
        <w:tc>
          <w:tcPr>
            <w:tcW w:w="530" w:type="pct"/>
            <w:shd w:val="clear" w:color="auto" w:fill="auto"/>
            <w:noWrap/>
            <w:vAlign w:val="center"/>
          </w:tcPr>
          <w:p w14:paraId="2AF1A6F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7.26</w:t>
            </w:r>
          </w:p>
        </w:tc>
        <w:tc>
          <w:tcPr>
            <w:tcW w:w="588" w:type="pct"/>
            <w:shd w:val="clear" w:color="auto" w:fill="auto"/>
            <w:noWrap/>
            <w:vAlign w:val="center"/>
          </w:tcPr>
          <w:p w14:paraId="797E040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7.47</w:t>
            </w:r>
          </w:p>
        </w:tc>
        <w:tc>
          <w:tcPr>
            <w:tcW w:w="530" w:type="pct"/>
            <w:shd w:val="clear" w:color="auto" w:fill="auto"/>
            <w:noWrap/>
            <w:vAlign w:val="center"/>
          </w:tcPr>
          <w:p w14:paraId="5C53AA7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4.43</w:t>
            </w:r>
          </w:p>
        </w:tc>
        <w:tc>
          <w:tcPr>
            <w:tcW w:w="479" w:type="pct"/>
            <w:shd w:val="clear" w:color="auto" w:fill="auto"/>
            <w:noWrap/>
            <w:vAlign w:val="center"/>
          </w:tcPr>
          <w:p w14:paraId="514ADE5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119.83</w:t>
            </w:r>
          </w:p>
        </w:tc>
        <w:tc>
          <w:tcPr>
            <w:tcW w:w="646" w:type="pct"/>
            <w:shd w:val="clear" w:color="auto" w:fill="auto"/>
            <w:noWrap/>
            <w:vAlign w:val="center"/>
          </w:tcPr>
          <w:p w14:paraId="39638FF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10.89 </w:t>
            </w:r>
          </w:p>
        </w:tc>
        <w:tc>
          <w:tcPr>
            <w:tcW w:w="646" w:type="pct"/>
            <w:shd w:val="clear" w:color="auto" w:fill="auto"/>
            <w:noWrap/>
            <w:vAlign w:val="center"/>
          </w:tcPr>
          <w:p w14:paraId="4C55941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149.88 </w:t>
            </w:r>
          </w:p>
        </w:tc>
        <w:tc>
          <w:tcPr>
            <w:tcW w:w="460" w:type="pct"/>
            <w:shd w:val="clear" w:color="auto" w:fill="auto"/>
            <w:noWrap/>
            <w:vAlign w:val="center"/>
          </w:tcPr>
          <w:p w14:paraId="3B33BAE2">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0.01%</w:t>
            </w:r>
          </w:p>
        </w:tc>
      </w:tr>
      <w:tr w14:paraId="16426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1116" w:type="pct"/>
            <w:shd w:val="clear" w:color="auto" w:fill="auto"/>
            <w:noWrap/>
            <w:vAlign w:val="center"/>
          </w:tcPr>
          <w:p w14:paraId="494C75E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裸土地</w:t>
            </w:r>
          </w:p>
        </w:tc>
        <w:tc>
          <w:tcPr>
            <w:tcW w:w="530" w:type="pct"/>
            <w:shd w:val="clear" w:color="auto" w:fill="auto"/>
            <w:noWrap/>
            <w:vAlign w:val="center"/>
          </w:tcPr>
          <w:p w14:paraId="0B9003C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29.22</w:t>
            </w:r>
          </w:p>
        </w:tc>
        <w:tc>
          <w:tcPr>
            <w:tcW w:w="588" w:type="pct"/>
            <w:shd w:val="clear" w:color="auto" w:fill="auto"/>
            <w:noWrap/>
            <w:vAlign w:val="center"/>
          </w:tcPr>
          <w:p w14:paraId="3BF3A0E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15.9</w:t>
            </w:r>
          </w:p>
        </w:tc>
        <w:tc>
          <w:tcPr>
            <w:tcW w:w="530" w:type="pct"/>
            <w:shd w:val="clear" w:color="auto" w:fill="auto"/>
            <w:noWrap/>
            <w:vAlign w:val="center"/>
          </w:tcPr>
          <w:p w14:paraId="32813EE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37.09</w:t>
            </w:r>
          </w:p>
        </w:tc>
        <w:tc>
          <w:tcPr>
            <w:tcW w:w="479" w:type="pct"/>
            <w:shd w:val="clear" w:color="auto" w:fill="auto"/>
            <w:noWrap/>
            <w:vAlign w:val="center"/>
          </w:tcPr>
          <w:p w14:paraId="7C335A5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5.3</w:t>
            </w:r>
          </w:p>
        </w:tc>
        <w:tc>
          <w:tcPr>
            <w:tcW w:w="646" w:type="pct"/>
            <w:shd w:val="clear" w:color="auto" w:fill="auto"/>
            <w:noWrap/>
            <w:vAlign w:val="center"/>
          </w:tcPr>
          <w:p w14:paraId="226CCA0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23.17 </w:t>
            </w:r>
          </w:p>
        </w:tc>
        <w:tc>
          <w:tcPr>
            <w:tcW w:w="646" w:type="pct"/>
            <w:shd w:val="clear" w:color="auto" w:fill="auto"/>
            <w:noWrap/>
            <w:vAlign w:val="center"/>
          </w:tcPr>
          <w:p w14:paraId="7639D21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110.68 </w:t>
            </w:r>
          </w:p>
        </w:tc>
        <w:tc>
          <w:tcPr>
            <w:tcW w:w="460" w:type="pct"/>
            <w:shd w:val="clear" w:color="auto" w:fill="auto"/>
            <w:noWrap/>
            <w:vAlign w:val="center"/>
          </w:tcPr>
          <w:p w14:paraId="103D0E92">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0.01%</w:t>
            </w:r>
          </w:p>
        </w:tc>
      </w:tr>
      <w:tr w14:paraId="1A907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7204075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裸岩石砾地</w:t>
            </w:r>
          </w:p>
        </w:tc>
        <w:tc>
          <w:tcPr>
            <w:tcW w:w="530" w:type="pct"/>
            <w:shd w:val="clear" w:color="auto" w:fill="auto"/>
            <w:noWrap/>
            <w:vAlign w:val="center"/>
          </w:tcPr>
          <w:p w14:paraId="63C016C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11443.61</w:t>
            </w:r>
          </w:p>
        </w:tc>
        <w:tc>
          <w:tcPr>
            <w:tcW w:w="588" w:type="pct"/>
            <w:shd w:val="clear" w:color="auto" w:fill="auto"/>
            <w:noWrap/>
            <w:vAlign w:val="center"/>
          </w:tcPr>
          <w:p w14:paraId="5B62EE8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29339.85</w:t>
            </w:r>
          </w:p>
        </w:tc>
        <w:tc>
          <w:tcPr>
            <w:tcW w:w="530" w:type="pct"/>
            <w:shd w:val="clear" w:color="auto" w:fill="auto"/>
            <w:noWrap/>
            <w:vAlign w:val="center"/>
          </w:tcPr>
          <w:p w14:paraId="17A79D6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46119.44</w:t>
            </w:r>
          </w:p>
        </w:tc>
        <w:tc>
          <w:tcPr>
            <w:tcW w:w="479" w:type="pct"/>
            <w:shd w:val="clear" w:color="auto" w:fill="auto"/>
            <w:noWrap/>
            <w:vAlign w:val="center"/>
          </w:tcPr>
          <w:p w14:paraId="317656C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10.18</w:t>
            </w:r>
          </w:p>
        </w:tc>
        <w:tc>
          <w:tcPr>
            <w:tcW w:w="646" w:type="pct"/>
            <w:shd w:val="clear" w:color="auto" w:fill="auto"/>
            <w:noWrap/>
            <w:vAlign w:val="center"/>
          </w:tcPr>
          <w:p w14:paraId="5EEBB16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42757.42 </w:t>
            </w:r>
          </w:p>
        </w:tc>
        <w:tc>
          <w:tcPr>
            <w:tcW w:w="646" w:type="pct"/>
            <w:shd w:val="clear" w:color="auto" w:fill="auto"/>
            <w:noWrap/>
            <w:vAlign w:val="center"/>
          </w:tcPr>
          <w:p w14:paraId="6332A9E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129670.50 </w:t>
            </w:r>
          </w:p>
        </w:tc>
        <w:tc>
          <w:tcPr>
            <w:tcW w:w="460" w:type="pct"/>
            <w:shd w:val="clear" w:color="auto" w:fill="auto"/>
            <w:noWrap/>
            <w:vAlign w:val="center"/>
          </w:tcPr>
          <w:p w14:paraId="1899E011">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6"/>
                <w:szCs w:val="16"/>
                <w:highlight w:val="none"/>
                <w:u w:val="none"/>
              </w:rPr>
            </w:pPr>
            <w:r>
              <w:rPr>
                <w:rFonts w:hint="default" w:ascii="Times New Roman" w:hAnsi="Times New Roman" w:eastAsia="宋体" w:cs="Times New Roman"/>
                <w:i w:val="0"/>
                <w:iCs w:val="0"/>
                <w:smallCaps w:val="0"/>
                <w:snapToGrid w:val="0"/>
                <w:color w:val="auto"/>
                <w:spacing w:val="0"/>
                <w:w w:val="100"/>
                <w:kern w:val="0"/>
                <w:sz w:val="16"/>
                <w:szCs w:val="16"/>
                <w:highlight w:val="none"/>
                <w:u w:val="none"/>
                <w:lang w:val="en-US" w:eastAsia="zh-CN" w:bidi="ar"/>
              </w:rPr>
              <w:t>7.71%</w:t>
            </w:r>
          </w:p>
        </w:tc>
      </w:tr>
      <w:tr w14:paraId="67983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16" w:type="pct"/>
            <w:shd w:val="clear" w:color="auto" w:fill="auto"/>
            <w:noWrap/>
            <w:vAlign w:val="center"/>
          </w:tcPr>
          <w:p w14:paraId="40C6C5F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合计</w:t>
            </w:r>
          </w:p>
        </w:tc>
        <w:tc>
          <w:tcPr>
            <w:tcW w:w="530" w:type="pct"/>
            <w:shd w:val="clear" w:color="auto" w:fill="auto"/>
            <w:noWrap/>
            <w:vAlign w:val="center"/>
          </w:tcPr>
          <w:p w14:paraId="10175466">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359966.62</w:t>
            </w:r>
          </w:p>
        </w:tc>
        <w:tc>
          <w:tcPr>
            <w:tcW w:w="588" w:type="pct"/>
            <w:shd w:val="clear" w:color="auto" w:fill="auto"/>
            <w:noWrap/>
            <w:vAlign w:val="center"/>
          </w:tcPr>
          <w:p w14:paraId="16CF1B00">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380879.17</w:t>
            </w:r>
          </w:p>
        </w:tc>
        <w:tc>
          <w:tcPr>
            <w:tcW w:w="530" w:type="pct"/>
            <w:shd w:val="clear" w:color="auto" w:fill="auto"/>
            <w:noWrap/>
            <w:vAlign w:val="center"/>
          </w:tcPr>
          <w:p w14:paraId="6AB78E38">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294838.98</w:t>
            </w:r>
          </w:p>
        </w:tc>
        <w:tc>
          <w:tcPr>
            <w:tcW w:w="479" w:type="pct"/>
            <w:shd w:val="clear" w:color="auto" w:fill="auto"/>
            <w:noWrap/>
            <w:vAlign w:val="center"/>
          </w:tcPr>
          <w:p w14:paraId="2E983BAE">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91491.69</w:t>
            </w:r>
          </w:p>
        </w:tc>
        <w:tc>
          <w:tcPr>
            <w:tcW w:w="646" w:type="pct"/>
            <w:shd w:val="clear" w:color="auto" w:fill="auto"/>
            <w:noWrap/>
            <w:vAlign w:val="center"/>
          </w:tcPr>
          <w:p w14:paraId="40E0BF21">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555097.63</w:t>
            </w:r>
          </w:p>
        </w:tc>
        <w:tc>
          <w:tcPr>
            <w:tcW w:w="646" w:type="pct"/>
            <w:shd w:val="clear" w:color="auto" w:fill="auto"/>
            <w:noWrap/>
            <w:vAlign w:val="center"/>
          </w:tcPr>
          <w:p w14:paraId="6C920E7C">
            <w:pPr>
              <w:keepNext w:val="0"/>
              <w:keepLines w:val="0"/>
              <w:widowControl/>
              <w:suppressLineNumbers w:val="0"/>
              <w:jc w:val="right"/>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1682274.09</w:t>
            </w:r>
          </w:p>
        </w:tc>
        <w:tc>
          <w:tcPr>
            <w:tcW w:w="460" w:type="pct"/>
            <w:shd w:val="clear" w:color="auto" w:fill="auto"/>
            <w:noWrap/>
            <w:vAlign w:val="center"/>
          </w:tcPr>
          <w:p w14:paraId="611F271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100.00%</w:t>
            </w:r>
          </w:p>
        </w:tc>
      </w:tr>
    </w:tbl>
    <w:p w14:paraId="6A8D4830">
      <w:pPr>
        <w:kinsoku/>
        <w:spacing w:before="1" w:line="220" w:lineRule="auto"/>
        <w:ind w:left="142"/>
        <w:rPr>
          <w:rFonts w:hint="default" w:ascii="Times New Roman" w:hAnsi="Times New Roman" w:eastAsia="宋体" w:cs="Times New Roman"/>
          <w:smallCaps w:val="0"/>
          <w:color w:val="auto"/>
          <w:spacing w:val="0"/>
          <w:w w:val="100"/>
          <w:sz w:val="28"/>
          <w:szCs w:val="28"/>
          <w:highlight w:val="none"/>
          <w:lang w:eastAsia="zh-CN"/>
        </w:rPr>
      </w:pPr>
    </w:p>
    <w:p w14:paraId="7C812EA7">
      <w:pPr>
        <w:kinsoku/>
        <w:spacing w:before="1" w:line="220" w:lineRule="auto"/>
        <w:ind w:left="142"/>
        <w:rPr>
          <w:rFonts w:hint="default" w:ascii="Times New Roman" w:hAnsi="Times New Roman" w:eastAsia="宋体" w:cs="Times New Roman"/>
          <w:smallCaps w:val="0"/>
          <w:color w:val="auto"/>
          <w:spacing w:val="0"/>
          <w:w w:val="100"/>
          <w:sz w:val="28"/>
          <w:szCs w:val="28"/>
          <w:highlight w:val="none"/>
          <w:lang w:eastAsia="zh-CN"/>
        </w:rPr>
      </w:pPr>
    </w:p>
    <w:p w14:paraId="54A3B0A6">
      <w:pPr>
        <w:kinsoku/>
        <w:spacing w:line="33" w:lineRule="auto"/>
        <w:rPr>
          <w:rFonts w:hint="default" w:ascii="Times New Roman" w:hAnsi="Times New Roman" w:eastAsia="宋体" w:cs="Times New Roman"/>
          <w:smallCaps w:val="0"/>
          <w:color w:val="auto"/>
          <w:spacing w:val="0"/>
          <w:w w:val="100"/>
          <w:sz w:val="2"/>
          <w:highlight w:val="none"/>
          <w:lang w:eastAsia="zh-CN"/>
        </w:rPr>
      </w:pPr>
    </w:p>
    <w:p w14:paraId="019914F5">
      <w:pPr>
        <w:kinsoku/>
        <w:autoSpaceDE/>
        <w:autoSpaceDN/>
        <w:adjustRightInd/>
        <w:snapToGrid/>
        <w:jc w:val="center"/>
        <w:textAlignment w:val="auto"/>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项目区耕地分坡度统计表</w:t>
      </w:r>
    </w:p>
    <w:p w14:paraId="2725CA97">
      <w:pPr>
        <w:kinsoku/>
        <w:spacing w:before="1" w:line="220" w:lineRule="auto"/>
        <w:ind w:left="142"/>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表2.3.2-2                                                                                             单位：亩</w:t>
      </w:r>
    </w:p>
    <w:tbl>
      <w:tblPr>
        <w:tblStyle w:val="1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719"/>
        <w:gridCol w:w="1106"/>
        <w:gridCol w:w="1006"/>
        <w:gridCol w:w="1107"/>
        <w:gridCol w:w="1107"/>
        <w:gridCol w:w="1162"/>
        <w:gridCol w:w="1208"/>
        <w:gridCol w:w="862"/>
      </w:tblGrid>
      <w:tr w14:paraId="1E9D87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935" w:type="pct"/>
            <w:tcBorders>
              <w:tl2br w:val="nil"/>
              <w:tr2bl w:val="nil"/>
            </w:tcBorders>
            <w:shd w:val="clear" w:color="auto" w:fill="auto"/>
            <w:noWrap/>
            <w:vAlign w:val="center"/>
          </w:tcPr>
          <w:p w14:paraId="172A12B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耕地坡度</w:t>
            </w:r>
          </w:p>
        </w:tc>
        <w:tc>
          <w:tcPr>
            <w:tcW w:w="605" w:type="pct"/>
            <w:tcBorders>
              <w:tl2br w:val="nil"/>
              <w:tr2bl w:val="nil"/>
            </w:tcBorders>
            <w:shd w:val="clear" w:color="auto" w:fill="auto"/>
            <w:noWrap/>
            <w:vAlign w:val="center"/>
          </w:tcPr>
          <w:p w14:paraId="3796D4C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甘孜镇</w:t>
            </w:r>
          </w:p>
        </w:tc>
        <w:tc>
          <w:tcPr>
            <w:tcW w:w="551" w:type="pct"/>
            <w:tcBorders>
              <w:tl2br w:val="nil"/>
              <w:tr2bl w:val="nil"/>
            </w:tcBorders>
            <w:shd w:val="clear" w:color="auto" w:fill="auto"/>
            <w:noWrap/>
            <w:vAlign w:val="center"/>
          </w:tcPr>
          <w:p w14:paraId="4BC7A35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来马镇</w:t>
            </w:r>
          </w:p>
        </w:tc>
        <w:tc>
          <w:tcPr>
            <w:tcW w:w="605" w:type="pct"/>
            <w:tcBorders>
              <w:tl2br w:val="nil"/>
              <w:tr2bl w:val="nil"/>
            </w:tcBorders>
            <w:shd w:val="clear" w:color="auto" w:fill="auto"/>
            <w:noWrap/>
            <w:vAlign w:val="center"/>
          </w:tcPr>
          <w:p w14:paraId="4C5EC9F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庭卡乡</w:t>
            </w:r>
          </w:p>
        </w:tc>
        <w:tc>
          <w:tcPr>
            <w:tcW w:w="605" w:type="pct"/>
            <w:tcBorders>
              <w:tl2br w:val="nil"/>
              <w:tr2bl w:val="nil"/>
            </w:tcBorders>
            <w:shd w:val="clear" w:color="auto" w:fill="auto"/>
            <w:noWrap/>
            <w:vAlign w:val="center"/>
          </w:tcPr>
          <w:p w14:paraId="4F1D3F5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拖坝乡</w:t>
            </w:r>
          </w:p>
        </w:tc>
        <w:tc>
          <w:tcPr>
            <w:tcW w:w="605" w:type="pct"/>
            <w:tcBorders>
              <w:tl2br w:val="nil"/>
              <w:tr2bl w:val="nil"/>
            </w:tcBorders>
            <w:shd w:val="clear" w:color="auto" w:fill="auto"/>
            <w:noWrap/>
            <w:vAlign w:val="center"/>
          </w:tcPr>
          <w:p w14:paraId="1E0ABA5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泥柯乡</w:t>
            </w:r>
          </w:p>
        </w:tc>
        <w:tc>
          <w:tcPr>
            <w:tcW w:w="659" w:type="pct"/>
            <w:tcBorders>
              <w:tl2br w:val="nil"/>
              <w:tr2bl w:val="nil"/>
            </w:tcBorders>
            <w:shd w:val="clear" w:color="auto" w:fill="auto"/>
            <w:noWrap/>
            <w:vAlign w:val="center"/>
          </w:tcPr>
          <w:p w14:paraId="29CECB3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合计</w:t>
            </w:r>
          </w:p>
        </w:tc>
        <w:tc>
          <w:tcPr>
            <w:tcW w:w="431" w:type="pct"/>
            <w:tcBorders>
              <w:tl2br w:val="nil"/>
              <w:tr2bl w:val="nil"/>
            </w:tcBorders>
            <w:shd w:val="clear" w:color="auto" w:fill="auto"/>
            <w:noWrap/>
            <w:vAlign w:val="center"/>
          </w:tcPr>
          <w:p w14:paraId="1431CDB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比例</w:t>
            </w:r>
          </w:p>
        </w:tc>
      </w:tr>
      <w:tr w14:paraId="717C3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 w:hRule="atLeast"/>
        </w:trPr>
        <w:tc>
          <w:tcPr>
            <w:tcW w:w="935" w:type="pct"/>
            <w:tcBorders>
              <w:tl2br w:val="nil"/>
              <w:tr2bl w:val="nil"/>
            </w:tcBorders>
            <w:shd w:val="clear" w:color="auto" w:fill="auto"/>
            <w:noWrap/>
            <w:vAlign w:val="center"/>
          </w:tcPr>
          <w:p w14:paraId="390B41F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0~2°</w:t>
            </w:r>
          </w:p>
        </w:tc>
        <w:tc>
          <w:tcPr>
            <w:tcW w:w="605" w:type="pct"/>
            <w:tcBorders>
              <w:tl2br w:val="nil"/>
              <w:tr2bl w:val="nil"/>
            </w:tcBorders>
            <w:shd w:val="clear" w:color="auto" w:fill="auto"/>
            <w:noWrap/>
            <w:vAlign w:val="center"/>
          </w:tcPr>
          <w:p w14:paraId="4B60955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6184.89</w:t>
            </w:r>
          </w:p>
        </w:tc>
        <w:tc>
          <w:tcPr>
            <w:tcW w:w="551" w:type="pct"/>
            <w:tcBorders>
              <w:tl2br w:val="nil"/>
              <w:tr2bl w:val="nil"/>
            </w:tcBorders>
            <w:shd w:val="clear" w:color="auto" w:fill="auto"/>
            <w:noWrap/>
            <w:vAlign w:val="center"/>
          </w:tcPr>
          <w:p w14:paraId="6F50915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5047.48</w:t>
            </w:r>
          </w:p>
        </w:tc>
        <w:tc>
          <w:tcPr>
            <w:tcW w:w="605" w:type="pct"/>
            <w:tcBorders>
              <w:tl2br w:val="nil"/>
              <w:tr2bl w:val="nil"/>
            </w:tcBorders>
            <w:shd w:val="clear" w:color="auto" w:fill="auto"/>
            <w:noWrap/>
            <w:vAlign w:val="center"/>
          </w:tcPr>
          <w:p w14:paraId="5E0AC69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166.36</w:t>
            </w:r>
          </w:p>
        </w:tc>
        <w:tc>
          <w:tcPr>
            <w:tcW w:w="605" w:type="pct"/>
            <w:tcBorders>
              <w:tl2br w:val="nil"/>
              <w:tr2bl w:val="nil"/>
            </w:tcBorders>
            <w:shd w:val="clear" w:color="auto" w:fill="auto"/>
            <w:noWrap/>
            <w:vAlign w:val="center"/>
          </w:tcPr>
          <w:p w14:paraId="6DE0B30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9550.88</w:t>
            </w:r>
          </w:p>
        </w:tc>
        <w:tc>
          <w:tcPr>
            <w:tcW w:w="605" w:type="pct"/>
            <w:tcBorders>
              <w:tl2br w:val="nil"/>
              <w:tr2bl w:val="nil"/>
            </w:tcBorders>
            <w:shd w:val="clear" w:color="auto" w:fill="auto"/>
            <w:noWrap/>
            <w:vAlign w:val="center"/>
          </w:tcPr>
          <w:p w14:paraId="2D545C7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6302.68 </w:t>
            </w:r>
          </w:p>
        </w:tc>
        <w:tc>
          <w:tcPr>
            <w:tcW w:w="659" w:type="pct"/>
            <w:tcBorders>
              <w:tl2br w:val="nil"/>
              <w:tr2bl w:val="nil"/>
            </w:tcBorders>
            <w:shd w:val="clear" w:color="auto" w:fill="auto"/>
            <w:noWrap/>
            <w:vAlign w:val="center"/>
          </w:tcPr>
          <w:p w14:paraId="169D0FE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27252.29 </w:t>
            </w:r>
          </w:p>
        </w:tc>
        <w:tc>
          <w:tcPr>
            <w:tcW w:w="431" w:type="pct"/>
            <w:tcBorders>
              <w:tl2br w:val="nil"/>
              <w:tr2bl w:val="nil"/>
            </w:tcBorders>
            <w:shd w:val="clear" w:color="auto" w:fill="auto"/>
            <w:noWrap/>
            <w:vAlign w:val="center"/>
          </w:tcPr>
          <w:p w14:paraId="3412F47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29.48%</w:t>
            </w:r>
          </w:p>
        </w:tc>
      </w:tr>
      <w:tr w14:paraId="1C4342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 w:hRule="atLeast"/>
        </w:trPr>
        <w:tc>
          <w:tcPr>
            <w:tcW w:w="935" w:type="pct"/>
            <w:tcBorders>
              <w:tl2br w:val="nil"/>
              <w:tr2bl w:val="nil"/>
            </w:tcBorders>
            <w:shd w:val="clear" w:color="auto" w:fill="auto"/>
            <w:noWrap/>
            <w:vAlign w:val="center"/>
          </w:tcPr>
          <w:p w14:paraId="7B24F4C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2~6°</w:t>
            </w:r>
          </w:p>
        </w:tc>
        <w:tc>
          <w:tcPr>
            <w:tcW w:w="605" w:type="pct"/>
            <w:tcBorders>
              <w:tl2br w:val="nil"/>
              <w:tr2bl w:val="nil"/>
            </w:tcBorders>
            <w:shd w:val="clear" w:color="auto" w:fill="auto"/>
            <w:noWrap/>
            <w:vAlign w:val="center"/>
          </w:tcPr>
          <w:p w14:paraId="288531A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10906.28</w:t>
            </w:r>
          </w:p>
        </w:tc>
        <w:tc>
          <w:tcPr>
            <w:tcW w:w="551" w:type="pct"/>
            <w:tcBorders>
              <w:tl2br w:val="nil"/>
              <w:tr2bl w:val="nil"/>
            </w:tcBorders>
            <w:shd w:val="clear" w:color="auto" w:fill="auto"/>
            <w:noWrap/>
            <w:vAlign w:val="center"/>
          </w:tcPr>
          <w:p w14:paraId="5A34E37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8987.89</w:t>
            </w:r>
          </w:p>
        </w:tc>
        <w:tc>
          <w:tcPr>
            <w:tcW w:w="605" w:type="pct"/>
            <w:tcBorders>
              <w:tl2br w:val="nil"/>
              <w:tr2bl w:val="nil"/>
            </w:tcBorders>
            <w:shd w:val="clear" w:color="auto" w:fill="auto"/>
            <w:noWrap/>
            <w:vAlign w:val="center"/>
          </w:tcPr>
          <w:p w14:paraId="4DBB23D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4125.84</w:t>
            </w:r>
          </w:p>
        </w:tc>
        <w:tc>
          <w:tcPr>
            <w:tcW w:w="605" w:type="pct"/>
            <w:tcBorders>
              <w:tl2br w:val="nil"/>
              <w:tr2bl w:val="nil"/>
            </w:tcBorders>
            <w:shd w:val="clear" w:color="auto" w:fill="auto"/>
            <w:noWrap/>
            <w:vAlign w:val="center"/>
          </w:tcPr>
          <w:p w14:paraId="787A439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9359.73</w:t>
            </w:r>
          </w:p>
        </w:tc>
        <w:tc>
          <w:tcPr>
            <w:tcW w:w="605" w:type="pct"/>
            <w:tcBorders>
              <w:tl2br w:val="nil"/>
              <w:tr2bl w:val="nil"/>
            </w:tcBorders>
            <w:shd w:val="clear" w:color="auto" w:fill="auto"/>
            <w:noWrap/>
            <w:vAlign w:val="center"/>
          </w:tcPr>
          <w:p w14:paraId="259C8C6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12556.74 </w:t>
            </w:r>
          </w:p>
        </w:tc>
        <w:tc>
          <w:tcPr>
            <w:tcW w:w="659" w:type="pct"/>
            <w:tcBorders>
              <w:tl2br w:val="nil"/>
              <w:tr2bl w:val="nil"/>
            </w:tcBorders>
            <w:shd w:val="clear" w:color="auto" w:fill="auto"/>
            <w:noWrap/>
            <w:vAlign w:val="center"/>
          </w:tcPr>
          <w:p w14:paraId="6BA196F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45936.48 </w:t>
            </w:r>
          </w:p>
        </w:tc>
        <w:tc>
          <w:tcPr>
            <w:tcW w:w="431" w:type="pct"/>
            <w:tcBorders>
              <w:tl2br w:val="nil"/>
              <w:tr2bl w:val="nil"/>
            </w:tcBorders>
            <w:shd w:val="clear" w:color="auto" w:fill="auto"/>
            <w:noWrap/>
            <w:vAlign w:val="center"/>
          </w:tcPr>
          <w:p w14:paraId="528896E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46.97%</w:t>
            </w:r>
          </w:p>
        </w:tc>
      </w:tr>
      <w:tr w14:paraId="24AEE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0" w:hRule="atLeast"/>
        </w:trPr>
        <w:tc>
          <w:tcPr>
            <w:tcW w:w="935" w:type="pct"/>
            <w:tcBorders>
              <w:tl2br w:val="nil"/>
              <w:tr2bl w:val="nil"/>
            </w:tcBorders>
            <w:shd w:val="clear" w:color="auto" w:fill="auto"/>
            <w:noWrap/>
            <w:vAlign w:val="center"/>
          </w:tcPr>
          <w:p w14:paraId="73A3338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6~15°</w:t>
            </w:r>
          </w:p>
        </w:tc>
        <w:tc>
          <w:tcPr>
            <w:tcW w:w="605" w:type="pct"/>
            <w:tcBorders>
              <w:tl2br w:val="nil"/>
              <w:tr2bl w:val="nil"/>
            </w:tcBorders>
            <w:shd w:val="clear" w:color="auto" w:fill="auto"/>
            <w:noWrap/>
            <w:vAlign w:val="center"/>
          </w:tcPr>
          <w:p w14:paraId="07F806A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5030.71</w:t>
            </w:r>
          </w:p>
        </w:tc>
        <w:tc>
          <w:tcPr>
            <w:tcW w:w="551" w:type="pct"/>
            <w:tcBorders>
              <w:tl2br w:val="nil"/>
              <w:tr2bl w:val="nil"/>
            </w:tcBorders>
            <w:shd w:val="clear" w:color="auto" w:fill="auto"/>
            <w:noWrap/>
            <w:vAlign w:val="center"/>
          </w:tcPr>
          <w:p w14:paraId="57A5DD2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2839.87</w:t>
            </w:r>
          </w:p>
        </w:tc>
        <w:tc>
          <w:tcPr>
            <w:tcW w:w="605" w:type="pct"/>
            <w:tcBorders>
              <w:tl2br w:val="nil"/>
              <w:tr2bl w:val="nil"/>
            </w:tcBorders>
            <w:shd w:val="clear" w:color="auto" w:fill="auto"/>
            <w:noWrap/>
            <w:vAlign w:val="center"/>
          </w:tcPr>
          <w:p w14:paraId="2E8FA35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2491.17</w:t>
            </w:r>
          </w:p>
        </w:tc>
        <w:tc>
          <w:tcPr>
            <w:tcW w:w="605" w:type="pct"/>
            <w:tcBorders>
              <w:tl2br w:val="nil"/>
              <w:tr2bl w:val="nil"/>
            </w:tcBorders>
            <w:shd w:val="clear" w:color="auto" w:fill="auto"/>
            <w:noWrap/>
            <w:vAlign w:val="center"/>
          </w:tcPr>
          <w:p w14:paraId="6AD4030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3437.71</w:t>
            </w:r>
          </w:p>
        </w:tc>
        <w:tc>
          <w:tcPr>
            <w:tcW w:w="605" w:type="pct"/>
            <w:tcBorders>
              <w:tl2br w:val="nil"/>
              <w:tr2bl w:val="nil"/>
            </w:tcBorders>
            <w:shd w:val="clear" w:color="auto" w:fill="auto"/>
            <w:noWrap/>
            <w:vAlign w:val="center"/>
          </w:tcPr>
          <w:p w14:paraId="15AAA5E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5605.73 </w:t>
            </w:r>
          </w:p>
        </w:tc>
        <w:tc>
          <w:tcPr>
            <w:tcW w:w="659" w:type="pct"/>
            <w:tcBorders>
              <w:tl2br w:val="nil"/>
              <w:tr2bl w:val="nil"/>
            </w:tcBorders>
            <w:shd w:val="clear" w:color="auto" w:fill="auto"/>
            <w:noWrap/>
            <w:vAlign w:val="center"/>
          </w:tcPr>
          <w:p w14:paraId="629EB21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19405.19 </w:t>
            </w:r>
          </w:p>
        </w:tc>
        <w:tc>
          <w:tcPr>
            <w:tcW w:w="431" w:type="pct"/>
            <w:tcBorders>
              <w:tl2br w:val="nil"/>
              <w:tr2bl w:val="nil"/>
            </w:tcBorders>
            <w:shd w:val="clear" w:color="auto" w:fill="auto"/>
            <w:noWrap/>
            <w:vAlign w:val="center"/>
          </w:tcPr>
          <w:p w14:paraId="11C8D54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19.42%</w:t>
            </w:r>
          </w:p>
        </w:tc>
      </w:tr>
      <w:tr w14:paraId="3268DA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 w:hRule="atLeast"/>
        </w:trPr>
        <w:tc>
          <w:tcPr>
            <w:tcW w:w="935" w:type="pct"/>
            <w:tcBorders>
              <w:tl2br w:val="nil"/>
              <w:tr2bl w:val="nil"/>
            </w:tcBorders>
            <w:shd w:val="clear" w:color="auto" w:fill="auto"/>
            <w:noWrap/>
            <w:vAlign w:val="center"/>
          </w:tcPr>
          <w:p w14:paraId="19696787">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15~25°</w:t>
            </w:r>
          </w:p>
        </w:tc>
        <w:tc>
          <w:tcPr>
            <w:tcW w:w="605" w:type="pct"/>
            <w:tcBorders>
              <w:tl2br w:val="nil"/>
              <w:tr2bl w:val="nil"/>
            </w:tcBorders>
            <w:shd w:val="clear" w:color="auto" w:fill="auto"/>
            <w:noWrap/>
            <w:vAlign w:val="center"/>
          </w:tcPr>
          <w:p w14:paraId="3EF9935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547.37</w:t>
            </w:r>
          </w:p>
        </w:tc>
        <w:tc>
          <w:tcPr>
            <w:tcW w:w="551" w:type="pct"/>
            <w:tcBorders>
              <w:tl2br w:val="nil"/>
              <w:tr2bl w:val="nil"/>
            </w:tcBorders>
            <w:shd w:val="clear" w:color="auto" w:fill="auto"/>
            <w:noWrap/>
            <w:vAlign w:val="center"/>
          </w:tcPr>
          <w:p w14:paraId="7B712F8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498.12</w:t>
            </w:r>
          </w:p>
        </w:tc>
        <w:tc>
          <w:tcPr>
            <w:tcW w:w="605" w:type="pct"/>
            <w:tcBorders>
              <w:tl2br w:val="nil"/>
              <w:tr2bl w:val="nil"/>
            </w:tcBorders>
            <w:shd w:val="clear" w:color="auto" w:fill="auto"/>
            <w:noWrap/>
            <w:vAlign w:val="center"/>
          </w:tcPr>
          <w:p w14:paraId="1FDD154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134.62</w:t>
            </w:r>
          </w:p>
        </w:tc>
        <w:tc>
          <w:tcPr>
            <w:tcW w:w="605" w:type="pct"/>
            <w:tcBorders>
              <w:tl2br w:val="nil"/>
              <w:tr2bl w:val="nil"/>
            </w:tcBorders>
            <w:shd w:val="clear" w:color="auto" w:fill="auto"/>
            <w:noWrap/>
            <w:vAlign w:val="center"/>
          </w:tcPr>
          <w:p w14:paraId="137D784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725.93</w:t>
            </w:r>
          </w:p>
        </w:tc>
        <w:tc>
          <w:tcPr>
            <w:tcW w:w="605" w:type="pct"/>
            <w:tcBorders>
              <w:tl2br w:val="nil"/>
              <w:tr2bl w:val="nil"/>
            </w:tcBorders>
            <w:shd w:val="clear" w:color="auto" w:fill="auto"/>
            <w:noWrap/>
            <w:vAlign w:val="center"/>
          </w:tcPr>
          <w:p w14:paraId="3935E43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651.90 </w:t>
            </w:r>
          </w:p>
        </w:tc>
        <w:tc>
          <w:tcPr>
            <w:tcW w:w="659" w:type="pct"/>
            <w:tcBorders>
              <w:tl2br w:val="nil"/>
              <w:tr2bl w:val="nil"/>
            </w:tcBorders>
            <w:shd w:val="clear" w:color="auto" w:fill="auto"/>
            <w:noWrap/>
            <w:vAlign w:val="center"/>
          </w:tcPr>
          <w:p w14:paraId="4B52399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2557.94 </w:t>
            </w:r>
          </w:p>
        </w:tc>
        <w:tc>
          <w:tcPr>
            <w:tcW w:w="431" w:type="pct"/>
            <w:tcBorders>
              <w:tl2br w:val="nil"/>
              <w:tr2bl w:val="nil"/>
            </w:tcBorders>
            <w:shd w:val="clear" w:color="auto" w:fill="auto"/>
            <w:noWrap/>
            <w:vAlign w:val="center"/>
          </w:tcPr>
          <w:p w14:paraId="58A8E9F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2.68%</w:t>
            </w:r>
          </w:p>
        </w:tc>
      </w:tr>
      <w:tr w14:paraId="32FB69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 w:hRule="atLeast"/>
        </w:trPr>
        <w:tc>
          <w:tcPr>
            <w:tcW w:w="935" w:type="pct"/>
            <w:tcBorders>
              <w:tl2br w:val="nil"/>
              <w:tr2bl w:val="nil"/>
            </w:tcBorders>
            <w:shd w:val="clear" w:color="auto" w:fill="auto"/>
            <w:noWrap/>
            <w:vAlign w:val="center"/>
          </w:tcPr>
          <w:p w14:paraId="7A4137F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&gt;25°</w:t>
            </w:r>
          </w:p>
        </w:tc>
        <w:tc>
          <w:tcPr>
            <w:tcW w:w="605" w:type="pct"/>
            <w:tcBorders>
              <w:tl2br w:val="nil"/>
              <w:tr2bl w:val="nil"/>
            </w:tcBorders>
            <w:shd w:val="clear" w:color="auto" w:fill="auto"/>
            <w:noWrap/>
            <w:vAlign w:val="center"/>
          </w:tcPr>
          <w:p w14:paraId="538F779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350.14</w:t>
            </w:r>
          </w:p>
        </w:tc>
        <w:tc>
          <w:tcPr>
            <w:tcW w:w="551" w:type="pct"/>
            <w:tcBorders>
              <w:tl2br w:val="nil"/>
              <w:tr2bl w:val="nil"/>
            </w:tcBorders>
            <w:shd w:val="clear" w:color="auto" w:fill="auto"/>
            <w:noWrap/>
            <w:vAlign w:val="center"/>
          </w:tcPr>
          <w:p w14:paraId="3E0B94F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137.3</w:t>
            </w:r>
          </w:p>
        </w:tc>
        <w:tc>
          <w:tcPr>
            <w:tcW w:w="605" w:type="pct"/>
            <w:tcBorders>
              <w:tl2br w:val="nil"/>
              <w:tr2bl w:val="nil"/>
            </w:tcBorders>
            <w:shd w:val="clear" w:color="auto" w:fill="auto"/>
            <w:noWrap/>
            <w:vAlign w:val="center"/>
          </w:tcPr>
          <w:p w14:paraId="5999C92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174.66</w:t>
            </w:r>
          </w:p>
        </w:tc>
        <w:tc>
          <w:tcPr>
            <w:tcW w:w="605" w:type="pct"/>
            <w:tcBorders>
              <w:tl2br w:val="nil"/>
              <w:tr2bl w:val="nil"/>
            </w:tcBorders>
            <w:shd w:val="clear" w:color="auto" w:fill="auto"/>
            <w:noWrap/>
            <w:vAlign w:val="center"/>
          </w:tcPr>
          <w:p w14:paraId="449D762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365.68</w:t>
            </w:r>
          </w:p>
        </w:tc>
        <w:tc>
          <w:tcPr>
            <w:tcW w:w="605" w:type="pct"/>
            <w:tcBorders>
              <w:tl2br w:val="nil"/>
              <w:tr2bl w:val="nil"/>
            </w:tcBorders>
            <w:shd w:val="clear" w:color="auto" w:fill="auto"/>
            <w:noWrap/>
            <w:vAlign w:val="center"/>
          </w:tcPr>
          <w:p w14:paraId="74904E6E">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403.72 </w:t>
            </w:r>
          </w:p>
        </w:tc>
        <w:tc>
          <w:tcPr>
            <w:tcW w:w="659" w:type="pct"/>
            <w:tcBorders>
              <w:tl2br w:val="nil"/>
              <w:tr2bl w:val="nil"/>
            </w:tcBorders>
            <w:shd w:val="clear" w:color="auto" w:fill="auto"/>
            <w:noWrap/>
            <w:vAlign w:val="center"/>
          </w:tcPr>
          <w:p w14:paraId="744268F4">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1431.50 </w:t>
            </w:r>
          </w:p>
        </w:tc>
        <w:tc>
          <w:tcPr>
            <w:tcW w:w="431" w:type="pct"/>
            <w:tcBorders>
              <w:tl2br w:val="nil"/>
              <w:tr2bl w:val="nil"/>
            </w:tcBorders>
            <w:shd w:val="clear" w:color="auto" w:fill="auto"/>
            <w:noWrap/>
            <w:vAlign w:val="center"/>
          </w:tcPr>
          <w:p w14:paraId="4DA85613">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1.45%</w:t>
            </w:r>
          </w:p>
        </w:tc>
      </w:tr>
      <w:tr w14:paraId="502482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 w:hRule="atLeast"/>
        </w:trPr>
        <w:tc>
          <w:tcPr>
            <w:tcW w:w="935" w:type="pct"/>
            <w:tcBorders>
              <w:tl2br w:val="nil"/>
              <w:tr2bl w:val="nil"/>
            </w:tcBorders>
            <w:shd w:val="clear" w:color="auto" w:fill="auto"/>
            <w:noWrap/>
            <w:vAlign w:val="center"/>
          </w:tcPr>
          <w:p w14:paraId="2833915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合计</w:t>
            </w:r>
          </w:p>
        </w:tc>
        <w:tc>
          <w:tcPr>
            <w:tcW w:w="605" w:type="pct"/>
            <w:tcBorders>
              <w:tl2br w:val="nil"/>
              <w:tr2bl w:val="nil"/>
            </w:tcBorders>
            <w:shd w:val="clear" w:color="auto" w:fill="auto"/>
            <w:noWrap/>
            <w:vAlign w:val="center"/>
          </w:tcPr>
          <w:p w14:paraId="067F233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23019.39</w:t>
            </w:r>
          </w:p>
        </w:tc>
        <w:tc>
          <w:tcPr>
            <w:tcW w:w="551" w:type="pct"/>
            <w:tcBorders>
              <w:tl2br w:val="nil"/>
              <w:tr2bl w:val="nil"/>
            </w:tcBorders>
            <w:shd w:val="clear" w:color="auto" w:fill="auto"/>
            <w:noWrap/>
            <w:vAlign w:val="center"/>
          </w:tcPr>
          <w:p w14:paraId="3316389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17510.66</w:t>
            </w:r>
          </w:p>
        </w:tc>
        <w:tc>
          <w:tcPr>
            <w:tcW w:w="605" w:type="pct"/>
            <w:tcBorders>
              <w:tl2br w:val="nil"/>
              <w:tr2bl w:val="nil"/>
            </w:tcBorders>
            <w:shd w:val="clear" w:color="auto" w:fill="auto"/>
            <w:noWrap/>
            <w:vAlign w:val="center"/>
          </w:tcPr>
          <w:p w14:paraId="06DC1CDA">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7092.65</w:t>
            </w:r>
          </w:p>
        </w:tc>
        <w:tc>
          <w:tcPr>
            <w:tcW w:w="605" w:type="pct"/>
            <w:tcBorders>
              <w:tl2br w:val="nil"/>
              <w:tr2bl w:val="nil"/>
            </w:tcBorders>
            <w:shd w:val="clear" w:color="auto" w:fill="auto"/>
            <w:noWrap/>
            <w:vAlign w:val="center"/>
          </w:tcPr>
          <w:p w14:paraId="04F93B6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23439.93</w:t>
            </w:r>
          </w:p>
        </w:tc>
        <w:tc>
          <w:tcPr>
            <w:tcW w:w="605" w:type="pct"/>
            <w:tcBorders>
              <w:tl2br w:val="nil"/>
              <w:tr2bl w:val="nil"/>
            </w:tcBorders>
            <w:shd w:val="clear" w:color="auto" w:fill="auto"/>
            <w:noWrap/>
            <w:vAlign w:val="center"/>
          </w:tcPr>
          <w:p w14:paraId="2C83F849">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25520.76859</w:t>
            </w:r>
          </w:p>
        </w:tc>
        <w:tc>
          <w:tcPr>
            <w:tcW w:w="659" w:type="pct"/>
            <w:tcBorders>
              <w:tl2br w:val="nil"/>
              <w:tr2bl w:val="nil"/>
            </w:tcBorders>
            <w:shd w:val="clear" w:color="auto" w:fill="auto"/>
            <w:noWrap/>
            <w:vAlign w:val="center"/>
          </w:tcPr>
          <w:p w14:paraId="5FF39AB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 xml:space="preserve">96583.40 </w:t>
            </w:r>
          </w:p>
        </w:tc>
        <w:tc>
          <w:tcPr>
            <w:tcW w:w="431" w:type="pct"/>
            <w:tcBorders>
              <w:tl2br w:val="nil"/>
              <w:tr2bl w:val="nil"/>
            </w:tcBorders>
            <w:shd w:val="clear" w:color="auto" w:fill="auto"/>
            <w:noWrap/>
            <w:vAlign w:val="center"/>
          </w:tcPr>
          <w:p w14:paraId="1C41470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18"/>
                <w:szCs w:val="18"/>
                <w:highlight w:val="none"/>
                <w:u w:val="none"/>
              </w:rPr>
            </w:pPr>
            <w:r>
              <w:rPr>
                <w:rFonts w:hint="default" w:ascii="Times New Roman" w:hAnsi="Times New Roman" w:eastAsia="宋体" w:cs="Times New Roman"/>
                <w:i w:val="0"/>
                <w:iCs w:val="0"/>
                <w:smallCaps w:val="0"/>
                <w:snapToGrid w:val="0"/>
                <w:color w:val="auto"/>
                <w:spacing w:val="0"/>
                <w:w w:val="100"/>
                <w:kern w:val="0"/>
                <w:sz w:val="18"/>
                <w:szCs w:val="18"/>
                <w:highlight w:val="none"/>
                <w:u w:val="none"/>
                <w:lang w:val="en-US" w:eastAsia="zh-CN" w:bidi="ar"/>
              </w:rPr>
              <w:t>100.00%</w:t>
            </w:r>
          </w:p>
        </w:tc>
      </w:tr>
    </w:tbl>
    <w:p w14:paraId="757F503E">
      <w:pPr>
        <w:kinsoku/>
        <w:spacing w:before="112" w:line="220" w:lineRule="auto"/>
        <w:ind w:left="604"/>
        <w:rPr>
          <w:rFonts w:hint="default" w:ascii="Times New Roman" w:hAnsi="Times New Roman" w:eastAsia="宋体" w:cs="Times New Roman"/>
          <w:smallCaps w:val="0"/>
          <w:color w:val="auto"/>
          <w:spacing w:val="0"/>
          <w:w w:val="100"/>
          <w:sz w:val="24"/>
          <w:szCs w:val="24"/>
          <w:highlight w:val="none"/>
          <w:lang w:eastAsia="zh-CN"/>
        </w:rPr>
      </w:pPr>
      <w:r>
        <w:rPr>
          <w:rFonts w:hint="default" w:ascii="Times New Roman" w:hAnsi="Times New Roman" w:eastAsia="宋体" w:cs="Times New Roman"/>
          <w:b/>
          <w:bCs/>
          <w:smallCaps w:val="0"/>
          <w:color w:val="auto"/>
          <w:spacing w:val="0"/>
          <w:w w:val="100"/>
          <w:sz w:val="24"/>
          <w:szCs w:val="24"/>
          <w:highlight w:val="none"/>
          <w:lang w:eastAsia="zh-CN"/>
        </w:rPr>
        <w:t>注：</w:t>
      </w:r>
      <w:r>
        <w:rPr>
          <w:rFonts w:hint="default" w:ascii="Times New Roman" w:hAnsi="Times New Roman" w:eastAsia="宋体" w:cs="Times New Roman"/>
          <w:smallCaps w:val="0"/>
          <w:color w:val="auto"/>
          <w:spacing w:val="0"/>
          <w:w w:val="100"/>
          <w:sz w:val="24"/>
          <w:szCs w:val="24"/>
          <w:highlight w:val="none"/>
          <w:lang w:eastAsia="zh-CN"/>
        </w:rPr>
        <w:t>数据来源甘孜县土地利用现状数据库</w:t>
      </w:r>
    </w:p>
    <w:p w14:paraId="3A27D133">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77" w:name="_Toc23179"/>
      <w:r>
        <w:rPr>
          <w:rFonts w:hint="default" w:ascii="Times New Roman" w:hAnsi="Times New Roman" w:eastAsia="宋体" w:cs="Times New Roman"/>
          <w:smallCaps w:val="0"/>
          <w:color w:val="auto"/>
          <w:spacing w:val="0"/>
          <w:w w:val="100"/>
          <w:highlight w:val="none"/>
        </w:rPr>
        <w:t>2.3.3 农业生产水平</w:t>
      </w:r>
      <w:bookmarkEnd w:id="77"/>
    </w:p>
    <w:p w14:paraId="36D730FA">
      <w:pPr>
        <w:kinsoku/>
        <w:spacing w:line="560" w:lineRule="exact"/>
        <w:ind w:left="123" w:right="111" w:firstLine="629"/>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年，甘孜县全年完成农作物播种面积20.03万亩，其中：粮食作物播种面积16.8万亩，粮食产量3.55万吨。其中，青稞播种面积9.72万亩，产量2.09万吨；小麦播种面积1万亩，产量0.2万吨；豌豆播种面积3.93万亩，产量0.76万吨；马铃薯播种面积2.13万亩，产量0.49万吨。全县农机总动力达7.7万千瓦。完成17.99万亩机耕、8.42万亩机播、11.72万亩</w:t>
      </w:r>
      <w:r>
        <w:rPr>
          <w:rFonts w:hint="default" w:ascii="Times New Roman" w:hAnsi="Times New Roman" w:eastAsia="宋体" w:cs="Times New Roman"/>
          <w:smallCaps w:val="0"/>
          <w:color w:val="auto"/>
          <w:spacing w:val="0"/>
          <w:w w:val="100"/>
          <w:sz w:val="30"/>
          <w:szCs w:val="30"/>
          <w:highlight w:val="none"/>
          <w:lang w:val="en-US" w:eastAsia="zh-CN"/>
        </w:rPr>
        <w:t>机</w:t>
      </w:r>
      <w:r>
        <w:rPr>
          <w:rFonts w:hint="default" w:ascii="Times New Roman" w:hAnsi="Times New Roman" w:eastAsia="宋体" w:cs="Times New Roman"/>
          <w:smallCaps w:val="0"/>
          <w:color w:val="auto"/>
          <w:spacing w:val="0"/>
          <w:w w:val="100"/>
          <w:sz w:val="30"/>
          <w:szCs w:val="30"/>
          <w:highlight w:val="none"/>
          <w:lang w:eastAsia="zh-CN"/>
        </w:rPr>
        <w:t>收作业，农作物耕种收综合机械化水平达64.9%。</w:t>
      </w:r>
    </w:p>
    <w:p w14:paraId="2CB615C2">
      <w:pPr>
        <w:kinsoku/>
        <w:spacing w:line="560" w:lineRule="exact"/>
        <w:ind w:left="125" w:right="111" w:firstLine="629"/>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来</w:t>
      </w:r>
      <w:r>
        <w:rPr>
          <w:rFonts w:hint="default" w:ascii="Times New Roman" w:hAnsi="Times New Roman" w:eastAsia="宋体" w:cs="Times New Roman"/>
          <w:smallCaps w:val="0"/>
          <w:color w:val="auto"/>
          <w:spacing w:val="0"/>
          <w:w w:val="100"/>
          <w:sz w:val="30"/>
          <w:szCs w:val="30"/>
          <w:highlight w:val="none"/>
          <w:lang w:eastAsia="zh-CN"/>
        </w:rPr>
        <w:t>马镇202</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年全镇耕地面积17510.65亩，草地总面积225405.89亩，集体公益林面积51636亩。牲畜出栏900头（只、</w:t>
      </w:r>
      <w:bookmarkStart w:id="355" w:name="_GoBack"/>
      <w:bookmarkEnd w:id="355"/>
      <w:r>
        <w:rPr>
          <w:rFonts w:hint="default" w:ascii="Times New Roman" w:hAnsi="Times New Roman" w:eastAsia="宋体" w:cs="Times New Roman"/>
          <w:smallCaps w:val="0"/>
          <w:color w:val="auto"/>
          <w:spacing w:val="0"/>
          <w:w w:val="100"/>
          <w:sz w:val="30"/>
          <w:szCs w:val="30"/>
          <w:highlight w:val="none"/>
          <w:lang w:eastAsia="zh-CN"/>
        </w:rPr>
        <w:t>匹）。</w:t>
      </w:r>
    </w:p>
    <w:p w14:paraId="003E3B90">
      <w:pPr>
        <w:kinsoku/>
        <w:spacing w:line="560" w:lineRule="exact"/>
        <w:ind w:left="125" w:right="111" w:firstLine="629"/>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甘孜镇202</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年全镇耕地面积23019.38亩，播种面积23019.38亩，林地面积2584亩，草原面积5.65万亩，退耕还林面积448亩。主要农作物有青稞、豌豆、土豆、小麦等。全年发放2.7万斤青稞良种用于青稞良种扩繁基地建设。</w:t>
      </w:r>
    </w:p>
    <w:p w14:paraId="688218B4">
      <w:pPr>
        <w:kinsoku/>
        <w:spacing w:line="560" w:lineRule="exact"/>
        <w:ind w:left="125" w:right="111" w:firstLine="629"/>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拖坝乡202</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年全乡耕地面积23439.93亩、草场面积40696.3亩、林地面积9604.95亩。免费发放青稞种子3万斤、肥料1000袋；发放紫皮马铃薯种子0.9万斤、肥料0.6万斤。</w:t>
      </w:r>
    </w:p>
    <w:p w14:paraId="4F922EC5">
      <w:pPr>
        <w:kinsoku/>
        <w:spacing w:line="560" w:lineRule="exact"/>
        <w:ind w:left="125" w:right="115"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庭卡乡202</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年全乡耕地面积</w:t>
      </w:r>
      <w:r>
        <w:rPr>
          <w:rFonts w:hint="default" w:ascii="Times New Roman" w:hAnsi="Times New Roman" w:eastAsia="宋体" w:cs="Times New Roman"/>
          <w:smallCaps w:val="0"/>
          <w:color w:val="auto"/>
          <w:spacing w:val="0"/>
          <w:w w:val="100"/>
          <w:sz w:val="30"/>
          <w:szCs w:val="30"/>
          <w:highlight w:val="none"/>
          <w:lang w:val="en-US" w:eastAsia="zh-CN"/>
        </w:rPr>
        <w:t>25520.76</w:t>
      </w:r>
      <w:r>
        <w:rPr>
          <w:rFonts w:hint="default" w:ascii="Times New Roman" w:hAnsi="Times New Roman" w:eastAsia="宋体" w:cs="Times New Roman"/>
          <w:smallCaps w:val="0"/>
          <w:color w:val="auto"/>
          <w:spacing w:val="0"/>
          <w:w w:val="100"/>
          <w:sz w:val="30"/>
          <w:szCs w:val="30"/>
          <w:highlight w:val="none"/>
          <w:lang w:eastAsia="zh-CN"/>
        </w:rPr>
        <w:t>亩、退耕还林面积2411.5亩、草补面积230700亩。粮食总产量1483.81吨。在巴俄底村种植青豌豆1500亩，在斯兰达村、拉西村、庭卡村种植马铃薯共计500亩。发放青稞种子3.3万斤、化肥8.8万斤。投入150万元，继续壮大卡瓦龙曲蜂蜜养殖产业。完成斯兰达村、洛戈村等高标准农田建设2637.63亩。各类牲畜1568头（只、匹）。</w:t>
      </w:r>
    </w:p>
    <w:p w14:paraId="465B7B7C">
      <w:pPr>
        <w:kinsoku/>
        <w:spacing w:line="560" w:lineRule="exact"/>
        <w:ind w:left="125" w:right="115"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泥柯乡202</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年全镇耕地面积25520.76亩，草地总面积225405.89亩，集体公益林面积51636亩。牲畜出栏900头（只、匹）。</w:t>
      </w:r>
    </w:p>
    <w:p w14:paraId="361913D5">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78" w:name="_Toc30131"/>
      <w:r>
        <w:rPr>
          <w:rFonts w:hint="default" w:ascii="Times New Roman" w:hAnsi="Times New Roman" w:eastAsia="宋体" w:cs="Times New Roman"/>
          <w:smallCaps w:val="0"/>
          <w:color w:val="auto"/>
          <w:spacing w:val="0"/>
          <w:w w:val="100"/>
          <w:highlight w:val="none"/>
        </w:rPr>
        <w:t>2.3.4 地方财政与农民收入</w:t>
      </w:r>
      <w:bookmarkEnd w:id="78"/>
    </w:p>
    <w:p w14:paraId="7B1AAB2A">
      <w:pPr>
        <w:kinsoku/>
        <w:spacing w:line="560" w:lineRule="exact"/>
        <w:ind w:left="40" w:right="1" w:firstLine="594"/>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年全县实现地区生产总值（GDP）224694万元，较上年同比增长6.0%。其中：第一产业增加值51779万元，比上年增长4.1%；第二产业增加值34512万元，比上年增长7.8%；第三产业增加值138403万元，比上年增长6.3%。人均GDP达到30675元，比上年增长4.7%。三次产业占GDP的比重由2022年28.5:15.4:56.1调整为23:15.4:61.6。</w:t>
      </w:r>
    </w:p>
    <w:p w14:paraId="492573D3">
      <w:pPr>
        <w:kinsoku/>
        <w:spacing w:line="560" w:lineRule="exact"/>
        <w:ind w:left="39"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全年农村居民人均可支配收入15853.6元，比上年增加946.9元，比上年增长6.4%。其中，工资性收入2219.4元，增长6.3%；经营净收入10920.9元，增长5.6%；财产净收入70.5元，增长6.2%；转移净收入2642.9元，增长9.6%。 农村居民人均生活消费支出 11077.3元，增长3.9%。其中，食品烟酒支出4751.5元，增长2.9%；衣着支出1254.9元，增长3.5%；居住消费支出2091.6元，增长6.9%；生活用品及服务消费支出771.2元，增长2.9%；交通通信支出898.2元，增长6.2%；教育文化娱乐支出575.6元，增长2.4%；医疗保健消费支出394.1元，增长5.8%；其他用品和服务支出340.2元，增长-1%。农村居民恩格尔系数42.9%。</w:t>
      </w:r>
    </w:p>
    <w:p w14:paraId="3CD95260">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79" w:name="_Toc9410"/>
      <w:r>
        <w:rPr>
          <w:rFonts w:hint="default" w:ascii="Times New Roman" w:hAnsi="Times New Roman" w:eastAsia="宋体" w:cs="Times New Roman"/>
          <w:smallCaps w:val="0"/>
          <w:color w:val="auto"/>
          <w:spacing w:val="0"/>
          <w:w w:val="100"/>
          <w:highlight w:val="none"/>
        </w:rPr>
        <w:t>2.3.5 农业科技服务体系状况</w:t>
      </w:r>
      <w:bookmarkEnd w:id="79"/>
    </w:p>
    <w:p w14:paraId="1953167A">
      <w:pPr>
        <w:kinsoku/>
        <w:spacing w:line="560" w:lineRule="exact"/>
        <w:ind w:left="40" w:right="1" w:firstLine="594"/>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甘孜县的农业科技服务体系状况呈现出持续发展和创新的特点，‌通过构建线上服务平台、‌完善线下服务设施、‌开展科技帮扶活动等多方面的努力，‌有效提升了农业科技服务的质量和效率。‌</w:t>
      </w:r>
    </w:p>
    <w:p w14:paraId="239200EB">
      <w:pPr>
        <w:kinsoku/>
        <w:spacing w:line="560" w:lineRule="exact"/>
        <w:ind w:left="40" w:right="1" w:firstLine="594"/>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线上服务平台方面，‌甘孜县通过推进</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科技兴村在线</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平台的建设，‌建立了专家库和信息员库，‌提供了线上线下产业技术咨询服务，‌覆盖了广泛的行政村，‌为农牧民群众和新型农业经营主体提供了及时有效的技术支持。‌</w:t>
      </w:r>
    </w:p>
    <w:p w14:paraId="3339EC7F">
      <w:pPr>
        <w:kinsoku/>
        <w:spacing w:line="560" w:lineRule="exact"/>
        <w:ind w:left="40" w:right="1" w:firstLine="594"/>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线下服务设施方面，‌围绕乡村振兴战略，‌甘孜县在全州范围内推动中心镇开展科技服务驿站和科普场所建设，‌通过建立科技服务驿站和科普图书室等设施，‌进一步增强了科技服务的可达性和实用性。‌</w:t>
      </w:r>
    </w:p>
    <w:p w14:paraId="503295A8">
      <w:pPr>
        <w:kinsoku/>
        <w:spacing w:line="560" w:lineRule="exact"/>
        <w:ind w:left="40" w:right="1" w:firstLine="594"/>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科技帮扶活动方面，‌通过组建州科技特派员服务团，‌选派科技特派员深入基层，‌开展</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组团式</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科技帮扶活动，‌引进新品种和技术，‌开展现场技术指导和培训，‌有效提升了当地农牧民的科技应用能力和产业技术水平。‌</w:t>
      </w:r>
    </w:p>
    <w:p w14:paraId="3FA43FD9">
      <w:pPr>
        <w:kinsoku/>
        <w:spacing w:line="560" w:lineRule="exact"/>
        <w:ind w:left="40" w:right="1" w:firstLine="594"/>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此外，‌甘孜县还通过举办培训暨村级驿站授牌仪式等形式，‌进一步加强了科技服务的推广和应用，‌旨在通过科技服务助推乡村振兴，‌实现农业产业的可持续发展</w:t>
      </w:r>
    </w:p>
    <w:p w14:paraId="15B08AF8">
      <w:pPr>
        <w:kinsoku/>
        <w:spacing w:before="47" w:line="221" w:lineRule="auto"/>
        <w:ind w:left="36"/>
        <w:outlineLvl w:val="1"/>
        <w:rPr>
          <w:rFonts w:hint="default" w:ascii="Times New Roman" w:hAnsi="Times New Roman" w:eastAsia="宋体" w:cs="Times New Roman"/>
          <w:b/>
          <w:bCs/>
          <w:smallCaps w:val="0"/>
          <w:color w:val="auto"/>
          <w:spacing w:val="0"/>
          <w:w w:val="100"/>
          <w:sz w:val="30"/>
          <w:szCs w:val="30"/>
          <w:highlight w:val="none"/>
          <w:lang w:eastAsia="zh-CN"/>
        </w:rPr>
      </w:pPr>
      <w:bookmarkStart w:id="80" w:name="_Toc7471"/>
      <w:bookmarkStart w:id="81" w:name="_Toc1592"/>
      <w:bookmarkStart w:id="82" w:name="_Toc25841"/>
      <w:r>
        <w:rPr>
          <w:rFonts w:hint="default" w:ascii="Times New Roman" w:hAnsi="Times New Roman" w:eastAsia="宋体" w:cs="Times New Roman"/>
          <w:b/>
          <w:bCs/>
          <w:smallCaps w:val="0"/>
          <w:color w:val="auto"/>
          <w:spacing w:val="0"/>
          <w:w w:val="100"/>
          <w:sz w:val="30"/>
          <w:szCs w:val="30"/>
          <w:highlight w:val="none"/>
          <w:lang w:eastAsia="zh-CN"/>
        </w:rPr>
        <w:t>2.4 基础设施</w:t>
      </w:r>
      <w:bookmarkEnd w:id="80"/>
      <w:bookmarkEnd w:id="81"/>
      <w:bookmarkEnd w:id="82"/>
    </w:p>
    <w:p w14:paraId="0C34FA02">
      <w:pPr>
        <w:widowControl/>
        <w:kinsoku/>
        <w:autoSpaceDE w:val="0"/>
        <w:autoSpaceDN w:val="0"/>
        <w:adjustRightInd w:val="0"/>
        <w:snapToGrid w:val="0"/>
        <w:spacing w:line="560" w:lineRule="exact"/>
        <w:ind w:left="39" w:right="23" w:firstLine="629"/>
        <w:jc w:val="both"/>
        <w:textAlignment w:val="baseline"/>
        <w:rPr>
          <w:rFonts w:hint="eastAsia" w:ascii="Times New Roman" w:hAnsi="Times New Roman" w:eastAsia="宋体" w:cs="Times New Roman"/>
          <w:smallCaps w:val="0"/>
          <w:snapToGrid w:val="0"/>
          <w:color w:val="auto"/>
          <w:spacing w:val="0"/>
          <w:w w:val="100"/>
          <w:sz w:val="30"/>
          <w:szCs w:val="30"/>
          <w:highlight w:val="none"/>
          <w:lang w:val="en-US" w:eastAsia="zh-CN" w:bidi="ar-SA"/>
        </w:rPr>
      </w:pPr>
      <w:r>
        <w:rPr>
          <w:rFonts w:hint="eastAsia" w:ascii="Times New Roman" w:hAnsi="Times New Roman" w:eastAsia="宋体" w:cs="Times New Roman"/>
          <w:smallCaps w:val="0"/>
          <w:snapToGrid w:val="0"/>
          <w:color w:val="auto"/>
          <w:spacing w:val="0"/>
          <w:w w:val="100"/>
          <w:sz w:val="30"/>
          <w:szCs w:val="30"/>
          <w:highlight w:val="none"/>
          <w:lang w:val="en-US" w:eastAsia="zh-CN" w:bidi="ar-SA"/>
        </w:rPr>
        <w:t>1）部分地块碎片化。大部分耕地现状能实现农业机械化，但根据现场踏勘情况，甘孜镇霍古都村少部分地块存在</w:t>
      </w:r>
      <w:r>
        <w:rPr>
          <w:rFonts w:hint="default" w:ascii="Times New Roman" w:hAnsi="Times New Roman" w:eastAsia="宋体" w:cs="Times New Roman"/>
          <w:smallCaps w:val="0"/>
          <w:snapToGrid w:val="0"/>
          <w:color w:val="auto"/>
          <w:spacing w:val="0"/>
          <w:w w:val="100"/>
          <w:sz w:val="30"/>
          <w:szCs w:val="30"/>
          <w:highlight w:val="none"/>
          <w:lang w:val="en-US" w:eastAsia="zh-CN" w:bidi="ar-SA"/>
        </w:rPr>
        <w:t>地块碎片化严重，</w:t>
      </w:r>
      <w:r>
        <w:rPr>
          <w:rFonts w:hint="eastAsia" w:ascii="Times New Roman" w:hAnsi="Times New Roman" w:eastAsia="宋体" w:cs="Times New Roman"/>
          <w:smallCaps w:val="0"/>
          <w:snapToGrid w:val="0"/>
          <w:color w:val="auto"/>
          <w:spacing w:val="0"/>
          <w:w w:val="100"/>
          <w:sz w:val="30"/>
          <w:szCs w:val="30"/>
          <w:highlight w:val="none"/>
          <w:lang w:val="en-US" w:eastAsia="zh-CN" w:bidi="ar-SA"/>
        </w:rPr>
        <w:t>地</w:t>
      </w:r>
      <w:r>
        <w:rPr>
          <w:rFonts w:hint="default" w:ascii="Times New Roman" w:hAnsi="Times New Roman" w:eastAsia="宋体" w:cs="Times New Roman"/>
          <w:smallCaps w:val="0"/>
          <w:snapToGrid w:val="0"/>
          <w:color w:val="auto"/>
          <w:spacing w:val="0"/>
          <w:w w:val="100"/>
          <w:sz w:val="30"/>
          <w:szCs w:val="30"/>
          <w:highlight w:val="none"/>
          <w:lang w:val="en-US" w:eastAsia="zh-CN" w:bidi="ar-SA"/>
        </w:rPr>
        <w:t>块大小不一、高低不平，部分地块坡度超标，农机无法正常作业，耕地利用率偏低</w:t>
      </w:r>
      <w:r>
        <w:rPr>
          <w:rFonts w:hint="eastAsia" w:ascii="Times New Roman" w:hAnsi="Times New Roman" w:eastAsia="宋体" w:cs="Times New Roman"/>
          <w:smallCaps w:val="0"/>
          <w:snapToGrid w:val="0"/>
          <w:color w:val="auto"/>
          <w:spacing w:val="0"/>
          <w:w w:val="100"/>
          <w:sz w:val="30"/>
          <w:szCs w:val="30"/>
          <w:highlight w:val="none"/>
          <w:lang w:val="en-US" w:eastAsia="zh-CN" w:bidi="ar-SA"/>
        </w:rPr>
        <w:t>。</w:t>
      </w:r>
    </w:p>
    <w:p w14:paraId="6DA9484E">
      <w:pPr>
        <w:widowControl/>
        <w:kinsoku/>
        <w:autoSpaceDE w:val="0"/>
        <w:autoSpaceDN w:val="0"/>
        <w:adjustRightInd w:val="0"/>
        <w:snapToGrid w:val="0"/>
        <w:spacing w:line="560" w:lineRule="exact"/>
        <w:ind w:left="39" w:right="23" w:firstLine="629"/>
        <w:jc w:val="both"/>
        <w:textAlignment w:val="baseline"/>
        <w:rPr>
          <w:rFonts w:hint="eastAsia" w:ascii="Times New Roman" w:hAnsi="Times New Roman" w:eastAsia="宋体" w:cs="Times New Roman"/>
          <w:smallCaps w:val="0"/>
          <w:snapToGrid w:val="0"/>
          <w:color w:val="auto"/>
          <w:spacing w:val="0"/>
          <w:w w:val="100"/>
          <w:sz w:val="30"/>
          <w:szCs w:val="30"/>
          <w:highlight w:val="none"/>
          <w:lang w:val="en-US" w:eastAsia="zh-CN" w:bidi="ar-SA"/>
        </w:rPr>
      </w:pPr>
      <w:r>
        <w:rPr>
          <w:rFonts w:hint="eastAsia" w:ascii="Times New Roman" w:hAnsi="Times New Roman" w:eastAsia="宋体" w:cs="Times New Roman"/>
          <w:smallCaps w:val="0"/>
          <w:snapToGrid w:val="0"/>
          <w:color w:val="auto"/>
          <w:spacing w:val="0"/>
          <w:w w:val="100"/>
          <w:sz w:val="30"/>
          <w:szCs w:val="30"/>
          <w:highlight w:val="none"/>
          <w:lang w:val="en-US" w:eastAsia="zh-CN" w:bidi="ar-SA"/>
        </w:rPr>
        <w:t>2）部分地块表面碎石过多。根据现场踏勘情况，农田表面石块较多、分布较广，无法机耕作业，极大的影响了农户耕作的自信心。</w:t>
      </w:r>
    </w:p>
    <w:p w14:paraId="236985AB">
      <w:pPr>
        <w:widowControl/>
        <w:kinsoku/>
        <w:autoSpaceDE w:val="0"/>
        <w:autoSpaceDN w:val="0"/>
        <w:adjustRightInd w:val="0"/>
        <w:snapToGrid w:val="0"/>
        <w:spacing w:line="560" w:lineRule="exact"/>
        <w:ind w:left="39" w:right="23" w:firstLine="629"/>
        <w:jc w:val="both"/>
        <w:textAlignment w:val="baseline"/>
        <w:rPr>
          <w:rFonts w:hint="eastAsia" w:ascii="Times New Roman" w:hAnsi="Times New Roman" w:eastAsia="宋体" w:cs="Times New Roman"/>
          <w:smallCaps w:val="0"/>
          <w:snapToGrid w:val="0"/>
          <w:color w:val="auto"/>
          <w:spacing w:val="0"/>
          <w:w w:val="100"/>
          <w:sz w:val="30"/>
          <w:szCs w:val="30"/>
          <w:highlight w:val="none"/>
          <w:lang w:val="en-US" w:eastAsia="zh-CN" w:bidi="ar-SA"/>
        </w:rPr>
      </w:pPr>
      <w:r>
        <w:rPr>
          <w:rFonts w:hint="eastAsia" w:ascii="Times New Roman" w:hAnsi="Times New Roman" w:eastAsia="宋体" w:cs="Times New Roman"/>
          <w:smallCaps w:val="0"/>
          <w:snapToGrid w:val="0"/>
          <w:color w:val="auto"/>
          <w:spacing w:val="0"/>
          <w:w w:val="100"/>
          <w:sz w:val="30"/>
          <w:szCs w:val="30"/>
          <w:highlight w:val="none"/>
          <w:lang w:val="en-US" w:eastAsia="zh-CN" w:bidi="ar-SA"/>
        </w:rPr>
        <w:t>3）项目区耕地质量较差。因</w:t>
      </w:r>
      <w:r>
        <w:rPr>
          <w:rFonts w:hint="default" w:ascii="Times New Roman" w:hAnsi="Times New Roman" w:eastAsia="宋体" w:cs="Times New Roman"/>
          <w:smallCaps w:val="0"/>
          <w:snapToGrid w:val="0"/>
          <w:color w:val="auto"/>
          <w:spacing w:val="0"/>
          <w:w w:val="100"/>
          <w:sz w:val="30"/>
          <w:szCs w:val="30"/>
          <w:highlight w:val="none"/>
          <w:lang w:val="en-US" w:eastAsia="zh-CN" w:bidi="ar-SA"/>
        </w:rPr>
        <w:t>长期种植导致土壤肥力下降，土壤板结、养分失衡，</w:t>
      </w:r>
      <w:r>
        <w:rPr>
          <w:rFonts w:hint="eastAsia" w:ascii="Times New Roman" w:hAnsi="Times New Roman" w:eastAsia="宋体" w:cs="Times New Roman"/>
          <w:smallCaps w:val="0"/>
          <w:snapToGrid w:val="0"/>
          <w:color w:val="auto"/>
          <w:spacing w:val="0"/>
          <w:w w:val="100"/>
          <w:sz w:val="30"/>
          <w:szCs w:val="30"/>
          <w:highlight w:val="none"/>
          <w:lang w:val="en-US" w:eastAsia="zh-CN" w:bidi="ar-SA"/>
        </w:rPr>
        <w:t>制约</w:t>
      </w:r>
      <w:r>
        <w:rPr>
          <w:rFonts w:hint="default" w:ascii="Times New Roman" w:hAnsi="Times New Roman" w:eastAsia="宋体" w:cs="Times New Roman"/>
          <w:smallCaps w:val="0"/>
          <w:snapToGrid w:val="0"/>
          <w:color w:val="auto"/>
          <w:spacing w:val="0"/>
          <w:w w:val="100"/>
          <w:sz w:val="30"/>
          <w:szCs w:val="30"/>
          <w:highlight w:val="none"/>
          <w:lang w:val="en-US" w:eastAsia="zh-CN" w:bidi="ar-SA"/>
        </w:rPr>
        <w:t>农作物产量和品质</w:t>
      </w:r>
      <w:r>
        <w:rPr>
          <w:rFonts w:hint="eastAsia" w:ascii="Times New Roman" w:hAnsi="Times New Roman" w:eastAsia="宋体" w:cs="Times New Roman"/>
          <w:smallCaps w:val="0"/>
          <w:snapToGrid w:val="0"/>
          <w:color w:val="auto"/>
          <w:spacing w:val="0"/>
          <w:w w:val="100"/>
          <w:sz w:val="30"/>
          <w:szCs w:val="30"/>
          <w:highlight w:val="none"/>
          <w:lang w:val="en-US" w:eastAsia="zh-CN" w:bidi="ar-SA"/>
        </w:rPr>
        <w:t>。</w:t>
      </w:r>
    </w:p>
    <w:p w14:paraId="6BC6C2CD">
      <w:pPr>
        <w:widowControl/>
        <w:kinsoku/>
        <w:autoSpaceDE w:val="0"/>
        <w:autoSpaceDN w:val="0"/>
        <w:adjustRightInd w:val="0"/>
        <w:snapToGrid w:val="0"/>
        <w:spacing w:line="560" w:lineRule="exact"/>
        <w:ind w:left="39" w:right="23" w:firstLine="629"/>
        <w:jc w:val="both"/>
        <w:textAlignment w:val="baseline"/>
        <w:rPr>
          <w:rFonts w:hint="default" w:ascii="Times New Roman" w:hAnsi="Times New Roman" w:eastAsia="宋体" w:cs="Times New Roman"/>
          <w:smallCaps w:val="0"/>
          <w:snapToGrid w:val="0"/>
          <w:color w:val="auto"/>
          <w:spacing w:val="0"/>
          <w:w w:val="100"/>
          <w:sz w:val="30"/>
          <w:szCs w:val="30"/>
          <w:highlight w:val="none"/>
          <w:lang w:val="en-US" w:eastAsia="zh-CN" w:bidi="ar-SA"/>
        </w:rPr>
      </w:pPr>
      <w:r>
        <w:rPr>
          <w:rFonts w:hint="eastAsia" w:ascii="Times New Roman" w:hAnsi="Times New Roman" w:eastAsia="宋体" w:cs="Times New Roman"/>
          <w:smallCaps w:val="0"/>
          <w:snapToGrid w:val="0"/>
          <w:color w:val="auto"/>
          <w:spacing w:val="0"/>
          <w:w w:val="100"/>
          <w:sz w:val="30"/>
          <w:szCs w:val="30"/>
          <w:highlight w:val="none"/>
          <w:lang w:val="en-US" w:eastAsia="zh-CN" w:bidi="ar-SA"/>
        </w:rPr>
        <w:t>4）部分水渠年久失修。项目区虽已有部分其他工程建设的水渠，但根据现场踏勘情况，甘孜镇也伦达村</w:t>
      </w:r>
      <w:r>
        <w:rPr>
          <w:rFonts w:hint="default" w:ascii="Times New Roman" w:hAnsi="Times New Roman" w:eastAsia="宋体" w:cs="Times New Roman"/>
          <w:smallCaps w:val="0"/>
          <w:snapToGrid w:val="0"/>
          <w:color w:val="auto"/>
          <w:spacing w:val="0"/>
          <w:w w:val="100"/>
          <w:sz w:val="30"/>
          <w:szCs w:val="30"/>
          <w:highlight w:val="none"/>
          <w:lang w:val="en-US" w:eastAsia="zh-CN" w:bidi="ar-SA"/>
        </w:rPr>
        <w:t>排水渠老化、破损严重，</w:t>
      </w:r>
      <w:r>
        <w:rPr>
          <w:rFonts w:hint="eastAsia" w:ascii="Times New Roman" w:hAnsi="Times New Roman" w:eastAsia="宋体" w:cs="Times New Roman"/>
          <w:smallCaps w:val="0"/>
          <w:snapToGrid w:val="0"/>
          <w:color w:val="auto"/>
          <w:spacing w:val="0"/>
          <w:w w:val="100"/>
          <w:sz w:val="30"/>
          <w:szCs w:val="30"/>
          <w:highlight w:val="none"/>
          <w:lang w:val="en-US" w:eastAsia="zh-CN" w:bidi="ar-SA"/>
        </w:rPr>
        <w:t>甘孜镇日安村、拖坝乡卡呷村</w:t>
      </w:r>
      <w:r>
        <w:rPr>
          <w:rFonts w:hint="default" w:ascii="Times New Roman" w:hAnsi="Times New Roman" w:eastAsia="宋体" w:cs="Times New Roman"/>
          <w:smallCaps w:val="0"/>
          <w:snapToGrid w:val="0"/>
          <w:color w:val="auto"/>
          <w:spacing w:val="0"/>
          <w:w w:val="100"/>
          <w:sz w:val="30"/>
          <w:szCs w:val="30"/>
          <w:highlight w:val="none"/>
          <w:lang w:val="en-US" w:eastAsia="zh-CN" w:bidi="ar-SA"/>
        </w:rPr>
        <w:t>部分渠段堵塞、坍塌，雨季农田积水无法及时排出</w:t>
      </w:r>
      <w:r>
        <w:rPr>
          <w:rFonts w:hint="eastAsia" w:ascii="Times New Roman" w:hAnsi="Times New Roman" w:eastAsia="宋体" w:cs="Times New Roman"/>
          <w:smallCaps w:val="0"/>
          <w:snapToGrid w:val="0"/>
          <w:color w:val="auto"/>
          <w:spacing w:val="0"/>
          <w:w w:val="100"/>
          <w:sz w:val="30"/>
          <w:szCs w:val="30"/>
          <w:highlight w:val="none"/>
          <w:lang w:val="en-US" w:eastAsia="zh-CN" w:bidi="ar-SA"/>
        </w:rPr>
        <w:t>。</w:t>
      </w:r>
    </w:p>
    <w:p w14:paraId="4E580E28">
      <w:pPr>
        <w:widowControl/>
        <w:kinsoku/>
        <w:autoSpaceDE w:val="0"/>
        <w:autoSpaceDN w:val="0"/>
        <w:adjustRightInd w:val="0"/>
        <w:snapToGrid w:val="0"/>
        <w:spacing w:line="560" w:lineRule="exact"/>
        <w:ind w:left="39" w:right="23" w:firstLine="629"/>
        <w:jc w:val="both"/>
        <w:textAlignment w:val="baseline"/>
        <w:rPr>
          <w:rFonts w:hint="eastAsia" w:ascii="Times New Roman" w:hAnsi="Times New Roman" w:eastAsia="宋体" w:cs="Times New Roman"/>
          <w:smallCaps w:val="0"/>
          <w:snapToGrid w:val="0"/>
          <w:color w:val="auto"/>
          <w:spacing w:val="0"/>
          <w:w w:val="100"/>
          <w:sz w:val="30"/>
          <w:szCs w:val="30"/>
          <w:highlight w:val="none"/>
          <w:lang w:val="en-US" w:eastAsia="zh-CN" w:bidi="ar-SA"/>
        </w:rPr>
      </w:pPr>
      <w:r>
        <w:rPr>
          <w:rFonts w:hint="eastAsia" w:ascii="Times New Roman" w:hAnsi="Times New Roman" w:eastAsia="宋体" w:cs="Times New Roman"/>
          <w:smallCaps w:val="0"/>
          <w:snapToGrid w:val="0"/>
          <w:color w:val="auto"/>
          <w:spacing w:val="0"/>
          <w:w w:val="100"/>
          <w:sz w:val="30"/>
          <w:szCs w:val="30"/>
          <w:highlight w:val="none"/>
          <w:lang w:val="en-US" w:eastAsia="zh-CN" w:bidi="ar-SA"/>
        </w:rPr>
        <w:t>5）部分机耕道路缺乏。</w:t>
      </w:r>
      <w:r>
        <w:rPr>
          <w:rFonts w:hint="default" w:ascii="Times New Roman" w:hAnsi="Times New Roman" w:eastAsia="宋体" w:cs="Times New Roman"/>
          <w:smallCaps w:val="0"/>
          <w:snapToGrid w:val="0"/>
          <w:color w:val="auto"/>
          <w:spacing w:val="0"/>
          <w:w w:val="100"/>
          <w:sz w:val="30"/>
          <w:szCs w:val="30"/>
          <w:highlight w:val="none"/>
          <w:lang w:val="en-US" w:eastAsia="zh-CN" w:bidi="ar-SA"/>
        </w:rPr>
        <w:t>除了主要交通干支路线外，项目区田间生产道路较为缺乏，</w:t>
      </w:r>
      <w:r>
        <w:rPr>
          <w:rFonts w:hint="eastAsia" w:ascii="Times New Roman" w:hAnsi="Times New Roman" w:eastAsia="宋体" w:cs="Times New Roman"/>
          <w:smallCaps w:val="0"/>
          <w:snapToGrid w:val="0"/>
          <w:color w:val="auto"/>
          <w:spacing w:val="0"/>
          <w:w w:val="100"/>
          <w:sz w:val="30"/>
          <w:szCs w:val="30"/>
          <w:highlight w:val="none"/>
          <w:lang w:val="en-US" w:eastAsia="zh-CN" w:bidi="ar-SA"/>
        </w:rPr>
        <w:t>根据现场踏勘情况，甘孜镇也伦达村、日安村、拖坝乡拖坝村部分机耕路</w:t>
      </w:r>
      <w:r>
        <w:rPr>
          <w:rFonts w:hint="default" w:ascii="Times New Roman" w:hAnsi="Times New Roman" w:eastAsia="宋体" w:cs="Times New Roman"/>
          <w:smallCaps w:val="0"/>
          <w:snapToGrid w:val="0"/>
          <w:color w:val="auto"/>
          <w:spacing w:val="0"/>
          <w:w w:val="100"/>
          <w:sz w:val="30"/>
          <w:szCs w:val="30"/>
          <w:highlight w:val="none"/>
          <w:lang w:val="en-US" w:eastAsia="zh-CN" w:bidi="ar-SA"/>
        </w:rPr>
        <w:t>路面为土路</w:t>
      </w:r>
      <w:r>
        <w:rPr>
          <w:rFonts w:hint="eastAsia" w:ascii="Times New Roman" w:hAnsi="Times New Roman" w:eastAsia="宋体" w:cs="Times New Roman"/>
          <w:smallCaps w:val="0"/>
          <w:snapToGrid w:val="0"/>
          <w:color w:val="auto"/>
          <w:spacing w:val="0"/>
          <w:w w:val="100"/>
          <w:sz w:val="30"/>
          <w:szCs w:val="30"/>
          <w:highlight w:val="none"/>
          <w:lang w:val="en-US" w:eastAsia="zh-CN" w:bidi="ar-SA"/>
        </w:rPr>
        <w:t>，</w:t>
      </w:r>
      <w:r>
        <w:rPr>
          <w:rFonts w:hint="default" w:ascii="Times New Roman" w:hAnsi="Times New Roman" w:eastAsia="宋体" w:cs="Times New Roman"/>
          <w:smallCaps w:val="0"/>
          <w:snapToGrid w:val="0"/>
          <w:color w:val="auto"/>
          <w:spacing w:val="0"/>
          <w:w w:val="100"/>
          <w:sz w:val="30"/>
          <w:szCs w:val="30"/>
          <w:highlight w:val="none"/>
          <w:lang w:val="en-US" w:eastAsia="zh-CN" w:bidi="ar-SA"/>
        </w:rPr>
        <w:t>下雨天整个路面泥泞不堪，交通十分困难</w:t>
      </w:r>
      <w:r>
        <w:rPr>
          <w:rFonts w:hint="eastAsia" w:ascii="Times New Roman" w:hAnsi="Times New Roman" w:eastAsia="宋体" w:cs="Times New Roman"/>
          <w:smallCaps w:val="0"/>
          <w:snapToGrid w:val="0"/>
          <w:color w:val="auto"/>
          <w:spacing w:val="0"/>
          <w:w w:val="100"/>
          <w:sz w:val="30"/>
          <w:szCs w:val="30"/>
          <w:highlight w:val="none"/>
          <w:lang w:val="en-US" w:eastAsia="zh-CN" w:bidi="ar-SA"/>
        </w:rPr>
        <w:t>；</w:t>
      </w:r>
      <w:r>
        <w:rPr>
          <w:rFonts w:hint="default" w:ascii="Times New Roman" w:hAnsi="Times New Roman" w:eastAsia="宋体" w:cs="Times New Roman"/>
          <w:smallCaps w:val="0"/>
          <w:snapToGrid w:val="0"/>
          <w:color w:val="auto"/>
          <w:spacing w:val="0"/>
          <w:w w:val="100"/>
          <w:sz w:val="30"/>
          <w:szCs w:val="30"/>
          <w:highlight w:val="none"/>
          <w:lang w:val="en-US" w:eastAsia="zh-CN" w:bidi="ar-SA"/>
        </w:rPr>
        <w:t>甘孜镇霍古都村</w:t>
      </w:r>
      <w:r>
        <w:rPr>
          <w:rFonts w:hint="eastAsia" w:ascii="Times New Roman" w:hAnsi="Times New Roman" w:eastAsia="宋体" w:cs="Times New Roman"/>
          <w:smallCaps w:val="0"/>
          <w:snapToGrid w:val="0"/>
          <w:color w:val="auto"/>
          <w:spacing w:val="0"/>
          <w:w w:val="100"/>
          <w:sz w:val="30"/>
          <w:szCs w:val="30"/>
          <w:highlight w:val="none"/>
          <w:lang w:val="en-US" w:eastAsia="zh-CN" w:bidi="ar-SA"/>
        </w:rPr>
        <w:t>部分耕地无机耕路，农机无法作业。</w:t>
      </w:r>
    </w:p>
    <w:p w14:paraId="10042DE2">
      <w:pPr>
        <w:widowControl/>
        <w:kinsoku/>
        <w:autoSpaceDE w:val="0"/>
        <w:autoSpaceDN w:val="0"/>
        <w:adjustRightInd w:val="0"/>
        <w:snapToGrid w:val="0"/>
        <w:spacing w:line="560" w:lineRule="exact"/>
        <w:ind w:left="39" w:right="23" w:firstLine="629"/>
        <w:jc w:val="both"/>
        <w:textAlignment w:val="baseline"/>
        <w:rPr>
          <w:rFonts w:hint="default" w:ascii="Times New Roman" w:hAnsi="Times New Roman" w:eastAsia="宋体" w:cs="Times New Roman"/>
          <w:b/>
          <w:bCs/>
          <w:smallCaps w:val="0"/>
          <w:color w:val="auto"/>
          <w:spacing w:val="0"/>
          <w:w w:val="100"/>
          <w:sz w:val="30"/>
          <w:szCs w:val="30"/>
          <w:highlight w:val="none"/>
          <w:lang w:eastAsia="zh-CN"/>
        </w:rPr>
      </w:pPr>
      <w:r>
        <w:rPr>
          <w:rFonts w:hint="eastAsia" w:ascii="Times New Roman" w:hAnsi="Times New Roman" w:eastAsia="宋体" w:cs="Times New Roman"/>
          <w:smallCaps w:val="0"/>
          <w:snapToGrid w:val="0"/>
          <w:color w:val="auto"/>
          <w:spacing w:val="0"/>
          <w:w w:val="100"/>
          <w:sz w:val="30"/>
          <w:szCs w:val="30"/>
          <w:highlight w:val="none"/>
          <w:lang w:val="en-US" w:eastAsia="zh-CN" w:bidi="ar-SA"/>
        </w:rPr>
        <w:t>6）部分农田被牲畜破坏。根据现场踏勘情况，甘孜镇也伦达村、来马镇夺日村、里拉村、拖坝乡卡呷村、拖坝村、庭卡乡拉西村、苦绒村、泥柯乡和谐村、仁达村、彭达村耕地围栏缺失或不规范，</w:t>
      </w:r>
      <w:r>
        <w:rPr>
          <w:rFonts w:hint="default" w:ascii="Times New Roman" w:hAnsi="Times New Roman" w:eastAsia="宋体" w:cs="Times New Roman"/>
          <w:smallCaps w:val="0"/>
          <w:snapToGrid w:val="0"/>
          <w:color w:val="auto"/>
          <w:spacing w:val="0"/>
          <w:w w:val="100"/>
          <w:sz w:val="30"/>
          <w:szCs w:val="30"/>
          <w:highlight w:val="none"/>
          <w:lang w:val="en-US" w:eastAsia="zh-CN" w:bidi="ar-SA"/>
        </w:rPr>
        <w:t>农田围栏老化、破损严重，无法有效阻挡牲畜进入，农作物频繁受损，农民种植积极性受挫，且耕地边界模糊，易引发纠纷</w:t>
      </w:r>
      <w:r>
        <w:rPr>
          <w:rFonts w:hint="eastAsia" w:ascii="Times New Roman" w:hAnsi="Times New Roman" w:eastAsia="宋体" w:cs="Times New Roman"/>
          <w:smallCaps w:val="0"/>
          <w:snapToGrid w:val="0"/>
          <w:color w:val="auto"/>
          <w:spacing w:val="0"/>
          <w:w w:val="100"/>
          <w:sz w:val="30"/>
          <w:szCs w:val="30"/>
          <w:highlight w:val="none"/>
          <w:lang w:val="en-US" w:eastAsia="zh-CN" w:bidi="ar-SA"/>
        </w:rPr>
        <w:t>。</w:t>
      </w:r>
    </w:p>
    <w:p w14:paraId="30D012AD">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83" w:name="_Toc3970"/>
      <w:r>
        <w:rPr>
          <w:rFonts w:hint="default" w:ascii="Times New Roman" w:hAnsi="Times New Roman" w:eastAsia="宋体" w:cs="Times New Roman"/>
          <w:smallCaps w:val="0"/>
          <w:color w:val="auto"/>
          <w:spacing w:val="0"/>
          <w:w w:val="100"/>
          <w:highlight w:val="none"/>
        </w:rPr>
        <w:t>2.4.1 水源工程现状</w:t>
      </w:r>
      <w:bookmarkEnd w:id="83"/>
    </w:p>
    <w:p w14:paraId="125132F0">
      <w:pPr>
        <w:kinsoku/>
        <w:spacing w:line="560" w:lineRule="exact"/>
        <w:ind w:left="40" w:right="1" w:firstLine="600" w:firstLineChars="2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根据现场调查，项目区位于甘孜县来马镇、甘孜镇、拖坝乡、庭卡乡、泥柯乡</w:t>
      </w:r>
      <w:r>
        <w:rPr>
          <w:rFonts w:hint="default" w:ascii="Times New Roman" w:hAnsi="Times New Roman" w:eastAsia="宋体" w:cs="Times New Roman"/>
          <w:smallCaps w:val="0"/>
          <w:color w:val="auto"/>
          <w:spacing w:val="0"/>
          <w:w w:val="100"/>
          <w:sz w:val="30"/>
          <w:szCs w:val="30"/>
          <w:highlight w:val="none"/>
          <w:lang w:eastAsia="zh-CN"/>
        </w:rPr>
        <w:t>。主要</w:t>
      </w:r>
      <w:r>
        <w:rPr>
          <w:rFonts w:hint="default" w:ascii="Times New Roman" w:hAnsi="Times New Roman" w:eastAsia="宋体" w:cs="Times New Roman"/>
          <w:smallCaps w:val="0"/>
          <w:color w:val="auto"/>
          <w:spacing w:val="0"/>
          <w:w w:val="100"/>
          <w:sz w:val="30"/>
          <w:szCs w:val="30"/>
          <w:highlight w:val="none"/>
          <w:lang w:val="en-US" w:eastAsia="zh-CN"/>
        </w:rPr>
        <w:t>有打火沟水利工程灌区，为当地农田灌溉起到了举足轻重的作用</w:t>
      </w:r>
      <w:r>
        <w:rPr>
          <w:rFonts w:hint="default" w:ascii="Times New Roman" w:hAnsi="Times New Roman" w:eastAsia="宋体" w:cs="Times New Roman"/>
          <w:smallCaps w:val="0"/>
          <w:color w:val="auto"/>
          <w:spacing w:val="0"/>
          <w:w w:val="100"/>
          <w:sz w:val="30"/>
          <w:szCs w:val="30"/>
          <w:highlight w:val="none"/>
          <w:lang w:eastAsia="zh-CN"/>
        </w:rPr>
        <w:t>。</w:t>
      </w:r>
    </w:p>
    <w:tbl>
      <w:tblPr>
        <w:tblStyle w:val="19"/>
        <w:tblpPr w:leftFromText="180" w:rightFromText="180" w:vertAnchor="text" w:tblpX="79" w:tblpY="15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1"/>
        <w:gridCol w:w="4461"/>
      </w:tblGrid>
      <w:tr w14:paraId="63A5C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4460" w:type="dxa"/>
            <w:vAlign w:val="top"/>
          </w:tcPr>
          <w:p w14:paraId="17E5EA89">
            <w:pPr>
              <w:pStyle w:val="15"/>
              <w:widowControl w:val="0"/>
              <w:rPr>
                <w:rFonts w:hint="default" w:ascii="Times New Roman" w:hAnsi="Times New Roman" w:eastAsia="宋体" w:cs="Times New Roman"/>
                <w:smallCaps w:val="0"/>
                <w:snapToGrid w:val="0"/>
                <w:color w:val="auto"/>
                <w:spacing w:val="0"/>
                <w:w w:val="100"/>
                <w:sz w:val="21"/>
                <w:szCs w:val="21"/>
                <w:highlight w:val="none"/>
                <w:vertAlign w:val="baseline"/>
                <w:lang w:val="en-US" w:eastAsia="zh-CN" w:bidi="ar-SA"/>
              </w:rPr>
            </w:pPr>
          </w:p>
          <w:p w14:paraId="42C7DB4D">
            <w:pPr>
              <w:pStyle w:val="15"/>
              <w:widowControl w:val="0"/>
              <w:rPr>
                <w:rFonts w:hint="default" w:ascii="Times New Roman" w:hAnsi="Times New Roman" w:eastAsia="宋体" w:cs="Times New Roman"/>
                <w:smallCaps w:val="0"/>
                <w:snapToGrid w:val="0"/>
                <w:color w:val="auto"/>
                <w:spacing w:val="0"/>
                <w:w w:val="100"/>
                <w:sz w:val="21"/>
                <w:szCs w:val="21"/>
                <w:highlight w:val="none"/>
                <w:vertAlign w:val="baseline"/>
                <w:lang w:val="en-US" w:eastAsia="zh-CN" w:bidi="ar-SA"/>
              </w:rPr>
            </w:pPr>
            <w:r>
              <w:rPr>
                <w:rFonts w:hint="default" w:ascii="Times New Roman" w:hAnsi="Times New Roman" w:eastAsia="宋体" w:cs="Times New Roman"/>
                <w:smallCaps w:val="0"/>
                <w:snapToGrid w:val="0"/>
                <w:color w:val="auto"/>
                <w:spacing w:val="0"/>
                <w:w w:val="100"/>
                <w:sz w:val="21"/>
                <w:szCs w:val="21"/>
                <w:highlight w:val="none"/>
                <w:vertAlign w:val="baseline"/>
                <w:lang w:val="en-US" w:eastAsia="zh-CN" w:bidi="ar-SA"/>
              </w:rPr>
              <w:drawing>
                <wp:inline distT="0" distB="0" distL="114300" distR="114300">
                  <wp:extent cx="2680970" cy="2010410"/>
                  <wp:effectExtent l="0" t="0" r="5080" b="8890"/>
                  <wp:docPr id="10" name="图片 10" descr="fc9e3bc9d20e0bd9ce693be7357fa5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c9e3bc9d20e0bd9ce693be7357fa5b5"/>
                          <pic:cNvPicPr>
                            <a:picLocks noChangeAspect="1"/>
                          </pic:cNvPicPr>
                        </pic:nvPicPr>
                        <pic:blipFill>
                          <a:blip r:embed="rId38"/>
                          <a:stretch>
                            <a:fillRect/>
                          </a:stretch>
                        </pic:blipFill>
                        <pic:spPr>
                          <a:xfrm>
                            <a:off x="0" y="0"/>
                            <a:ext cx="2680970" cy="2010410"/>
                          </a:xfrm>
                          <a:prstGeom prst="rect">
                            <a:avLst/>
                          </a:prstGeom>
                        </pic:spPr>
                      </pic:pic>
                    </a:graphicData>
                  </a:graphic>
                </wp:inline>
              </w:drawing>
            </w:r>
          </w:p>
          <w:p w14:paraId="7D674D7D">
            <w:pPr>
              <w:pStyle w:val="15"/>
              <w:widowControl w:val="0"/>
              <w:rPr>
                <w:rFonts w:hint="default" w:ascii="Times New Roman" w:hAnsi="Times New Roman" w:eastAsia="宋体" w:cs="Times New Roman"/>
                <w:smallCaps w:val="0"/>
                <w:color w:val="auto"/>
                <w:spacing w:val="0"/>
                <w:w w:val="100"/>
                <w:highlight w:val="none"/>
                <w:vertAlign w:val="baseline"/>
                <w:lang w:val="en-US" w:eastAsia="zh-CN"/>
              </w:rPr>
            </w:pPr>
            <w:r>
              <w:rPr>
                <w:rFonts w:hint="default" w:ascii="Times New Roman" w:hAnsi="Times New Roman" w:eastAsia="宋体" w:cs="Times New Roman"/>
                <w:smallCaps w:val="0"/>
                <w:snapToGrid w:val="0"/>
                <w:color w:val="auto"/>
                <w:spacing w:val="0"/>
                <w:w w:val="100"/>
                <w:sz w:val="21"/>
                <w:szCs w:val="21"/>
                <w:highlight w:val="none"/>
                <w:vertAlign w:val="baseline"/>
                <w:lang w:val="en-US" w:eastAsia="zh-CN" w:bidi="ar-SA"/>
              </w:rPr>
              <w:t>部分现状水渠</w:t>
            </w:r>
          </w:p>
        </w:tc>
        <w:tc>
          <w:tcPr>
            <w:tcW w:w="4460" w:type="dxa"/>
            <w:vAlign w:val="top"/>
          </w:tcPr>
          <w:p w14:paraId="45DFBBCD">
            <w:pPr>
              <w:pStyle w:val="15"/>
              <w:widowControl w:val="0"/>
              <w:jc w:val="center"/>
              <w:rPr>
                <w:rFonts w:hint="default" w:ascii="Times New Roman" w:hAnsi="Times New Roman" w:eastAsia="宋体" w:cs="Times New Roman"/>
                <w:smallCaps w:val="0"/>
                <w:color w:val="auto"/>
                <w:spacing w:val="0"/>
                <w:w w:val="100"/>
                <w:highlight w:val="none"/>
                <w:vertAlign w:val="baseline"/>
                <w:lang w:val="en-US" w:eastAsia="zh-CN"/>
              </w:rPr>
            </w:pPr>
            <w:r>
              <w:rPr>
                <w:rFonts w:hint="default" w:ascii="Times New Roman" w:hAnsi="Times New Roman" w:eastAsia="宋体" w:cs="Times New Roman"/>
                <w:smallCaps w:val="0"/>
                <w:color w:val="auto"/>
                <w:spacing w:val="0"/>
                <w:w w:val="100"/>
                <w:highlight w:val="none"/>
              </w:rPr>
              <w:drawing>
                <wp:anchor distT="0" distB="0" distL="114300" distR="114300" simplePos="0" relativeHeight="251670528" behindDoc="0" locked="0" layoutInCell="1" allowOverlap="1">
                  <wp:simplePos x="0" y="0"/>
                  <wp:positionH relativeFrom="column">
                    <wp:posOffset>40005</wp:posOffset>
                  </wp:positionH>
                  <wp:positionV relativeFrom="paragraph">
                    <wp:posOffset>186690</wp:posOffset>
                  </wp:positionV>
                  <wp:extent cx="2445385" cy="1993900"/>
                  <wp:effectExtent l="0" t="0" r="0" b="0"/>
                  <wp:wrapTopAndBottom/>
                  <wp:docPr id="35" name="图片 6" descr="C:/Users/29748/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 descr="C:/Users/29748/Desktop/图片1.png图片1"/>
                          <pic:cNvPicPr>
                            <a:picLocks noChangeAspect="1" noChangeArrowheads="1"/>
                          </pic:cNvPicPr>
                        </pic:nvPicPr>
                        <pic:blipFill>
                          <a:blip r:embed="rId39"/>
                          <a:srcRect t="16359" b="22476"/>
                          <a:stretch>
                            <a:fillRect/>
                          </a:stretch>
                        </pic:blipFill>
                        <pic:spPr>
                          <a:xfrm>
                            <a:off x="0" y="0"/>
                            <a:ext cx="2445385" cy="1993900"/>
                          </a:xfrm>
                          <a:prstGeom prst="rect">
                            <a:avLst/>
                          </a:prstGeom>
                          <a:noFill/>
                          <a:ln>
                            <a:noFill/>
                          </a:ln>
                        </pic:spPr>
                      </pic:pic>
                    </a:graphicData>
                  </a:graphic>
                </wp:anchor>
              </w:drawing>
            </w:r>
            <w:r>
              <w:rPr>
                <w:rFonts w:hint="default" w:ascii="Times New Roman" w:hAnsi="Times New Roman" w:eastAsia="宋体" w:cs="Times New Roman"/>
                <w:smallCaps w:val="0"/>
                <w:color w:val="auto"/>
                <w:spacing w:val="0"/>
                <w:w w:val="100"/>
                <w:highlight w:val="none"/>
                <w:vertAlign w:val="baseline"/>
                <w:lang w:val="en-US" w:eastAsia="zh-CN"/>
              </w:rPr>
              <w:t>部分现状水渠</w:t>
            </w:r>
          </w:p>
        </w:tc>
      </w:tr>
      <w:tr w14:paraId="3F540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4460" w:type="dxa"/>
            <w:vAlign w:val="top"/>
          </w:tcPr>
          <w:p w14:paraId="55FB0A1E">
            <w:pPr>
              <w:pStyle w:val="15"/>
              <w:widowControl w:val="0"/>
              <w:rPr>
                <w:rFonts w:hint="default" w:ascii="Times New Roman" w:hAnsi="Times New Roman" w:eastAsia="宋体" w:cs="Times New Roman"/>
                <w:smallCaps w:val="0"/>
                <w:color w:val="auto"/>
                <w:spacing w:val="0"/>
                <w:w w:val="100"/>
                <w:highlight w:val="none"/>
                <w:vertAlign w:val="baseline"/>
                <w:lang w:eastAsia="zh-CN"/>
              </w:rPr>
            </w:pPr>
            <w:r>
              <w:rPr>
                <w:rFonts w:hint="default" w:ascii="Times New Roman" w:hAnsi="Times New Roman" w:eastAsia="宋体" w:cs="Times New Roman"/>
                <w:smallCaps w:val="0"/>
                <w:color w:val="auto"/>
                <w:spacing w:val="0"/>
                <w:w w:val="100"/>
                <w:highlight w:val="none"/>
                <w:vertAlign w:val="baseline"/>
                <w:lang w:eastAsia="zh-CN"/>
              </w:rPr>
              <w:drawing>
                <wp:inline distT="0" distB="0" distL="114300" distR="114300">
                  <wp:extent cx="2694305" cy="2020570"/>
                  <wp:effectExtent l="0" t="0" r="1270" b="8255"/>
                  <wp:docPr id="32" name="图片 32" descr="C:/Users/29748/Desktop/pic_20240713_101000(2522002286469571811).jpgpic_20240713_101000(2522002286469571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Users/29748/Desktop/pic_20240713_101000(2522002286469571811).jpgpic_20240713_101000(2522002286469571811)"/>
                          <pic:cNvPicPr>
                            <a:picLocks noChangeAspect="1"/>
                          </pic:cNvPicPr>
                        </pic:nvPicPr>
                        <pic:blipFill>
                          <a:blip r:embed="rId40"/>
                          <a:srcRect l="12524" r="12524"/>
                          <a:stretch>
                            <a:fillRect/>
                          </a:stretch>
                        </pic:blipFill>
                        <pic:spPr>
                          <a:xfrm>
                            <a:off x="0" y="0"/>
                            <a:ext cx="2694305" cy="2020570"/>
                          </a:xfrm>
                          <a:prstGeom prst="rect">
                            <a:avLst/>
                          </a:prstGeom>
                        </pic:spPr>
                      </pic:pic>
                    </a:graphicData>
                  </a:graphic>
                </wp:inline>
              </w:drawing>
            </w:r>
          </w:p>
          <w:p w14:paraId="3F1C3704">
            <w:pPr>
              <w:widowControl w:val="0"/>
              <w:jc w:val="center"/>
              <w:rPr>
                <w:rFonts w:hint="default" w:ascii="Times New Roman" w:hAnsi="Times New Roman" w:eastAsia="宋体" w:cs="Times New Roman"/>
                <w:smallCaps w:val="0"/>
                <w:color w:val="auto"/>
                <w:spacing w:val="0"/>
                <w:w w:val="100"/>
                <w:highlight w:val="none"/>
                <w:lang w:val="en-US" w:eastAsia="zh-CN"/>
              </w:rPr>
            </w:pPr>
            <w:r>
              <w:rPr>
                <w:rFonts w:hint="default" w:ascii="Times New Roman" w:hAnsi="Times New Roman" w:eastAsia="宋体" w:cs="Times New Roman"/>
                <w:smallCaps w:val="0"/>
                <w:color w:val="auto"/>
                <w:spacing w:val="0"/>
                <w:w w:val="100"/>
                <w:highlight w:val="none"/>
                <w:vertAlign w:val="baseline"/>
                <w:lang w:val="en-US" w:eastAsia="zh-CN"/>
              </w:rPr>
              <w:t>部分现状水利工程</w:t>
            </w:r>
          </w:p>
        </w:tc>
        <w:tc>
          <w:tcPr>
            <w:tcW w:w="4460" w:type="dxa"/>
            <w:vAlign w:val="top"/>
          </w:tcPr>
          <w:p w14:paraId="22A031E8">
            <w:pPr>
              <w:pStyle w:val="15"/>
              <w:widowControl w:val="0"/>
              <w:rPr>
                <w:rFonts w:hint="default" w:ascii="Times New Roman" w:hAnsi="Times New Roman" w:eastAsia="宋体" w:cs="Times New Roman"/>
                <w:smallCaps w:val="0"/>
                <w:color w:val="auto"/>
                <w:spacing w:val="0"/>
                <w:w w:val="100"/>
                <w:highlight w:val="none"/>
                <w:vertAlign w:val="baseline"/>
                <w:lang w:eastAsia="zh-CN"/>
              </w:rPr>
            </w:pPr>
            <w:r>
              <w:rPr>
                <w:rFonts w:hint="default" w:ascii="Times New Roman" w:hAnsi="Times New Roman" w:eastAsia="宋体" w:cs="Times New Roman"/>
                <w:smallCaps w:val="0"/>
                <w:color w:val="auto"/>
                <w:spacing w:val="0"/>
                <w:w w:val="100"/>
                <w:highlight w:val="none"/>
                <w:vertAlign w:val="baseline"/>
                <w:lang w:eastAsia="zh-CN"/>
              </w:rPr>
              <w:drawing>
                <wp:inline distT="0" distB="0" distL="114300" distR="114300">
                  <wp:extent cx="2689225" cy="2016760"/>
                  <wp:effectExtent l="0" t="0" r="6350" b="2540"/>
                  <wp:docPr id="37" name="图片 37" descr="C:/Users/29748/Desktop/pic_20240711_121705(5003026043474718397).jpgpic_20240711_121705(5003026043474718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C:/Users/29748/Desktop/pic_20240711_121705(5003026043474718397).jpgpic_20240711_121705(5003026043474718397)"/>
                          <pic:cNvPicPr>
                            <a:picLocks noChangeAspect="1"/>
                          </pic:cNvPicPr>
                        </pic:nvPicPr>
                        <pic:blipFill>
                          <a:blip r:embed="rId41"/>
                          <a:srcRect l="12516" r="12516"/>
                          <a:stretch>
                            <a:fillRect/>
                          </a:stretch>
                        </pic:blipFill>
                        <pic:spPr>
                          <a:xfrm>
                            <a:off x="0" y="0"/>
                            <a:ext cx="2689225" cy="2016760"/>
                          </a:xfrm>
                          <a:prstGeom prst="rect">
                            <a:avLst/>
                          </a:prstGeom>
                        </pic:spPr>
                      </pic:pic>
                    </a:graphicData>
                  </a:graphic>
                </wp:inline>
              </w:drawing>
            </w:r>
          </w:p>
          <w:p w14:paraId="51AADFC9">
            <w:pPr>
              <w:widowControl w:val="0"/>
              <w:jc w:val="center"/>
              <w:rPr>
                <w:rFonts w:hint="default" w:ascii="Times New Roman" w:hAnsi="Times New Roman" w:eastAsia="宋体" w:cs="Times New Roman"/>
                <w:smallCaps w:val="0"/>
                <w:color w:val="auto"/>
                <w:spacing w:val="0"/>
                <w:w w:val="100"/>
                <w:highlight w:val="none"/>
                <w:lang w:val="en-US" w:eastAsia="zh-CN"/>
              </w:rPr>
            </w:pPr>
            <w:r>
              <w:rPr>
                <w:rFonts w:hint="default" w:ascii="Times New Roman" w:hAnsi="Times New Roman" w:eastAsia="宋体" w:cs="Times New Roman"/>
                <w:smallCaps w:val="0"/>
                <w:color w:val="auto"/>
                <w:spacing w:val="0"/>
                <w:w w:val="100"/>
                <w:highlight w:val="none"/>
                <w:lang w:val="en-US" w:eastAsia="zh-CN"/>
              </w:rPr>
              <w:t>打火沟水利工程</w:t>
            </w:r>
          </w:p>
        </w:tc>
      </w:tr>
    </w:tbl>
    <w:p w14:paraId="2CBE2946">
      <w:pPr>
        <w:kinsoku/>
        <w:spacing w:line="560" w:lineRule="exact"/>
        <w:ind w:left="40" w:right="1" w:firstLine="594"/>
        <w:jc w:val="center"/>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图2.1水利工程现状</w:t>
      </w:r>
    </w:p>
    <w:p w14:paraId="683F21A2">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84" w:name="_Toc5345"/>
      <w:r>
        <w:rPr>
          <w:rFonts w:hint="default" w:ascii="Times New Roman" w:hAnsi="Times New Roman" w:eastAsia="宋体" w:cs="Times New Roman"/>
          <w:smallCaps w:val="0"/>
          <w:color w:val="auto"/>
          <w:spacing w:val="0"/>
          <w:w w:val="100"/>
          <w:highlight w:val="none"/>
        </w:rPr>
        <w:t>2.4.</w:t>
      </w:r>
      <w:r>
        <w:rPr>
          <w:rFonts w:hint="default" w:ascii="Times New Roman" w:hAnsi="Times New Roman" w:eastAsia="宋体" w:cs="Times New Roman"/>
          <w:smallCaps w:val="0"/>
          <w:color w:val="auto"/>
          <w:spacing w:val="0"/>
          <w:w w:val="100"/>
          <w:highlight w:val="none"/>
          <w:lang w:val="en-US" w:eastAsia="zh-CN"/>
        </w:rPr>
        <w:t>2</w:t>
      </w:r>
      <w:r>
        <w:rPr>
          <w:rFonts w:hint="default" w:ascii="Times New Roman" w:hAnsi="Times New Roman" w:cs="Times New Roman"/>
          <w:smallCaps w:val="0"/>
          <w:color w:val="auto"/>
          <w:spacing w:val="0"/>
          <w:w w:val="100"/>
          <w:highlight w:val="none"/>
          <w:lang w:val="en-US" w:eastAsia="zh-CN"/>
        </w:rPr>
        <w:t xml:space="preserve"> </w:t>
      </w:r>
      <w:r>
        <w:rPr>
          <w:rFonts w:hint="default" w:ascii="Times New Roman" w:hAnsi="Times New Roman" w:eastAsia="宋体" w:cs="Times New Roman"/>
          <w:smallCaps w:val="0"/>
          <w:color w:val="auto"/>
          <w:spacing w:val="0"/>
          <w:w w:val="100"/>
          <w:highlight w:val="none"/>
        </w:rPr>
        <w:t>水利骨干工程现状</w:t>
      </w:r>
      <w:bookmarkEnd w:id="84"/>
    </w:p>
    <w:p w14:paraId="1DE467A4">
      <w:pPr>
        <w:kinsoku/>
        <w:spacing w:line="560" w:lineRule="exact"/>
        <w:ind w:left="40" w:right="28" w:firstLine="600" w:firstLineChars="2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经过多年努力，甘孜县在水利建设上取得巨大成就，蓄引提水能力大大提高，对抗御自然灾害，保证工农业生产起到了积极的作用。近些年，甘孜县以乡村振兴、水生态保护和高质量发展为契机，以河湖长制工作为抓手，坚持抓重点、补短板、强弱项，全县水利设施有较大的完善，主要支渠和引水设施得到较好的配套，目前完好率100%。</w:t>
      </w:r>
    </w:p>
    <w:p w14:paraId="16F547C1">
      <w:pPr>
        <w:kinsoku/>
        <w:spacing w:line="560" w:lineRule="exact"/>
        <w:ind w:left="40" w:right="28" w:firstLine="600" w:firstLineChars="2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范围内周边目前已建与在建的灌溉工程主要为：打火沟水利工程丹果干渠和仁果支渠，丹果干渠和仁果支渠控灌区域为甘孜县境内来马镇、甘孜镇的11个村，总灌溉面积3.92万亩，其中耕地3.22万亩，林草地0.7万亩。截至现场踏勘期间，丹果干渠和仁果支渠及其配套设施均运行良好。</w:t>
      </w:r>
    </w:p>
    <w:p w14:paraId="699D2B96">
      <w:pPr>
        <w:kinsoku/>
        <w:spacing w:line="560" w:lineRule="exact"/>
        <w:ind w:left="40" w:right="28" w:firstLine="600" w:firstLineChars="2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目前雅砻江流域甘孜县拖坝灌区中型灌区项目正在申报中，涉及新增灌溉区域总体布设新增灌溉区域4个片区，依次为燃呷呷色总干渠控灌片区、色西底干渠控灌片区、拖坝干渠控灌片区、庭卡干渠控灌片区。</w:t>
      </w:r>
    </w:p>
    <w:p w14:paraId="19E23B45">
      <w:pPr>
        <w:kinsoku/>
        <w:spacing w:line="560" w:lineRule="exact"/>
        <w:ind w:left="40" w:right="28" w:firstLine="600" w:firstLineChars="2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据现场调查，项目区已建或完好的水利工程设施主要包括：①拖坝乡部分区域灌溉工程有甘孜县2018年高效节水灌溉工程，设计灌溉面积为0.31万亩，全为新增灌溉面积，主要解决和改善部分片区灌溉；②甘孜县2019年高标准农田建设项目来马镇鲁须村、迷鲁村、叶早村；拖坝乡西泥村、拉戈底村、曲卡郎村、楚洛村等</w:t>
      </w:r>
      <w:r>
        <w:rPr>
          <w:rFonts w:hint="eastAsia" w:ascii="Times New Roman" w:hAnsi="Times New Roman" w:eastAsia="宋体" w:cs="Times New Roman"/>
          <w:smallCaps w:val="0"/>
          <w:color w:val="auto"/>
          <w:spacing w:val="0"/>
          <w:w w:val="100"/>
          <w:sz w:val="30"/>
          <w:szCs w:val="30"/>
          <w:highlight w:val="none"/>
          <w:lang w:val="en-US" w:eastAsia="zh-CN"/>
        </w:rPr>
        <w:t>7</w:t>
      </w:r>
      <w:r>
        <w:rPr>
          <w:rFonts w:hint="default" w:ascii="Times New Roman" w:hAnsi="Times New Roman" w:eastAsia="宋体" w:cs="Times New Roman"/>
          <w:smallCaps w:val="0"/>
          <w:color w:val="auto"/>
          <w:spacing w:val="0"/>
          <w:w w:val="100"/>
          <w:sz w:val="30"/>
          <w:szCs w:val="30"/>
          <w:highlight w:val="none"/>
          <w:lang w:eastAsia="zh-CN"/>
        </w:rPr>
        <w:t>个</w:t>
      </w:r>
      <w:r>
        <w:rPr>
          <w:rFonts w:hint="eastAsia" w:ascii="Times New Roman" w:hAnsi="Times New Roman" w:eastAsia="宋体" w:cs="Times New Roman"/>
          <w:smallCaps w:val="0"/>
          <w:color w:val="auto"/>
          <w:spacing w:val="0"/>
          <w:w w:val="100"/>
          <w:sz w:val="30"/>
          <w:szCs w:val="30"/>
          <w:highlight w:val="none"/>
          <w:lang w:val="en-US" w:eastAsia="zh-CN"/>
        </w:rPr>
        <w:t>村</w:t>
      </w:r>
      <w:r>
        <w:rPr>
          <w:rFonts w:hint="default" w:ascii="Times New Roman" w:hAnsi="Times New Roman" w:eastAsia="宋体" w:cs="Times New Roman"/>
          <w:smallCaps w:val="0"/>
          <w:color w:val="auto"/>
          <w:spacing w:val="0"/>
          <w:w w:val="100"/>
          <w:sz w:val="30"/>
          <w:szCs w:val="30"/>
          <w:highlight w:val="none"/>
          <w:lang w:eastAsia="zh-CN"/>
        </w:rPr>
        <w:t>镇实施，解决部分灌溉和田块平整问题；③甘孜县2020年高标准农田建设项目拖坝乡一村、五村、六村、七村、八村；来马镇觉日村、当达村、地格村等</w:t>
      </w:r>
      <w:r>
        <w:rPr>
          <w:rFonts w:hint="eastAsia" w:ascii="Times New Roman" w:hAnsi="Times New Roman" w:eastAsia="宋体" w:cs="Times New Roman"/>
          <w:smallCaps w:val="0"/>
          <w:color w:val="auto"/>
          <w:spacing w:val="0"/>
          <w:w w:val="100"/>
          <w:sz w:val="30"/>
          <w:szCs w:val="30"/>
          <w:highlight w:val="none"/>
          <w:lang w:val="en-US" w:eastAsia="zh-CN"/>
        </w:rPr>
        <w:t>7</w:t>
      </w:r>
      <w:r>
        <w:rPr>
          <w:rFonts w:hint="default" w:ascii="Times New Roman" w:hAnsi="Times New Roman" w:eastAsia="宋体" w:cs="Times New Roman"/>
          <w:smallCaps w:val="0"/>
          <w:color w:val="auto"/>
          <w:spacing w:val="0"/>
          <w:w w:val="100"/>
          <w:sz w:val="30"/>
          <w:szCs w:val="30"/>
          <w:highlight w:val="none"/>
          <w:lang w:eastAsia="zh-CN"/>
        </w:rPr>
        <w:t>个</w:t>
      </w:r>
      <w:r>
        <w:rPr>
          <w:rFonts w:hint="eastAsia" w:ascii="Times New Roman" w:hAnsi="Times New Roman" w:eastAsia="宋体" w:cs="Times New Roman"/>
          <w:smallCaps w:val="0"/>
          <w:color w:val="auto"/>
          <w:spacing w:val="0"/>
          <w:w w:val="100"/>
          <w:sz w:val="30"/>
          <w:szCs w:val="30"/>
          <w:highlight w:val="none"/>
          <w:lang w:val="en-US" w:eastAsia="zh-CN"/>
        </w:rPr>
        <w:t>村</w:t>
      </w:r>
      <w:r>
        <w:rPr>
          <w:rFonts w:hint="default" w:ascii="Times New Roman" w:hAnsi="Times New Roman" w:eastAsia="宋体" w:cs="Times New Roman"/>
          <w:smallCaps w:val="0"/>
          <w:color w:val="auto"/>
          <w:spacing w:val="0"/>
          <w:w w:val="100"/>
          <w:sz w:val="30"/>
          <w:szCs w:val="30"/>
          <w:highlight w:val="none"/>
          <w:lang w:eastAsia="zh-CN"/>
        </w:rPr>
        <w:t>镇实施，解决部分灌溉和田块平整问题；</w:t>
      </w:r>
    </w:p>
    <w:p w14:paraId="3A679873">
      <w:pPr>
        <w:kinsoku/>
        <w:spacing w:line="560" w:lineRule="exact"/>
        <w:ind w:left="48" w:firstLine="602" w:firstLineChars="200"/>
        <w:jc w:val="center"/>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项目区</w:t>
      </w:r>
      <w:r>
        <w:rPr>
          <w:rFonts w:hint="default" w:ascii="Times New Roman" w:hAnsi="Times New Roman" w:eastAsia="宋体" w:cs="Times New Roman"/>
          <w:b/>
          <w:bCs/>
          <w:smallCaps w:val="0"/>
          <w:color w:val="auto"/>
          <w:spacing w:val="0"/>
          <w:w w:val="100"/>
          <w:sz w:val="30"/>
          <w:szCs w:val="30"/>
          <w:highlight w:val="none"/>
          <w:lang w:val="en-US" w:eastAsia="zh-CN"/>
        </w:rPr>
        <w:t>水利骨干现状</w:t>
      </w:r>
      <w:r>
        <w:rPr>
          <w:rFonts w:hint="default" w:ascii="Times New Roman" w:hAnsi="Times New Roman" w:eastAsia="宋体" w:cs="Times New Roman"/>
          <w:b/>
          <w:bCs/>
          <w:smallCaps w:val="0"/>
          <w:color w:val="auto"/>
          <w:spacing w:val="0"/>
          <w:w w:val="100"/>
          <w:sz w:val="30"/>
          <w:szCs w:val="30"/>
          <w:highlight w:val="none"/>
          <w:lang w:eastAsia="zh-CN"/>
        </w:rPr>
        <w:t>统计表</w:t>
      </w:r>
    </w:p>
    <w:p w14:paraId="67D1C5E2">
      <w:pPr>
        <w:pStyle w:val="15"/>
        <w:jc w:val="left"/>
        <w:rPr>
          <w:rFonts w:hint="default" w:ascii="Times New Roman" w:hAnsi="Times New Roman" w:eastAsia="宋体" w:cs="Times New Roman"/>
          <w:b w:val="0"/>
          <w:bCs w:val="0"/>
          <w:smallCaps w:val="0"/>
          <w:color w:val="auto"/>
          <w:spacing w:val="0"/>
          <w:w w:val="100"/>
          <w:sz w:val="28"/>
          <w:szCs w:val="28"/>
          <w:highlight w:val="none"/>
          <w:lang w:val="en-US" w:eastAsia="zh-CN"/>
        </w:rPr>
      </w:pPr>
      <w:r>
        <w:rPr>
          <w:rFonts w:hint="default" w:ascii="Times New Roman" w:hAnsi="Times New Roman" w:eastAsia="宋体" w:cs="Times New Roman"/>
          <w:b w:val="0"/>
          <w:bCs w:val="0"/>
          <w:smallCaps w:val="0"/>
          <w:color w:val="auto"/>
          <w:spacing w:val="0"/>
          <w:w w:val="100"/>
          <w:sz w:val="28"/>
          <w:szCs w:val="28"/>
          <w:highlight w:val="none"/>
          <w:lang w:val="en-US" w:eastAsia="zh-CN"/>
        </w:rPr>
        <w:t>表2.4-1</w:t>
      </w:r>
    </w:p>
    <w:tbl>
      <w:tblPr>
        <w:tblStyle w:val="18"/>
        <w:tblW w:w="904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66"/>
        <w:gridCol w:w="3324"/>
        <w:gridCol w:w="2616"/>
        <w:gridCol w:w="2136"/>
      </w:tblGrid>
      <w:tr w14:paraId="3CA32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FDB7F">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default" w:ascii="Times New Roman" w:hAnsi="Times New Roman" w:eastAsia="宋体" w:cs="Times New Roman"/>
                <w:i w:val="0"/>
                <w:iCs w:val="0"/>
                <w:smallCaps w:val="0"/>
                <w:color w:val="auto"/>
                <w:spacing w:val="0"/>
                <w:w w:val="100"/>
                <w:sz w:val="24"/>
                <w:szCs w:val="24"/>
                <w:highlight w:val="none"/>
                <w:u w:val="none"/>
              </w:rPr>
            </w:pPr>
            <w:r>
              <w:rPr>
                <w:rFonts w:hint="default" w:ascii="Times New Roman" w:hAnsi="Times New Roman" w:eastAsia="宋体" w:cs="Times New Roman"/>
                <w:i w:val="0"/>
                <w:iCs w:val="0"/>
                <w:smallCaps w:val="0"/>
                <w:snapToGrid w:val="0"/>
                <w:color w:val="auto"/>
                <w:spacing w:val="0"/>
                <w:w w:val="100"/>
                <w:kern w:val="0"/>
                <w:sz w:val="24"/>
                <w:szCs w:val="24"/>
                <w:highlight w:val="none"/>
                <w:u w:val="none"/>
                <w:lang w:val="en-US" w:eastAsia="zh-CN" w:bidi="ar"/>
              </w:rPr>
              <w:t>乡镇</w:t>
            </w:r>
          </w:p>
        </w:tc>
        <w:tc>
          <w:tcPr>
            <w:tcW w:w="3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DEA56">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default" w:ascii="Times New Roman" w:hAnsi="Times New Roman" w:eastAsia="宋体" w:cs="Times New Roman"/>
                <w:i w:val="0"/>
                <w:iCs w:val="0"/>
                <w:smallCaps w:val="0"/>
                <w:color w:val="auto"/>
                <w:spacing w:val="0"/>
                <w:w w:val="100"/>
                <w:sz w:val="24"/>
                <w:szCs w:val="24"/>
                <w:highlight w:val="none"/>
                <w:u w:val="none"/>
              </w:rPr>
            </w:pPr>
            <w:r>
              <w:rPr>
                <w:rFonts w:hint="default" w:ascii="Times New Roman" w:hAnsi="Times New Roman" w:eastAsia="宋体" w:cs="Times New Roman"/>
                <w:i w:val="0"/>
                <w:iCs w:val="0"/>
                <w:smallCaps w:val="0"/>
                <w:snapToGrid w:val="0"/>
                <w:color w:val="auto"/>
                <w:spacing w:val="0"/>
                <w:w w:val="100"/>
                <w:kern w:val="0"/>
                <w:sz w:val="24"/>
                <w:szCs w:val="24"/>
                <w:highlight w:val="none"/>
                <w:u w:val="none"/>
                <w:lang w:val="en-US" w:eastAsia="zh-CN" w:bidi="ar"/>
              </w:rPr>
              <w:t>水利设施（现状）</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898C6">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default" w:ascii="Times New Roman" w:hAnsi="Times New Roman" w:eastAsia="宋体" w:cs="Times New Roman"/>
                <w:i w:val="0"/>
                <w:iCs w:val="0"/>
                <w:smallCaps w:val="0"/>
                <w:color w:val="auto"/>
                <w:spacing w:val="0"/>
                <w:w w:val="100"/>
                <w:sz w:val="24"/>
                <w:szCs w:val="24"/>
                <w:highlight w:val="none"/>
                <w:u w:val="none"/>
              </w:rPr>
            </w:pPr>
            <w:r>
              <w:rPr>
                <w:rFonts w:hint="default" w:ascii="Times New Roman" w:hAnsi="Times New Roman" w:eastAsia="宋体" w:cs="Times New Roman"/>
                <w:i w:val="0"/>
                <w:iCs w:val="0"/>
                <w:smallCaps w:val="0"/>
                <w:snapToGrid w:val="0"/>
                <w:color w:val="auto"/>
                <w:spacing w:val="0"/>
                <w:w w:val="100"/>
                <w:kern w:val="0"/>
                <w:sz w:val="24"/>
                <w:szCs w:val="24"/>
                <w:highlight w:val="none"/>
                <w:u w:val="none"/>
                <w:lang w:val="en-US" w:eastAsia="zh-CN" w:bidi="ar"/>
              </w:rPr>
              <w:t>本项目区长度</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6E0AA">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default" w:ascii="Times New Roman" w:hAnsi="Times New Roman" w:eastAsia="宋体" w:cs="Times New Roman"/>
                <w:i w:val="0"/>
                <w:iCs w:val="0"/>
                <w:smallCaps w:val="0"/>
                <w:color w:val="auto"/>
                <w:spacing w:val="0"/>
                <w:w w:val="100"/>
                <w:sz w:val="24"/>
                <w:szCs w:val="24"/>
                <w:highlight w:val="none"/>
                <w:u w:val="none"/>
              </w:rPr>
            </w:pPr>
            <w:r>
              <w:rPr>
                <w:rFonts w:hint="default" w:ascii="Times New Roman" w:hAnsi="Times New Roman" w:eastAsia="宋体" w:cs="Times New Roman"/>
                <w:i w:val="0"/>
                <w:iCs w:val="0"/>
                <w:smallCaps w:val="0"/>
                <w:snapToGrid w:val="0"/>
                <w:color w:val="auto"/>
                <w:spacing w:val="0"/>
                <w:w w:val="100"/>
                <w:kern w:val="0"/>
                <w:sz w:val="24"/>
                <w:szCs w:val="24"/>
                <w:highlight w:val="none"/>
                <w:u w:val="none"/>
                <w:lang w:val="en-US" w:eastAsia="zh-CN" w:bidi="ar"/>
              </w:rPr>
              <w:t>现状情况</w:t>
            </w:r>
          </w:p>
        </w:tc>
      </w:tr>
      <w:tr w14:paraId="79832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D371">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default" w:ascii="Times New Roman" w:hAnsi="Times New Roman" w:eastAsia="宋体" w:cs="Times New Roman"/>
                <w:i w:val="0"/>
                <w:iCs w:val="0"/>
                <w:smallCaps w:val="0"/>
                <w:color w:val="auto"/>
                <w:spacing w:val="0"/>
                <w:w w:val="100"/>
                <w:sz w:val="24"/>
                <w:szCs w:val="24"/>
                <w:highlight w:val="none"/>
                <w:u w:val="none"/>
              </w:rPr>
            </w:pPr>
            <w:r>
              <w:rPr>
                <w:rFonts w:hint="default" w:ascii="Times New Roman" w:hAnsi="Times New Roman" w:eastAsia="宋体" w:cs="Times New Roman"/>
                <w:i w:val="0"/>
                <w:iCs w:val="0"/>
                <w:smallCaps w:val="0"/>
                <w:snapToGrid w:val="0"/>
                <w:color w:val="auto"/>
                <w:spacing w:val="0"/>
                <w:w w:val="100"/>
                <w:kern w:val="0"/>
                <w:sz w:val="24"/>
                <w:szCs w:val="24"/>
                <w:highlight w:val="none"/>
                <w:u w:val="none"/>
                <w:lang w:val="en-US" w:eastAsia="zh-CN" w:bidi="ar"/>
              </w:rPr>
              <w:t>拖坝乡</w:t>
            </w:r>
          </w:p>
        </w:tc>
        <w:tc>
          <w:tcPr>
            <w:tcW w:w="3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76DA8">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default" w:ascii="Times New Roman" w:hAnsi="Times New Roman" w:eastAsia="宋体" w:cs="Times New Roman"/>
                <w:i w:val="0"/>
                <w:iCs w:val="0"/>
                <w:smallCaps w:val="0"/>
                <w:color w:val="auto"/>
                <w:spacing w:val="0"/>
                <w:w w:val="100"/>
                <w:sz w:val="24"/>
                <w:szCs w:val="24"/>
                <w:highlight w:val="none"/>
                <w:u w:val="none"/>
              </w:rPr>
            </w:pPr>
            <w:r>
              <w:rPr>
                <w:rFonts w:hint="default" w:ascii="Times New Roman" w:hAnsi="Times New Roman" w:eastAsia="宋体" w:cs="Times New Roman"/>
                <w:i w:val="0"/>
                <w:iCs w:val="0"/>
                <w:smallCaps w:val="0"/>
                <w:snapToGrid w:val="0"/>
                <w:color w:val="auto"/>
                <w:spacing w:val="0"/>
                <w:w w:val="100"/>
                <w:kern w:val="0"/>
                <w:sz w:val="24"/>
                <w:szCs w:val="24"/>
                <w:highlight w:val="none"/>
                <w:u w:val="none"/>
                <w:lang w:val="en-US" w:eastAsia="zh-CN" w:bidi="ar"/>
              </w:rPr>
              <w:t>普玉隆河</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E26E7">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default" w:ascii="Times New Roman" w:hAnsi="Times New Roman" w:eastAsia="宋体" w:cs="Times New Roman"/>
                <w:i w:val="0"/>
                <w:iCs w:val="0"/>
                <w:smallCaps w:val="0"/>
                <w:color w:val="auto"/>
                <w:spacing w:val="0"/>
                <w:w w:val="100"/>
                <w:sz w:val="24"/>
                <w:szCs w:val="24"/>
                <w:highlight w:val="none"/>
                <w:u w:val="none"/>
              </w:rPr>
            </w:pPr>
            <w:r>
              <w:rPr>
                <w:rFonts w:hint="default" w:ascii="Times New Roman" w:hAnsi="Times New Roman" w:eastAsia="宋体" w:cs="Times New Roman"/>
                <w:i w:val="0"/>
                <w:iCs w:val="0"/>
                <w:smallCaps w:val="0"/>
                <w:snapToGrid w:val="0"/>
                <w:color w:val="auto"/>
                <w:spacing w:val="0"/>
                <w:w w:val="100"/>
                <w:kern w:val="0"/>
                <w:sz w:val="24"/>
                <w:szCs w:val="24"/>
                <w:highlight w:val="none"/>
                <w:u w:val="none"/>
                <w:lang w:val="en-US" w:eastAsia="zh-CN" w:bidi="ar"/>
              </w:rPr>
              <w:t>现状5.1km</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26FA5">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default" w:ascii="Times New Roman" w:hAnsi="Times New Roman" w:eastAsia="宋体" w:cs="Times New Roman"/>
                <w:i w:val="0"/>
                <w:iCs w:val="0"/>
                <w:smallCaps w:val="0"/>
                <w:color w:val="auto"/>
                <w:spacing w:val="0"/>
                <w:w w:val="100"/>
                <w:sz w:val="24"/>
                <w:szCs w:val="24"/>
                <w:highlight w:val="none"/>
                <w:u w:val="none"/>
                <w:lang w:val="en-US"/>
              </w:rPr>
            </w:pPr>
            <w:r>
              <w:rPr>
                <w:rFonts w:hint="default" w:ascii="Times New Roman" w:hAnsi="Times New Roman" w:eastAsia="宋体" w:cs="Times New Roman"/>
                <w:i w:val="0"/>
                <w:iCs w:val="0"/>
                <w:smallCaps w:val="0"/>
                <w:snapToGrid w:val="0"/>
                <w:color w:val="auto"/>
                <w:spacing w:val="0"/>
                <w:w w:val="100"/>
                <w:kern w:val="0"/>
                <w:sz w:val="24"/>
                <w:szCs w:val="24"/>
                <w:highlight w:val="none"/>
                <w:u w:val="none"/>
                <w:lang w:val="en-US" w:eastAsia="zh-CN" w:bidi="ar"/>
              </w:rPr>
              <w:t>现状完好范围覆盖项目区</w:t>
            </w:r>
          </w:p>
        </w:tc>
      </w:tr>
      <w:tr w14:paraId="35FC5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FA784">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default" w:ascii="Times New Roman" w:hAnsi="Times New Roman" w:eastAsia="宋体" w:cs="Times New Roman"/>
                <w:i w:val="0"/>
                <w:iCs w:val="0"/>
                <w:smallCaps w:val="0"/>
                <w:color w:val="auto"/>
                <w:spacing w:val="0"/>
                <w:w w:val="100"/>
                <w:sz w:val="24"/>
                <w:szCs w:val="24"/>
                <w:highlight w:val="none"/>
                <w:u w:val="none"/>
              </w:rPr>
            </w:pPr>
            <w:r>
              <w:rPr>
                <w:rFonts w:hint="default" w:ascii="Times New Roman" w:hAnsi="Times New Roman" w:eastAsia="宋体" w:cs="Times New Roman"/>
                <w:i w:val="0"/>
                <w:iCs w:val="0"/>
                <w:smallCaps w:val="0"/>
                <w:snapToGrid w:val="0"/>
                <w:color w:val="auto"/>
                <w:spacing w:val="0"/>
                <w:w w:val="100"/>
                <w:kern w:val="0"/>
                <w:sz w:val="24"/>
                <w:szCs w:val="24"/>
                <w:highlight w:val="none"/>
                <w:u w:val="none"/>
                <w:lang w:val="en-US" w:eastAsia="zh-CN" w:bidi="ar"/>
              </w:rPr>
              <w:t>拖坝乡</w:t>
            </w:r>
          </w:p>
        </w:tc>
        <w:tc>
          <w:tcPr>
            <w:tcW w:w="3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DF499">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default" w:ascii="Times New Roman" w:hAnsi="Times New Roman" w:eastAsia="宋体" w:cs="Times New Roman"/>
                <w:i w:val="0"/>
                <w:iCs w:val="0"/>
                <w:smallCaps w:val="0"/>
                <w:color w:val="auto"/>
                <w:spacing w:val="0"/>
                <w:w w:val="100"/>
                <w:sz w:val="24"/>
                <w:szCs w:val="24"/>
                <w:highlight w:val="none"/>
                <w:u w:val="none"/>
              </w:rPr>
            </w:pPr>
            <w:r>
              <w:rPr>
                <w:rFonts w:hint="default" w:ascii="Times New Roman" w:hAnsi="Times New Roman" w:eastAsia="宋体" w:cs="Times New Roman"/>
                <w:i w:val="0"/>
                <w:iCs w:val="0"/>
                <w:smallCaps w:val="0"/>
                <w:snapToGrid w:val="0"/>
                <w:color w:val="auto"/>
                <w:spacing w:val="0"/>
                <w:w w:val="100"/>
                <w:kern w:val="0"/>
                <w:sz w:val="24"/>
                <w:szCs w:val="24"/>
                <w:highlight w:val="none"/>
                <w:u w:val="none"/>
                <w:lang w:val="en-US" w:eastAsia="zh-CN" w:bidi="ar"/>
              </w:rPr>
              <w:t>农渠</w:t>
            </w:r>
          </w:p>
        </w:tc>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7A15">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default" w:ascii="Times New Roman" w:hAnsi="Times New Roman" w:eastAsia="宋体" w:cs="Times New Roman"/>
                <w:i w:val="0"/>
                <w:iCs w:val="0"/>
                <w:smallCaps w:val="0"/>
                <w:color w:val="auto"/>
                <w:spacing w:val="0"/>
                <w:w w:val="100"/>
                <w:sz w:val="24"/>
                <w:szCs w:val="24"/>
                <w:highlight w:val="none"/>
                <w:u w:val="none"/>
              </w:rPr>
            </w:pPr>
            <w:r>
              <w:rPr>
                <w:rFonts w:hint="default" w:ascii="Times New Roman" w:hAnsi="Times New Roman" w:eastAsia="宋体" w:cs="Times New Roman"/>
                <w:i w:val="0"/>
                <w:iCs w:val="0"/>
                <w:smallCaps w:val="0"/>
                <w:snapToGrid w:val="0"/>
                <w:color w:val="auto"/>
                <w:spacing w:val="0"/>
                <w:w w:val="100"/>
                <w:kern w:val="0"/>
                <w:sz w:val="24"/>
                <w:szCs w:val="24"/>
                <w:highlight w:val="none"/>
                <w:u w:val="none"/>
                <w:lang w:val="en-US" w:eastAsia="zh-CN" w:bidi="ar"/>
              </w:rPr>
              <w:t>现状3.2km</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C656E">
            <w:pPr>
              <w:keepNext w:val="0"/>
              <w:keepLines w:val="0"/>
              <w:pageBreakBefore w:val="0"/>
              <w:widowControl/>
              <w:suppressLineNumbers w:val="0"/>
              <w:kinsoku w:val="0"/>
              <w:wordWrap/>
              <w:overflowPunct/>
              <w:topLinePunct w:val="0"/>
              <w:autoSpaceDE w:val="0"/>
              <w:autoSpaceDN w:val="0"/>
              <w:bidi w:val="0"/>
              <w:adjustRightInd w:val="0"/>
              <w:snapToGrid w:val="0"/>
              <w:jc w:val="center"/>
              <w:textAlignment w:val="center"/>
              <w:rPr>
                <w:rFonts w:hint="default" w:ascii="Times New Roman" w:hAnsi="Times New Roman" w:eastAsia="宋体" w:cs="Times New Roman"/>
                <w:i w:val="0"/>
                <w:iCs w:val="0"/>
                <w:smallCaps w:val="0"/>
                <w:color w:val="auto"/>
                <w:spacing w:val="0"/>
                <w:w w:val="100"/>
                <w:sz w:val="24"/>
                <w:szCs w:val="24"/>
                <w:highlight w:val="none"/>
                <w:u w:val="none"/>
              </w:rPr>
            </w:pPr>
            <w:r>
              <w:rPr>
                <w:rFonts w:hint="default" w:ascii="Times New Roman" w:hAnsi="Times New Roman" w:eastAsia="宋体" w:cs="Times New Roman"/>
                <w:i w:val="0"/>
                <w:iCs w:val="0"/>
                <w:smallCaps w:val="0"/>
                <w:snapToGrid w:val="0"/>
                <w:color w:val="auto"/>
                <w:spacing w:val="0"/>
                <w:w w:val="100"/>
                <w:kern w:val="0"/>
                <w:sz w:val="24"/>
                <w:szCs w:val="24"/>
                <w:highlight w:val="none"/>
                <w:u w:val="none"/>
                <w:lang w:val="en-US" w:eastAsia="zh-CN" w:bidi="ar"/>
              </w:rPr>
              <w:t>部分完好，部分沟渠排水不畅，覆盖项目区</w:t>
            </w:r>
          </w:p>
        </w:tc>
      </w:tr>
    </w:tbl>
    <w:p w14:paraId="18E47AA1">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85" w:name="_Toc25146"/>
      <w:r>
        <w:rPr>
          <w:rFonts w:hint="default" w:ascii="Times New Roman" w:hAnsi="Times New Roman" w:eastAsia="宋体" w:cs="Times New Roman"/>
          <w:smallCaps w:val="0"/>
          <w:color w:val="auto"/>
          <w:spacing w:val="0"/>
          <w:w w:val="100"/>
          <w:highlight w:val="none"/>
        </w:rPr>
        <w:t>2.4.</w:t>
      </w:r>
      <w:r>
        <w:rPr>
          <w:rFonts w:hint="default" w:ascii="Times New Roman" w:hAnsi="Times New Roman" w:eastAsia="宋体" w:cs="Times New Roman"/>
          <w:smallCaps w:val="0"/>
          <w:color w:val="auto"/>
          <w:spacing w:val="0"/>
          <w:w w:val="100"/>
          <w:highlight w:val="none"/>
          <w:lang w:val="en-US" w:eastAsia="zh-CN"/>
        </w:rPr>
        <w:t>3</w:t>
      </w:r>
      <w:r>
        <w:rPr>
          <w:rFonts w:hint="default" w:ascii="Times New Roman" w:hAnsi="Times New Roman" w:eastAsia="宋体" w:cs="Times New Roman"/>
          <w:smallCaps w:val="0"/>
          <w:color w:val="auto"/>
          <w:spacing w:val="0"/>
          <w:w w:val="100"/>
          <w:highlight w:val="none"/>
        </w:rPr>
        <w:t xml:space="preserve"> 田间工程现状</w:t>
      </w:r>
      <w:bookmarkEnd w:id="85"/>
    </w:p>
    <w:p w14:paraId="10412D29">
      <w:pPr>
        <w:kinsoku/>
        <w:spacing w:line="560" w:lineRule="exact"/>
        <w:ind w:left="39" w:right="31"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（1）田间水利工程</w:t>
      </w:r>
    </w:p>
    <w:p w14:paraId="2F6E39FD">
      <w:pPr>
        <w:kinsoku/>
        <w:spacing w:line="560" w:lineRule="exact"/>
        <w:ind w:left="39" w:right="31"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经现场调查，项目区基本无田间</w:t>
      </w:r>
      <w:r>
        <w:rPr>
          <w:rFonts w:hint="eastAsia" w:ascii="Times New Roman" w:hAnsi="Times New Roman" w:eastAsia="宋体" w:cs="Times New Roman"/>
          <w:smallCaps w:val="0"/>
          <w:color w:val="auto"/>
          <w:spacing w:val="0"/>
          <w:w w:val="100"/>
          <w:sz w:val="30"/>
          <w:szCs w:val="30"/>
          <w:highlight w:val="none"/>
          <w:lang w:val="en-US" w:eastAsia="zh-CN"/>
        </w:rPr>
        <w:t>水利</w:t>
      </w:r>
      <w:r>
        <w:rPr>
          <w:rFonts w:hint="default" w:ascii="Times New Roman" w:hAnsi="Times New Roman" w:eastAsia="宋体" w:cs="Times New Roman"/>
          <w:smallCaps w:val="0"/>
          <w:color w:val="auto"/>
          <w:spacing w:val="0"/>
          <w:w w:val="100"/>
          <w:sz w:val="30"/>
          <w:szCs w:val="30"/>
          <w:highlight w:val="none"/>
          <w:lang w:eastAsia="zh-CN"/>
        </w:rPr>
        <w:t>工程设施，现排水渠年久失修，渠壁破损、渠底淤积，排水不畅，雨季农田积水严重，易引发涝灾，且积水导致土壤透气性差，影响农作物生长。整治排水渠，清除淤积、修复破损，提升排水效率，避免农田积水，减少涝灾损失</w:t>
      </w:r>
      <w:r>
        <w:rPr>
          <w:rFonts w:hint="eastAsia" w:ascii="Times New Roman" w:hAnsi="Times New Roman" w:eastAsia="宋体" w:cs="Times New Roman"/>
          <w:smallCaps w:val="0"/>
          <w:color w:val="auto"/>
          <w:spacing w:val="0"/>
          <w:w w:val="100"/>
          <w:sz w:val="30"/>
          <w:szCs w:val="30"/>
          <w:highlight w:val="none"/>
          <w:lang w:eastAsia="zh-CN"/>
        </w:rPr>
        <w:t>。</w:t>
      </w:r>
    </w:p>
    <w:p w14:paraId="7A7B71C5">
      <w:pPr>
        <w:kinsoku/>
        <w:spacing w:line="560" w:lineRule="exact"/>
        <w:ind w:left="39" w:right="31"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（2）农田及农业设施</w:t>
      </w:r>
    </w:p>
    <w:p w14:paraId="524821D4">
      <w:pPr>
        <w:kinsoku/>
        <w:spacing w:line="560" w:lineRule="exact"/>
        <w:ind w:left="39" w:right="23" w:firstLine="629"/>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1）</w:t>
      </w:r>
      <w:r>
        <w:rPr>
          <w:rFonts w:hint="default" w:ascii="Times New Roman" w:hAnsi="Times New Roman" w:eastAsia="宋体" w:cs="Times New Roman"/>
          <w:smallCaps w:val="0"/>
          <w:color w:val="auto"/>
          <w:spacing w:val="0"/>
          <w:w w:val="100"/>
          <w:sz w:val="30"/>
          <w:szCs w:val="30"/>
          <w:highlight w:val="none"/>
          <w:lang w:eastAsia="zh-CN"/>
        </w:rPr>
        <w:t>中低产田土壤理化性状不良、土壤肥力不高、灌溉保证率低，制约了耕地综合生产能力的提高。按照农业农村部颁发的《全国耕地地力等级划分标准》与同类土壤的高产田地力比较，耕地地力水平差 。</w:t>
      </w:r>
    </w:p>
    <w:p w14:paraId="009922D4">
      <w:pPr>
        <w:kinsoku/>
        <w:spacing w:line="560" w:lineRule="exact"/>
        <w:ind w:left="39" w:right="23" w:firstLine="629"/>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同时，重产出、轻投入，用地不养地，导致土壤肥力逐步下降。</w:t>
      </w:r>
    </w:p>
    <w:p w14:paraId="587F1FFF">
      <w:pPr>
        <w:kinsoku/>
        <w:spacing w:line="560" w:lineRule="exact"/>
        <w:ind w:left="39" w:right="23" w:firstLine="629"/>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3）</w:t>
      </w:r>
      <w:r>
        <w:rPr>
          <w:rFonts w:hint="default" w:ascii="Times New Roman" w:hAnsi="Times New Roman" w:eastAsia="宋体" w:cs="Times New Roman"/>
          <w:smallCaps w:val="0"/>
          <w:color w:val="auto"/>
          <w:spacing w:val="0"/>
          <w:w w:val="100"/>
          <w:sz w:val="30"/>
          <w:szCs w:val="30"/>
          <w:highlight w:val="none"/>
          <w:lang w:eastAsia="zh-CN"/>
        </w:rPr>
        <w:t>甘孜县生态环境持续向好，野生动物活动范围不断扩大，再加上牧区与农田交错分布，农牧牲畜散养管理难度较大，境内农田时常面临野生动物闯入、牲畜踩踏啃食的双重破坏，严重影响了农作物的正常生长与村民的耕种积极性。</w:t>
      </w:r>
    </w:p>
    <w:p w14:paraId="6CC895B0">
      <w:pPr>
        <w:kinsoku/>
        <w:spacing w:line="560" w:lineRule="exact"/>
        <w:ind w:left="39" w:right="31"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必须通过高标准农田建设，提高水资源利用率，</w:t>
      </w:r>
      <w:r>
        <w:rPr>
          <w:rFonts w:hint="default" w:ascii="Times New Roman" w:hAnsi="Times New Roman" w:eastAsia="宋体" w:cs="Times New Roman"/>
          <w:smallCaps w:val="0"/>
          <w:color w:val="auto"/>
          <w:spacing w:val="0"/>
          <w:w w:val="100"/>
          <w:sz w:val="30"/>
          <w:szCs w:val="30"/>
          <w:highlight w:val="none"/>
          <w:lang w:val="en-US" w:eastAsia="zh-CN"/>
        </w:rPr>
        <w:t>建设农田防护工程。</w:t>
      </w:r>
      <w:r>
        <w:rPr>
          <w:rFonts w:hint="default" w:ascii="Times New Roman" w:hAnsi="Times New Roman" w:eastAsia="宋体" w:cs="Times New Roman"/>
          <w:smallCaps w:val="0"/>
          <w:color w:val="auto"/>
          <w:spacing w:val="0"/>
          <w:w w:val="100"/>
          <w:sz w:val="30"/>
          <w:szCs w:val="30"/>
          <w:highlight w:val="none"/>
          <w:lang w:eastAsia="zh-CN"/>
        </w:rPr>
        <w:t>从而提高耕地综合生产能力，保持耕地地力，才能为项目区农业产业化发展夯实基础。</w:t>
      </w:r>
    </w:p>
    <w:p w14:paraId="66237C58">
      <w:pPr>
        <w:kinsoku/>
        <w:spacing w:line="560" w:lineRule="exact"/>
        <w:ind w:left="39" w:right="31"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（3）田间道路工程</w:t>
      </w:r>
    </w:p>
    <w:p w14:paraId="7A661C19">
      <w:pPr>
        <w:kinsoku/>
        <w:spacing w:line="560" w:lineRule="exact"/>
        <w:ind w:left="39" w:right="31"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位于国道317两侧，主要交通网状系统已经初步形成，对外交通便利。项目区田间便道主要是依靠田埂的走向和现有交通的位置分布的，且进入田间作业的机耕道和生产道多为土路或泥结石路面，路面坑洼不平。同时项目区土壤为粘土和壤土相间分布，暴雨后，土路路面粘性很大，农业机械很难完全覆盖耕作区。由于属于土质路面，为杂草等提供了温床，经过现场调查，大部分土质路面都已被杂草覆盖，道路两侧农田遭受杂草侵袭，影响农作物产量。机耕道硬化是农田机械化耕作的需要，是项目区实现高标准农田的需要，是项目区产业发展的需要，也是项目区群众迫切希望。</w:t>
      </w:r>
    </w:p>
    <w:p w14:paraId="3A50ED02">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86" w:name="_Toc23487"/>
      <w:r>
        <w:rPr>
          <w:rFonts w:hint="default" w:ascii="Times New Roman" w:hAnsi="Times New Roman" w:eastAsia="宋体" w:cs="Times New Roman"/>
          <w:smallCaps w:val="0"/>
          <w:color w:val="auto"/>
          <w:spacing w:val="0"/>
          <w:w w:val="100"/>
          <w:highlight w:val="none"/>
        </w:rPr>
        <w:t>2.4.</w:t>
      </w:r>
      <w:r>
        <w:rPr>
          <w:rFonts w:hint="default" w:ascii="Times New Roman" w:hAnsi="Times New Roman" w:eastAsia="宋体" w:cs="Times New Roman"/>
          <w:smallCaps w:val="0"/>
          <w:color w:val="auto"/>
          <w:spacing w:val="0"/>
          <w:w w:val="100"/>
          <w:highlight w:val="none"/>
          <w:lang w:val="en-US" w:eastAsia="zh-CN"/>
        </w:rPr>
        <w:t>4</w:t>
      </w:r>
      <w:r>
        <w:rPr>
          <w:rFonts w:hint="default" w:ascii="Times New Roman" w:hAnsi="Times New Roman" w:eastAsia="宋体" w:cs="Times New Roman"/>
          <w:smallCaps w:val="0"/>
          <w:color w:val="auto"/>
          <w:spacing w:val="0"/>
          <w:w w:val="100"/>
          <w:highlight w:val="none"/>
        </w:rPr>
        <w:t xml:space="preserve"> 新型农业经营主体</w:t>
      </w:r>
      <w:bookmarkEnd w:id="86"/>
    </w:p>
    <w:p w14:paraId="4B4D5488">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全县深化农村改革，逐步建立</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归属清晰、权能完整、流转顺畅、保护严格</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的农村</w:t>
      </w:r>
      <w:r>
        <w:rPr>
          <w:rFonts w:hint="eastAsia" w:ascii="Times New Roman" w:hAnsi="Times New Roman" w:eastAsia="宋体" w:cs="Times New Roman"/>
          <w:smallCaps w:val="0"/>
          <w:color w:val="auto"/>
          <w:spacing w:val="0"/>
          <w:w w:val="100"/>
          <w:sz w:val="30"/>
          <w:szCs w:val="30"/>
          <w:highlight w:val="none"/>
          <w:lang w:val="en-US" w:eastAsia="zh-CN"/>
        </w:rPr>
        <w:t>集体</w:t>
      </w:r>
      <w:r>
        <w:rPr>
          <w:rFonts w:hint="default" w:ascii="Times New Roman" w:hAnsi="Times New Roman" w:eastAsia="宋体" w:cs="Times New Roman"/>
          <w:smallCaps w:val="0"/>
          <w:color w:val="auto"/>
          <w:spacing w:val="0"/>
          <w:w w:val="100"/>
          <w:sz w:val="30"/>
          <w:szCs w:val="30"/>
          <w:highlight w:val="none"/>
          <w:lang w:eastAsia="zh-CN"/>
        </w:rPr>
        <w:t>产权</w:t>
      </w:r>
      <w:r>
        <w:rPr>
          <w:rFonts w:hint="eastAsia" w:ascii="Times New Roman" w:hAnsi="Times New Roman" w:eastAsia="宋体" w:cs="Times New Roman"/>
          <w:smallCaps w:val="0"/>
          <w:color w:val="auto"/>
          <w:spacing w:val="0"/>
          <w:w w:val="100"/>
          <w:sz w:val="30"/>
          <w:szCs w:val="30"/>
          <w:highlight w:val="none"/>
          <w:lang w:val="en-US" w:eastAsia="zh-CN"/>
        </w:rPr>
        <w:t>制度改革</w:t>
      </w:r>
      <w:r>
        <w:rPr>
          <w:rFonts w:hint="default" w:ascii="Times New Roman" w:hAnsi="Times New Roman" w:eastAsia="宋体" w:cs="Times New Roman"/>
          <w:smallCaps w:val="0"/>
          <w:color w:val="auto"/>
          <w:spacing w:val="0"/>
          <w:w w:val="100"/>
          <w:sz w:val="30"/>
          <w:szCs w:val="30"/>
          <w:highlight w:val="none"/>
          <w:lang w:eastAsia="zh-CN"/>
        </w:rPr>
        <w:t>，促进城乡生产要素有序流动。深化农村产权制度改革，全县194个村农村集体经营性资产达22343.9万元，194个村集体经济收入为1653.61万元，生产经营管理费用支出196.32万元，纯收益1457.29万元，其中：收益在1万元以下的村23个，1万一5万元的村56个，5万—10万元的村70个，10万元以上的村45个。</w:t>
      </w:r>
    </w:p>
    <w:p w14:paraId="738D0F84">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年，县党委、政府强化经营主体培育，实施龙头企业培育工程、深入推动家庭农场培育计划和农民合作社规范提升行动。全年成功创建州级专业合作社1个、州级家庭农场1个。</w:t>
      </w:r>
    </w:p>
    <w:p w14:paraId="38D69689">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87" w:name="_Toc7348"/>
      <w:r>
        <w:rPr>
          <w:rFonts w:hint="default" w:ascii="Times New Roman" w:hAnsi="Times New Roman" w:eastAsia="宋体" w:cs="Times New Roman"/>
          <w:smallCaps w:val="0"/>
          <w:color w:val="auto"/>
          <w:spacing w:val="0"/>
          <w:w w:val="100"/>
          <w:highlight w:val="none"/>
        </w:rPr>
        <w:t>2.4.</w:t>
      </w:r>
      <w:r>
        <w:rPr>
          <w:rFonts w:hint="default" w:ascii="Times New Roman" w:hAnsi="Times New Roman" w:eastAsia="宋体" w:cs="Times New Roman"/>
          <w:smallCaps w:val="0"/>
          <w:color w:val="auto"/>
          <w:spacing w:val="0"/>
          <w:w w:val="100"/>
          <w:highlight w:val="none"/>
          <w:lang w:val="en-US" w:eastAsia="zh-CN"/>
        </w:rPr>
        <w:t>5</w:t>
      </w:r>
      <w:r>
        <w:rPr>
          <w:rFonts w:hint="default" w:ascii="Times New Roman" w:hAnsi="Times New Roman" w:eastAsia="宋体" w:cs="Times New Roman"/>
          <w:smallCaps w:val="0"/>
          <w:color w:val="auto"/>
          <w:spacing w:val="0"/>
          <w:w w:val="100"/>
          <w:highlight w:val="none"/>
        </w:rPr>
        <w:t xml:space="preserve"> 农业机械现状及发展趋势</w:t>
      </w:r>
      <w:bookmarkEnd w:id="87"/>
    </w:p>
    <w:p w14:paraId="1F6B52A4">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 xml:space="preserve">甘孜县投入6483万元资金推广各类农业机械989台（套），联合收割机164台，直接受益农户达800余户，合作社5家，涉农牧企业3家。截至目前，全县农机总动力达7.9万千瓦，拥有各类农机3694台、无人植保机6台。2024 年甘孜县农作物耕种收综合机械化化水平达 </w:t>
      </w:r>
      <w:r>
        <w:rPr>
          <w:rFonts w:hint="default" w:ascii="Times New Roman" w:hAnsi="Times New Roman" w:eastAsia="宋体" w:cs="Times New Roman"/>
          <w:color w:val="auto"/>
          <w:spacing w:val="0"/>
          <w:w w:val="100"/>
          <w:sz w:val="30"/>
          <w:szCs w:val="30"/>
          <w:highlight w:val="none"/>
        </w:rPr>
        <w:t>64.9%</w:t>
      </w:r>
      <w:r>
        <w:rPr>
          <w:rFonts w:hint="eastAsia" w:ascii="Times New Roman" w:hAnsi="Times New Roman" w:eastAsia="宋体" w:cs="Times New Roman"/>
          <w:color w:val="auto"/>
          <w:spacing w:val="0"/>
          <w:w w:val="100"/>
          <w:sz w:val="30"/>
          <w:szCs w:val="30"/>
          <w:highlight w:val="none"/>
          <w:lang w:val="en-US" w:eastAsia="zh-CN"/>
        </w:rPr>
        <w:t xml:space="preserve"> </w:t>
      </w:r>
      <w:r>
        <w:rPr>
          <w:rFonts w:hint="default" w:ascii="Times New Roman" w:hAnsi="Times New Roman" w:eastAsia="宋体" w:cs="Times New Roman"/>
          <w:smallCaps w:val="0"/>
          <w:color w:val="auto"/>
          <w:spacing w:val="0"/>
          <w:w w:val="100"/>
          <w:sz w:val="30"/>
          <w:szCs w:val="30"/>
          <w:highlight w:val="none"/>
          <w:lang w:eastAsia="zh-CN"/>
        </w:rPr>
        <w:t>青稞已实现全程机械化，正从机械化向智能化、绿色化、社会化服务升级，马铃薯、豌豆等作物机械化稳步推进</w:t>
      </w:r>
      <w:r>
        <w:rPr>
          <w:rFonts w:hint="eastAsia" w:ascii="Times New Roman" w:hAnsi="Times New Roman" w:eastAsia="宋体" w:cs="Times New Roman"/>
          <w:smallCaps w:val="0"/>
          <w:color w:val="auto"/>
          <w:spacing w:val="0"/>
          <w:w w:val="100"/>
          <w:sz w:val="30"/>
          <w:szCs w:val="30"/>
          <w:highlight w:val="none"/>
          <w:lang w:eastAsia="zh-CN"/>
        </w:rPr>
        <w:t>。</w:t>
      </w:r>
    </w:p>
    <w:p w14:paraId="70B0B9D9">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88" w:name="_Toc6843"/>
      <w:r>
        <w:rPr>
          <w:rFonts w:hint="default" w:ascii="Times New Roman" w:hAnsi="Times New Roman" w:eastAsia="宋体" w:cs="Times New Roman"/>
          <w:smallCaps w:val="0"/>
          <w:color w:val="auto"/>
          <w:spacing w:val="0"/>
          <w:w w:val="100"/>
          <w:highlight w:val="none"/>
        </w:rPr>
        <w:t>2.4.</w:t>
      </w:r>
      <w:r>
        <w:rPr>
          <w:rFonts w:hint="default" w:ascii="Times New Roman" w:hAnsi="Times New Roman" w:cs="Times New Roman"/>
          <w:smallCaps w:val="0"/>
          <w:color w:val="auto"/>
          <w:spacing w:val="0"/>
          <w:w w:val="100"/>
          <w:highlight w:val="none"/>
          <w:lang w:val="en-US" w:eastAsia="zh-CN"/>
        </w:rPr>
        <w:t>6</w:t>
      </w:r>
      <w:r>
        <w:rPr>
          <w:rFonts w:hint="default" w:ascii="Times New Roman" w:hAnsi="Times New Roman" w:eastAsia="宋体" w:cs="Times New Roman"/>
          <w:smallCaps w:val="0"/>
          <w:color w:val="auto"/>
          <w:spacing w:val="0"/>
          <w:w w:val="100"/>
          <w:highlight w:val="none"/>
        </w:rPr>
        <w:t>交通</w:t>
      </w:r>
      <w:bookmarkEnd w:id="88"/>
    </w:p>
    <w:p w14:paraId="3C717DDA">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截至202</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年，全县21个乡（镇）、194个建制村农村公路总里程2011.386公里，其中：县道230.51公里、乡道323.748公里、村道1457.052公里，对外交通十分便利。</w:t>
      </w:r>
    </w:p>
    <w:p w14:paraId="29F6749C">
      <w:pPr>
        <w:kinsoku/>
        <w:spacing w:before="47" w:line="221" w:lineRule="auto"/>
        <w:ind w:left="36"/>
        <w:outlineLvl w:val="1"/>
        <w:rPr>
          <w:rFonts w:hint="default" w:ascii="Times New Roman" w:hAnsi="Times New Roman" w:eastAsia="宋体" w:cs="Times New Roman"/>
          <w:b/>
          <w:bCs/>
          <w:smallCaps w:val="0"/>
          <w:color w:val="auto"/>
          <w:spacing w:val="0"/>
          <w:w w:val="100"/>
          <w:sz w:val="30"/>
          <w:szCs w:val="30"/>
          <w:highlight w:val="none"/>
          <w:lang w:val="en-US" w:eastAsia="zh-CN"/>
        </w:rPr>
      </w:pPr>
      <w:bookmarkStart w:id="89" w:name="_Toc16806"/>
      <w:bookmarkStart w:id="90" w:name="_Toc11035"/>
      <w:bookmarkStart w:id="91" w:name="_Toc14981"/>
      <w:r>
        <w:rPr>
          <w:rFonts w:hint="default" w:ascii="Times New Roman" w:hAnsi="Times New Roman" w:eastAsia="宋体" w:cs="Times New Roman"/>
          <w:b/>
          <w:bCs/>
          <w:smallCaps w:val="0"/>
          <w:color w:val="auto"/>
          <w:spacing w:val="0"/>
          <w:w w:val="100"/>
          <w:sz w:val="30"/>
          <w:szCs w:val="30"/>
          <w:highlight w:val="none"/>
          <w:lang w:eastAsia="zh-CN"/>
        </w:rPr>
        <w:t>2.</w:t>
      </w:r>
      <w:r>
        <w:rPr>
          <w:rFonts w:hint="default" w:ascii="Times New Roman" w:hAnsi="Times New Roman" w:eastAsia="宋体" w:cs="Times New Roman"/>
          <w:b/>
          <w:bCs/>
          <w:smallCaps w:val="0"/>
          <w:color w:val="auto"/>
          <w:spacing w:val="0"/>
          <w:w w:val="100"/>
          <w:sz w:val="30"/>
          <w:szCs w:val="30"/>
          <w:highlight w:val="none"/>
          <w:lang w:val="en-US" w:eastAsia="zh-CN"/>
        </w:rPr>
        <w:t>5</w:t>
      </w:r>
      <w:r>
        <w:rPr>
          <w:rFonts w:hint="default" w:ascii="Times New Roman" w:hAnsi="Times New Roman" w:eastAsia="宋体" w:cs="Times New Roman"/>
          <w:b/>
          <w:bCs/>
          <w:smallCaps w:val="0"/>
          <w:color w:val="auto"/>
          <w:spacing w:val="0"/>
          <w:w w:val="100"/>
          <w:sz w:val="30"/>
          <w:szCs w:val="30"/>
          <w:highlight w:val="none"/>
          <w:lang w:eastAsia="zh-CN"/>
        </w:rPr>
        <w:t xml:space="preserve"> </w:t>
      </w:r>
      <w:r>
        <w:rPr>
          <w:rFonts w:hint="default" w:ascii="Times New Roman" w:hAnsi="Times New Roman" w:eastAsia="宋体" w:cs="Times New Roman"/>
          <w:b/>
          <w:bCs/>
          <w:smallCaps w:val="0"/>
          <w:color w:val="auto"/>
          <w:spacing w:val="0"/>
          <w:w w:val="100"/>
          <w:sz w:val="30"/>
          <w:szCs w:val="30"/>
          <w:highlight w:val="none"/>
          <w:lang w:val="en-US" w:eastAsia="zh-CN"/>
        </w:rPr>
        <w:t>区域规划</w:t>
      </w:r>
      <w:bookmarkEnd w:id="89"/>
      <w:bookmarkEnd w:id="90"/>
      <w:bookmarkEnd w:id="91"/>
    </w:p>
    <w:p w14:paraId="149874D2">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92" w:name="_Toc32466"/>
      <w:r>
        <w:rPr>
          <w:rFonts w:hint="default" w:ascii="Times New Roman" w:hAnsi="Times New Roman" w:eastAsia="宋体" w:cs="Times New Roman"/>
          <w:smallCaps w:val="0"/>
          <w:color w:val="auto"/>
          <w:spacing w:val="0"/>
          <w:w w:val="100"/>
          <w:highlight w:val="none"/>
        </w:rPr>
        <w:t>2.</w:t>
      </w:r>
      <w:r>
        <w:rPr>
          <w:rFonts w:hint="default" w:ascii="Times New Roman" w:hAnsi="Times New Roman" w:eastAsia="宋体" w:cs="Times New Roman"/>
          <w:smallCaps w:val="0"/>
          <w:color w:val="auto"/>
          <w:spacing w:val="0"/>
          <w:w w:val="100"/>
          <w:highlight w:val="none"/>
          <w:lang w:val="en-US" w:eastAsia="zh-CN"/>
        </w:rPr>
        <w:t>5</w:t>
      </w:r>
      <w:r>
        <w:rPr>
          <w:rFonts w:hint="default" w:ascii="Times New Roman" w:hAnsi="Times New Roman" w:eastAsia="宋体" w:cs="Times New Roman"/>
          <w:smallCaps w:val="0"/>
          <w:color w:val="auto"/>
          <w:spacing w:val="0"/>
          <w:w w:val="100"/>
          <w:highlight w:val="none"/>
        </w:rPr>
        <w:t>.</w:t>
      </w:r>
      <w:r>
        <w:rPr>
          <w:rFonts w:hint="default" w:ascii="Times New Roman" w:hAnsi="Times New Roman" w:eastAsia="宋体" w:cs="Times New Roman"/>
          <w:smallCaps w:val="0"/>
          <w:color w:val="auto"/>
          <w:spacing w:val="0"/>
          <w:w w:val="100"/>
          <w:highlight w:val="none"/>
          <w:lang w:val="en-US" w:eastAsia="zh-CN"/>
        </w:rPr>
        <w:t>1</w:t>
      </w:r>
      <w:r>
        <w:rPr>
          <w:rFonts w:hint="default" w:ascii="Times New Roman" w:hAnsi="Times New Roman" w:eastAsia="宋体" w:cs="Times New Roman"/>
          <w:smallCaps w:val="0"/>
          <w:color w:val="auto"/>
          <w:spacing w:val="0"/>
          <w:w w:val="100"/>
          <w:highlight w:val="none"/>
        </w:rPr>
        <w:t xml:space="preserve"> 农牧业发展布局</w:t>
      </w:r>
      <w:bookmarkEnd w:id="92"/>
    </w:p>
    <w:p w14:paraId="71957540">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 xml:space="preserve">紧扣康北粮仓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一块地</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、康北区域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一群牛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、甘孜州副中心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一座城</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、国道 317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一条线</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、县域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一片山</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，提出现代农牧业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2+3+8</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 发展布局，即两大品牌性大产业、三个标志性中产业、八类增收性小产业。</w:t>
      </w:r>
    </w:p>
    <w:p w14:paraId="402DA65B">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93" w:name="_Toc12980"/>
      <w:r>
        <w:rPr>
          <w:rFonts w:hint="default" w:ascii="Times New Roman" w:hAnsi="Times New Roman" w:eastAsia="宋体" w:cs="Times New Roman"/>
          <w:smallCaps w:val="0"/>
          <w:color w:val="auto"/>
          <w:spacing w:val="0"/>
          <w:w w:val="100"/>
          <w:highlight w:val="none"/>
        </w:rPr>
        <w:t>2.</w:t>
      </w:r>
      <w:r>
        <w:rPr>
          <w:rFonts w:hint="default" w:ascii="Times New Roman" w:hAnsi="Times New Roman" w:eastAsia="宋体" w:cs="Times New Roman"/>
          <w:smallCaps w:val="0"/>
          <w:color w:val="auto"/>
          <w:spacing w:val="0"/>
          <w:w w:val="100"/>
          <w:highlight w:val="none"/>
          <w:lang w:val="en-US" w:eastAsia="zh-CN"/>
        </w:rPr>
        <w:t>5</w:t>
      </w:r>
      <w:r>
        <w:rPr>
          <w:rFonts w:hint="default" w:ascii="Times New Roman" w:hAnsi="Times New Roman" w:eastAsia="宋体" w:cs="Times New Roman"/>
          <w:smallCaps w:val="0"/>
          <w:color w:val="auto"/>
          <w:spacing w:val="0"/>
          <w:w w:val="100"/>
          <w:highlight w:val="none"/>
        </w:rPr>
        <w:t>.</w:t>
      </w:r>
      <w:r>
        <w:rPr>
          <w:rFonts w:hint="default" w:ascii="Times New Roman" w:hAnsi="Times New Roman" w:eastAsia="宋体" w:cs="Times New Roman"/>
          <w:smallCaps w:val="0"/>
          <w:color w:val="auto"/>
          <w:spacing w:val="0"/>
          <w:w w:val="100"/>
          <w:highlight w:val="none"/>
          <w:lang w:val="en-US" w:eastAsia="zh-CN"/>
        </w:rPr>
        <w:t>2</w:t>
      </w:r>
      <w:r>
        <w:rPr>
          <w:rFonts w:hint="default" w:ascii="Times New Roman" w:hAnsi="Times New Roman" w:eastAsia="宋体" w:cs="Times New Roman"/>
          <w:smallCaps w:val="0"/>
          <w:color w:val="auto"/>
          <w:spacing w:val="0"/>
          <w:w w:val="100"/>
          <w:highlight w:val="none"/>
        </w:rPr>
        <w:t xml:space="preserve"> 有机产业布局</w:t>
      </w:r>
      <w:bookmarkEnd w:id="93"/>
    </w:p>
    <w:p w14:paraId="0B4D532C">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 xml:space="preserve">对准打造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有机之州</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，加力推动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1+1+N</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 有机产业布局，全面建设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5+N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 有机加工体系，加快打造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3+11</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 有机产品体系。</w:t>
      </w:r>
    </w:p>
    <w:p w14:paraId="74FB17F3">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94" w:name="_Toc4433"/>
      <w:r>
        <w:rPr>
          <w:rFonts w:hint="default" w:ascii="Times New Roman" w:hAnsi="Times New Roman" w:eastAsia="宋体" w:cs="Times New Roman"/>
          <w:smallCaps w:val="0"/>
          <w:color w:val="auto"/>
          <w:spacing w:val="0"/>
          <w:w w:val="100"/>
          <w:highlight w:val="none"/>
        </w:rPr>
        <w:t>2.</w:t>
      </w:r>
      <w:r>
        <w:rPr>
          <w:rFonts w:hint="default" w:ascii="Times New Roman" w:hAnsi="Times New Roman" w:eastAsia="宋体" w:cs="Times New Roman"/>
          <w:smallCaps w:val="0"/>
          <w:color w:val="auto"/>
          <w:spacing w:val="0"/>
          <w:w w:val="100"/>
          <w:highlight w:val="none"/>
          <w:lang w:val="en-US" w:eastAsia="zh-CN"/>
        </w:rPr>
        <w:t>5</w:t>
      </w:r>
      <w:r>
        <w:rPr>
          <w:rFonts w:hint="default" w:ascii="Times New Roman" w:hAnsi="Times New Roman" w:eastAsia="宋体" w:cs="Times New Roman"/>
          <w:smallCaps w:val="0"/>
          <w:color w:val="auto"/>
          <w:spacing w:val="0"/>
          <w:w w:val="100"/>
          <w:highlight w:val="none"/>
        </w:rPr>
        <w:t>.</w:t>
      </w:r>
      <w:r>
        <w:rPr>
          <w:rFonts w:hint="default" w:ascii="Times New Roman" w:hAnsi="Times New Roman" w:eastAsia="宋体" w:cs="Times New Roman"/>
          <w:smallCaps w:val="0"/>
          <w:color w:val="auto"/>
          <w:spacing w:val="0"/>
          <w:w w:val="100"/>
          <w:highlight w:val="none"/>
          <w:lang w:val="en-US" w:eastAsia="zh-CN"/>
        </w:rPr>
        <w:t>3</w:t>
      </w:r>
      <w:r>
        <w:rPr>
          <w:rFonts w:hint="default" w:ascii="Times New Roman" w:hAnsi="Times New Roman" w:eastAsia="宋体" w:cs="Times New Roman"/>
          <w:smallCaps w:val="0"/>
          <w:color w:val="auto"/>
          <w:spacing w:val="0"/>
          <w:w w:val="100"/>
          <w:highlight w:val="none"/>
        </w:rPr>
        <w:t xml:space="preserve"> 牦牛产业集群布局</w:t>
      </w:r>
      <w:bookmarkEnd w:id="94"/>
    </w:p>
    <w:p w14:paraId="1AB0D3C3">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 xml:space="preserve">围绕全州牦牛产业集群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一心、两带、三区</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 建设格局，立足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甘孜牦牛全产业链发展中心</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 定位，大力推动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两园八中心</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 总体布局，</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两园</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 即牦牛现代产业园区、牦牛肉制品加工园区，</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八中心</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 即标准化养殖、可视化交易、牦牛肉精深加工等中心。</w:t>
      </w:r>
    </w:p>
    <w:p w14:paraId="5A66D463">
      <w:pPr>
        <w:kinsoku/>
        <w:spacing w:before="47" w:line="221" w:lineRule="auto"/>
        <w:ind w:left="36"/>
        <w:outlineLvl w:val="1"/>
        <w:rPr>
          <w:rFonts w:hint="default" w:ascii="Times New Roman" w:hAnsi="Times New Roman" w:eastAsia="宋体" w:cs="Times New Roman"/>
          <w:b/>
          <w:bCs/>
          <w:smallCaps w:val="0"/>
          <w:color w:val="auto"/>
          <w:spacing w:val="0"/>
          <w:w w:val="100"/>
          <w:sz w:val="30"/>
          <w:szCs w:val="30"/>
          <w:highlight w:val="none"/>
          <w:lang w:val="en-US" w:eastAsia="zh-CN"/>
        </w:rPr>
      </w:pPr>
      <w:bookmarkStart w:id="95" w:name="_Toc25663"/>
      <w:bookmarkStart w:id="96" w:name="_Toc4449"/>
      <w:bookmarkStart w:id="97" w:name="_Toc28992"/>
      <w:r>
        <w:rPr>
          <w:rFonts w:hint="default" w:ascii="Times New Roman" w:hAnsi="Times New Roman" w:eastAsia="宋体" w:cs="Times New Roman"/>
          <w:b/>
          <w:bCs/>
          <w:smallCaps w:val="0"/>
          <w:color w:val="auto"/>
          <w:spacing w:val="0"/>
          <w:w w:val="100"/>
          <w:sz w:val="30"/>
          <w:szCs w:val="30"/>
          <w:highlight w:val="none"/>
          <w:lang w:eastAsia="zh-CN"/>
        </w:rPr>
        <w:t>2.</w:t>
      </w:r>
      <w:r>
        <w:rPr>
          <w:rFonts w:hint="default" w:ascii="Times New Roman" w:hAnsi="Times New Roman" w:eastAsia="宋体" w:cs="Times New Roman"/>
          <w:b/>
          <w:bCs/>
          <w:smallCaps w:val="0"/>
          <w:color w:val="auto"/>
          <w:spacing w:val="0"/>
          <w:w w:val="100"/>
          <w:sz w:val="30"/>
          <w:szCs w:val="30"/>
          <w:highlight w:val="none"/>
          <w:lang w:val="en-US" w:eastAsia="zh-CN"/>
        </w:rPr>
        <w:t>6产业发展现状</w:t>
      </w:r>
      <w:bookmarkEnd w:id="95"/>
      <w:bookmarkEnd w:id="96"/>
      <w:bookmarkEnd w:id="97"/>
    </w:p>
    <w:p w14:paraId="3E5D0018">
      <w:pPr>
        <w:pStyle w:val="4"/>
        <w:spacing w:before="0" w:after="0" w:line="560" w:lineRule="exact"/>
        <w:rPr>
          <w:rFonts w:hint="default" w:ascii="Times New Roman" w:hAnsi="Times New Roman" w:eastAsia="宋体" w:cs="Times New Roman"/>
          <w:smallCaps w:val="0"/>
          <w:color w:val="auto"/>
          <w:spacing w:val="0"/>
          <w:w w:val="100"/>
          <w:highlight w:val="none"/>
          <w:lang w:val="en-US" w:eastAsia="zh-CN"/>
        </w:rPr>
      </w:pPr>
      <w:bookmarkStart w:id="98" w:name="_Toc23914"/>
      <w:r>
        <w:rPr>
          <w:rFonts w:hint="default" w:ascii="Times New Roman" w:hAnsi="Times New Roman" w:eastAsia="宋体" w:cs="Times New Roman"/>
          <w:smallCaps w:val="0"/>
          <w:color w:val="auto"/>
          <w:spacing w:val="0"/>
          <w:w w:val="100"/>
          <w:highlight w:val="none"/>
        </w:rPr>
        <w:t>2.</w:t>
      </w:r>
      <w:r>
        <w:rPr>
          <w:rFonts w:hint="default" w:ascii="Times New Roman" w:hAnsi="Times New Roman" w:eastAsia="宋体" w:cs="Times New Roman"/>
          <w:smallCaps w:val="0"/>
          <w:color w:val="auto"/>
          <w:spacing w:val="0"/>
          <w:w w:val="100"/>
          <w:highlight w:val="none"/>
          <w:lang w:val="en-US" w:eastAsia="zh-CN"/>
        </w:rPr>
        <w:t>6</w:t>
      </w:r>
      <w:r>
        <w:rPr>
          <w:rFonts w:hint="default" w:ascii="Times New Roman" w:hAnsi="Times New Roman" w:eastAsia="宋体" w:cs="Times New Roman"/>
          <w:smallCaps w:val="0"/>
          <w:color w:val="auto"/>
          <w:spacing w:val="0"/>
          <w:w w:val="100"/>
          <w:highlight w:val="none"/>
        </w:rPr>
        <w:t>.</w:t>
      </w:r>
      <w:r>
        <w:rPr>
          <w:rFonts w:hint="default" w:ascii="Times New Roman" w:hAnsi="Times New Roman" w:eastAsia="宋体" w:cs="Times New Roman"/>
          <w:smallCaps w:val="0"/>
          <w:color w:val="auto"/>
          <w:spacing w:val="0"/>
          <w:w w:val="100"/>
          <w:highlight w:val="none"/>
          <w:lang w:val="en-US" w:eastAsia="zh-CN"/>
        </w:rPr>
        <w:t>1</w:t>
      </w:r>
      <w:r>
        <w:rPr>
          <w:rFonts w:hint="default" w:ascii="Times New Roman" w:hAnsi="Times New Roman" w:eastAsia="宋体" w:cs="Times New Roman"/>
          <w:smallCaps w:val="0"/>
          <w:color w:val="auto"/>
          <w:spacing w:val="0"/>
          <w:w w:val="100"/>
          <w:highlight w:val="none"/>
        </w:rPr>
        <w:t xml:space="preserve"> </w:t>
      </w:r>
      <w:r>
        <w:rPr>
          <w:rFonts w:hint="default" w:ascii="Times New Roman" w:hAnsi="Times New Roman" w:eastAsia="宋体" w:cs="Times New Roman"/>
          <w:smallCaps w:val="0"/>
          <w:color w:val="auto"/>
          <w:spacing w:val="0"/>
          <w:w w:val="100"/>
          <w:highlight w:val="none"/>
          <w:lang w:val="en-US" w:eastAsia="zh-CN"/>
        </w:rPr>
        <w:t>农业方面</w:t>
      </w:r>
      <w:bookmarkEnd w:id="98"/>
    </w:p>
    <w:p w14:paraId="2779C05B">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 xml:space="preserve">基地建设成果显著：围绕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牦牛、青稞、马铃薯</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 三大优势特色产业，建成甘孜州最大的青稞良种核心基地 3000 亩、青稞良种扩繁基地 2 万亩、马铃薯良种基地 3150 亩，1 个标准化牦牛养殖基地，93 个集体牧场，3476个家庭小牧场。</w:t>
      </w:r>
    </w:p>
    <w:p w14:paraId="4C93291B">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标准制定有序推进：先后立项制定《甘孜藏餐通用规范》DB5133/T74-2023、《牦牛架子牛选择和运输技术规范》DB5133/T76-2023多项标准，为农牧业标准化发展提供支撑。</w:t>
      </w:r>
    </w:p>
    <w:p w14:paraId="57291DE2">
      <w:pPr>
        <w:pStyle w:val="4"/>
        <w:spacing w:before="0" w:after="0" w:line="560" w:lineRule="exact"/>
        <w:rPr>
          <w:rFonts w:hint="default" w:ascii="Times New Roman" w:hAnsi="Times New Roman" w:eastAsia="宋体" w:cs="Times New Roman"/>
          <w:smallCaps w:val="0"/>
          <w:color w:val="auto"/>
          <w:spacing w:val="0"/>
          <w:w w:val="100"/>
          <w:highlight w:val="none"/>
          <w:lang w:val="en-US" w:eastAsia="zh-CN"/>
        </w:rPr>
      </w:pPr>
      <w:bookmarkStart w:id="99" w:name="_Toc29903"/>
      <w:r>
        <w:rPr>
          <w:rFonts w:hint="default" w:ascii="Times New Roman" w:hAnsi="Times New Roman" w:eastAsia="宋体" w:cs="Times New Roman"/>
          <w:smallCaps w:val="0"/>
          <w:color w:val="auto"/>
          <w:spacing w:val="0"/>
          <w:w w:val="100"/>
          <w:highlight w:val="none"/>
        </w:rPr>
        <w:t>2.</w:t>
      </w:r>
      <w:r>
        <w:rPr>
          <w:rFonts w:hint="default" w:ascii="Times New Roman" w:hAnsi="Times New Roman" w:eastAsia="宋体" w:cs="Times New Roman"/>
          <w:smallCaps w:val="0"/>
          <w:color w:val="auto"/>
          <w:spacing w:val="0"/>
          <w:w w:val="100"/>
          <w:highlight w:val="none"/>
          <w:lang w:val="en-US" w:eastAsia="zh-CN"/>
        </w:rPr>
        <w:t>6</w:t>
      </w:r>
      <w:r>
        <w:rPr>
          <w:rFonts w:hint="default" w:ascii="Times New Roman" w:hAnsi="Times New Roman" w:eastAsia="宋体" w:cs="Times New Roman"/>
          <w:smallCaps w:val="0"/>
          <w:color w:val="auto"/>
          <w:spacing w:val="0"/>
          <w:w w:val="100"/>
          <w:highlight w:val="none"/>
        </w:rPr>
        <w:t>.</w:t>
      </w:r>
      <w:r>
        <w:rPr>
          <w:rFonts w:hint="default" w:ascii="Times New Roman" w:hAnsi="Times New Roman" w:eastAsia="宋体" w:cs="Times New Roman"/>
          <w:smallCaps w:val="0"/>
          <w:color w:val="auto"/>
          <w:spacing w:val="0"/>
          <w:w w:val="100"/>
          <w:highlight w:val="none"/>
          <w:lang w:val="en-US" w:eastAsia="zh-CN"/>
        </w:rPr>
        <w:t>2</w:t>
      </w:r>
      <w:r>
        <w:rPr>
          <w:rFonts w:hint="default" w:ascii="Times New Roman" w:hAnsi="Times New Roman" w:eastAsia="宋体" w:cs="Times New Roman"/>
          <w:smallCaps w:val="0"/>
          <w:color w:val="auto"/>
          <w:spacing w:val="0"/>
          <w:w w:val="100"/>
          <w:highlight w:val="none"/>
        </w:rPr>
        <w:t xml:space="preserve"> </w:t>
      </w:r>
      <w:r>
        <w:rPr>
          <w:rFonts w:hint="default" w:ascii="Times New Roman" w:hAnsi="Times New Roman" w:eastAsia="宋体" w:cs="Times New Roman"/>
          <w:smallCaps w:val="0"/>
          <w:color w:val="auto"/>
          <w:spacing w:val="0"/>
          <w:w w:val="100"/>
          <w:highlight w:val="none"/>
          <w:lang w:val="en-US" w:eastAsia="zh-CN"/>
        </w:rPr>
        <w:t>工业方面</w:t>
      </w:r>
      <w:bookmarkEnd w:id="99"/>
    </w:p>
    <w:p w14:paraId="4E573823">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园区建设成效初显：建成亚克甘孜国家级牦牛产业集群中心标准化养殖和可视化交易园区、牦牛肉制品加工园区、青稞现代农业产业园区、农特产品加工与冷链仓储物流园区等，培育省四星级现代农业园区 1 个，州四星级牦牛产业园区 1 个。</w:t>
      </w:r>
    </w:p>
    <w:p w14:paraId="58C85BE2">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 xml:space="preserve">龙头企业带动有力：培育国家级龙头企业 1 家，州级龙头企业 2 家。如康巴拉绿色食品有限公司，主要从事牦牛养殖、屠宰、深加工、冷链仓储及销售，全面实施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亚克甘孜 + 企业品牌</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 双品牌战略。</w:t>
      </w:r>
    </w:p>
    <w:p w14:paraId="44ECAF24">
      <w:pPr>
        <w:pStyle w:val="4"/>
        <w:spacing w:before="0" w:after="0" w:line="560" w:lineRule="exact"/>
        <w:rPr>
          <w:rFonts w:hint="default" w:ascii="Times New Roman" w:hAnsi="Times New Roman" w:eastAsia="宋体" w:cs="Times New Roman"/>
          <w:smallCaps w:val="0"/>
          <w:color w:val="auto"/>
          <w:spacing w:val="0"/>
          <w:w w:val="100"/>
          <w:highlight w:val="none"/>
          <w:lang w:val="en-US" w:eastAsia="zh-CN"/>
        </w:rPr>
      </w:pPr>
      <w:bookmarkStart w:id="100" w:name="_Toc23437"/>
      <w:r>
        <w:rPr>
          <w:rFonts w:hint="default" w:ascii="Times New Roman" w:hAnsi="Times New Roman" w:eastAsia="宋体" w:cs="Times New Roman"/>
          <w:smallCaps w:val="0"/>
          <w:color w:val="auto"/>
          <w:spacing w:val="0"/>
          <w:w w:val="100"/>
          <w:highlight w:val="none"/>
        </w:rPr>
        <w:t>2.</w:t>
      </w:r>
      <w:r>
        <w:rPr>
          <w:rFonts w:hint="default" w:ascii="Times New Roman" w:hAnsi="Times New Roman" w:eastAsia="宋体" w:cs="Times New Roman"/>
          <w:smallCaps w:val="0"/>
          <w:color w:val="auto"/>
          <w:spacing w:val="0"/>
          <w:w w:val="100"/>
          <w:highlight w:val="none"/>
          <w:lang w:val="en-US" w:eastAsia="zh-CN"/>
        </w:rPr>
        <w:t>6</w:t>
      </w:r>
      <w:r>
        <w:rPr>
          <w:rFonts w:hint="default" w:ascii="Times New Roman" w:hAnsi="Times New Roman" w:eastAsia="宋体" w:cs="Times New Roman"/>
          <w:smallCaps w:val="0"/>
          <w:color w:val="auto"/>
          <w:spacing w:val="0"/>
          <w:w w:val="100"/>
          <w:highlight w:val="none"/>
        </w:rPr>
        <w:t>.</w:t>
      </w:r>
      <w:r>
        <w:rPr>
          <w:rFonts w:hint="default" w:ascii="Times New Roman" w:hAnsi="Times New Roman" w:eastAsia="宋体" w:cs="Times New Roman"/>
          <w:smallCaps w:val="0"/>
          <w:color w:val="auto"/>
          <w:spacing w:val="0"/>
          <w:w w:val="100"/>
          <w:highlight w:val="none"/>
          <w:lang w:val="en-US" w:eastAsia="zh-CN"/>
        </w:rPr>
        <w:t>3</w:t>
      </w:r>
      <w:r>
        <w:rPr>
          <w:rFonts w:hint="default" w:ascii="Times New Roman" w:hAnsi="Times New Roman" w:eastAsia="宋体" w:cs="Times New Roman"/>
          <w:smallCaps w:val="0"/>
          <w:color w:val="auto"/>
          <w:spacing w:val="0"/>
          <w:w w:val="100"/>
          <w:highlight w:val="none"/>
        </w:rPr>
        <w:t xml:space="preserve"> </w:t>
      </w:r>
      <w:r>
        <w:rPr>
          <w:rFonts w:hint="default" w:ascii="Times New Roman" w:hAnsi="Times New Roman" w:eastAsia="宋体" w:cs="Times New Roman"/>
          <w:smallCaps w:val="0"/>
          <w:color w:val="auto"/>
          <w:spacing w:val="0"/>
          <w:w w:val="100"/>
          <w:highlight w:val="none"/>
          <w:lang w:val="en-US" w:eastAsia="zh-CN"/>
        </w:rPr>
        <w:t>文旅及手工业方面</w:t>
      </w:r>
      <w:bookmarkEnd w:id="100"/>
    </w:p>
    <w:p w14:paraId="5051397A">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 xml:space="preserve">手工艺产业发展迅速：四通达乡成为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民族手工艺之乡</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，并于 2023 年启动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罗布林手造</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 xml:space="preserve"> 孵化园项目，2024 年 5 月开园，有 23 户手工艺商家入驻，涵盖民族服饰制作、唐卡绘画等 5 类民族手工艺，开园后订单销售额已超 67 万元，还带动了相关产业链的形成。</w:t>
      </w:r>
    </w:p>
    <w:p w14:paraId="3CA52075">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文旅融合初现端倪：以格萨尔青稞文化园为例，该园以高原青稞产业为核心，融合青稞文化与格萨尔文化，集多种功能于一体，是文旅融合的一个探索。此外，当地可能还有其他依托自然景观和民族文化的潜在文旅资源有待进一步开发和整合。</w:t>
      </w:r>
    </w:p>
    <w:p w14:paraId="0EE75D76">
      <w:pPr>
        <w:rPr>
          <w:rFonts w:hint="default" w:ascii="Times New Roman" w:hAnsi="Times New Roman" w:eastAsia="宋体" w:cs="Times New Roman"/>
          <w:smallCaps w:val="0"/>
          <w:color w:val="auto"/>
          <w:spacing w:val="0"/>
          <w:w w:val="100"/>
          <w:highlight w:val="none"/>
          <w:lang w:val="en-US" w:eastAsia="zh-CN"/>
        </w:rPr>
      </w:pPr>
    </w:p>
    <w:p w14:paraId="1D7C3DE9">
      <w:pPr>
        <w:kinsoku/>
        <w:spacing w:line="560" w:lineRule="exact"/>
        <w:ind w:left="39" w:right="78" w:firstLine="605"/>
        <w:jc w:val="both"/>
        <w:rPr>
          <w:rFonts w:hint="default" w:ascii="Times New Roman" w:hAnsi="Times New Roman" w:eastAsia="宋体" w:cs="Times New Roman"/>
          <w:smallCaps w:val="0"/>
          <w:color w:val="auto"/>
          <w:spacing w:val="0"/>
          <w:w w:val="100"/>
          <w:sz w:val="30"/>
          <w:szCs w:val="30"/>
          <w:highlight w:val="none"/>
          <w:lang w:eastAsia="zh-CN"/>
        </w:rPr>
        <w:sectPr>
          <w:pgSz w:w="11900" w:h="16840"/>
          <w:pgMar w:top="1134" w:right="1418" w:bottom="1134" w:left="1417" w:header="862" w:footer="1214" w:gutter="0"/>
          <w:pgBorders>
            <w:top w:val="none" w:sz="0" w:space="0"/>
            <w:left w:val="none" w:sz="0" w:space="0"/>
            <w:bottom w:val="none" w:sz="0" w:space="0"/>
            <w:right w:val="none" w:sz="0" w:space="0"/>
          </w:pgBorders>
          <w:pgNumType w:fmt="numberInDash"/>
          <w:cols w:space="720" w:num="1"/>
        </w:sectPr>
      </w:pPr>
    </w:p>
    <w:p w14:paraId="4E5831EC">
      <w:pPr>
        <w:kinsoku/>
        <w:spacing w:line="560" w:lineRule="exact"/>
        <w:ind w:left="2116"/>
        <w:outlineLvl w:val="0"/>
        <w:rPr>
          <w:rFonts w:hint="default" w:ascii="Times New Roman" w:hAnsi="Times New Roman" w:eastAsia="宋体" w:cs="Times New Roman"/>
          <w:b/>
          <w:bCs/>
          <w:smallCaps w:val="0"/>
          <w:color w:val="auto"/>
          <w:spacing w:val="0"/>
          <w:w w:val="100"/>
          <w:sz w:val="36"/>
          <w:szCs w:val="36"/>
          <w:highlight w:val="none"/>
          <w:lang w:eastAsia="zh-CN"/>
        </w:rPr>
      </w:pPr>
      <w:bookmarkStart w:id="101" w:name="bookmark18"/>
      <w:bookmarkEnd w:id="101"/>
      <w:bookmarkStart w:id="102" w:name="_Toc27737"/>
      <w:bookmarkStart w:id="103" w:name="_Toc11018"/>
      <w:bookmarkStart w:id="104" w:name="_Toc575"/>
      <w:r>
        <w:rPr>
          <w:rFonts w:hint="default" w:ascii="Times New Roman" w:hAnsi="Times New Roman" w:eastAsia="宋体" w:cs="Times New Roman"/>
          <w:b/>
          <w:bCs/>
          <w:smallCaps w:val="0"/>
          <w:color w:val="auto"/>
          <w:spacing w:val="0"/>
          <w:w w:val="100"/>
          <w:sz w:val="36"/>
          <w:szCs w:val="36"/>
          <w:highlight w:val="none"/>
          <w:lang w:eastAsia="zh-CN"/>
        </w:rPr>
        <w:t>第三章</w:t>
      </w:r>
      <w:r>
        <w:rPr>
          <w:rFonts w:hint="default" w:ascii="Times New Roman" w:hAnsi="Times New Roman" w:eastAsia="宋体" w:cs="Times New Roman"/>
          <w:smallCaps w:val="0"/>
          <w:color w:val="auto"/>
          <w:spacing w:val="0"/>
          <w:w w:val="100"/>
          <w:sz w:val="36"/>
          <w:szCs w:val="36"/>
          <w:highlight w:val="none"/>
          <w:lang w:eastAsia="zh-CN"/>
        </w:rPr>
        <w:t xml:space="preserve"> </w:t>
      </w:r>
      <w:r>
        <w:rPr>
          <w:rFonts w:hint="default" w:ascii="Times New Roman" w:hAnsi="Times New Roman" w:eastAsia="宋体" w:cs="Times New Roman"/>
          <w:b/>
          <w:bCs/>
          <w:smallCaps w:val="0"/>
          <w:color w:val="auto"/>
          <w:spacing w:val="0"/>
          <w:w w:val="100"/>
          <w:sz w:val="36"/>
          <w:szCs w:val="36"/>
          <w:highlight w:val="none"/>
          <w:lang w:eastAsia="zh-CN"/>
        </w:rPr>
        <w:t>项目建设的必要性</w:t>
      </w:r>
      <w:bookmarkEnd w:id="102"/>
      <w:bookmarkEnd w:id="103"/>
      <w:bookmarkEnd w:id="104"/>
    </w:p>
    <w:p w14:paraId="3BBB2372">
      <w:pPr>
        <w:kinsoku/>
        <w:spacing w:line="560" w:lineRule="exact"/>
        <w:ind w:left="39" w:right="60" w:firstLine="605"/>
        <w:jc w:val="both"/>
        <w:rPr>
          <w:rFonts w:hint="default" w:ascii="Times New Roman" w:hAnsi="Times New Roman" w:eastAsia="宋体" w:cs="Times New Roman"/>
          <w:smallCaps w:val="0"/>
          <w:snapToGrid w:val="0"/>
          <w:color w:val="auto"/>
          <w:spacing w:val="0"/>
          <w:w w:val="100"/>
          <w:sz w:val="30"/>
          <w:szCs w:val="30"/>
          <w:highlight w:val="none"/>
          <w:lang w:val="en-US" w:eastAsia="zh-CN" w:bidi="ar-SA"/>
        </w:rPr>
      </w:pPr>
      <w:r>
        <w:rPr>
          <w:rFonts w:hint="default" w:ascii="Times New Roman" w:hAnsi="Times New Roman" w:eastAsia="宋体" w:cs="Times New Roman"/>
          <w:smallCaps w:val="0"/>
          <w:color w:val="auto"/>
          <w:spacing w:val="0"/>
          <w:w w:val="100"/>
          <w:sz w:val="30"/>
          <w:szCs w:val="30"/>
          <w:highlight w:val="none"/>
          <w:lang w:eastAsia="zh-CN"/>
        </w:rPr>
        <w:t>全县农业工作按照县委</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12345</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重大举措，坚持</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2+3+8</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农牧产业总体发展布局，围绕</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一片地、一群牛</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深入实施</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农牧再塑甘孜</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重大工程，突出</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牦牛、青稞</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优质特色产业，全面推进乡村振兴取得新进展、农业农村现代化迈出新步伐。</w:t>
      </w:r>
      <w:bookmarkStart w:id="105" w:name="_Toc1327"/>
      <w:bookmarkStart w:id="106" w:name="_Toc30890"/>
      <w:bookmarkStart w:id="107" w:name="_Toc6235"/>
    </w:p>
    <w:p w14:paraId="288011EA">
      <w:pPr>
        <w:kinsoku/>
        <w:spacing w:line="560" w:lineRule="exact"/>
        <w:ind w:left="33"/>
        <w:outlineLvl w:val="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3.1 项目区农业和农村经济发展的制约因素</w:t>
      </w:r>
      <w:bookmarkEnd w:id="105"/>
      <w:bookmarkEnd w:id="106"/>
      <w:bookmarkEnd w:id="107"/>
    </w:p>
    <w:p w14:paraId="543BF60E">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08" w:name="_Toc9888"/>
      <w:r>
        <w:rPr>
          <w:rFonts w:hint="default" w:ascii="Times New Roman" w:hAnsi="Times New Roman" w:eastAsia="宋体" w:cs="Times New Roman"/>
          <w:smallCaps w:val="0"/>
          <w:color w:val="auto"/>
          <w:spacing w:val="0"/>
          <w:w w:val="100"/>
          <w:highlight w:val="none"/>
        </w:rPr>
        <w:t>3.1.1 农业基础条件</w:t>
      </w:r>
      <w:bookmarkEnd w:id="108"/>
    </w:p>
    <w:p w14:paraId="3119E051">
      <w:pPr>
        <w:kinsoku/>
        <w:spacing w:line="560" w:lineRule="exact"/>
        <w:ind w:left="48" w:left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（1）农田水利设施制约因素</w:t>
      </w:r>
    </w:p>
    <w:p w14:paraId="1B5B4BD5">
      <w:pPr>
        <w:kinsoku/>
        <w:spacing w:line="560" w:lineRule="exact"/>
        <w:ind w:left="39" w:right="60" w:firstLine="605"/>
        <w:jc w:val="both"/>
        <w:outlineLvl w:val="9"/>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由于特殊的地理地形条件，农业种植结构单一，种植作物需水量不大，项目区水利设施薄弱，部分区域还存在阶段性缺水现象。导致中低产田土比例大，改造开发任务重。由于灌溉不足及交通不便，导致部分田地荒废，制约了粮食的增产增收。整个项目区新科技、新技术普及率不高，农业综合生产能力低，生产方式落后等是制约项目区农业和农村经济发展的主要因素，</w:t>
      </w:r>
      <w:r>
        <w:rPr>
          <w:rFonts w:hint="default" w:ascii="Times New Roman" w:hAnsi="Times New Roman" w:eastAsia="宋体" w:cs="Times New Roman"/>
          <w:smallCaps w:val="0"/>
          <w:color w:val="auto"/>
          <w:spacing w:val="0"/>
          <w:w w:val="100"/>
          <w:sz w:val="30"/>
          <w:szCs w:val="30"/>
          <w:highlight w:val="none"/>
          <w:lang w:val="en-US" w:eastAsia="zh-CN"/>
        </w:rPr>
        <w:t>现状渠系水利用系数为0.58，田间水利用系数0.85，灌溉水利用系数0.49。</w:t>
      </w:r>
    </w:p>
    <w:p w14:paraId="1BF5C8D0">
      <w:pPr>
        <w:kinsoku/>
        <w:spacing w:line="560" w:lineRule="exact"/>
        <w:ind w:left="48" w:leftChars="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（2）田间道路制约因素</w:t>
      </w:r>
    </w:p>
    <w:p w14:paraId="53EBE67A">
      <w:pPr>
        <w:kinsoku/>
        <w:spacing w:line="560" w:lineRule="exact"/>
        <w:ind w:left="39" w:right="60" w:firstLine="605"/>
        <w:jc w:val="both"/>
        <w:outlineLvl w:val="9"/>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项目区基本形成了以国道317、县道、乡道及村道相互连接贯通的交通网络，但部分区域仍有断头路，道路未全部连通，给当地老百姓的生产、生活带来极大不便。进入田间作业的机耕道和生产道多为土路或泥结石路面，路面坑洼不平，农用物资及农副产品的运输极为不便，</w:t>
      </w:r>
      <w:r>
        <w:rPr>
          <w:rFonts w:hint="eastAsia" w:ascii="Times New Roman" w:hAnsi="Times New Roman" w:eastAsia="宋体" w:cs="Times New Roman"/>
          <w:smallCaps w:val="0"/>
          <w:color w:val="auto"/>
          <w:spacing w:val="0"/>
          <w:w w:val="100"/>
          <w:sz w:val="30"/>
          <w:szCs w:val="30"/>
          <w:highlight w:val="none"/>
          <w:lang w:val="en-US" w:eastAsia="zh-CN"/>
        </w:rPr>
        <w:t>农业机械无法进入</w:t>
      </w:r>
      <w:r>
        <w:rPr>
          <w:rFonts w:hint="default" w:ascii="Times New Roman" w:hAnsi="Times New Roman" w:eastAsia="宋体" w:cs="Times New Roman"/>
          <w:smallCaps w:val="0"/>
          <w:color w:val="auto"/>
          <w:spacing w:val="0"/>
          <w:w w:val="100"/>
          <w:sz w:val="30"/>
          <w:szCs w:val="30"/>
          <w:highlight w:val="none"/>
          <w:lang w:eastAsia="zh-CN"/>
        </w:rPr>
        <w:t>，给农业机械的推广带来严重影响。</w:t>
      </w:r>
      <w:r>
        <w:rPr>
          <w:rFonts w:hint="default" w:ascii="Times New Roman" w:hAnsi="Times New Roman" w:eastAsia="宋体" w:cs="Times New Roman"/>
          <w:smallCaps w:val="0"/>
          <w:color w:val="auto"/>
          <w:spacing w:val="0"/>
          <w:w w:val="100"/>
          <w:sz w:val="30"/>
          <w:szCs w:val="30"/>
          <w:highlight w:val="none"/>
          <w:lang w:val="en-US" w:eastAsia="zh-CN"/>
        </w:rPr>
        <w:t>部分农田区域缺乏道路，</w:t>
      </w:r>
      <w:r>
        <w:rPr>
          <w:rFonts w:hint="eastAsia" w:ascii="Times New Roman" w:hAnsi="Times New Roman" w:eastAsia="宋体" w:cs="Times New Roman"/>
          <w:smallCaps w:val="0"/>
          <w:color w:val="auto"/>
          <w:spacing w:val="0"/>
          <w:w w:val="100"/>
          <w:sz w:val="30"/>
          <w:szCs w:val="30"/>
          <w:highlight w:val="none"/>
          <w:lang w:val="en-US" w:eastAsia="zh-CN"/>
        </w:rPr>
        <w:t>农用物质和</w:t>
      </w:r>
      <w:r>
        <w:rPr>
          <w:rFonts w:hint="default" w:ascii="Times New Roman" w:hAnsi="Times New Roman" w:eastAsia="宋体" w:cs="Times New Roman"/>
          <w:smallCaps w:val="0"/>
          <w:color w:val="auto"/>
          <w:spacing w:val="0"/>
          <w:w w:val="100"/>
          <w:sz w:val="30"/>
          <w:szCs w:val="30"/>
          <w:highlight w:val="none"/>
          <w:lang w:eastAsia="zh-CN"/>
        </w:rPr>
        <w:t>农产品运输困难，严重制约了农业和农村经济的发展，</w:t>
      </w:r>
      <w:r>
        <w:rPr>
          <w:rFonts w:hint="default" w:ascii="Times New Roman" w:hAnsi="Times New Roman" w:eastAsia="宋体" w:cs="Times New Roman"/>
          <w:smallCaps w:val="0"/>
          <w:color w:val="auto"/>
          <w:spacing w:val="0"/>
          <w:w w:val="100"/>
          <w:sz w:val="30"/>
          <w:szCs w:val="30"/>
          <w:highlight w:val="none"/>
          <w:lang w:val="en-US" w:eastAsia="zh-CN"/>
        </w:rPr>
        <w:t>田间道路通达率</w:t>
      </w:r>
      <w:r>
        <w:rPr>
          <w:rFonts w:hint="eastAsia" w:ascii="Times New Roman" w:hAnsi="Times New Roman" w:eastAsia="宋体" w:cs="Times New Roman"/>
          <w:smallCaps w:val="0"/>
          <w:color w:val="auto"/>
          <w:spacing w:val="0"/>
          <w:w w:val="100"/>
          <w:sz w:val="30"/>
          <w:szCs w:val="30"/>
          <w:highlight w:val="none"/>
          <w:lang w:val="en-US" w:eastAsia="zh-CN"/>
        </w:rPr>
        <w:t>较低</w:t>
      </w:r>
      <w:r>
        <w:rPr>
          <w:rFonts w:hint="default" w:ascii="Times New Roman" w:hAnsi="Times New Roman" w:eastAsia="宋体" w:cs="Times New Roman"/>
          <w:smallCaps w:val="0"/>
          <w:color w:val="auto"/>
          <w:spacing w:val="0"/>
          <w:w w:val="100"/>
          <w:sz w:val="30"/>
          <w:szCs w:val="30"/>
          <w:highlight w:val="none"/>
          <w:lang w:val="en-US" w:eastAsia="zh-CN"/>
        </w:rPr>
        <w:t>。</w:t>
      </w:r>
    </w:p>
    <w:p w14:paraId="0B78973A">
      <w:pPr>
        <w:kinsoku/>
        <w:spacing w:line="560" w:lineRule="exact"/>
        <w:ind w:left="48" w:leftChars="0"/>
        <w:outlineLvl w:val="9"/>
        <w:rPr>
          <w:rFonts w:hint="default" w:ascii="Times New Roman" w:hAnsi="Times New Roman" w:eastAsia="宋体" w:cs="Times New Roman"/>
          <w:smallCaps w:val="0"/>
          <w:color w:val="auto"/>
          <w:spacing w:val="0"/>
          <w:w w:val="100"/>
          <w:sz w:val="30"/>
          <w:szCs w:val="30"/>
          <w:highlight w:val="none"/>
          <w:lang w:eastAsia="zh-CN"/>
        </w:rPr>
      </w:pPr>
      <w:bookmarkStart w:id="109" w:name="bookmark57"/>
      <w:bookmarkEnd w:id="109"/>
      <w:r>
        <w:rPr>
          <w:rFonts w:hint="default" w:ascii="Times New Roman" w:hAnsi="Times New Roman" w:eastAsia="宋体" w:cs="Times New Roman"/>
          <w:b/>
          <w:bCs/>
          <w:smallCaps w:val="0"/>
          <w:color w:val="auto"/>
          <w:spacing w:val="0"/>
          <w:w w:val="100"/>
          <w:sz w:val="30"/>
          <w:szCs w:val="30"/>
          <w:highlight w:val="none"/>
          <w:lang w:eastAsia="zh-CN"/>
        </w:rPr>
        <w:t>（3）田块小块碎化及田块内块石含量的制约因素</w:t>
      </w:r>
    </w:p>
    <w:p w14:paraId="2974D553">
      <w:pPr>
        <w:kinsoku/>
        <w:spacing w:line="560" w:lineRule="exact"/>
        <w:ind w:left="40" w:firstLine="604"/>
        <w:jc w:val="both"/>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目前，项目区部分田</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eastAsia="zh-CN"/>
        </w:rPr>
        <w:t>土</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eastAsia="zh-CN"/>
        </w:rPr>
        <w:t>块小且土地不平整，田地埂弯曲，土地高低不平，水量分配不均。只有通过调整作物结构适应项目区田</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eastAsia="zh-CN"/>
        </w:rPr>
        <w:t>土</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eastAsia="zh-CN"/>
        </w:rPr>
        <w:t>块的布局，使得同一种作物不能成片种植，无法实现规模化、机械化生产。群众种植和收获只能靠传统的生产模式，生产力低下。部分农田土地一直由农户自主经营。此种因素约束了项目区粮食等农作物规模化、机械化生产，降低了项目区农业的生产效率。</w:t>
      </w:r>
    </w:p>
    <w:p w14:paraId="6C4BCE6B">
      <w:pPr>
        <w:kinsoku/>
        <w:spacing w:line="560" w:lineRule="exact"/>
        <w:ind w:left="40" w:firstLine="604"/>
        <w:jc w:val="both"/>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此外，部分耕种区域内，田块内存在块石，导致</w:t>
      </w:r>
      <w:r>
        <w:rPr>
          <w:rFonts w:hint="eastAsia" w:ascii="Times New Roman" w:hAnsi="Times New Roman" w:eastAsia="宋体" w:cs="Times New Roman"/>
          <w:smallCaps w:val="0"/>
          <w:color w:val="auto"/>
          <w:spacing w:val="0"/>
          <w:w w:val="100"/>
          <w:sz w:val="30"/>
          <w:szCs w:val="30"/>
          <w:highlight w:val="none"/>
          <w:lang w:val="en-US" w:eastAsia="zh-CN"/>
        </w:rPr>
        <w:t>宜机作业条件差不便于农业机械使用、推广</w:t>
      </w:r>
      <w:r>
        <w:rPr>
          <w:rFonts w:hint="default" w:ascii="Times New Roman" w:hAnsi="Times New Roman" w:eastAsia="宋体" w:cs="Times New Roman"/>
          <w:smallCaps w:val="0"/>
          <w:color w:val="auto"/>
          <w:spacing w:val="0"/>
          <w:w w:val="100"/>
          <w:sz w:val="30"/>
          <w:szCs w:val="30"/>
          <w:highlight w:val="none"/>
          <w:lang w:eastAsia="zh-CN"/>
        </w:rPr>
        <w:t>，制约了农业机械化水平的提升，劳动生产力</w:t>
      </w:r>
      <w:r>
        <w:rPr>
          <w:rFonts w:hint="default" w:ascii="Times New Roman" w:hAnsi="Times New Roman" w:eastAsia="宋体" w:cs="Times New Roman"/>
          <w:smallCaps w:val="0"/>
          <w:color w:val="auto"/>
          <w:spacing w:val="0"/>
          <w:w w:val="100"/>
          <w:sz w:val="30"/>
          <w:szCs w:val="30"/>
          <w:highlight w:val="none"/>
          <w:lang w:val="en-US" w:eastAsia="zh-CN"/>
        </w:rPr>
        <w:t>效</w:t>
      </w:r>
      <w:r>
        <w:rPr>
          <w:rFonts w:hint="default" w:ascii="Times New Roman" w:hAnsi="Times New Roman" w:eastAsia="宋体" w:cs="Times New Roman"/>
          <w:smallCaps w:val="0"/>
          <w:color w:val="auto"/>
          <w:spacing w:val="0"/>
          <w:w w:val="100"/>
          <w:sz w:val="30"/>
          <w:szCs w:val="30"/>
          <w:highlight w:val="none"/>
          <w:lang w:eastAsia="zh-CN"/>
        </w:rPr>
        <w:t>率低。</w:t>
      </w:r>
    </w:p>
    <w:p w14:paraId="2C4E4012">
      <w:pPr>
        <w:kinsoku/>
        <w:spacing w:line="560" w:lineRule="exact"/>
        <w:ind w:left="40" w:firstLine="604"/>
        <w:jc w:val="both"/>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中低产田土壤理化性状不良、土壤肥力不高、灌溉保证率低，制约了耕地综合生产能力的提高。按照农业农村部颁发的《全国耕地地力等级划分标准》与同类土壤的高产田地力比较，耕地地力水平差。同时，重产出、轻投入用地不养地，导致土壤肥力逐步下降。必须通过高标准农田建设，提高水资源利用率，从而提高耕地综合生产能力，保持耕地地力，才能为项目区农业产业化发展夯实基础。</w:t>
      </w:r>
    </w:p>
    <w:p w14:paraId="29002580">
      <w:pPr>
        <w:kinsoku/>
        <w:spacing w:line="560" w:lineRule="exact"/>
        <w:ind w:left="48" w:leftChars="0"/>
        <w:outlineLvl w:val="9"/>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w:t>
      </w:r>
      <w:r>
        <w:rPr>
          <w:rFonts w:hint="default" w:ascii="Times New Roman" w:hAnsi="Times New Roman" w:eastAsia="宋体" w:cs="Times New Roman"/>
          <w:b/>
          <w:bCs/>
          <w:smallCaps w:val="0"/>
          <w:color w:val="auto"/>
          <w:spacing w:val="0"/>
          <w:w w:val="100"/>
          <w:sz w:val="30"/>
          <w:szCs w:val="30"/>
          <w:highlight w:val="none"/>
          <w:lang w:val="en-US" w:eastAsia="zh-CN"/>
        </w:rPr>
        <w:t>4</w:t>
      </w:r>
      <w:r>
        <w:rPr>
          <w:rFonts w:hint="default" w:ascii="Times New Roman" w:hAnsi="Times New Roman" w:eastAsia="宋体" w:cs="Times New Roman"/>
          <w:b/>
          <w:bCs/>
          <w:smallCaps w:val="0"/>
          <w:color w:val="auto"/>
          <w:spacing w:val="0"/>
          <w:w w:val="100"/>
          <w:sz w:val="30"/>
          <w:szCs w:val="30"/>
          <w:highlight w:val="none"/>
          <w:lang w:eastAsia="zh-CN"/>
        </w:rPr>
        <w:t>）甘牧区与农田交错分布，散养牲畜、野生动物</w:t>
      </w:r>
      <w:r>
        <w:rPr>
          <w:rFonts w:hint="default" w:ascii="Times New Roman" w:hAnsi="Times New Roman" w:eastAsia="宋体" w:cs="Times New Roman"/>
          <w:b/>
          <w:bCs/>
          <w:smallCaps w:val="0"/>
          <w:color w:val="auto"/>
          <w:spacing w:val="0"/>
          <w:w w:val="100"/>
          <w:sz w:val="30"/>
          <w:szCs w:val="30"/>
          <w:highlight w:val="none"/>
          <w:lang w:val="en-US" w:eastAsia="zh-CN"/>
        </w:rPr>
        <w:t>的制约</w:t>
      </w:r>
      <w:r>
        <w:rPr>
          <w:rFonts w:hint="default" w:ascii="Times New Roman" w:hAnsi="Times New Roman" w:eastAsia="宋体" w:cs="Times New Roman"/>
          <w:b/>
          <w:bCs/>
          <w:smallCaps w:val="0"/>
          <w:color w:val="auto"/>
          <w:spacing w:val="0"/>
          <w:w w:val="100"/>
          <w:sz w:val="30"/>
          <w:szCs w:val="30"/>
          <w:highlight w:val="none"/>
          <w:lang w:eastAsia="zh-CN"/>
        </w:rPr>
        <w:t>因素</w:t>
      </w:r>
    </w:p>
    <w:p w14:paraId="7D1EB1CD">
      <w:pPr>
        <w:kinsoku/>
        <w:spacing w:line="560" w:lineRule="exact"/>
        <w:ind w:left="40" w:firstLine="604"/>
        <w:jc w:val="both"/>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项目区</w:t>
      </w:r>
      <w:r>
        <w:rPr>
          <w:rFonts w:hint="default" w:ascii="Times New Roman" w:hAnsi="Times New Roman" w:eastAsia="宋体" w:cs="Times New Roman"/>
          <w:smallCaps w:val="0"/>
          <w:color w:val="auto"/>
          <w:spacing w:val="0"/>
          <w:w w:val="100"/>
          <w:sz w:val="30"/>
          <w:szCs w:val="30"/>
          <w:highlight w:val="none"/>
          <w:lang w:eastAsia="zh-CN"/>
        </w:rPr>
        <w:t>牧区与农田交错分布，散养牲畜踩踏啃食、野生动物闯入觅食的问题频发，直接导致农作物减产甚至绝收，严重侵蚀村民的耕作收益。长期的农田破坏问题，会让村民因投入与产出不成正比而逐渐丧失耕种热情。推进高标准农田建设项目，农田防护设施是重要的配套内容，能够消除村民的后顾之忧，让村民愿意投入更多人力、物力用于田间管理和良种推广，进而激发农业生产的内生动力，稳定县域耕地耕种率。</w:t>
      </w:r>
    </w:p>
    <w:p w14:paraId="5CD40AC1">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10" w:name="_Toc31859"/>
      <w:r>
        <w:rPr>
          <w:rFonts w:hint="default" w:ascii="Times New Roman" w:hAnsi="Times New Roman" w:eastAsia="宋体" w:cs="Times New Roman"/>
          <w:smallCaps w:val="0"/>
          <w:color w:val="auto"/>
          <w:spacing w:val="0"/>
          <w:w w:val="100"/>
          <w:highlight w:val="none"/>
        </w:rPr>
        <w:t>3.1.2 自然灾害</w:t>
      </w:r>
      <w:bookmarkEnd w:id="110"/>
    </w:p>
    <w:p w14:paraId="4DFDB964">
      <w:pPr>
        <w:kinsoku/>
        <w:spacing w:line="560" w:lineRule="exact"/>
        <w:ind w:left="39" w:right="60" w:firstLine="605"/>
        <w:jc w:val="both"/>
        <w:outlineLvl w:val="9"/>
        <w:rPr>
          <w:rFonts w:hint="default" w:ascii="Times New Roman" w:hAnsi="Times New Roman" w:eastAsia="宋体" w:cs="Times New Roman"/>
          <w:smallCaps w:val="0"/>
          <w:color w:val="auto"/>
          <w:spacing w:val="0"/>
          <w:w w:val="100"/>
          <w:sz w:val="30"/>
          <w:szCs w:val="30"/>
          <w:highlight w:val="none"/>
          <w:lang w:eastAsia="zh-CN"/>
        </w:rPr>
      </w:pPr>
      <w:bookmarkStart w:id="111" w:name="_Hlk177662270"/>
      <w:r>
        <w:rPr>
          <w:rFonts w:hint="default" w:ascii="Times New Roman" w:hAnsi="Times New Roman" w:eastAsia="宋体" w:cs="Times New Roman"/>
          <w:smallCaps w:val="0"/>
          <w:color w:val="auto"/>
          <w:spacing w:val="0"/>
          <w:w w:val="100"/>
          <w:sz w:val="30"/>
          <w:szCs w:val="30"/>
          <w:highlight w:val="none"/>
          <w:lang w:eastAsia="zh-CN"/>
        </w:rPr>
        <w:t>由于特殊的地理位置及地形地质条件，甘孜县自然灾害主要致灾因子为地质灾害、洪涝灾害。局部大暴雨可能诱发山洪、泥石流等灾害、连阴雨发生农作物灾害、同时雷电、风灾也频发。</w:t>
      </w:r>
    </w:p>
    <w:p w14:paraId="5C66D1C8">
      <w:pPr>
        <w:kinsoku/>
        <w:spacing w:line="560" w:lineRule="exact"/>
        <w:ind w:left="39" w:right="60" w:firstLine="605"/>
        <w:jc w:val="both"/>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地质灾害主要集中在项目施工工地区域地质环境受人为扰动，进而发生地质灾害的风险性高。</w:t>
      </w:r>
    </w:p>
    <w:p w14:paraId="0E6F2B14">
      <w:pPr>
        <w:kinsoku/>
        <w:spacing w:line="560" w:lineRule="exact"/>
        <w:ind w:left="39" w:right="60" w:firstLine="605"/>
        <w:jc w:val="both"/>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洪涝灾害主要是各种小河流不排除因极端天气造成山洪灾害的可能，局部点暴雨可能诱发的山洪、泥石流等灾害。</w:t>
      </w:r>
    </w:p>
    <w:p w14:paraId="59D44A8C">
      <w:pPr>
        <w:kinsoku/>
        <w:spacing w:line="560" w:lineRule="exact"/>
        <w:ind w:left="39" w:right="60" w:firstLine="605"/>
        <w:jc w:val="both"/>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农作物灾害。甘孜冰雹、霜冻及雪灾是较为常见的气象灾害，这是由特殊的地理气候环境决定的。冰雹、霜冻及雪灾每年都要造成农作物的大面积减产，</w:t>
      </w:r>
      <w:r>
        <w:rPr>
          <w:rFonts w:hint="default" w:ascii="Times New Roman" w:hAnsi="Times New Roman" w:eastAsia="宋体" w:cs="Times New Roman"/>
          <w:smallCaps w:val="0"/>
          <w:color w:val="auto"/>
          <w:spacing w:val="0"/>
          <w:w w:val="100"/>
          <w:sz w:val="30"/>
          <w:szCs w:val="30"/>
          <w:highlight w:val="none"/>
          <w:lang w:val="en-US" w:eastAsia="zh-CN"/>
        </w:rPr>
        <w:t>牲畜、野猪及其他动物出入农田区域较多，对庄稼进行破坏，</w:t>
      </w:r>
      <w:r>
        <w:rPr>
          <w:rFonts w:hint="default" w:ascii="Times New Roman" w:hAnsi="Times New Roman" w:eastAsia="宋体" w:cs="Times New Roman"/>
          <w:smallCaps w:val="0"/>
          <w:color w:val="auto"/>
          <w:spacing w:val="0"/>
          <w:w w:val="100"/>
          <w:sz w:val="30"/>
          <w:szCs w:val="30"/>
          <w:highlight w:val="none"/>
          <w:lang w:eastAsia="zh-CN"/>
        </w:rPr>
        <w:t>给全县农牧民群众的生产和生活带来了极大的困难，阻碍了农牧业和农村经济的发展，延缓了乡村振兴的进程。</w:t>
      </w:r>
    </w:p>
    <w:bookmarkEnd w:id="111"/>
    <w:p w14:paraId="0715240F">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12" w:name="_Toc25026"/>
      <w:r>
        <w:rPr>
          <w:rFonts w:hint="default" w:ascii="Times New Roman" w:hAnsi="Times New Roman" w:eastAsia="宋体" w:cs="Times New Roman"/>
          <w:smallCaps w:val="0"/>
          <w:color w:val="auto"/>
          <w:spacing w:val="0"/>
          <w:w w:val="100"/>
          <w:highlight w:val="none"/>
        </w:rPr>
        <w:t>3.1.3 生产方式</w:t>
      </w:r>
      <w:bookmarkEnd w:id="112"/>
    </w:p>
    <w:p w14:paraId="5115135D">
      <w:pPr>
        <w:kinsoku/>
        <w:spacing w:line="560" w:lineRule="exact"/>
        <w:ind w:left="69" w:right="55" w:firstLine="59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近年来，甘孜县对农业产业化推进工作进行了积极</w:t>
      </w:r>
      <w:r>
        <w:rPr>
          <w:rFonts w:hint="eastAsia" w:ascii="Times New Roman" w:hAnsi="Times New Roman" w:eastAsia="宋体" w:cs="Times New Roman"/>
          <w:smallCaps w:val="0"/>
          <w:color w:val="auto"/>
          <w:spacing w:val="0"/>
          <w:w w:val="100"/>
          <w:sz w:val="30"/>
          <w:szCs w:val="30"/>
          <w:highlight w:val="none"/>
          <w:lang w:eastAsia="zh-CN"/>
        </w:rPr>
        <w:t>地</w:t>
      </w:r>
      <w:r>
        <w:rPr>
          <w:rFonts w:hint="default" w:ascii="Times New Roman" w:hAnsi="Times New Roman" w:eastAsia="宋体" w:cs="Times New Roman"/>
          <w:smallCaps w:val="0"/>
          <w:color w:val="auto"/>
          <w:spacing w:val="0"/>
          <w:w w:val="100"/>
          <w:sz w:val="30"/>
          <w:szCs w:val="30"/>
          <w:highlight w:val="none"/>
          <w:lang w:eastAsia="zh-CN"/>
        </w:rPr>
        <w:t>探索，取得了一定的成效。但农业产业化还处于试点探索阶段，总体发展水平不高，还面临着一系列困难和挑战。主要表现在以下几个方面：</w:t>
      </w:r>
    </w:p>
    <w:p w14:paraId="3094AE4D">
      <w:pPr>
        <w:kinsoku/>
        <w:spacing w:line="560" w:lineRule="exact"/>
        <w:ind w:left="76" w:leftChars="0" w:firstLine="494" w:firstLineChars="164"/>
        <w:outlineLvl w:val="9"/>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（1）土地使用权流转机制没有形成</w:t>
      </w:r>
    </w:p>
    <w:p w14:paraId="52EF9FCE">
      <w:pPr>
        <w:kinsoku/>
        <w:spacing w:line="560" w:lineRule="exact"/>
        <w:ind w:firstLine="725"/>
        <w:jc w:val="both"/>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 xml:space="preserve">目前，甘孜县土地经营大都停留在联产承包责任制基础上的 </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分包</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这一层次上，这种分散种植的格局和分散的农户利益，与 产业化经营的规模经济方式之间存在着冲突，很不适应我国市场经济的发展。这种</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小生产</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式的组织方式，土地经营规模狭小，地块零散，调整频繁，土地使用权流转机制没有形成，极大地阻滞了生产要素的合理配置。另外，个体农民无力改善农业基础设施和进行农业技术改造，集体组织的弱化难以将分散的劳动集中起来，削弱了农业生产持续稳定发展的后劲。这种分散经营的结果还会引致土地低效率利用，同时也无法满足</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大农业</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所要求实行机械化，规模化生产的条件。</w:t>
      </w:r>
    </w:p>
    <w:p w14:paraId="4DD287E3">
      <w:pPr>
        <w:kinsoku/>
        <w:spacing w:line="560" w:lineRule="exact"/>
        <w:ind w:left="76" w:leftChars="0" w:firstLine="494" w:firstLineChars="164"/>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（2）市场开发和经营管理水平有待提高</w:t>
      </w:r>
    </w:p>
    <w:p w14:paraId="15770316">
      <w:pPr>
        <w:kinsoku/>
        <w:spacing w:line="560" w:lineRule="exact"/>
        <w:ind w:firstLine="600" w:firstLineChars="200"/>
        <w:outlineLvl w:val="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农民合作组织、种粮大户和家庭农场等新型农业经营主体都存在</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起步晚，规模小，资金力量单薄</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等企业发展之初的综合症，再加上这些经营主体大部分是种</w:t>
      </w:r>
      <w:r>
        <w:rPr>
          <w:rFonts w:hint="default" w:ascii="Times New Roman" w:hAnsi="Times New Roman" w:eastAsia="宋体" w:cs="Times New Roman"/>
          <w:smallCaps w:val="0"/>
          <w:color w:val="auto"/>
          <w:spacing w:val="0"/>
          <w:w w:val="100"/>
          <w:sz w:val="30"/>
          <w:szCs w:val="30"/>
          <w:highlight w:val="none"/>
          <w:lang w:val="en-US" w:eastAsia="zh-CN"/>
        </w:rPr>
        <w:t>养殖</w:t>
      </w:r>
      <w:r>
        <w:rPr>
          <w:rFonts w:hint="default" w:ascii="Times New Roman" w:hAnsi="Times New Roman" w:eastAsia="宋体" w:cs="Times New Roman"/>
          <w:smallCaps w:val="0"/>
          <w:color w:val="auto"/>
          <w:spacing w:val="0"/>
          <w:w w:val="100"/>
          <w:sz w:val="30"/>
          <w:szCs w:val="30"/>
          <w:highlight w:val="none"/>
          <w:lang w:eastAsia="zh-CN"/>
        </w:rPr>
        <w:t>大户、加工大户出身，又是典型的土生土长的农民企业家，他们掌握的知识和应用新技术不多。农产品只能以粗加工为主，农产品附加值不高，大大削弱了企业自身持续发展能力和市场竞争力；处于发展初始阶段的农民专业经济合作组织等新型农业经营主体，存在着结构松散、组织化程度低、专业化水平不高、生产规模偏小、内部管理欠规范、利益机制联结不够紧密等问题，不能应对千变万化的市场，农业流通服务组织与农民联系不够紧密，对农业产业化发展推动力不强。</w:t>
      </w:r>
    </w:p>
    <w:p w14:paraId="11BE1A11">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13" w:name="_Toc875"/>
      <w:r>
        <w:rPr>
          <w:rFonts w:hint="default" w:ascii="Times New Roman" w:hAnsi="Times New Roman" w:eastAsia="宋体" w:cs="Times New Roman"/>
          <w:smallCaps w:val="0"/>
          <w:color w:val="auto"/>
          <w:spacing w:val="0"/>
          <w:w w:val="100"/>
          <w:highlight w:val="none"/>
        </w:rPr>
        <w:t>3.1.4 农业科技技术水平</w:t>
      </w:r>
      <w:bookmarkEnd w:id="113"/>
    </w:p>
    <w:p w14:paraId="44FAC50F">
      <w:pPr>
        <w:kinsoku/>
        <w:spacing w:line="560" w:lineRule="exact"/>
        <w:ind w:left="40" w:right="2" w:firstLine="604"/>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占耕地面积绝大多数的中低产田除了需要采取增加田间排灌渠系等工程措施外，还需要采取土壤改良、增施有机肥、配方施肥、秸秆还田、免耕种植等新型农业技术，使土地资源得到持续有效利用，解放劳动力。而新型农业技术的推广，不仅需要依托农业综合技术服务部门的大力宣传与技术培训，还需要依托项目载体，提高农民接受新观念的积极性，让广大农民乐于接受并实施新技术，进一步展现科技兴农的战略地位。</w:t>
      </w:r>
    </w:p>
    <w:p w14:paraId="6366A3D8">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14" w:name="_Toc22495"/>
      <w:r>
        <w:rPr>
          <w:rFonts w:hint="default" w:ascii="Times New Roman" w:hAnsi="Times New Roman" w:eastAsia="宋体" w:cs="Times New Roman"/>
          <w:smallCaps w:val="0"/>
          <w:color w:val="auto"/>
          <w:spacing w:val="0"/>
          <w:w w:val="100"/>
          <w:highlight w:val="none"/>
        </w:rPr>
        <w:t>3.1.5 产业结构</w:t>
      </w:r>
      <w:bookmarkEnd w:id="114"/>
    </w:p>
    <w:p w14:paraId="39E3A140">
      <w:pPr>
        <w:kinsoku/>
        <w:spacing w:line="560" w:lineRule="exact"/>
        <w:ind w:left="42" w:right="81" w:firstLine="59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尽管近年来农业适用技术的普及推广工作取得了一定的成效，但由于受水利基础设施与中低产田土的制约，项目区农村经济目前仍以传统为主，特色农业与农业产业化发展不足，科技含量不高。小农业难以做大做强，做出规模，做出品牌，难以形成抵抗市场冲击的能力。</w:t>
      </w:r>
    </w:p>
    <w:p w14:paraId="6CADE372">
      <w:pPr>
        <w:kinsoku/>
        <w:spacing w:line="560" w:lineRule="exact"/>
        <w:ind w:left="40" w:right="2" w:firstLine="61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除了市场的因素外，科技、信息服务体系，产业化合作模式发展还没有形成大气候。通过加大科学技术培训、科技投入，建立健全的农业科技服务体系，对项目区农民群众进行种植、养殖、加工、销售等方面的先进适用科学技术培训，有利于提高农民的科学种田水平和创收致富的能力。</w:t>
      </w:r>
    </w:p>
    <w:p w14:paraId="65FB8C64">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03"/>
        <w:jc w:val="both"/>
        <w:textAlignment w:val="baseline"/>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从以上分析来看，项目区中低产田土面积大，土壤肥力不高，农业先进适用技术推广薄弱，水利设施配套差，农田耕作道路差，农业机械推广困难。这些因素，严重制约着该地区农业和农村经济的发展。</w:t>
      </w:r>
    </w:p>
    <w:p w14:paraId="7E45BB74">
      <w:pPr>
        <w:keepNext w:val="0"/>
        <w:keepLines w:val="0"/>
        <w:pageBreakBefore w:val="0"/>
        <w:widowControl/>
        <w:kinsoku/>
        <w:wordWrap/>
        <w:overflowPunct/>
        <w:topLinePunct w:val="0"/>
        <w:autoSpaceDE w:val="0"/>
        <w:autoSpaceDN w:val="0"/>
        <w:bidi w:val="0"/>
        <w:adjustRightInd w:val="0"/>
        <w:snapToGrid w:val="0"/>
        <w:spacing w:line="560" w:lineRule="exact"/>
        <w:ind w:left="0" w:right="0"/>
        <w:textAlignment w:val="baseline"/>
        <w:outlineLvl w:val="1"/>
        <w:rPr>
          <w:rFonts w:hint="default" w:ascii="Times New Roman" w:hAnsi="Times New Roman" w:eastAsia="宋体" w:cs="Times New Roman"/>
          <w:b/>
          <w:bCs/>
          <w:smallCaps w:val="0"/>
          <w:color w:val="auto"/>
          <w:spacing w:val="0"/>
          <w:w w:val="100"/>
          <w:sz w:val="30"/>
          <w:szCs w:val="30"/>
          <w:highlight w:val="none"/>
          <w:lang w:eastAsia="zh-CN"/>
        </w:rPr>
      </w:pPr>
      <w:bookmarkStart w:id="115" w:name="bookmark20"/>
      <w:bookmarkEnd w:id="115"/>
      <w:bookmarkStart w:id="116" w:name="_Toc25512"/>
      <w:bookmarkStart w:id="117" w:name="_Toc26700"/>
      <w:bookmarkStart w:id="118" w:name="_Toc15333"/>
      <w:r>
        <w:rPr>
          <w:rFonts w:hint="default" w:ascii="Times New Roman" w:hAnsi="Times New Roman" w:eastAsia="宋体" w:cs="Times New Roman"/>
          <w:b/>
          <w:bCs/>
          <w:smallCaps w:val="0"/>
          <w:color w:val="auto"/>
          <w:spacing w:val="0"/>
          <w:w w:val="100"/>
          <w:sz w:val="30"/>
          <w:szCs w:val="30"/>
          <w:highlight w:val="none"/>
          <w:lang w:eastAsia="zh-CN"/>
        </w:rPr>
        <w:t>3.2 项目建设的必要性</w:t>
      </w:r>
      <w:bookmarkEnd w:id="116"/>
      <w:bookmarkEnd w:id="117"/>
      <w:bookmarkEnd w:id="118"/>
    </w:p>
    <w:p w14:paraId="2AE12DDF">
      <w:pPr>
        <w:kinsoku/>
        <w:spacing w:line="560" w:lineRule="exact"/>
        <w:ind w:left="39" w:right="6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一、部分地块碎片化问题的整改必要性</w:t>
      </w:r>
    </w:p>
    <w:p w14:paraId="19692373">
      <w:pPr>
        <w:kinsoku/>
        <w:spacing w:line="560" w:lineRule="exact"/>
        <w:ind w:left="39" w:right="6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虽然项目区大部分耕地可实现农业机械化，但甘孜镇霍古都村少部分地块碎片化严重、大小不均、高低不平且部分地块坡度超标，导致农机无法正常作业、耕地利用率偏低。整改该问题是推动农业机械化普及、提高耕地利用效率的基础前提——机械化是降低农业生产成本、提升农业生产效率的关键，碎片化地块无法发挥农机作业优势，不仅增加农户耕作强度，还造成耕地资源浪费；同时，平整地块、整合碎片化耕地，可优化耕地布局，为规模化、标准化种植创造条件，助力提升农业生产规模化效益，破解局部耕地利用低效的困境。</w:t>
      </w:r>
    </w:p>
    <w:p w14:paraId="051E7982">
      <w:pPr>
        <w:kinsoku/>
        <w:spacing w:line="560" w:lineRule="exact"/>
        <w:ind w:left="39" w:right="6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二、部分地块表面碎石过多问题的整改必要性</w:t>
      </w:r>
    </w:p>
    <w:p w14:paraId="07BED5AE">
      <w:pPr>
        <w:kinsoku/>
        <w:spacing w:line="560" w:lineRule="exact"/>
        <w:ind w:left="39" w:right="6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现场踏勘发现部分农田表面石块多、分布广，直接导致无法开展机耕作业，且严重打击农户耕作自信心。整改该问题是保障农业耕作正常开展、提振农户种植积极性的重要举措——石块过多会阻碍农机进场作业，增加人工耕作难度和成本，甚至导致部分耕地无法正常种植；清除农田表面碎石，可恢复地块机耕条件，降低农户耕作负担，同时修复农户耕作信心，引导农户主动参与耕地种植，避免耕地闲置浪费。</w:t>
      </w:r>
    </w:p>
    <w:p w14:paraId="5B4C013A">
      <w:pPr>
        <w:kinsoku/>
        <w:spacing w:line="560" w:lineRule="exact"/>
        <w:ind w:left="39" w:right="6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三、项目区耕地质量较差问题的整改必要性</w:t>
      </w:r>
    </w:p>
    <w:p w14:paraId="3C4CB15E">
      <w:pPr>
        <w:kinsoku/>
        <w:spacing w:line="560" w:lineRule="exact"/>
        <w:ind w:left="39" w:right="6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长期种植导致土壤肥力下降、板结、养分失衡，直接制约农作物产量和品质。整改该问题是保障农业产出效益、推动农业提质增效的核心需求——耕地质量是农作物生长的基础，土壤肥力不足、养分失衡会导致农作物长势不佳、产量偏低、品质下降，直接影响农户种植收益；通过改良土壤、提升耕地质量，可提高农作物产量和品质，增强农产品市场竞争力，增加农户种植收入，夯实农业可持续发展的基础。</w:t>
      </w:r>
    </w:p>
    <w:p w14:paraId="5CB64CA2">
      <w:pPr>
        <w:kinsoku/>
        <w:spacing w:line="560" w:lineRule="exact"/>
        <w:ind w:left="39" w:right="6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四、部分水渠年久失修问题的整改必要性</w:t>
      </w:r>
    </w:p>
    <w:p w14:paraId="7727FF67">
      <w:pPr>
        <w:kinsoku/>
        <w:spacing w:line="560" w:lineRule="exact"/>
        <w:ind w:left="39" w:right="6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项目区部分水渠存在老化、破损、堵塞、坍塌等问题（甘孜镇也伦达村排水渠老化破损严重，甘孜镇日安村、拖坝乡卡呷村部分渠段堵塞坍塌），导致雨季农田积水无法及时排出。整改该问题是保障农田排灌畅通、防范农业灾害的重要保障——水渠是农田排灌的关键设施，年久失修会导致排灌功能失效，雨季积水会造成农作物烂根、减产，甚至引发耕地盐碱化；修复完善水渠设施，可恢复农田正常排灌能力，及时排出雨季积水、保障旱季灌溉，防范农业洪涝灾害，稳定农作物生长环境，降低灾害对农业生产的影响。</w:t>
      </w:r>
    </w:p>
    <w:p w14:paraId="7A0BFD62">
      <w:pPr>
        <w:kinsoku/>
        <w:spacing w:line="560" w:lineRule="exact"/>
        <w:ind w:left="39" w:right="6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五、部分机耕道路缺乏问题的整改必要性</w:t>
      </w:r>
    </w:p>
    <w:p w14:paraId="3DB45025">
      <w:pPr>
        <w:kinsoku/>
        <w:spacing w:line="560" w:lineRule="exact"/>
        <w:ind w:left="39" w:right="6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项目区田间生产道路缺乏，部分机耕路为土路（雨天泥泞不堪）、部分耕地无机耕路（甘孜镇霍古都村），导致农机无法作业、交通困难。整改该问题是打通农业生产“最后一公里”、保障机械化作业顺利开展的关键支撑——机耕道路是农机进场、农产品运输、农户耕作通行的重要保障，道路不完善会导致农机无法抵达耕作地块，增加农产品运输成本，制约机械化生产推进；完善机耕道路设施，可保障农机顺利作业，降低农户耕作和农产品运输负担，提升农业生产便捷度，推动规模化、机械化农业发展。</w:t>
      </w:r>
    </w:p>
    <w:p w14:paraId="548A9E22">
      <w:pPr>
        <w:kinsoku/>
        <w:spacing w:line="560" w:lineRule="exact"/>
        <w:ind w:left="39" w:right="6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六、部分农田被牲畜破坏问题的整改必要性</w:t>
      </w:r>
    </w:p>
    <w:p w14:paraId="6D6A59E5">
      <w:pPr>
        <w:kinsoku/>
        <w:spacing w:line="560" w:lineRule="exact"/>
        <w:ind w:left="39" w:right="6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甘孜镇、来马镇、拖坝乡的耕地存在围栏缺失、不规范、老化破损等问题，导致牲畜频繁进入农田破坏农作物，同时造成耕地边界模糊、易引发纠纷，严重挫伤农户种植积极性。整改该问题是保护农作物生长、维护农户合法权益、稳定农户种植积极性的重要举措——围栏是防范牲畜破坏农田的重要屏障，围栏不完善会导致农作物减产、农户收益受损，进而打击农户种植热情；规范完善耕地围栏，可有效阻挡牲畜进入农田，保护农作物生长，明确耕地边界、减少邻里纠纷，保障农户种植收益，引导农户持续投入耕地种植，推动农业生产有序开展。</w:t>
      </w:r>
    </w:p>
    <w:p w14:paraId="0AD61A05">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04"/>
        <w:textAlignment w:val="baseline"/>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实施高标准农田建设项目，对改善项目区农业生产条件，稳步提高项目区农业综合生产能力，有利于促进项目区乡村振兴建设，保障国家粮食安全和解决基本口粮，保障农副产品供给，建设青稞现代农业园区，进一步提升现代农业综合开发水平和创新开发体制都具有重大的现实意义和深远的历史意义。</w:t>
      </w:r>
    </w:p>
    <w:p w14:paraId="2B9570E9">
      <w:pPr>
        <w:keepNext w:val="0"/>
        <w:keepLines w:val="0"/>
        <w:pageBreakBefore w:val="0"/>
        <w:widowControl/>
        <w:kinsoku/>
        <w:wordWrap/>
        <w:overflowPunct/>
        <w:topLinePunct w:val="0"/>
        <w:autoSpaceDE w:val="0"/>
        <w:autoSpaceDN w:val="0"/>
        <w:bidi w:val="0"/>
        <w:adjustRightInd w:val="0"/>
        <w:snapToGrid w:val="0"/>
        <w:spacing w:line="560" w:lineRule="exact"/>
        <w:ind w:left="0" w:right="0"/>
        <w:textAlignment w:val="baseline"/>
        <w:outlineLvl w:val="2"/>
        <w:rPr>
          <w:rFonts w:hint="default" w:ascii="Times New Roman" w:hAnsi="Times New Roman" w:eastAsia="宋体" w:cs="Times New Roman"/>
          <w:b/>
          <w:bCs/>
          <w:smallCaps w:val="0"/>
          <w:color w:val="auto"/>
          <w:spacing w:val="0"/>
          <w:w w:val="100"/>
          <w:sz w:val="30"/>
          <w:szCs w:val="30"/>
          <w:highlight w:val="none"/>
          <w:lang w:eastAsia="zh-CN"/>
        </w:rPr>
      </w:pPr>
      <w:bookmarkStart w:id="119" w:name="_Toc17553"/>
      <w:r>
        <w:rPr>
          <w:rFonts w:hint="default" w:ascii="Times New Roman" w:hAnsi="Times New Roman" w:eastAsia="宋体" w:cs="Times New Roman"/>
          <w:b/>
          <w:bCs/>
          <w:smallCaps w:val="0"/>
          <w:color w:val="auto"/>
          <w:spacing w:val="0"/>
          <w:w w:val="100"/>
          <w:sz w:val="30"/>
          <w:szCs w:val="30"/>
          <w:highlight w:val="none"/>
          <w:lang w:eastAsia="zh-CN"/>
        </w:rPr>
        <w:t>3.2.</w:t>
      </w:r>
      <w:r>
        <w:rPr>
          <w:rFonts w:hint="default" w:ascii="Times New Roman" w:hAnsi="Times New Roman" w:eastAsia="宋体" w:cs="Times New Roman"/>
          <w:b/>
          <w:bCs/>
          <w:smallCaps w:val="0"/>
          <w:color w:val="auto"/>
          <w:spacing w:val="0"/>
          <w:w w:val="100"/>
          <w:sz w:val="30"/>
          <w:szCs w:val="30"/>
          <w:highlight w:val="none"/>
          <w:lang w:val="en-US" w:eastAsia="zh-CN"/>
        </w:rPr>
        <w:t>1</w:t>
      </w:r>
      <w:r>
        <w:rPr>
          <w:rFonts w:hint="default" w:ascii="Times New Roman" w:hAnsi="Times New Roman" w:eastAsia="宋体" w:cs="Times New Roman"/>
          <w:b/>
          <w:bCs/>
          <w:smallCaps w:val="0"/>
          <w:color w:val="auto"/>
          <w:spacing w:val="0"/>
          <w:w w:val="100"/>
          <w:sz w:val="30"/>
          <w:szCs w:val="30"/>
          <w:highlight w:val="none"/>
          <w:lang w:eastAsia="zh-CN"/>
        </w:rPr>
        <w:t xml:space="preserve"> 项目建设是提高粮食生产能力，解决农民生产、生活问题、</w:t>
      </w:r>
      <w:r>
        <w:rPr>
          <w:rFonts w:hint="default" w:ascii="Times New Roman" w:hAnsi="Times New Roman" w:eastAsia="宋体" w:cs="Times New Roman"/>
          <w:smallCaps w:val="0"/>
          <w:color w:val="auto"/>
          <w:spacing w:val="0"/>
          <w:w w:val="100"/>
          <w:sz w:val="30"/>
          <w:szCs w:val="30"/>
          <w:highlight w:val="none"/>
          <w:lang w:eastAsia="zh-CN"/>
        </w:rPr>
        <w:t xml:space="preserve"> </w:t>
      </w:r>
      <w:r>
        <w:rPr>
          <w:rFonts w:hint="default" w:ascii="Times New Roman" w:hAnsi="Times New Roman" w:eastAsia="宋体" w:cs="Times New Roman"/>
          <w:b/>
          <w:bCs/>
          <w:smallCaps w:val="0"/>
          <w:color w:val="auto"/>
          <w:spacing w:val="0"/>
          <w:w w:val="100"/>
          <w:sz w:val="30"/>
          <w:szCs w:val="30"/>
          <w:highlight w:val="none"/>
          <w:lang w:eastAsia="zh-CN"/>
        </w:rPr>
        <w:t>促进社会稳定的需要</w:t>
      </w:r>
      <w:bookmarkEnd w:id="119"/>
    </w:p>
    <w:p w14:paraId="210A2056">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04"/>
        <w:textAlignment w:val="baseline"/>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实施高标准农田建设项目，能有效改善项目区农业生产基础条件，通过加大科技投入，加大农村产业结构调整，促进农民生活由温饱向小康过渡，实现乡村振兴。对项目区农民群众传授农业生产中的种植、养殖、加工、储运、销售等方面的先进适用科学技术和经营管理经验，不断提高农民的科学文化水平和创收致富的能力。使农林牧副渔各业分工越来越细，专业化程度越来越高。对促进项目地区社会稳定也具有重要作用。</w:t>
      </w:r>
    </w:p>
    <w:p w14:paraId="3719FE78">
      <w:pPr>
        <w:keepNext w:val="0"/>
        <w:keepLines w:val="0"/>
        <w:pageBreakBefore w:val="0"/>
        <w:widowControl/>
        <w:kinsoku/>
        <w:wordWrap/>
        <w:overflowPunct/>
        <w:topLinePunct w:val="0"/>
        <w:autoSpaceDE w:val="0"/>
        <w:autoSpaceDN w:val="0"/>
        <w:bidi w:val="0"/>
        <w:adjustRightInd w:val="0"/>
        <w:snapToGrid w:val="0"/>
        <w:spacing w:line="560" w:lineRule="exact"/>
        <w:ind w:left="0" w:right="0"/>
        <w:textAlignment w:val="baseline"/>
        <w:outlineLvl w:val="2"/>
        <w:rPr>
          <w:rFonts w:hint="default" w:ascii="Times New Roman" w:hAnsi="Times New Roman" w:eastAsia="宋体" w:cs="Times New Roman"/>
          <w:b/>
          <w:bCs/>
          <w:smallCaps w:val="0"/>
          <w:color w:val="auto"/>
          <w:spacing w:val="0"/>
          <w:w w:val="100"/>
          <w:sz w:val="30"/>
          <w:szCs w:val="30"/>
          <w:highlight w:val="none"/>
          <w:lang w:eastAsia="zh-CN"/>
        </w:rPr>
      </w:pPr>
      <w:bookmarkStart w:id="120" w:name="_Toc30204"/>
      <w:r>
        <w:rPr>
          <w:rFonts w:hint="default" w:ascii="Times New Roman" w:hAnsi="Times New Roman" w:eastAsia="宋体" w:cs="Times New Roman"/>
          <w:b/>
          <w:bCs/>
          <w:smallCaps w:val="0"/>
          <w:color w:val="auto"/>
          <w:spacing w:val="0"/>
          <w:w w:val="100"/>
          <w:sz w:val="30"/>
          <w:szCs w:val="30"/>
          <w:highlight w:val="none"/>
          <w:lang w:eastAsia="zh-CN"/>
        </w:rPr>
        <w:t>3.2.2 实施高标准农田建设项目，符合项目区实际</w:t>
      </w:r>
      <w:bookmarkEnd w:id="120"/>
    </w:p>
    <w:p w14:paraId="465BABA2">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02"/>
        <w:jc w:val="both"/>
        <w:textAlignment w:val="baseline"/>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人多耕地少的情况，要求我们在耕地数量上要有危机感，在耕地质量上要有紧迫感。随着国家西部大开发战略的实施，各类建设、退耕还林占地致使耕地不断减少和人口不断增加的矛盾日益激化，加之可开垦后备土地资源缺乏，要增加耕地数量难以实现。如何采取各种措施，挖掘耕地的增产潜力，缓解人多地少的矛盾迫在眉睫。通过实施高标准农田建设项目，增加耕地潜力，新增耕地附加值，达到农民增收的目的。</w:t>
      </w:r>
    </w:p>
    <w:p w14:paraId="5670006A">
      <w:pPr>
        <w:keepNext w:val="0"/>
        <w:keepLines w:val="0"/>
        <w:pageBreakBefore w:val="0"/>
        <w:widowControl/>
        <w:kinsoku/>
        <w:wordWrap/>
        <w:overflowPunct/>
        <w:topLinePunct w:val="0"/>
        <w:autoSpaceDE w:val="0"/>
        <w:autoSpaceDN w:val="0"/>
        <w:bidi w:val="0"/>
        <w:adjustRightInd w:val="0"/>
        <w:snapToGrid w:val="0"/>
        <w:spacing w:line="560" w:lineRule="exact"/>
        <w:ind w:left="0" w:right="0"/>
        <w:textAlignment w:val="baseline"/>
        <w:outlineLvl w:val="2"/>
        <w:rPr>
          <w:rFonts w:hint="default" w:ascii="Times New Roman" w:hAnsi="Times New Roman" w:eastAsia="宋体" w:cs="Times New Roman"/>
          <w:b/>
          <w:bCs/>
          <w:smallCaps w:val="0"/>
          <w:color w:val="auto"/>
          <w:spacing w:val="0"/>
          <w:w w:val="100"/>
          <w:sz w:val="30"/>
          <w:szCs w:val="30"/>
          <w:highlight w:val="none"/>
          <w:lang w:eastAsia="zh-CN"/>
        </w:rPr>
      </w:pPr>
      <w:bookmarkStart w:id="121" w:name="_Toc634"/>
      <w:r>
        <w:rPr>
          <w:rFonts w:hint="default" w:ascii="Times New Roman" w:hAnsi="Times New Roman" w:eastAsia="宋体" w:cs="Times New Roman"/>
          <w:b/>
          <w:bCs/>
          <w:smallCaps w:val="0"/>
          <w:color w:val="auto"/>
          <w:spacing w:val="0"/>
          <w:w w:val="100"/>
          <w:sz w:val="30"/>
          <w:szCs w:val="30"/>
          <w:highlight w:val="none"/>
          <w:lang w:eastAsia="zh-CN"/>
        </w:rPr>
        <w:t>3.2.3 实施高标准农田建设项目是改善农村生态环境，促进农旅融合发展的重要手段</w:t>
      </w:r>
      <w:bookmarkEnd w:id="121"/>
    </w:p>
    <w:p w14:paraId="21CCB8AD">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02"/>
        <w:jc w:val="both"/>
        <w:textAlignment w:val="baseline"/>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通过项目的实施，有效控制项目区水土流失和土壤养分的淋溶损失；改善不合理的施肥结构，提高化肥和水资源利用率，减少农药化肥使用量，减轻作物生理病害，促进农业的发展，扩大良种种植面积为</w:t>
      </w:r>
      <w:r>
        <w:rPr>
          <w:rFonts w:hint="default" w:ascii="Times New Roman" w:hAnsi="Times New Roman" w:eastAsia="宋体" w:cs="Times New Roman"/>
          <w:smallCaps w:val="0"/>
          <w:color w:val="auto"/>
          <w:spacing w:val="0"/>
          <w:w w:val="100"/>
          <w:sz w:val="30"/>
          <w:szCs w:val="30"/>
          <w:highlight w:val="none"/>
          <w:lang w:val="en-US" w:eastAsia="zh-CN"/>
        </w:rPr>
        <w:t>2000</w:t>
      </w:r>
      <w:r>
        <w:rPr>
          <w:rFonts w:hint="default" w:ascii="Times New Roman" w:hAnsi="Times New Roman" w:eastAsia="宋体" w:cs="Times New Roman"/>
          <w:smallCaps w:val="0"/>
          <w:color w:val="auto"/>
          <w:spacing w:val="0"/>
          <w:w w:val="100"/>
          <w:sz w:val="30"/>
          <w:szCs w:val="30"/>
          <w:highlight w:val="none"/>
          <w:lang w:eastAsia="zh-CN"/>
        </w:rPr>
        <w:t>亩。通过引水渠道、田地块归</w:t>
      </w:r>
      <w:r>
        <w:rPr>
          <w:rFonts w:hint="default" w:ascii="Times New Roman" w:hAnsi="Times New Roman" w:eastAsia="宋体" w:cs="Times New Roman"/>
          <w:smallCaps w:val="0"/>
          <w:color w:val="auto"/>
          <w:spacing w:val="0"/>
          <w:w w:val="100"/>
          <w:sz w:val="30"/>
          <w:szCs w:val="30"/>
          <w:highlight w:val="none"/>
          <w:lang w:val="en-US" w:eastAsia="zh-CN"/>
        </w:rPr>
        <w:t>并</w:t>
      </w:r>
      <w:r>
        <w:rPr>
          <w:rFonts w:hint="default" w:ascii="Times New Roman" w:hAnsi="Times New Roman" w:eastAsia="宋体" w:cs="Times New Roman"/>
          <w:smallCaps w:val="0"/>
          <w:color w:val="auto"/>
          <w:spacing w:val="0"/>
          <w:w w:val="100"/>
          <w:sz w:val="30"/>
          <w:szCs w:val="30"/>
          <w:highlight w:val="none"/>
          <w:lang w:eastAsia="zh-CN"/>
        </w:rPr>
        <w:t>、田间道路整治，改善农村水生态环境，形成田园综合体景观，将有效改善农民生活和生产环境，促进农旅融合发展。真正实现</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生产发展、生活宽裕、环境优美、人居和谐</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的目标。</w:t>
      </w:r>
    </w:p>
    <w:p w14:paraId="2D8BAEFF">
      <w:pPr>
        <w:kinsoku/>
        <w:spacing w:before="43" w:line="220" w:lineRule="auto"/>
        <w:ind w:left="33"/>
        <w:outlineLvl w:val="2"/>
        <w:rPr>
          <w:rFonts w:hint="default" w:ascii="Times New Roman" w:hAnsi="Times New Roman" w:eastAsia="宋体" w:cs="Times New Roman"/>
          <w:b/>
          <w:bCs/>
          <w:smallCaps w:val="0"/>
          <w:color w:val="auto"/>
          <w:spacing w:val="0"/>
          <w:w w:val="100"/>
          <w:sz w:val="30"/>
          <w:szCs w:val="30"/>
          <w:highlight w:val="none"/>
          <w:lang w:eastAsia="zh-CN"/>
        </w:rPr>
      </w:pPr>
      <w:bookmarkStart w:id="122" w:name="_Toc25393"/>
      <w:r>
        <w:rPr>
          <w:rFonts w:hint="default" w:ascii="Times New Roman" w:hAnsi="Times New Roman" w:eastAsia="宋体" w:cs="Times New Roman"/>
          <w:b/>
          <w:bCs/>
          <w:smallCaps w:val="0"/>
          <w:color w:val="auto"/>
          <w:spacing w:val="0"/>
          <w:w w:val="100"/>
          <w:sz w:val="30"/>
          <w:szCs w:val="30"/>
          <w:highlight w:val="none"/>
          <w:lang w:eastAsia="zh-CN"/>
        </w:rPr>
        <w:t>3.2.4 实施高标准农田项目建设是促进当地乡村振兴战略的重大举措</w:t>
      </w:r>
      <w:bookmarkEnd w:id="122"/>
    </w:p>
    <w:p w14:paraId="62C5419B">
      <w:pPr>
        <w:kinsoku/>
        <w:spacing w:line="560" w:lineRule="exact"/>
        <w:ind w:left="39" w:right="81" w:firstLine="602"/>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通过高标准农田项目建设，完善基础设施的建设，改善项目区农田的灌排条件，改善农村生态环境，保障区域内田块用水需要，契合现代农业园区规划实施农业基础设施及服务体系建设规划。促进当地农民持续增收，提升当地居民幸福感、获得感，加快实现项目区乡村振兴战略。</w:t>
      </w:r>
    </w:p>
    <w:p w14:paraId="4472B066">
      <w:pPr>
        <w:kinsoku/>
        <w:spacing w:line="560" w:lineRule="exact"/>
        <w:ind w:left="33" w:leftChars="0"/>
        <w:outlineLvl w:val="2"/>
        <w:rPr>
          <w:rFonts w:hint="default" w:ascii="Times New Roman" w:hAnsi="Times New Roman" w:eastAsia="宋体" w:cs="Times New Roman"/>
          <w:b/>
          <w:bCs/>
          <w:smallCaps w:val="0"/>
          <w:color w:val="auto"/>
          <w:spacing w:val="0"/>
          <w:w w:val="100"/>
          <w:sz w:val="30"/>
          <w:szCs w:val="30"/>
          <w:highlight w:val="none"/>
          <w:lang w:eastAsia="zh-CN"/>
        </w:rPr>
      </w:pPr>
      <w:bookmarkStart w:id="123" w:name="_Toc13605"/>
      <w:r>
        <w:rPr>
          <w:rFonts w:hint="default" w:ascii="Times New Roman" w:hAnsi="Times New Roman" w:eastAsia="宋体" w:cs="Times New Roman"/>
          <w:b/>
          <w:bCs/>
          <w:smallCaps w:val="0"/>
          <w:color w:val="auto"/>
          <w:spacing w:val="0"/>
          <w:w w:val="100"/>
          <w:sz w:val="30"/>
          <w:szCs w:val="30"/>
          <w:highlight w:val="none"/>
          <w:lang w:eastAsia="zh-CN"/>
        </w:rPr>
        <w:t>3.2.</w:t>
      </w:r>
      <w:r>
        <w:rPr>
          <w:rFonts w:hint="default" w:ascii="Times New Roman" w:hAnsi="Times New Roman" w:eastAsia="宋体" w:cs="Times New Roman"/>
          <w:b/>
          <w:bCs/>
          <w:smallCaps w:val="0"/>
          <w:color w:val="auto"/>
          <w:spacing w:val="0"/>
          <w:w w:val="100"/>
          <w:sz w:val="30"/>
          <w:szCs w:val="30"/>
          <w:highlight w:val="none"/>
          <w:lang w:val="en-US" w:eastAsia="zh-CN"/>
        </w:rPr>
        <w:t>5</w:t>
      </w:r>
      <w:r>
        <w:rPr>
          <w:rFonts w:hint="default" w:ascii="Times New Roman" w:hAnsi="Times New Roman" w:eastAsia="宋体" w:cs="Times New Roman"/>
          <w:b/>
          <w:bCs/>
          <w:smallCaps w:val="0"/>
          <w:color w:val="auto"/>
          <w:spacing w:val="0"/>
          <w:w w:val="100"/>
          <w:sz w:val="30"/>
          <w:szCs w:val="30"/>
          <w:highlight w:val="none"/>
          <w:lang w:eastAsia="zh-CN"/>
        </w:rPr>
        <w:t xml:space="preserve"> 实施高标准农田建设项目，是党和政府重视农业发展的重要体现</w:t>
      </w:r>
      <w:bookmarkEnd w:id="123"/>
    </w:p>
    <w:p w14:paraId="6014EBA5">
      <w:pPr>
        <w:kinsoku/>
        <w:spacing w:line="560" w:lineRule="exact"/>
        <w:ind w:left="39" w:right="81" w:firstLine="602"/>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通过项目的实施建设，更能体现党和政府对农业发展的投入通过项目的实施建设，更能体现党和政府对农业发展的投入决心，让广大农民群众体会到党和政府的关心、关注，使其提高对种田、种粮的积极性，为国家粮食安全和农副产品生产提供更多、更好的产品，保障我国人民群众的基本生活需要，为国家粮食安全做出贡献。</w:t>
      </w:r>
    </w:p>
    <w:p w14:paraId="3E9C73DC">
      <w:pPr>
        <w:kinsoku/>
        <w:spacing w:line="560" w:lineRule="exact"/>
        <w:ind w:left="39" w:right="81" w:firstLine="602"/>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综上，通过本项目的实施，能有效改善项目区农业基本生产条件，中低产田的障碍因素可得到根本治理，有利于提高项目区的总体生产能力，提高农作物产量水平和品质水平；通过水利基础设施的改造完善，可提高水资源利用率，建立合理的农业水价形成机制，促进节约用水，改善项目区供水、排水状况，实现</w:t>
      </w:r>
      <w:r>
        <w:rPr>
          <w:rFonts w:hint="default" w:ascii="Times New Roman" w:hAnsi="Times New Roman" w:eastAsia="宋体" w:cs="Times New Roman"/>
          <w:smallCaps w:val="0"/>
          <w:color w:val="auto"/>
          <w:spacing w:val="0"/>
          <w:w w:val="100"/>
          <w:sz w:val="30"/>
          <w:szCs w:val="30"/>
          <w:highlight w:val="none"/>
          <w:lang w:val="en-US" w:eastAsia="zh-CN"/>
        </w:rPr>
        <w:t>旱</w:t>
      </w:r>
      <w:r>
        <w:rPr>
          <w:rFonts w:hint="default" w:ascii="Times New Roman" w:hAnsi="Times New Roman" w:eastAsia="宋体" w:cs="Times New Roman"/>
          <w:smallCaps w:val="0"/>
          <w:color w:val="auto"/>
          <w:spacing w:val="0"/>
          <w:w w:val="100"/>
          <w:sz w:val="30"/>
          <w:szCs w:val="30"/>
          <w:highlight w:val="none"/>
          <w:lang w:eastAsia="zh-CN"/>
        </w:rPr>
        <w:t>涝保收；通过土壤有机质培肥，提升了项目区土壤地力，同时提高了项目区农民的科学文化水平，从而带动农业产业结构的调整和种植业布局的优化，促进项目区农业向优质高产高效和产业化经营方向发展；通过田土整理项目，实现</w:t>
      </w:r>
      <w:r>
        <w:rPr>
          <w:rFonts w:hint="eastAsia"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土地平整</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宜机</w:t>
      </w:r>
      <w:r>
        <w:rPr>
          <w:rFonts w:hint="eastAsia" w:ascii="Times New Roman" w:hAnsi="Times New Roman" w:eastAsia="宋体" w:cs="Times New Roman"/>
          <w:smallCaps w:val="0"/>
          <w:color w:val="auto"/>
          <w:spacing w:val="0"/>
          <w:w w:val="100"/>
          <w:sz w:val="30"/>
          <w:szCs w:val="30"/>
          <w:highlight w:val="none"/>
          <w:lang w:val="en-US" w:eastAsia="zh-CN"/>
        </w:rPr>
        <w:t>作业</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规模化</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现代化</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建设与管理模式；通过项目区田间道路建设，推动项目区农业机械化水平的提高，既减轻了农民的劳动强度，又降低了农业生产成本，促进项目区名、特、优、新农产品的开发，提高了农产品的商品化率和市场占有率，从而增加农民收入。</w:t>
      </w:r>
    </w:p>
    <w:p w14:paraId="38AE296A">
      <w:pPr>
        <w:kinsoku/>
        <w:spacing w:line="377" w:lineRule="auto"/>
        <w:rPr>
          <w:rFonts w:hint="default" w:ascii="Times New Roman" w:hAnsi="Times New Roman" w:eastAsia="宋体" w:cs="Times New Roman"/>
          <w:smallCaps w:val="0"/>
          <w:color w:val="auto"/>
          <w:spacing w:val="0"/>
          <w:w w:val="100"/>
          <w:sz w:val="30"/>
          <w:szCs w:val="30"/>
          <w:highlight w:val="none"/>
          <w:lang w:eastAsia="zh-CN"/>
        </w:rPr>
        <w:sectPr>
          <w:pgSz w:w="11900" w:h="16840"/>
          <w:pgMar w:top="1134" w:right="1418" w:bottom="1134" w:left="1417" w:header="862" w:footer="1214" w:gutter="0"/>
          <w:pgBorders>
            <w:top w:val="none" w:sz="0" w:space="0"/>
            <w:left w:val="none" w:sz="0" w:space="0"/>
            <w:bottom w:val="none" w:sz="0" w:space="0"/>
            <w:right w:val="none" w:sz="0" w:space="0"/>
          </w:pgBorders>
          <w:pgNumType w:fmt="numberInDash"/>
          <w:cols w:space="720" w:num="1"/>
        </w:sectPr>
      </w:pPr>
    </w:p>
    <w:p w14:paraId="377AA0C4">
      <w:pPr>
        <w:kinsoku/>
        <w:spacing w:line="560" w:lineRule="exact"/>
        <w:ind w:left="1936"/>
        <w:outlineLvl w:val="0"/>
        <w:rPr>
          <w:rFonts w:hint="default" w:ascii="Times New Roman" w:hAnsi="Times New Roman" w:eastAsia="宋体" w:cs="Times New Roman"/>
          <w:smallCaps w:val="0"/>
          <w:color w:val="auto"/>
          <w:spacing w:val="0"/>
          <w:w w:val="100"/>
          <w:sz w:val="36"/>
          <w:szCs w:val="36"/>
          <w:highlight w:val="none"/>
          <w:lang w:eastAsia="zh-CN"/>
        </w:rPr>
      </w:pPr>
      <w:bookmarkStart w:id="124" w:name="bookmark59"/>
      <w:bookmarkEnd w:id="124"/>
      <w:bookmarkStart w:id="125" w:name="bookmark21"/>
      <w:bookmarkEnd w:id="125"/>
      <w:bookmarkStart w:id="126" w:name="_Toc3819"/>
      <w:bookmarkStart w:id="127" w:name="_Toc30017"/>
      <w:bookmarkStart w:id="128" w:name="_Toc5203"/>
      <w:r>
        <w:rPr>
          <w:rFonts w:hint="default" w:ascii="Times New Roman" w:hAnsi="Times New Roman" w:eastAsia="宋体" w:cs="Times New Roman"/>
          <w:b/>
          <w:bCs/>
          <w:smallCaps w:val="0"/>
          <w:color w:val="auto"/>
          <w:spacing w:val="0"/>
          <w:w w:val="100"/>
          <w:sz w:val="36"/>
          <w:szCs w:val="36"/>
          <w:highlight w:val="none"/>
          <w:lang w:eastAsia="zh-CN"/>
        </w:rPr>
        <w:t>第四章</w:t>
      </w:r>
      <w:r>
        <w:rPr>
          <w:rFonts w:hint="default" w:ascii="Times New Roman" w:hAnsi="Times New Roman" w:eastAsia="宋体" w:cs="Times New Roman"/>
          <w:smallCaps w:val="0"/>
          <w:color w:val="auto"/>
          <w:spacing w:val="0"/>
          <w:w w:val="100"/>
          <w:sz w:val="36"/>
          <w:szCs w:val="36"/>
          <w:highlight w:val="none"/>
          <w:lang w:eastAsia="zh-CN"/>
        </w:rPr>
        <w:t xml:space="preserve"> </w:t>
      </w:r>
      <w:r>
        <w:rPr>
          <w:rFonts w:hint="default" w:ascii="Times New Roman" w:hAnsi="Times New Roman" w:eastAsia="宋体" w:cs="Times New Roman"/>
          <w:b/>
          <w:bCs/>
          <w:smallCaps w:val="0"/>
          <w:color w:val="auto"/>
          <w:spacing w:val="0"/>
          <w:w w:val="100"/>
          <w:sz w:val="36"/>
          <w:szCs w:val="36"/>
          <w:highlight w:val="none"/>
          <w:lang w:eastAsia="zh-CN"/>
        </w:rPr>
        <w:t>水资源供需平衡分析</w:t>
      </w:r>
      <w:bookmarkEnd w:id="126"/>
      <w:bookmarkEnd w:id="127"/>
      <w:bookmarkEnd w:id="128"/>
    </w:p>
    <w:p w14:paraId="76764316">
      <w:pPr>
        <w:kinsoku/>
        <w:spacing w:line="560" w:lineRule="exact"/>
        <w:ind w:left="36"/>
        <w:outlineLvl w:val="1"/>
        <w:rPr>
          <w:rFonts w:hint="default" w:ascii="Times New Roman" w:hAnsi="Times New Roman" w:eastAsia="宋体" w:cs="Times New Roman"/>
          <w:smallCaps w:val="0"/>
          <w:color w:val="auto"/>
          <w:spacing w:val="0"/>
          <w:w w:val="100"/>
          <w:sz w:val="30"/>
          <w:szCs w:val="30"/>
          <w:highlight w:val="none"/>
          <w:lang w:eastAsia="zh-CN"/>
        </w:rPr>
      </w:pPr>
      <w:bookmarkStart w:id="129" w:name="bookmark22"/>
      <w:bookmarkEnd w:id="129"/>
      <w:bookmarkStart w:id="130" w:name="_Toc20199"/>
      <w:bookmarkStart w:id="131" w:name="_Toc27109"/>
      <w:bookmarkStart w:id="132" w:name="_Toc13672"/>
      <w:r>
        <w:rPr>
          <w:rFonts w:hint="default" w:ascii="Times New Roman" w:hAnsi="Times New Roman" w:eastAsia="宋体" w:cs="Times New Roman"/>
          <w:b/>
          <w:bCs/>
          <w:smallCaps w:val="0"/>
          <w:color w:val="auto"/>
          <w:spacing w:val="0"/>
          <w:w w:val="100"/>
          <w:sz w:val="30"/>
          <w:szCs w:val="30"/>
          <w:highlight w:val="none"/>
          <w:lang w:eastAsia="zh-CN"/>
        </w:rPr>
        <w:t>4.1 水资源供需平衡分析</w:t>
      </w:r>
      <w:bookmarkEnd w:id="130"/>
      <w:bookmarkEnd w:id="131"/>
      <w:bookmarkEnd w:id="132"/>
    </w:p>
    <w:p w14:paraId="31F89290">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33" w:name="_Toc12926"/>
      <w:r>
        <w:rPr>
          <w:rFonts w:hint="default" w:ascii="Times New Roman" w:hAnsi="Times New Roman" w:eastAsia="宋体" w:cs="Times New Roman"/>
          <w:smallCaps w:val="0"/>
          <w:color w:val="auto"/>
          <w:spacing w:val="0"/>
          <w:w w:val="100"/>
          <w:highlight w:val="none"/>
        </w:rPr>
        <w:t>4.1.1  项目区水资源现状</w:t>
      </w:r>
      <w:bookmarkEnd w:id="133"/>
    </w:p>
    <w:p w14:paraId="281B639F">
      <w:pPr>
        <w:kinsoku/>
        <w:spacing w:line="560" w:lineRule="exact"/>
        <w:ind w:left="40" w:right="26" w:firstLine="604"/>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（1）地表水资源量</w:t>
      </w:r>
    </w:p>
    <w:p w14:paraId="31DF14AA">
      <w:pPr>
        <w:kinsoku/>
        <w:spacing w:line="560" w:lineRule="exact"/>
        <w:ind w:left="40" w:right="26" w:firstLine="604"/>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项目区自身集雨面积</w:t>
      </w:r>
      <w:r>
        <w:rPr>
          <w:rFonts w:hint="default" w:ascii="Times New Roman" w:hAnsi="Times New Roman" w:eastAsia="宋体" w:cs="Times New Roman"/>
          <w:smallCaps w:val="0"/>
          <w:color w:val="auto"/>
          <w:spacing w:val="0"/>
          <w:w w:val="100"/>
          <w:sz w:val="30"/>
          <w:szCs w:val="30"/>
          <w:highlight w:val="none"/>
          <w:lang w:val="en-US" w:eastAsia="zh-CN"/>
        </w:rPr>
        <w:t>33.35</w:t>
      </w:r>
      <w:r>
        <w:rPr>
          <w:rFonts w:hint="default" w:ascii="Times New Roman" w:hAnsi="Times New Roman" w:eastAsia="宋体" w:cs="Times New Roman"/>
          <w:smallCaps w:val="0"/>
          <w:color w:val="auto"/>
          <w:spacing w:val="0"/>
          <w:w w:val="100"/>
          <w:sz w:val="30"/>
          <w:szCs w:val="30"/>
          <w:highlight w:val="none"/>
          <w:lang w:eastAsia="zh-CN"/>
        </w:rPr>
        <w:t>平方公里（</w:t>
      </w:r>
      <w:r>
        <w:rPr>
          <w:rFonts w:hint="default" w:ascii="Times New Roman" w:hAnsi="Times New Roman" w:eastAsia="宋体" w:cs="Times New Roman"/>
          <w:smallCaps w:val="0"/>
          <w:color w:val="auto"/>
          <w:spacing w:val="0"/>
          <w:w w:val="100"/>
          <w:sz w:val="30"/>
          <w:szCs w:val="30"/>
          <w:highlight w:val="none"/>
          <w:lang w:val="en-US" w:eastAsia="zh-CN"/>
        </w:rPr>
        <w:t>耕地</w:t>
      </w:r>
      <w:r>
        <w:rPr>
          <w:rFonts w:hint="default" w:ascii="Times New Roman" w:hAnsi="Times New Roman" w:eastAsia="宋体" w:cs="Times New Roman"/>
          <w:smallCaps w:val="0"/>
          <w:color w:val="auto"/>
          <w:spacing w:val="0"/>
          <w:w w:val="100"/>
          <w:sz w:val="30"/>
          <w:szCs w:val="30"/>
          <w:highlight w:val="none"/>
          <w:lang w:eastAsia="zh-CN"/>
        </w:rPr>
        <w:t>总面积为</w:t>
      </w:r>
      <w:r>
        <w:rPr>
          <w:rFonts w:hint="default" w:ascii="Times New Roman" w:hAnsi="Times New Roman" w:eastAsia="宋体" w:cs="Times New Roman"/>
          <w:smallCaps w:val="0"/>
          <w:color w:val="auto"/>
          <w:spacing w:val="0"/>
          <w:w w:val="100"/>
          <w:sz w:val="30"/>
          <w:szCs w:val="30"/>
          <w:highlight w:val="none"/>
          <w:lang w:val="en-US" w:eastAsia="zh-CN"/>
        </w:rPr>
        <w:t>10000</w:t>
      </w:r>
      <w:r>
        <w:rPr>
          <w:rFonts w:hint="default" w:ascii="Times New Roman" w:hAnsi="Times New Roman" w:eastAsia="宋体" w:cs="Times New Roman"/>
          <w:smallCaps w:val="0"/>
          <w:color w:val="auto"/>
          <w:spacing w:val="0"/>
          <w:w w:val="100"/>
          <w:sz w:val="30"/>
          <w:szCs w:val="30"/>
          <w:highlight w:val="none"/>
          <w:lang w:eastAsia="zh-CN"/>
        </w:rPr>
        <w:t>亩），查《四川省水文手册》</w:t>
      </w:r>
      <w:r>
        <w:rPr>
          <w:rFonts w:hint="eastAsia" w:ascii="Times New Roman" w:hAnsi="Times New Roman" w:eastAsia="宋体" w:cs="Times New Roman"/>
          <w:smallCaps w:val="0"/>
          <w:color w:val="auto"/>
          <w:spacing w:val="0"/>
          <w:w w:val="100"/>
          <w:sz w:val="30"/>
          <w:szCs w:val="30"/>
          <w:highlight w:val="none"/>
          <w:lang w:val="en-US" w:eastAsia="zh-CN"/>
        </w:rPr>
        <w:t>《甘孜州2024年水资源公报》</w:t>
      </w:r>
      <w:r>
        <w:rPr>
          <w:rFonts w:hint="default" w:ascii="Times New Roman" w:hAnsi="Times New Roman" w:eastAsia="宋体" w:cs="Times New Roman"/>
          <w:smallCaps w:val="0"/>
          <w:color w:val="auto"/>
          <w:spacing w:val="0"/>
          <w:w w:val="100"/>
          <w:sz w:val="30"/>
          <w:szCs w:val="30"/>
          <w:highlight w:val="none"/>
          <w:lang w:eastAsia="zh-CN"/>
        </w:rPr>
        <w:t>可知：多年平均降雨量586.4毫米，当P=</w:t>
      </w:r>
      <w:r>
        <w:rPr>
          <w:rFonts w:hint="eastAsia" w:ascii="Times New Roman" w:hAnsi="Times New Roman" w:eastAsia="宋体" w:cs="Times New Roman"/>
          <w:smallCaps w:val="0"/>
          <w:color w:val="auto"/>
          <w:spacing w:val="0"/>
          <w:w w:val="100"/>
          <w:sz w:val="30"/>
          <w:szCs w:val="30"/>
          <w:highlight w:val="none"/>
          <w:lang w:val="en-US" w:eastAsia="zh-CN"/>
        </w:rPr>
        <w:t>75</w:t>
      </w:r>
      <w:r>
        <w:rPr>
          <w:rFonts w:hint="default" w:ascii="Times New Roman" w:hAnsi="Times New Roman" w:eastAsia="宋体" w:cs="Times New Roman"/>
          <w:smallCaps w:val="0"/>
          <w:color w:val="auto"/>
          <w:spacing w:val="0"/>
          <w:w w:val="100"/>
          <w:sz w:val="30"/>
          <w:szCs w:val="30"/>
          <w:highlight w:val="none"/>
          <w:lang w:eastAsia="zh-CN"/>
        </w:rPr>
        <w:t>%时，Cv=0.</w:t>
      </w:r>
      <w:r>
        <w:rPr>
          <w:rFonts w:hint="eastAsia" w:ascii="Times New Roman" w:hAnsi="Times New Roman" w:eastAsia="宋体" w:cs="Times New Roman"/>
          <w:smallCaps w:val="0"/>
          <w:color w:val="auto"/>
          <w:spacing w:val="0"/>
          <w:w w:val="100"/>
          <w:sz w:val="30"/>
          <w:szCs w:val="30"/>
          <w:highlight w:val="none"/>
          <w:lang w:val="en-US" w:eastAsia="zh-CN"/>
        </w:rPr>
        <w:t>15</w:t>
      </w:r>
      <w:r>
        <w:rPr>
          <w:rFonts w:hint="default" w:ascii="Times New Roman" w:hAnsi="Times New Roman" w:eastAsia="宋体" w:cs="Times New Roman"/>
          <w:smallCaps w:val="0"/>
          <w:color w:val="auto"/>
          <w:spacing w:val="0"/>
          <w:w w:val="100"/>
          <w:sz w:val="30"/>
          <w:szCs w:val="30"/>
          <w:highlight w:val="none"/>
          <w:lang w:eastAsia="zh-CN"/>
        </w:rPr>
        <w:t>，Cs=2Cv，kp=0.</w:t>
      </w:r>
      <w:r>
        <w:rPr>
          <w:rFonts w:hint="eastAsia" w:ascii="Times New Roman" w:hAnsi="Times New Roman" w:eastAsia="宋体" w:cs="Times New Roman"/>
          <w:smallCaps w:val="0"/>
          <w:color w:val="auto"/>
          <w:spacing w:val="0"/>
          <w:w w:val="100"/>
          <w:sz w:val="30"/>
          <w:szCs w:val="30"/>
          <w:highlight w:val="none"/>
          <w:lang w:val="en-US" w:eastAsia="zh-CN"/>
        </w:rPr>
        <w:t>9</w:t>
      </w:r>
      <w:r>
        <w:rPr>
          <w:rFonts w:hint="default" w:ascii="Times New Roman" w:hAnsi="Times New Roman" w:eastAsia="宋体" w:cs="Times New Roman"/>
          <w:smallCaps w:val="0"/>
          <w:color w:val="auto"/>
          <w:spacing w:val="0"/>
          <w:w w:val="100"/>
          <w:sz w:val="30"/>
          <w:szCs w:val="30"/>
          <w:highlight w:val="none"/>
          <w:lang w:eastAsia="zh-CN"/>
        </w:rPr>
        <w:t>，设计降水量</w:t>
      </w:r>
      <w:r>
        <w:rPr>
          <w:rFonts w:hint="eastAsia" w:ascii="Times New Roman" w:hAnsi="Times New Roman" w:eastAsia="宋体" w:cs="Times New Roman"/>
          <w:smallCaps w:val="0"/>
          <w:color w:val="auto"/>
          <w:spacing w:val="0"/>
          <w:w w:val="100"/>
          <w:sz w:val="30"/>
          <w:szCs w:val="30"/>
          <w:highlight w:val="none"/>
          <w:lang w:val="en-US" w:eastAsia="zh-CN"/>
        </w:rPr>
        <w:t>586.4</w:t>
      </w:r>
      <w:r>
        <w:rPr>
          <w:rFonts w:hint="default" w:ascii="Times New Roman" w:hAnsi="Times New Roman" w:eastAsia="宋体" w:cs="Times New Roman"/>
          <w:smallCaps w:val="0"/>
          <w:color w:val="auto"/>
          <w:spacing w:val="0"/>
          <w:w w:val="100"/>
          <w:sz w:val="30"/>
          <w:szCs w:val="30"/>
          <w:highlight w:val="none"/>
          <w:lang w:eastAsia="zh-CN"/>
        </w:rPr>
        <w:t>×0.9=</w:t>
      </w:r>
      <w:r>
        <w:rPr>
          <w:rFonts w:hint="eastAsia" w:ascii="Times New Roman" w:hAnsi="Times New Roman" w:eastAsia="宋体" w:cs="Times New Roman"/>
          <w:smallCaps w:val="0"/>
          <w:color w:val="auto"/>
          <w:spacing w:val="0"/>
          <w:w w:val="100"/>
          <w:sz w:val="30"/>
          <w:szCs w:val="30"/>
          <w:highlight w:val="none"/>
          <w:lang w:val="en-US" w:eastAsia="zh-CN"/>
        </w:rPr>
        <w:t>527.76</w:t>
      </w:r>
      <w:r>
        <w:rPr>
          <w:rFonts w:hint="default" w:ascii="Times New Roman" w:hAnsi="Times New Roman" w:eastAsia="宋体" w:cs="Times New Roman"/>
          <w:smallCaps w:val="0"/>
          <w:color w:val="auto"/>
          <w:spacing w:val="0"/>
          <w:w w:val="100"/>
          <w:sz w:val="30"/>
          <w:szCs w:val="30"/>
          <w:highlight w:val="none"/>
          <w:lang w:eastAsia="zh-CN"/>
        </w:rPr>
        <w:t>毫米，降水总量</w:t>
      </w:r>
      <w:r>
        <w:rPr>
          <w:rFonts w:hint="default" w:ascii="Times New Roman" w:hAnsi="Times New Roman" w:eastAsia="宋体" w:cs="Times New Roman"/>
          <w:smallCaps w:val="0"/>
          <w:color w:val="auto"/>
          <w:spacing w:val="0"/>
          <w:w w:val="100"/>
          <w:sz w:val="30"/>
          <w:szCs w:val="30"/>
          <w:highlight w:val="none"/>
          <w:lang w:val="en-US" w:eastAsia="zh-CN"/>
        </w:rPr>
        <w:t>33.35</w:t>
      </w:r>
      <w:r>
        <w:rPr>
          <w:rFonts w:hint="default" w:ascii="Times New Roman" w:hAnsi="Times New Roman" w:eastAsia="宋体" w:cs="Times New Roman"/>
          <w:smallCaps w:val="0"/>
          <w:color w:val="auto"/>
          <w:spacing w:val="0"/>
          <w:w w:val="100"/>
          <w:sz w:val="30"/>
          <w:szCs w:val="30"/>
          <w:highlight w:val="none"/>
          <w:lang w:eastAsia="zh-CN"/>
        </w:rPr>
        <w:t>平方公里×</w:t>
      </w:r>
      <w:r>
        <w:rPr>
          <w:rFonts w:hint="eastAsia" w:ascii="Times New Roman" w:hAnsi="Times New Roman" w:eastAsia="宋体" w:cs="Times New Roman"/>
          <w:smallCaps w:val="0"/>
          <w:color w:val="auto"/>
          <w:spacing w:val="0"/>
          <w:w w:val="100"/>
          <w:sz w:val="30"/>
          <w:szCs w:val="30"/>
          <w:highlight w:val="none"/>
          <w:lang w:val="en-US" w:eastAsia="zh-CN"/>
        </w:rPr>
        <w:t>527.76</w:t>
      </w:r>
      <w:r>
        <w:rPr>
          <w:rFonts w:hint="default" w:ascii="Times New Roman" w:hAnsi="Times New Roman" w:eastAsia="宋体" w:cs="Times New Roman"/>
          <w:smallCaps w:val="0"/>
          <w:color w:val="auto"/>
          <w:spacing w:val="0"/>
          <w:w w:val="100"/>
          <w:sz w:val="30"/>
          <w:szCs w:val="30"/>
          <w:highlight w:val="none"/>
          <w:lang w:eastAsia="zh-CN"/>
        </w:rPr>
        <w:t>毫米×1000÷10000=</w:t>
      </w:r>
      <w:r>
        <w:rPr>
          <w:rFonts w:hint="eastAsia" w:ascii="Times New Roman" w:hAnsi="Times New Roman" w:eastAsia="宋体" w:cs="Times New Roman"/>
          <w:smallCaps w:val="0"/>
          <w:color w:val="auto"/>
          <w:spacing w:val="0"/>
          <w:w w:val="100"/>
          <w:sz w:val="30"/>
          <w:szCs w:val="30"/>
          <w:highlight w:val="none"/>
          <w:lang w:val="en-US" w:eastAsia="zh-CN"/>
        </w:rPr>
        <w:t>1760.08</w:t>
      </w:r>
      <w:r>
        <w:rPr>
          <w:rFonts w:hint="default" w:ascii="Times New Roman" w:hAnsi="Times New Roman" w:eastAsia="宋体" w:cs="Times New Roman"/>
          <w:smallCaps w:val="0"/>
          <w:color w:val="auto"/>
          <w:spacing w:val="0"/>
          <w:w w:val="100"/>
          <w:sz w:val="30"/>
          <w:szCs w:val="30"/>
          <w:highlight w:val="none"/>
          <w:lang w:eastAsia="zh-CN"/>
        </w:rPr>
        <w:t>万m³。</w:t>
      </w:r>
    </w:p>
    <w:p w14:paraId="3DC9A547">
      <w:pPr>
        <w:kinsoku/>
        <w:spacing w:line="560" w:lineRule="exact"/>
        <w:ind w:left="40" w:right="26" w:firstLine="604"/>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项目区多年地表水资源总量</w:t>
      </w:r>
      <w:r>
        <w:rPr>
          <w:rFonts w:hint="eastAsia" w:ascii="Times New Roman" w:hAnsi="Times New Roman" w:eastAsia="宋体" w:cs="Times New Roman"/>
          <w:smallCaps w:val="0"/>
          <w:color w:val="auto"/>
          <w:spacing w:val="0"/>
          <w:w w:val="100"/>
          <w:sz w:val="30"/>
          <w:szCs w:val="30"/>
          <w:highlight w:val="none"/>
          <w:lang w:val="en-US" w:eastAsia="zh-CN"/>
        </w:rPr>
        <w:t>1760.08</w:t>
      </w:r>
      <w:r>
        <w:rPr>
          <w:rFonts w:hint="default" w:ascii="Times New Roman" w:hAnsi="Times New Roman" w:eastAsia="宋体" w:cs="Times New Roman"/>
          <w:smallCaps w:val="0"/>
          <w:color w:val="auto"/>
          <w:spacing w:val="0"/>
          <w:w w:val="100"/>
          <w:sz w:val="30"/>
          <w:szCs w:val="30"/>
          <w:highlight w:val="none"/>
          <w:lang w:eastAsia="zh-CN"/>
        </w:rPr>
        <w:t>万m³，但年际变化大，年内分配不均，枯水期降雨小而少，难产生径流，丰水期是产生径流的主要时期。</w:t>
      </w:r>
    </w:p>
    <w:p w14:paraId="690C34CD">
      <w:pPr>
        <w:kinsoku/>
        <w:spacing w:line="560" w:lineRule="exact"/>
        <w:ind w:left="40" w:right="26" w:firstLine="604"/>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（2）地下水资源</w:t>
      </w:r>
    </w:p>
    <w:p w14:paraId="19EF7454">
      <w:pPr>
        <w:kinsoku/>
        <w:spacing w:line="560" w:lineRule="exact"/>
        <w:ind w:left="40" w:right="26" w:firstLine="604"/>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在地下水资源方面，项目区所在区属松散岩类孔隙含水岩组，地下水为第四系孔隙潜水，浅水层上部为粘土，下部以砂砾石为主，卵砾石其次。目前，</w:t>
      </w:r>
      <w:r>
        <w:rPr>
          <w:rFonts w:hint="default" w:ascii="Times New Roman" w:hAnsi="Times New Roman" w:eastAsia="宋体" w:cs="Times New Roman"/>
          <w:smallCaps w:val="0"/>
          <w:color w:val="auto"/>
          <w:spacing w:val="0"/>
          <w:w w:val="100"/>
          <w:sz w:val="30"/>
          <w:szCs w:val="30"/>
          <w:highlight w:val="none"/>
          <w:lang w:val="en-US" w:eastAsia="zh-CN"/>
        </w:rPr>
        <w:t>甘孜县</w:t>
      </w:r>
      <w:r>
        <w:rPr>
          <w:rFonts w:hint="default" w:ascii="Times New Roman" w:hAnsi="Times New Roman" w:eastAsia="宋体" w:cs="Times New Roman"/>
          <w:smallCaps w:val="0"/>
          <w:color w:val="auto"/>
          <w:spacing w:val="0"/>
          <w:w w:val="100"/>
          <w:sz w:val="30"/>
          <w:szCs w:val="30"/>
          <w:highlight w:val="none"/>
          <w:lang w:eastAsia="zh-CN"/>
        </w:rPr>
        <w:t>未建立地下水动态特征观测网，对合理评价区内地下水资源条件具有一定的影响。因此，当地地下水受大气降水补给充足，水位变幅较小。</w:t>
      </w:r>
    </w:p>
    <w:p w14:paraId="4D14F716">
      <w:pPr>
        <w:kinsoku/>
        <w:spacing w:line="560" w:lineRule="exact"/>
        <w:ind w:left="40" w:right="26" w:firstLine="604"/>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（3）过境水资源量</w:t>
      </w:r>
    </w:p>
    <w:p w14:paraId="3857D345">
      <w:pPr>
        <w:kinsoku/>
        <w:spacing w:line="560" w:lineRule="exact"/>
        <w:ind w:left="40" w:right="26" w:firstLine="604"/>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从甘孜县河流情况来看，甘孜县地处雅砻江上游，有雅砻江、达曲、鲜水河（泥曲）等大小河流52条，河流总长1287.73公里，其中雅砻江甘孜县境内干流长96.36km，流域面积1861.1km²。根据甘孜州水资源丰富的整体状况以及甘孜县众多的河流分布，可以推测甘孜县过境水资源量较为丰富。</w:t>
      </w:r>
    </w:p>
    <w:p w14:paraId="1C50D476">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34" w:name="_Toc15046"/>
      <w:r>
        <w:rPr>
          <w:rFonts w:hint="default" w:ascii="Times New Roman" w:hAnsi="Times New Roman" w:eastAsia="宋体" w:cs="Times New Roman"/>
          <w:smallCaps w:val="0"/>
          <w:color w:val="auto"/>
          <w:spacing w:val="0"/>
          <w:w w:val="100"/>
          <w:highlight w:val="none"/>
        </w:rPr>
        <w:t>4.1.2  项目区水资源开发利用量</w:t>
      </w:r>
      <w:bookmarkEnd w:id="134"/>
    </w:p>
    <w:p w14:paraId="63F376E6">
      <w:pPr>
        <w:kinsoku/>
        <w:spacing w:line="560" w:lineRule="exact"/>
        <w:outlineLvl w:val="3"/>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4.1.2.1 设计水平年、灌溉设计保证率和灌溉定额</w:t>
      </w:r>
    </w:p>
    <w:p w14:paraId="0E255310">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（1）设计水平年</w:t>
      </w:r>
    </w:p>
    <w:p w14:paraId="48F049CE">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现状水平年采用202</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年数据。设计水平年为203</w:t>
      </w:r>
      <w:r>
        <w:rPr>
          <w:rFonts w:hint="default" w:ascii="Times New Roman" w:hAnsi="Times New Roman" w:eastAsia="宋体" w:cs="Times New Roman"/>
          <w:smallCaps w:val="0"/>
          <w:color w:val="auto"/>
          <w:spacing w:val="0"/>
          <w:w w:val="100"/>
          <w:sz w:val="30"/>
          <w:szCs w:val="30"/>
          <w:highlight w:val="none"/>
          <w:lang w:val="en-US" w:eastAsia="zh-CN"/>
        </w:rPr>
        <w:t>0</w:t>
      </w:r>
      <w:r>
        <w:rPr>
          <w:rFonts w:hint="default" w:ascii="Times New Roman" w:hAnsi="Times New Roman" w:eastAsia="宋体" w:cs="Times New Roman"/>
          <w:smallCaps w:val="0"/>
          <w:color w:val="auto"/>
          <w:spacing w:val="0"/>
          <w:w w:val="100"/>
          <w:sz w:val="30"/>
          <w:szCs w:val="30"/>
          <w:highlight w:val="none"/>
          <w:lang w:eastAsia="zh-CN"/>
        </w:rPr>
        <w:t>年。</w:t>
      </w:r>
    </w:p>
    <w:p w14:paraId="454C3821">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（2）灌溉保证率</w:t>
      </w:r>
    </w:p>
    <w:p w14:paraId="18123118">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项目区内种植作物以青稞为主，拟采用</w:t>
      </w:r>
      <w:r>
        <w:rPr>
          <w:rFonts w:hint="default" w:ascii="Times New Roman" w:hAnsi="Times New Roman" w:eastAsia="宋体" w:cs="Times New Roman"/>
          <w:smallCaps w:val="0"/>
          <w:color w:val="auto"/>
          <w:spacing w:val="0"/>
          <w:w w:val="100"/>
          <w:sz w:val="30"/>
          <w:szCs w:val="30"/>
          <w:highlight w:val="none"/>
          <w:lang w:val="en-US" w:eastAsia="zh-CN"/>
        </w:rPr>
        <w:t>蓄水池</w:t>
      </w:r>
      <w:r>
        <w:rPr>
          <w:rFonts w:hint="default" w:ascii="Times New Roman" w:hAnsi="Times New Roman" w:eastAsia="宋体" w:cs="Times New Roman"/>
          <w:smallCaps w:val="0"/>
          <w:color w:val="auto"/>
          <w:spacing w:val="0"/>
          <w:w w:val="100"/>
          <w:sz w:val="30"/>
          <w:szCs w:val="30"/>
          <w:highlight w:val="none"/>
          <w:lang w:eastAsia="zh-CN"/>
        </w:rPr>
        <w:t>对农作物进行灌溉。采取</w:t>
      </w:r>
      <w:r>
        <w:rPr>
          <w:rFonts w:hint="default" w:ascii="Times New Roman" w:hAnsi="Times New Roman" w:eastAsia="宋体" w:cs="Times New Roman"/>
          <w:smallCaps w:val="0"/>
          <w:color w:val="auto"/>
          <w:spacing w:val="0"/>
          <w:w w:val="100"/>
          <w:sz w:val="30"/>
          <w:szCs w:val="30"/>
          <w:highlight w:val="none"/>
          <w:lang w:val="en-US" w:eastAsia="zh-CN"/>
        </w:rPr>
        <w:t>蓄水池</w:t>
      </w:r>
      <w:r>
        <w:rPr>
          <w:rFonts w:hint="default" w:ascii="Times New Roman" w:hAnsi="Times New Roman" w:eastAsia="宋体" w:cs="Times New Roman"/>
          <w:smallCaps w:val="0"/>
          <w:color w:val="auto"/>
          <w:spacing w:val="0"/>
          <w:w w:val="100"/>
          <w:sz w:val="30"/>
          <w:szCs w:val="30"/>
          <w:highlight w:val="none"/>
          <w:lang w:eastAsia="zh-CN"/>
        </w:rPr>
        <w:t>进行灌溉，施工及操作技术简单，工程造价低。因此，本项目采用</w:t>
      </w:r>
      <w:r>
        <w:rPr>
          <w:rFonts w:hint="default" w:ascii="Times New Roman" w:hAnsi="Times New Roman" w:eastAsia="宋体" w:cs="Times New Roman"/>
          <w:smallCaps w:val="0"/>
          <w:color w:val="auto"/>
          <w:spacing w:val="0"/>
          <w:w w:val="100"/>
          <w:sz w:val="30"/>
          <w:szCs w:val="30"/>
          <w:highlight w:val="none"/>
          <w:lang w:val="en-US" w:eastAsia="zh-CN"/>
        </w:rPr>
        <w:t>蓄水池</w:t>
      </w:r>
      <w:r>
        <w:rPr>
          <w:rFonts w:hint="default" w:ascii="Times New Roman" w:hAnsi="Times New Roman" w:eastAsia="宋体" w:cs="Times New Roman"/>
          <w:smallCaps w:val="0"/>
          <w:color w:val="auto"/>
          <w:spacing w:val="0"/>
          <w:w w:val="100"/>
          <w:sz w:val="30"/>
          <w:szCs w:val="30"/>
          <w:highlight w:val="none"/>
          <w:lang w:eastAsia="zh-CN"/>
        </w:rPr>
        <w:t>灌溉方式。</w:t>
      </w:r>
    </w:p>
    <w:p w14:paraId="583F8CF2">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灌溉设计保证率可根据水文气象、水土资源、作物组成、灌区规模、灌水方法及经济效益等因素综合考虑。根据灌区水土资源及种植业、农业发展实际情况，按《灌溉与排水工程设计标准》（GB50288-2018）规定，项目区属于川西高原区，灌溉设计保证率≥70%，本工程取75%。</w:t>
      </w:r>
    </w:p>
    <w:p w14:paraId="3A0502A2">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（3）灌溉定额</w:t>
      </w:r>
    </w:p>
    <w:p w14:paraId="69A360AB">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根据规范</w:t>
      </w:r>
      <w:bookmarkStart w:id="135" w:name="_Hlk172228491"/>
      <w:r>
        <w:rPr>
          <w:rFonts w:hint="default" w:ascii="Times New Roman" w:hAnsi="Times New Roman" w:eastAsia="宋体" w:cs="Times New Roman"/>
          <w:smallCaps w:val="0"/>
          <w:color w:val="auto"/>
          <w:spacing w:val="0"/>
          <w:w w:val="100"/>
          <w:sz w:val="30"/>
          <w:szCs w:val="30"/>
          <w:highlight w:val="none"/>
          <w:lang w:eastAsia="zh-CN"/>
        </w:rPr>
        <w:t>《四川省用水定额》（川府函〔2021〕8号</w:t>
      </w:r>
      <w:bookmarkEnd w:id="135"/>
      <w:r>
        <w:rPr>
          <w:rFonts w:hint="default" w:ascii="Times New Roman" w:hAnsi="Times New Roman" w:eastAsia="宋体" w:cs="Times New Roman"/>
          <w:smallCaps w:val="0"/>
          <w:color w:val="auto"/>
          <w:spacing w:val="0"/>
          <w:w w:val="100"/>
          <w:sz w:val="30"/>
          <w:szCs w:val="30"/>
          <w:highlight w:val="none"/>
          <w:lang w:eastAsia="zh-CN"/>
        </w:rPr>
        <w:t>）四川省农业灌溉用水定额分区表，查得：项目区属于Ⅷ区（川西北高山原区）并查得项目区各作物对应灌溉保证率的灌溉用水定额见下表。</w:t>
      </w:r>
    </w:p>
    <w:p w14:paraId="70227782">
      <w:pPr>
        <w:kinsoku/>
        <w:spacing w:before="267" w:line="371" w:lineRule="auto"/>
        <w:ind w:right="112"/>
        <w:jc w:val="center"/>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项目区农作物灌溉用水定额</w:t>
      </w:r>
    </w:p>
    <w:p w14:paraId="354312B6">
      <w:pPr>
        <w:kinsoku/>
        <w:spacing w:before="34" w:line="225" w:lineRule="auto"/>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表4.1-1                                           单位：m³/亩</w:t>
      </w:r>
    </w:p>
    <w:tbl>
      <w:tblPr>
        <w:tblStyle w:val="26"/>
        <w:tblW w:w="873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37"/>
        <w:gridCol w:w="2548"/>
        <w:gridCol w:w="2550"/>
      </w:tblGrid>
      <w:tr w14:paraId="67179A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3637" w:type="dxa"/>
            <w:vAlign w:val="center"/>
          </w:tcPr>
          <w:p w14:paraId="3054F90F">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smallCaps w:val="0"/>
                <w:color w:val="auto"/>
                <w:spacing w:val="0"/>
                <w:w w:val="100"/>
                <w:sz w:val="24"/>
                <w:szCs w:val="24"/>
                <w:highlight w:val="none"/>
              </w:rPr>
            </w:pPr>
            <w:r>
              <w:rPr>
                <w:rFonts w:hint="default" w:ascii="Times New Roman" w:hAnsi="Times New Roman" w:eastAsia="宋体" w:cs="Times New Roman"/>
                <w:b/>
                <w:bCs/>
                <w:smallCaps w:val="0"/>
                <w:color w:val="auto"/>
                <w:spacing w:val="0"/>
                <w:w w:val="100"/>
                <w:sz w:val="24"/>
                <w:szCs w:val="24"/>
                <w:highlight w:val="none"/>
              </w:rPr>
              <w:t>名称</w:t>
            </w:r>
          </w:p>
        </w:tc>
        <w:tc>
          <w:tcPr>
            <w:tcW w:w="2548" w:type="dxa"/>
            <w:vAlign w:val="center"/>
          </w:tcPr>
          <w:p w14:paraId="46E378DC">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smallCaps w:val="0"/>
                <w:color w:val="auto"/>
                <w:spacing w:val="0"/>
                <w:w w:val="100"/>
                <w:sz w:val="24"/>
                <w:szCs w:val="24"/>
                <w:highlight w:val="none"/>
              </w:rPr>
            </w:pPr>
            <w:r>
              <w:rPr>
                <w:rFonts w:hint="default" w:ascii="Times New Roman" w:hAnsi="Times New Roman" w:eastAsia="宋体" w:cs="Times New Roman"/>
                <w:b/>
                <w:bCs/>
                <w:smallCaps w:val="0"/>
                <w:color w:val="auto"/>
                <w:spacing w:val="0"/>
                <w:w w:val="100"/>
                <w:sz w:val="24"/>
                <w:szCs w:val="24"/>
                <w:highlight w:val="none"/>
              </w:rPr>
              <w:t>青稞</w:t>
            </w:r>
          </w:p>
        </w:tc>
        <w:tc>
          <w:tcPr>
            <w:tcW w:w="2550" w:type="dxa"/>
            <w:vAlign w:val="center"/>
          </w:tcPr>
          <w:p w14:paraId="1FA0638B">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smallCaps w:val="0"/>
                <w:color w:val="auto"/>
                <w:spacing w:val="0"/>
                <w:w w:val="100"/>
                <w:sz w:val="24"/>
                <w:szCs w:val="24"/>
                <w:highlight w:val="none"/>
              </w:rPr>
            </w:pPr>
            <w:r>
              <w:rPr>
                <w:rFonts w:hint="default" w:ascii="Times New Roman" w:hAnsi="Times New Roman" w:eastAsia="宋体" w:cs="Times New Roman"/>
                <w:b/>
                <w:bCs/>
                <w:smallCaps w:val="0"/>
                <w:color w:val="auto"/>
                <w:spacing w:val="0"/>
                <w:w w:val="100"/>
                <w:sz w:val="24"/>
                <w:szCs w:val="24"/>
                <w:highlight w:val="none"/>
              </w:rPr>
              <w:t>马铃薯</w:t>
            </w:r>
          </w:p>
        </w:tc>
      </w:tr>
      <w:tr w14:paraId="26D64E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 w:hRule="atLeast"/>
        </w:trPr>
        <w:tc>
          <w:tcPr>
            <w:tcW w:w="3637" w:type="dxa"/>
            <w:vAlign w:val="center"/>
          </w:tcPr>
          <w:p w14:paraId="5EEB614C">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smallCaps w:val="0"/>
                <w:color w:val="auto"/>
                <w:spacing w:val="0"/>
                <w:w w:val="100"/>
                <w:sz w:val="24"/>
                <w:szCs w:val="24"/>
                <w:highlight w:val="none"/>
              </w:rPr>
            </w:pPr>
            <w:r>
              <w:rPr>
                <w:rFonts w:hint="default" w:ascii="Times New Roman" w:hAnsi="Times New Roman" w:eastAsia="宋体" w:cs="Times New Roman"/>
                <w:smallCaps w:val="0"/>
                <w:color w:val="auto"/>
                <w:spacing w:val="0"/>
                <w:w w:val="100"/>
                <w:sz w:val="24"/>
                <w:szCs w:val="24"/>
                <w:highlight w:val="none"/>
              </w:rPr>
              <w:t>用水定额</w:t>
            </w:r>
          </w:p>
        </w:tc>
        <w:tc>
          <w:tcPr>
            <w:tcW w:w="2548" w:type="dxa"/>
            <w:vAlign w:val="center"/>
          </w:tcPr>
          <w:p w14:paraId="07007F79">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smallCaps w:val="0"/>
                <w:color w:val="auto"/>
                <w:spacing w:val="0"/>
                <w:w w:val="100"/>
                <w:sz w:val="24"/>
                <w:szCs w:val="24"/>
                <w:highlight w:val="none"/>
                <w:lang w:eastAsia="zh-CN"/>
              </w:rPr>
            </w:pPr>
            <w:r>
              <w:rPr>
                <w:rFonts w:hint="default" w:ascii="Times New Roman" w:hAnsi="Times New Roman" w:eastAsia="宋体" w:cs="Times New Roman"/>
                <w:smallCaps w:val="0"/>
                <w:color w:val="auto"/>
                <w:spacing w:val="0"/>
                <w:w w:val="100"/>
                <w:sz w:val="24"/>
                <w:szCs w:val="24"/>
                <w:highlight w:val="none"/>
                <w:lang w:eastAsia="zh-CN"/>
              </w:rPr>
              <w:t>100</w:t>
            </w:r>
          </w:p>
        </w:tc>
        <w:tc>
          <w:tcPr>
            <w:tcW w:w="2550" w:type="dxa"/>
            <w:vAlign w:val="center"/>
          </w:tcPr>
          <w:p w14:paraId="3926F6C9">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smallCaps w:val="0"/>
                <w:color w:val="auto"/>
                <w:spacing w:val="0"/>
                <w:w w:val="100"/>
                <w:sz w:val="24"/>
                <w:szCs w:val="24"/>
                <w:highlight w:val="none"/>
                <w:lang w:eastAsia="zh-CN"/>
              </w:rPr>
            </w:pPr>
            <w:r>
              <w:rPr>
                <w:rFonts w:hint="default" w:ascii="Times New Roman" w:hAnsi="Times New Roman" w:eastAsia="宋体" w:cs="Times New Roman"/>
                <w:smallCaps w:val="0"/>
                <w:color w:val="auto"/>
                <w:spacing w:val="0"/>
                <w:w w:val="100"/>
                <w:sz w:val="24"/>
                <w:szCs w:val="24"/>
                <w:highlight w:val="none"/>
                <w:lang w:eastAsia="zh-CN"/>
              </w:rPr>
              <w:t>90</w:t>
            </w:r>
          </w:p>
        </w:tc>
      </w:tr>
    </w:tbl>
    <w:p w14:paraId="069B756F">
      <w:pPr>
        <w:kinsoku/>
        <w:spacing w:before="159" w:line="220" w:lineRule="auto"/>
        <w:outlineLvl w:val="2"/>
        <w:rPr>
          <w:rFonts w:hint="default" w:ascii="Times New Roman" w:hAnsi="Times New Roman" w:eastAsia="宋体" w:cs="Times New Roman"/>
          <w:smallCaps w:val="0"/>
          <w:color w:val="auto"/>
          <w:spacing w:val="0"/>
          <w:w w:val="100"/>
          <w:sz w:val="30"/>
          <w:szCs w:val="30"/>
          <w:highlight w:val="none"/>
        </w:rPr>
      </w:pPr>
      <w:bookmarkStart w:id="136" w:name="bookmark60"/>
      <w:bookmarkEnd w:id="136"/>
      <w:bookmarkStart w:id="137" w:name="_Toc28599"/>
      <w:r>
        <w:rPr>
          <w:rFonts w:hint="default" w:ascii="Times New Roman" w:hAnsi="Times New Roman" w:eastAsia="宋体" w:cs="Times New Roman"/>
          <w:b/>
          <w:bCs/>
          <w:smallCaps w:val="0"/>
          <w:color w:val="auto"/>
          <w:spacing w:val="0"/>
          <w:w w:val="100"/>
          <w:sz w:val="30"/>
          <w:szCs w:val="30"/>
          <w:highlight w:val="none"/>
        </w:rPr>
        <w:t>4.1.3 现状分析</w:t>
      </w:r>
      <w:bookmarkEnd w:id="137"/>
    </w:p>
    <w:p w14:paraId="14F4E94F">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（1）可供水量</w:t>
      </w:r>
    </w:p>
    <w:p w14:paraId="12A74834">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1）现有水利工程拦蓄提水量</w:t>
      </w:r>
    </w:p>
    <w:p w14:paraId="3689B7D3">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项目区无明显灌溉引水工程，现状灌溉多是靠天降水。</w:t>
      </w:r>
    </w:p>
    <w:p w14:paraId="5C5DF7B0">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2）可直接利用的天然降水</w:t>
      </w:r>
    </w:p>
    <w:p w14:paraId="03ABCAB3">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项目区耕地面积</w:t>
      </w:r>
      <w:r>
        <w:rPr>
          <w:rFonts w:hint="default" w:ascii="Times New Roman" w:hAnsi="Times New Roman" w:eastAsia="宋体" w:cs="Times New Roman"/>
          <w:smallCaps w:val="0"/>
          <w:color w:val="auto"/>
          <w:spacing w:val="0"/>
          <w:w w:val="100"/>
          <w:sz w:val="30"/>
          <w:szCs w:val="30"/>
          <w:highlight w:val="none"/>
          <w:lang w:val="en-US" w:eastAsia="zh-CN"/>
        </w:rPr>
        <w:t>10000</w:t>
      </w:r>
      <w:r>
        <w:rPr>
          <w:rFonts w:hint="default" w:ascii="Times New Roman" w:hAnsi="Times New Roman" w:eastAsia="宋体" w:cs="Times New Roman"/>
          <w:smallCaps w:val="0"/>
          <w:color w:val="auto"/>
          <w:spacing w:val="0"/>
          <w:w w:val="100"/>
          <w:sz w:val="30"/>
          <w:szCs w:val="30"/>
          <w:highlight w:val="none"/>
          <w:lang w:eastAsia="zh-CN"/>
        </w:rPr>
        <w:t>亩，</w:t>
      </w:r>
      <w:r>
        <w:rPr>
          <w:rFonts w:hint="eastAsia" w:ascii="Times New Roman" w:hAnsi="Times New Roman" w:eastAsia="宋体" w:cs="Times New Roman"/>
          <w:smallCaps w:val="0"/>
          <w:color w:val="auto"/>
          <w:spacing w:val="0"/>
          <w:w w:val="100"/>
          <w:sz w:val="30"/>
          <w:szCs w:val="30"/>
          <w:highlight w:val="none"/>
          <w:vertAlign w:val="baseline"/>
          <w:lang w:val="en-US" w:eastAsia="zh-CN"/>
        </w:rPr>
        <w:t>根据《四川省1956～2016年平均径流深等值线图》，项目区多年平均径流深约为380mm</w:t>
      </w:r>
      <w:r>
        <w:rPr>
          <w:rFonts w:hint="default" w:ascii="Times New Roman" w:hAnsi="Times New Roman" w:eastAsia="宋体" w:cs="Times New Roman"/>
          <w:smallCaps w:val="0"/>
          <w:color w:val="auto"/>
          <w:spacing w:val="0"/>
          <w:w w:val="100"/>
          <w:sz w:val="30"/>
          <w:szCs w:val="30"/>
          <w:highlight w:val="none"/>
          <w:lang w:eastAsia="zh-CN"/>
        </w:rPr>
        <w:t>。项目区降水被植被截留、下渗和填洼的水量都能够被耕地土壤吸收供作物利用。根据农田降水径流机理性模型计算，其可直接利用的天然降水总量约为典型年耕地地表径流总量</w:t>
      </w:r>
      <w:r>
        <w:rPr>
          <w:rFonts w:hint="default" w:ascii="Times New Roman" w:hAnsi="Times New Roman" w:eastAsia="宋体" w:cs="Times New Roman"/>
          <w:smallCaps w:val="0"/>
          <w:color w:val="auto"/>
          <w:spacing w:val="0"/>
          <w:w w:val="100"/>
          <w:sz w:val="30"/>
          <w:szCs w:val="30"/>
          <w:highlight w:val="none"/>
          <w:lang w:val="en-US" w:eastAsia="zh-CN"/>
        </w:rPr>
        <w:t>15</w:t>
      </w:r>
      <w:r>
        <w:rPr>
          <w:rFonts w:hint="default" w:ascii="Times New Roman" w:hAnsi="Times New Roman" w:eastAsia="宋体" w:cs="Times New Roman"/>
          <w:smallCaps w:val="0"/>
          <w:color w:val="auto"/>
          <w:spacing w:val="0"/>
          <w:w w:val="100"/>
          <w:sz w:val="30"/>
          <w:szCs w:val="30"/>
          <w:highlight w:val="none"/>
          <w:lang w:eastAsia="zh-CN"/>
        </w:rPr>
        <w:t>% ，计算表达式为：</w:t>
      </w:r>
      <w:r>
        <w:rPr>
          <w:rFonts w:hint="eastAsia" w:ascii="Times New Roman" w:hAnsi="Times New Roman" w:eastAsia="宋体" w:cs="Times New Roman"/>
          <w:smallCaps w:val="0"/>
          <w:color w:val="auto"/>
          <w:spacing w:val="0"/>
          <w:w w:val="100"/>
          <w:sz w:val="30"/>
          <w:szCs w:val="30"/>
          <w:highlight w:val="none"/>
          <w:lang w:val="en-US" w:eastAsia="zh-CN"/>
        </w:rPr>
        <w:t>380</w:t>
      </w:r>
      <w:r>
        <w:rPr>
          <w:rFonts w:hint="default" w:ascii="Times New Roman" w:hAnsi="Times New Roman" w:eastAsia="宋体" w:cs="Times New Roman"/>
          <w:smallCaps w:val="0"/>
          <w:color w:val="auto"/>
          <w:spacing w:val="0"/>
          <w:w w:val="100"/>
          <w:sz w:val="30"/>
          <w:szCs w:val="30"/>
          <w:highlight w:val="none"/>
          <w:lang w:eastAsia="zh-CN"/>
        </w:rPr>
        <w:t>÷1000×</w:t>
      </w:r>
      <w:r>
        <w:rPr>
          <w:rFonts w:hint="default" w:ascii="Times New Roman" w:hAnsi="Times New Roman" w:eastAsia="宋体" w:cs="Times New Roman"/>
          <w:smallCaps w:val="0"/>
          <w:color w:val="auto"/>
          <w:spacing w:val="0"/>
          <w:w w:val="100"/>
          <w:sz w:val="30"/>
          <w:szCs w:val="30"/>
          <w:highlight w:val="none"/>
          <w:lang w:val="en-US" w:eastAsia="zh-CN"/>
        </w:rPr>
        <w:t>10000</w:t>
      </w:r>
      <w:r>
        <w:rPr>
          <w:rFonts w:hint="default" w:ascii="Times New Roman" w:hAnsi="Times New Roman" w:eastAsia="宋体" w:cs="Times New Roman"/>
          <w:smallCaps w:val="0"/>
          <w:color w:val="auto"/>
          <w:spacing w:val="0"/>
          <w:w w:val="100"/>
          <w:sz w:val="30"/>
          <w:szCs w:val="30"/>
          <w:highlight w:val="none"/>
          <w:lang w:eastAsia="zh-CN"/>
        </w:rPr>
        <w:t>÷0.0015×</w:t>
      </w:r>
      <w:r>
        <w:rPr>
          <w:rFonts w:hint="default" w:ascii="Times New Roman" w:hAnsi="Times New Roman" w:eastAsia="宋体" w:cs="Times New Roman"/>
          <w:smallCaps w:val="0"/>
          <w:color w:val="auto"/>
          <w:spacing w:val="0"/>
          <w:w w:val="100"/>
          <w:sz w:val="30"/>
          <w:szCs w:val="30"/>
          <w:highlight w:val="none"/>
          <w:lang w:val="en-US" w:eastAsia="zh-CN"/>
        </w:rPr>
        <w:t>15</w:t>
      </w:r>
      <w:r>
        <w:rPr>
          <w:rFonts w:hint="default" w:ascii="Times New Roman" w:hAnsi="Times New Roman" w:eastAsia="宋体" w:cs="Times New Roman"/>
          <w:smallCaps w:val="0"/>
          <w:color w:val="auto"/>
          <w:spacing w:val="0"/>
          <w:w w:val="100"/>
          <w:sz w:val="30"/>
          <w:szCs w:val="30"/>
          <w:highlight w:val="none"/>
          <w:lang w:eastAsia="zh-CN"/>
        </w:rPr>
        <w:t xml:space="preserve">%÷ 10000= </w:t>
      </w:r>
      <w:r>
        <w:rPr>
          <w:rFonts w:hint="eastAsia" w:ascii="Times New Roman" w:hAnsi="Times New Roman" w:eastAsia="宋体" w:cs="Times New Roman"/>
          <w:smallCaps w:val="0"/>
          <w:color w:val="auto"/>
          <w:spacing w:val="0"/>
          <w:w w:val="100"/>
          <w:sz w:val="30"/>
          <w:szCs w:val="30"/>
          <w:highlight w:val="none"/>
          <w:lang w:val="en-US" w:eastAsia="zh-CN"/>
        </w:rPr>
        <w:t>38</w:t>
      </w:r>
      <w:r>
        <w:rPr>
          <w:rFonts w:hint="default" w:ascii="Times New Roman" w:hAnsi="Times New Roman" w:eastAsia="宋体" w:cs="Times New Roman"/>
          <w:smallCaps w:val="0"/>
          <w:color w:val="auto"/>
          <w:spacing w:val="0"/>
          <w:w w:val="100"/>
          <w:sz w:val="30"/>
          <w:szCs w:val="30"/>
          <w:highlight w:val="none"/>
          <w:lang w:eastAsia="zh-CN"/>
        </w:rPr>
        <w:t>万立方米。</w:t>
      </w:r>
    </w:p>
    <w:p w14:paraId="44FF58D1">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3）项目区地表水资源</w:t>
      </w:r>
    </w:p>
    <w:p w14:paraId="10C80182">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项目区地表水资源丰富，因缺少灌溉引水工程，无法直接利用。通过现场调查，项目区可利用地表水资源量为</w:t>
      </w:r>
      <w:r>
        <w:rPr>
          <w:rFonts w:hint="default" w:ascii="Times New Roman" w:hAnsi="Times New Roman" w:eastAsia="宋体" w:cs="Times New Roman"/>
          <w:smallCaps w:val="0"/>
          <w:color w:val="auto"/>
          <w:spacing w:val="0"/>
          <w:w w:val="100"/>
          <w:sz w:val="30"/>
          <w:szCs w:val="30"/>
          <w:highlight w:val="none"/>
          <w:lang w:val="en-US" w:eastAsia="zh-CN"/>
        </w:rPr>
        <w:t>6.67</w:t>
      </w:r>
      <w:r>
        <w:rPr>
          <w:rFonts w:hint="default" w:ascii="Times New Roman" w:hAnsi="Times New Roman" w:eastAsia="宋体" w:cs="Times New Roman"/>
          <w:smallCaps w:val="0"/>
          <w:color w:val="auto"/>
          <w:spacing w:val="0"/>
          <w:w w:val="100"/>
          <w:sz w:val="30"/>
          <w:szCs w:val="30"/>
          <w:highlight w:val="none"/>
          <w:lang w:eastAsia="zh-CN"/>
        </w:rPr>
        <w:t>平方公里×</w:t>
      </w:r>
      <w:r>
        <w:rPr>
          <w:rFonts w:hint="eastAsia" w:ascii="Times New Roman" w:hAnsi="Times New Roman" w:eastAsia="宋体" w:cs="Times New Roman"/>
          <w:smallCaps w:val="0"/>
          <w:color w:val="auto"/>
          <w:spacing w:val="0"/>
          <w:w w:val="100"/>
          <w:sz w:val="30"/>
          <w:szCs w:val="30"/>
          <w:highlight w:val="none"/>
          <w:lang w:val="en-US" w:eastAsia="zh-CN"/>
        </w:rPr>
        <w:t>527.76</w:t>
      </w:r>
      <w:r>
        <w:rPr>
          <w:rFonts w:hint="default" w:ascii="Times New Roman" w:hAnsi="Times New Roman" w:eastAsia="宋体" w:cs="Times New Roman"/>
          <w:smallCaps w:val="0"/>
          <w:color w:val="auto"/>
          <w:spacing w:val="0"/>
          <w:w w:val="100"/>
          <w:sz w:val="30"/>
          <w:szCs w:val="30"/>
          <w:highlight w:val="none"/>
          <w:lang w:eastAsia="zh-CN"/>
        </w:rPr>
        <w:t>毫米×1000÷10000</w:t>
      </w:r>
      <w:r>
        <w:rPr>
          <w:rFonts w:hint="eastAsia" w:ascii="Times New Roman" w:hAnsi="Times New Roman" w:eastAsia="宋体" w:cs="Times New Roman"/>
          <w:smallCaps w:val="0"/>
          <w:color w:val="auto"/>
          <w:spacing w:val="0"/>
          <w:w w:val="100"/>
          <w:sz w:val="30"/>
          <w:szCs w:val="30"/>
          <w:highlight w:val="none"/>
          <w:lang w:val="en-US" w:eastAsia="zh-CN"/>
        </w:rPr>
        <w:t>=352.02</w:t>
      </w:r>
      <w:r>
        <w:rPr>
          <w:rFonts w:hint="default" w:ascii="Times New Roman" w:hAnsi="Times New Roman" w:eastAsia="宋体" w:cs="Times New Roman"/>
          <w:smallCaps w:val="0"/>
          <w:color w:val="auto"/>
          <w:spacing w:val="0"/>
          <w:w w:val="100"/>
          <w:sz w:val="30"/>
          <w:szCs w:val="30"/>
          <w:highlight w:val="none"/>
          <w:lang w:eastAsia="zh-CN"/>
        </w:rPr>
        <w:t>万m³；</w:t>
      </w:r>
      <w:r>
        <w:rPr>
          <w:rFonts w:hint="default" w:ascii="Times New Roman" w:hAnsi="Times New Roman" w:eastAsia="宋体" w:cs="Times New Roman"/>
          <w:smallCaps w:val="0"/>
          <w:color w:val="auto"/>
          <w:spacing w:val="0"/>
          <w:w w:val="100"/>
          <w:sz w:val="30"/>
          <w:szCs w:val="30"/>
          <w:highlight w:val="none"/>
          <w:lang w:val="en-US" w:eastAsia="zh-CN"/>
        </w:rPr>
        <w:t>通过现场踏勘，项目区现状有蓄水池、山坪塘等拦蓄工程，则项目区可利用天然蓄水为</w:t>
      </w:r>
      <w:r>
        <w:rPr>
          <w:rFonts w:hint="eastAsia" w:ascii="Times New Roman" w:hAnsi="Times New Roman" w:eastAsia="宋体" w:cs="Times New Roman"/>
          <w:smallCaps w:val="0"/>
          <w:color w:val="auto"/>
          <w:spacing w:val="0"/>
          <w:w w:val="100"/>
          <w:sz w:val="30"/>
          <w:szCs w:val="30"/>
          <w:highlight w:val="none"/>
          <w:lang w:val="en-US" w:eastAsia="zh-CN"/>
        </w:rPr>
        <w:t>158.21</w:t>
      </w:r>
      <w:r>
        <w:rPr>
          <w:rFonts w:hint="default" w:ascii="Times New Roman" w:hAnsi="Times New Roman" w:eastAsia="宋体" w:cs="Times New Roman"/>
          <w:smallCaps w:val="0"/>
          <w:color w:val="auto"/>
          <w:spacing w:val="0"/>
          <w:w w:val="100"/>
          <w:sz w:val="30"/>
          <w:szCs w:val="30"/>
          <w:highlight w:val="none"/>
          <w:lang w:val="en-US" w:eastAsia="zh-CN"/>
        </w:rPr>
        <w:t>万</w:t>
      </w:r>
      <w:r>
        <w:rPr>
          <w:rFonts w:hint="default" w:ascii="Times New Roman" w:hAnsi="Times New Roman" w:eastAsia="宋体" w:cs="Times New Roman"/>
          <w:smallCaps w:val="0"/>
          <w:color w:val="auto"/>
          <w:spacing w:val="0"/>
          <w:w w:val="100"/>
          <w:sz w:val="30"/>
          <w:szCs w:val="30"/>
          <w:highlight w:val="none"/>
          <w:lang w:eastAsia="zh-CN"/>
        </w:rPr>
        <w:t>m³。</w:t>
      </w:r>
    </w:p>
    <w:p w14:paraId="47EEE73B">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综上，项目区现状年可供水量为</w:t>
      </w:r>
      <w:r>
        <w:rPr>
          <w:rFonts w:hint="default" w:ascii="Times New Roman" w:hAnsi="Times New Roman" w:eastAsia="宋体" w:cs="Times New Roman"/>
          <w:smallCaps w:val="0"/>
          <w:color w:val="auto"/>
          <w:spacing w:val="0"/>
          <w:w w:val="100"/>
          <w:sz w:val="30"/>
          <w:szCs w:val="30"/>
          <w:highlight w:val="none"/>
          <w:lang w:val="en-US" w:eastAsia="zh-CN"/>
        </w:rPr>
        <w:t>196.21</w:t>
      </w:r>
      <w:r>
        <w:rPr>
          <w:rFonts w:hint="default" w:ascii="Times New Roman" w:hAnsi="Times New Roman" w:eastAsia="宋体" w:cs="Times New Roman"/>
          <w:smallCaps w:val="0"/>
          <w:color w:val="auto"/>
          <w:spacing w:val="0"/>
          <w:w w:val="100"/>
          <w:sz w:val="30"/>
          <w:szCs w:val="30"/>
          <w:highlight w:val="none"/>
          <w:lang w:eastAsia="zh-CN"/>
        </w:rPr>
        <w:t>万立方米。</w:t>
      </w:r>
    </w:p>
    <w:p w14:paraId="33298B6A">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（2）现状水平年分析</w:t>
      </w:r>
    </w:p>
    <w:p w14:paraId="5BD63833">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1）农业灌溉需水量</w:t>
      </w:r>
    </w:p>
    <w:p w14:paraId="4436DC70">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①现状年作物种植结构</w:t>
      </w:r>
    </w:p>
    <w:p w14:paraId="55A4CDA7">
      <w:pPr>
        <w:kinsoku/>
        <w:spacing w:before="270" w:line="371" w:lineRule="auto"/>
        <w:ind w:left="123" w:right="112" w:firstLine="603"/>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现状水平年作物以青稞、马铃薯为主，复种指数为100.00%。</w:t>
      </w:r>
      <w:r>
        <w:rPr>
          <w:rFonts w:hint="eastAsia" w:ascii="Times New Roman" w:hAnsi="Times New Roman" w:eastAsia="宋体" w:cs="Times New Roman"/>
          <w:smallCaps w:val="0"/>
          <w:color w:val="auto"/>
          <w:spacing w:val="0"/>
          <w:w w:val="100"/>
          <w:sz w:val="30"/>
          <w:szCs w:val="30"/>
          <w:highlight w:val="none"/>
          <w:lang w:val="en-US" w:eastAsia="zh-CN"/>
        </w:rPr>
        <w:t>根据现场走访调查数据及历年资料，本次项目区</w:t>
      </w:r>
      <w:r>
        <w:rPr>
          <w:rFonts w:hint="default" w:ascii="Times New Roman" w:hAnsi="Times New Roman" w:eastAsia="宋体" w:cs="Times New Roman"/>
          <w:smallCaps w:val="0"/>
          <w:color w:val="auto"/>
          <w:spacing w:val="0"/>
          <w:w w:val="100"/>
          <w:sz w:val="30"/>
          <w:szCs w:val="30"/>
          <w:highlight w:val="none"/>
          <w:lang w:eastAsia="zh-CN"/>
        </w:rPr>
        <w:t>青稞、马铃薯</w:t>
      </w:r>
      <w:r>
        <w:rPr>
          <w:rFonts w:hint="eastAsia" w:ascii="Times New Roman" w:hAnsi="Times New Roman" w:eastAsia="宋体" w:cs="Times New Roman"/>
          <w:smallCaps w:val="0"/>
          <w:color w:val="auto"/>
          <w:spacing w:val="0"/>
          <w:w w:val="100"/>
          <w:sz w:val="30"/>
          <w:szCs w:val="30"/>
          <w:highlight w:val="none"/>
          <w:lang w:val="en-US" w:eastAsia="zh-CN"/>
        </w:rPr>
        <w:t>种植比例取8:2。</w:t>
      </w:r>
    </w:p>
    <w:p w14:paraId="07B37B59">
      <w:pPr>
        <w:kinsoku/>
        <w:spacing w:before="270" w:line="371" w:lineRule="auto"/>
        <w:ind w:left="123" w:right="112" w:firstLine="603"/>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有关数据详见项目区农作物种植比例表。</w:t>
      </w:r>
    </w:p>
    <w:p w14:paraId="6779E2EB">
      <w:pPr>
        <w:kinsoku/>
        <w:spacing w:before="34" w:line="225" w:lineRule="auto"/>
        <w:ind w:left="1785" w:firstLine="904" w:firstLineChars="3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项目区农作物种植比例表</w:t>
      </w:r>
      <w:r>
        <w:rPr>
          <w:rFonts w:hint="default" w:ascii="Times New Roman" w:hAnsi="Times New Roman" w:eastAsia="宋体" w:cs="Times New Roman"/>
          <w:smallCaps w:val="0"/>
          <w:color w:val="auto"/>
          <w:spacing w:val="0"/>
          <w:w w:val="100"/>
          <w:sz w:val="30"/>
          <w:szCs w:val="30"/>
          <w:highlight w:val="none"/>
          <w:lang w:eastAsia="zh-CN"/>
        </w:rPr>
        <w:t xml:space="preserve"> </w:t>
      </w:r>
    </w:p>
    <w:p w14:paraId="4A0334F3">
      <w:pPr>
        <w:kinsoku/>
        <w:spacing w:before="34" w:line="225" w:lineRule="auto"/>
        <w:jc w:val="right"/>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表4.1-2                                                  单位：%</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54"/>
        <w:gridCol w:w="1854"/>
        <w:gridCol w:w="1855"/>
        <w:gridCol w:w="1857"/>
        <w:gridCol w:w="1857"/>
      </w:tblGrid>
      <w:tr w14:paraId="49F54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FF55BD">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分类</w:t>
            </w:r>
          </w:p>
        </w:tc>
        <w:tc>
          <w:tcPr>
            <w:tcW w:w="9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8A7B5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Style w:val="57"/>
                <w:rFonts w:hint="default" w:ascii="Times New Roman" w:hAnsi="Times New Roman" w:eastAsia="宋体" w:cs="Times New Roman"/>
                <w:smallCaps w:val="0"/>
                <w:snapToGrid w:val="0"/>
                <w:color w:val="auto"/>
                <w:spacing w:val="0"/>
                <w:w w:val="100"/>
                <w:sz w:val="28"/>
                <w:szCs w:val="28"/>
                <w:highlight w:val="none"/>
                <w:lang w:val="en-US" w:eastAsia="zh-CN" w:bidi="ar"/>
              </w:rPr>
              <w:t>面积</w:t>
            </w:r>
            <w:r>
              <w:rPr>
                <w:rStyle w:val="58"/>
                <w:rFonts w:hint="default" w:ascii="Times New Roman" w:hAnsi="Times New Roman" w:eastAsia="宋体" w:cs="Times New Roman"/>
                <w:smallCaps w:val="0"/>
                <w:snapToGrid w:val="0"/>
                <w:color w:val="auto"/>
                <w:spacing w:val="0"/>
                <w:w w:val="100"/>
                <w:sz w:val="28"/>
                <w:szCs w:val="28"/>
                <w:highlight w:val="none"/>
                <w:lang w:val="en-US" w:eastAsia="zh-CN" w:bidi="ar"/>
              </w:rPr>
              <w:t>（</w:t>
            </w:r>
            <w:r>
              <w:rPr>
                <w:rStyle w:val="57"/>
                <w:rFonts w:hint="default" w:ascii="Times New Roman" w:hAnsi="Times New Roman" w:eastAsia="宋体" w:cs="Times New Roman"/>
                <w:smallCaps w:val="0"/>
                <w:snapToGrid w:val="0"/>
                <w:color w:val="auto"/>
                <w:spacing w:val="0"/>
                <w:w w:val="100"/>
                <w:sz w:val="28"/>
                <w:szCs w:val="28"/>
                <w:highlight w:val="none"/>
                <w:lang w:val="en-US" w:eastAsia="zh-CN" w:bidi="ar"/>
              </w:rPr>
              <w:t>亩</w:t>
            </w:r>
            <w:r>
              <w:rPr>
                <w:rStyle w:val="58"/>
                <w:rFonts w:hint="default" w:ascii="Times New Roman" w:hAnsi="Times New Roman" w:eastAsia="宋体" w:cs="Times New Roman"/>
                <w:smallCaps w:val="0"/>
                <w:snapToGrid w:val="0"/>
                <w:color w:val="auto"/>
                <w:spacing w:val="0"/>
                <w:w w:val="100"/>
                <w:sz w:val="28"/>
                <w:szCs w:val="28"/>
                <w:highlight w:val="none"/>
                <w:lang w:val="en-US" w:eastAsia="zh-CN" w:bidi="ar"/>
              </w:rPr>
              <w:t>）</w:t>
            </w:r>
          </w:p>
        </w:tc>
        <w:tc>
          <w:tcPr>
            <w:tcW w:w="19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23CDA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作物组成</w:t>
            </w:r>
          </w:p>
        </w:tc>
        <w:tc>
          <w:tcPr>
            <w:tcW w:w="10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5C43F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复种指数</w:t>
            </w:r>
          </w:p>
        </w:tc>
      </w:tr>
      <w:tr w14:paraId="76925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03E6B5">
            <w:pPr>
              <w:jc w:val="center"/>
              <w:rPr>
                <w:rFonts w:hint="default" w:ascii="Times New Roman" w:hAnsi="Times New Roman" w:eastAsia="宋体" w:cs="Times New Roman"/>
                <w:i w:val="0"/>
                <w:iCs w:val="0"/>
                <w:smallCaps w:val="0"/>
                <w:color w:val="auto"/>
                <w:spacing w:val="0"/>
                <w:w w:val="100"/>
                <w:sz w:val="28"/>
                <w:szCs w:val="28"/>
                <w:highlight w:val="none"/>
                <w:u w:val="none"/>
              </w:rPr>
            </w:pPr>
          </w:p>
        </w:tc>
        <w:tc>
          <w:tcPr>
            <w:tcW w:w="9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70B207">
            <w:pPr>
              <w:jc w:val="center"/>
              <w:rPr>
                <w:rFonts w:hint="default" w:ascii="Times New Roman" w:hAnsi="Times New Roman" w:eastAsia="宋体" w:cs="Times New Roman"/>
                <w:i w:val="0"/>
                <w:iCs w:val="0"/>
                <w:smallCaps w:val="0"/>
                <w:color w:val="auto"/>
                <w:spacing w:val="0"/>
                <w:w w:val="100"/>
                <w:sz w:val="28"/>
                <w:szCs w:val="28"/>
                <w:highlight w:val="none"/>
                <w:u w:val="none"/>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CDBF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青稞</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79795">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马铃薯</w:t>
            </w:r>
          </w:p>
        </w:tc>
        <w:tc>
          <w:tcPr>
            <w:tcW w:w="10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CCE53">
            <w:pPr>
              <w:jc w:val="center"/>
              <w:rPr>
                <w:rFonts w:hint="default" w:ascii="Times New Roman" w:hAnsi="Times New Roman" w:eastAsia="宋体" w:cs="Times New Roman"/>
                <w:i w:val="0"/>
                <w:iCs w:val="0"/>
                <w:smallCaps w:val="0"/>
                <w:color w:val="auto"/>
                <w:spacing w:val="0"/>
                <w:w w:val="100"/>
                <w:sz w:val="28"/>
                <w:szCs w:val="28"/>
                <w:highlight w:val="none"/>
                <w:u w:val="none"/>
              </w:rPr>
            </w:pPr>
          </w:p>
        </w:tc>
      </w:tr>
      <w:tr w14:paraId="1CF32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59032">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旱地</w:t>
            </w:r>
          </w:p>
        </w:tc>
        <w:tc>
          <w:tcPr>
            <w:tcW w:w="9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B38F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10000</w:t>
            </w:r>
          </w:p>
        </w:tc>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FE44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0.8</w:t>
            </w:r>
          </w:p>
        </w:tc>
        <w:tc>
          <w:tcPr>
            <w:tcW w:w="1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C855C">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0.2</w:t>
            </w:r>
          </w:p>
        </w:tc>
        <w:tc>
          <w:tcPr>
            <w:tcW w:w="1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235DB">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100%</w:t>
            </w:r>
          </w:p>
        </w:tc>
      </w:tr>
      <w:tr w14:paraId="6D53B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54D38">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合计</w:t>
            </w:r>
          </w:p>
        </w:tc>
        <w:tc>
          <w:tcPr>
            <w:tcW w:w="9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A494F">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10000</w:t>
            </w:r>
          </w:p>
        </w:tc>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04010">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8052.8</w:t>
            </w:r>
          </w:p>
        </w:tc>
        <w:tc>
          <w:tcPr>
            <w:tcW w:w="1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53611">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2013.2</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D45C6">
            <w:pPr>
              <w:keepNext w:val="0"/>
              <w:keepLines w:val="0"/>
              <w:widowControl/>
              <w:suppressLineNumbers w:val="0"/>
              <w:jc w:val="center"/>
              <w:textAlignment w:val="center"/>
              <w:rPr>
                <w:rFonts w:hint="default" w:ascii="Times New Roman" w:hAnsi="Times New Roman" w:eastAsia="宋体" w:cs="Times New Roman"/>
                <w:i w:val="0"/>
                <w:iCs w:val="0"/>
                <w:smallCaps w:val="0"/>
                <w:color w:val="auto"/>
                <w:spacing w:val="0"/>
                <w:w w:val="100"/>
                <w:sz w:val="28"/>
                <w:szCs w:val="28"/>
                <w:highlight w:val="none"/>
                <w:u w:val="none"/>
              </w:rPr>
            </w:pPr>
            <w:r>
              <w:rPr>
                <w:rFonts w:hint="default" w:ascii="Times New Roman" w:hAnsi="Times New Roman" w:eastAsia="宋体" w:cs="Times New Roman"/>
                <w:i w:val="0"/>
                <w:iCs w:val="0"/>
                <w:smallCaps w:val="0"/>
                <w:snapToGrid w:val="0"/>
                <w:color w:val="auto"/>
                <w:spacing w:val="0"/>
                <w:w w:val="100"/>
                <w:kern w:val="0"/>
                <w:sz w:val="28"/>
                <w:szCs w:val="28"/>
                <w:highlight w:val="none"/>
                <w:u w:val="none"/>
                <w:lang w:val="en-US" w:eastAsia="zh-CN" w:bidi="ar"/>
              </w:rPr>
              <w:t>——</w:t>
            </w:r>
          </w:p>
        </w:tc>
      </w:tr>
    </w:tbl>
    <w:p w14:paraId="115E1E62">
      <w:pPr>
        <w:kinsoku/>
        <w:spacing w:before="270" w:line="371" w:lineRule="auto"/>
        <w:ind w:left="123" w:right="112" w:firstLine="603"/>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②灌溉水利用系数</w:t>
      </w:r>
    </w:p>
    <w:p w14:paraId="17A11C8E">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项目区现状无明显灌溉引水工程，现状水利灌溉多是靠天降水形成的自然土沟，渠系水利用系数为η渠=0.</w:t>
      </w:r>
      <w:r>
        <w:rPr>
          <w:rFonts w:hint="default" w:ascii="Times New Roman" w:hAnsi="Times New Roman" w:eastAsia="宋体" w:cs="Times New Roman"/>
          <w:smallCaps w:val="0"/>
          <w:color w:val="auto"/>
          <w:spacing w:val="0"/>
          <w:w w:val="100"/>
          <w:sz w:val="30"/>
          <w:szCs w:val="30"/>
          <w:highlight w:val="none"/>
          <w:lang w:val="en-US" w:eastAsia="zh-CN"/>
        </w:rPr>
        <w:t>58</w:t>
      </w:r>
      <w:r>
        <w:rPr>
          <w:rFonts w:hint="default" w:ascii="Times New Roman" w:hAnsi="Times New Roman" w:eastAsia="宋体" w:cs="Times New Roman"/>
          <w:smallCaps w:val="0"/>
          <w:color w:val="auto"/>
          <w:spacing w:val="0"/>
          <w:w w:val="100"/>
          <w:sz w:val="30"/>
          <w:szCs w:val="30"/>
          <w:highlight w:val="none"/>
          <w:lang w:eastAsia="zh-CN"/>
        </w:rPr>
        <w:t>，田间水利用系数为η田=0.</w:t>
      </w:r>
      <w:r>
        <w:rPr>
          <w:rFonts w:hint="default" w:ascii="Times New Roman" w:hAnsi="Times New Roman" w:eastAsia="宋体" w:cs="Times New Roman"/>
          <w:smallCaps w:val="0"/>
          <w:color w:val="auto"/>
          <w:spacing w:val="0"/>
          <w:w w:val="100"/>
          <w:sz w:val="30"/>
          <w:szCs w:val="30"/>
          <w:highlight w:val="none"/>
          <w:lang w:val="en-US" w:eastAsia="zh-CN"/>
        </w:rPr>
        <w:t>85</w:t>
      </w:r>
      <w:r>
        <w:rPr>
          <w:rFonts w:hint="default" w:ascii="Times New Roman" w:hAnsi="Times New Roman" w:eastAsia="宋体" w:cs="Times New Roman"/>
          <w:smallCaps w:val="0"/>
          <w:color w:val="auto"/>
          <w:spacing w:val="0"/>
          <w:w w:val="100"/>
          <w:sz w:val="30"/>
          <w:szCs w:val="30"/>
          <w:highlight w:val="none"/>
          <w:lang w:eastAsia="zh-CN"/>
        </w:rPr>
        <w:t>，项目区灌溉水利用系数为ηz=η渠η田=0.5</w:t>
      </w:r>
      <w:r>
        <w:rPr>
          <w:rFonts w:hint="default" w:ascii="Times New Roman" w:hAnsi="Times New Roman" w:eastAsia="宋体" w:cs="Times New Roman"/>
          <w:smallCaps w:val="0"/>
          <w:color w:val="auto"/>
          <w:spacing w:val="0"/>
          <w:w w:val="100"/>
          <w:sz w:val="30"/>
          <w:szCs w:val="30"/>
          <w:highlight w:val="none"/>
          <w:lang w:val="en-US" w:eastAsia="zh-CN"/>
        </w:rPr>
        <w:t>8</w:t>
      </w:r>
      <w:r>
        <w:rPr>
          <w:rFonts w:hint="default" w:ascii="Times New Roman" w:hAnsi="Times New Roman" w:eastAsia="宋体" w:cs="Times New Roman"/>
          <w:smallCaps w:val="0"/>
          <w:color w:val="auto"/>
          <w:spacing w:val="0"/>
          <w:w w:val="100"/>
          <w:sz w:val="30"/>
          <w:szCs w:val="30"/>
          <w:highlight w:val="none"/>
          <w:lang w:eastAsia="zh-CN"/>
        </w:rPr>
        <w:t>×0.</w:t>
      </w:r>
      <w:r>
        <w:rPr>
          <w:rFonts w:hint="default" w:ascii="Times New Roman" w:hAnsi="Times New Roman" w:eastAsia="宋体" w:cs="Times New Roman"/>
          <w:smallCaps w:val="0"/>
          <w:color w:val="auto"/>
          <w:spacing w:val="0"/>
          <w:w w:val="100"/>
          <w:sz w:val="30"/>
          <w:szCs w:val="30"/>
          <w:highlight w:val="none"/>
          <w:lang w:val="en-US" w:eastAsia="zh-CN"/>
        </w:rPr>
        <w:t>85</w:t>
      </w:r>
      <w:r>
        <w:rPr>
          <w:rFonts w:hint="default" w:ascii="Times New Roman" w:hAnsi="Times New Roman" w:eastAsia="宋体" w:cs="Times New Roman"/>
          <w:smallCaps w:val="0"/>
          <w:color w:val="auto"/>
          <w:spacing w:val="0"/>
          <w:w w:val="100"/>
          <w:sz w:val="30"/>
          <w:szCs w:val="30"/>
          <w:highlight w:val="none"/>
          <w:lang w:eastAsia="zh-CN"/>
        </w:rPr>
        <w:t>=0.4</w:t>
      </w:r>
      <w:r>
        <w:rPr>
          <w:rFonts w:hint="default" w:ascii="Times New Roman" w:hAnsi="Times New Roman" w:eastAsia="宋体" w:cs="Times New Roman"/>
          <w:smallCaps w:val="0"/>
          <w:color w:val="auto"/>
          <w:spacing w:val="0"/>
          <w:w w:val="100"/>
          <w:sz w:val="30"/>
          <w:szCs w:val="30"/>
          <w:highlight w:val="none"/>
          <w:lang w:val="en-US" w:eastAsia="zh-CN"/>
        </w:rPr>
        <w:t>9</w:t>
      </w:r>
      <w:r>
        <w:rPr>
          <w:rFonts w:hint="default" w:ascii="Times New Roman" w:hAnsi="Times New Roman" w:eastAsia="宋体" w:cs="Times New Roman"/>
          <w:smallCaps w:val="0"/>
          <w:color w:val="auto"/>
          <w:spacing w:val="0"/>
          <w:w w:val="100"/>
          <w:sz w:val="30"/>
          <w:szCs w:val="30"/>
          <w:highlight w:val="none"/>
          <w:lang w:eastAsia="zh-CN"/>
        </w:rPr>
        <w:t>。</w:t>
      </w:r>
    </w:p>
    <w:p w14:paraId="44FD4854">
      <w:pPr>
        <w:kinsoku/>
        <w:spacing w:before="44" w:line="217" w:lineRule="auto"/>
        <w:ind w:left="722"/>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③农作物需水量</w:t>
      </w:r>
    </w:p>
    <w:p w14:paraId="43CC9D73">
      <w:pPr>
        <w:kinsoku/>
        <w:spacing w:before="97" w:line="346" w:lineRule="auto"/>
        <w:ind w:left="125" w:right="115" w:firstLine="59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根据项目区各种作物的种植面积和《四川省用水定额》并与实际情况相结合，规划区不同作物灌溉基准定额计算出项目区</w:t>
      </w:r>
      <w:r>
        <w:rPr>
          <w:rFonts w:hint="default" w:ascii="Times New Roman" w:hAnsi="Times New Roman" w:eastAsia="宋体" w:cs="Times New Roman"/>
          <w:smallCaps w:val="0"/>
          <w:color w:val="auto"/>
          <w:spacing w:val="0"/>
          <w:w w:val="100"/>
          <w:sz w:val="30"/>
          <w:szCs w:val="30"/>
          <w:highlight w:val="none"/>
          <w:lang w:val="en-US" w:eastAsia="zh-CN"/>
        </w:rPr>
        <w:t>需</w:t>
      </w:r>
      <w:r>
        <w:rPr>
          <w:rFonts w:hint="default" w:ascii="Times New Roman" w:hAnsi="Times New Roman" w:eastAsia="宋体" w:cs="Times New Roman"/>
          <w:smallCaps w:val="0"/>
          <w:color w:val="auto"/>
          <w:spacing w:val="0"/>
          <w:w w:val="100"/>
          <w:sz w:val="30"/>
          <w:szCs w:val="30"/>
          <w:highlight w:val="none"/>
          <w:lang w:eastAsia="zh-CN"/>
        </w:rPr>
        <w:t>水量。</w:t>
      </w:r>
    </w:p>
    <w:p w14:paraId="1BC123F0">
      <w:pPr>
        <w:kinsoku/>
        <w:spacing w:before="160" w:line="220" w:lineRule="auto"/>
        <w:jc w:val="center"/>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项目实施前项目区农业需水量统计表</w:t>
      </w:r>
    </w:p>
    <w:p w14:paraId="5B8C7BE3">
      <w:pPr>
        <w:kinsoku/>
        <w:spacing w:before="160" w:line="220" w:lineRule="auto"/>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表4.1-3</w:t>
      </w:r>
    </w:p>
    <w:tbl>
      <w:tblPr>
        <w:tblStyle w:val="18"/>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941"/>
        <w:gridCol w:w="2275"/>
        <w:gridCol w:w="2028"/>
        <w:gridCol w:w="2031"/>
      </w:tblGrid>
      <w:tr w14:paraId="034B1C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trPr>
        <w:tc>
          <w:tcPr>
            <w:tcW w:w="1585" w:type="pct"/>
            <w:tcBorders>
              <w:tl2br w:val="nil"/>
              <w:tr2bl w:val="nil"/>
            </w:tcBorders>
            <w:shd w:val="clear" w:color="auto" w:fill="auto"/>
            <w:vAlign w:val="center"/>
          </w:tcPr>
          <w:p w14:paraId="2EBDBEF3">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作物名称</w:t>
            </w:r>
          </w:p>
        </w:tc>
        <w:tc>
          <w:tcPr>
            <w:tcW w:w="1226" w:type="pct"/>
            <w:tcBorders>
              <w:tl2br w:val="nil"/>
              <w:tr2bl w:val="nil"/>
            </w:tcBorders>
            <w:shd w:val="clear" w:color="auto" w:fill="auto"/>
            <w:vAlign w:val="center"/>
          </w:tcPr>
          <w:p w14:paraId="1A1DEAEA">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青稞</w:t>
            </w:r>
          </w:p>
        </w:tc>
        <w:tc>
          <w:tcPr>
            <w:tcW w:w="1093" w:type="pct"/>
            <w:tcBorders>
              <w:tl2br w:val="nil"/>
              <w:tr2bl w:val="nil"/>
            </w:tcBorders>
            <w:shd w:val="clear" w:color="auto" w:fill="auto"/>
            <w:vAlign w:val="center"/>
          </w:tcPr>
          <w:p w14:paraId="772915C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马铃薯</w:t>
            </w:r>
          </w:p>
        </w:tc>
        <w:tc>
          <w:tcPr>
            <w:tcW w:w="1094" w:type="pct"/>
            <w:tcBorders>
              <w:tl2br w:val="nil"/>
              <w:tr2bl w:val="nil"/>
            </w:tcBorders>
            <w:shd w:val="clear" w:color="auto" w:fill="auto"/>
            <w:vAlign w:val="center"/>
          </w:tcPr>
          <w:p w14:paraId="2EC3C700">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合计</w:t>
            </w:r>
          </w:p>
        </w:tc>
      </w:tr>
      <w:tr w14:paraId="0E4D4D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trPr>
        <w:tc>
          <w:tcPr>
            <w:tcW w:w="1585" w:type="pct"/>
            <w:tcBorders>
              <w:tl2br w:val="nil"/>
              <w:tr2bl w:val="nil"/>
            </w:tcBorders>
            <w:shd w:val="clear" w:color="auto" w:fill="auto"/>
            <w:vAlign w:val="center"/>
          </w:tcPr>
          <w:p w14:paraId="2A9A4A9C">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种植面积（亩）</w:t>
            </w:r>
          </w:p>
        </w:tc>
        <w:tc>
          <w:tcPr>
            <w:tcW w:w="1226" w:type="pct"/>
            <w:tcBorders>
              <w:tl2br w:val="nil"/>
              <w:tr2bl w:val="nil"/>
            </w:tcBorders>
            <w:shd w:val="clear" w:color="auto" w:fill="auto"/>
            <w:vAlign w:val="center"/>
          </w:tcPr>
          <w:p w14:paraId="039AB23D">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8052.8</w:t>
            </w:r>
          </w:p>
        </w:tc>
        <w:tc>
          <w:tcPr>
            <w:tcW w:w="1093" w:type="pct"/>
            <w:tcBorders>
              <w:tl2br w:val="nil"/>
              <w:tr2bl w:val="nil"/>
            </w:tcBorders>
            <w:shd w:val="clear" w:color="auto" w:fill="auto"/>
            <w:vAlign w:val="center"/>
          </w:tcPr>
          <w:p w14:paraId="37A4B302">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1947.2</w:t>
            </w:r>
          </w:p>
        </w:tc>
        <w:tc>
          <w:tcPr>
            <w:tcW w:w="1094" w:type="pct"/>
            <w:tcBorders>
              <w:tl2br w:val="nil"/>
              <w:tr2bl w:val="nil"/>
            </w:tcBorders>
            <w:shd w:val="clear" w:color="auto" w:fill="auto"/>
            <w:vAlign w:val="center"/>
          </w:tcPr>
          <w:p w14:paraId="2DD8A0DF">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10000</w:t>
            </w:r>
          </w:p>
        </w:tc>
      </w:tr>
      <w:tr w14:paraId="74431C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9" w:hRule="atLeast"/>
        </w:trPr>
        <w:tc>
          <w:tcPr>
            <w:tcW w:w="1585" w:type="pct"/>
            <w:tcBorders>
              <w:tl2br w:val="nil"/>
              <w:tr2bl w:val="nil"/>
            </w:tcBorders>
            <w:shd w:val="clear" w:color="auto" w:fill="auto"/>
            <w:vAlign w:val="center"/>
          </w:tcPr>
          <w:p w14:paraId="77CD5AE2">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净灌溉定额（亩/m³）</w:t>
            </w:r>
          </w:p>
        </w:tc>
        <w:tc>
          <w:tcPr>
            <w:tcW w:w="1226" w:type="pct"/>
            <w:tcBorders>
              <w:tl2br w:val="nil"/>
              <w:tr2bl w:val="nil"/>
            </w:tcBorders>
            <w:shd w:val="clear" w:color="auto" w:fill="auto"/>
            <w:vAlign w:val="center"/>
          </w:tcPr>
          <w:p w14:paraId="7F88C0DF">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100</w:t>
            </w:r>
          </w:p>
        </w:tc>
        <w:tc>
          <w:tcPr>
            <w:tcW w:w="1093" w:type="pct"/>
            <w:tcBorders>
              <w:tl2br w:val="nil"/>
              <w:tr2bl w:val="nil"/>
            </w:tcBorders>
            <w:shd w:val="clear" w:color="auto" w:fill="auto"/>
            <w:vAlign w:val="center"/>
          </w:tcPr>
          <w:p w14:paraId="34902980">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90</w:t>
            </w:r>
          </w:p>
        </w:tc>
        <w:tc>
          <w:tcPr>
            <w:tcW w:w="1094" w:type="pct"/>
            <w:tcBorders>
              <w:tl2br w:val="nil"/>
              <w:tr2bl w:val="nil"/>
            </w:tcBorders>
            <w:shd w:val="clear" w:color="auto" w:fill="auto"/>
            <w:vAlign w:val="center"/>
          </w:tcPr>
          <w:p w14:paraId="01F500FD">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w:t>
            </w:r>
          </w:p>
        </w:tc>
      </w:tr>
      <w:tr w14:paraId="0B3F03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trPr>
        <w:tc>
          <w:tcPr>
            <w:tcW w:w="1585" w:type="pct"/>
            <w:tcBorders>
              <w:tl2br w:val="nil"/>
              <w:tr2bl w:val="nil"/>
            </w:tcBorders>
            <w:shd w:val="clear" w:color="auto" w:fill="auto"/>
            <w:vAlign w:val="center"/>
          </w:tcPr>
          <w:p w14:paraId="449668FC">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净需水量（万m³）</w:t>
            </w:r>
          </w:p>
        </w:tc>
        <w:tc>
          <w:tcPr>
            <w:tcW w:w="1226" w:type="pct"/>
            <w:tcBorders>
              <w:tl2br w:val="nil"/>
              <w:tr2bl w:val="nil"/>
            </w:tcBorders>
            <w:shd w:val="clear" w:color="auto" w:fill="auto"/>
            <w:vAlign w:val="center"/>
          </w:tcPr>
          <w:p w14:paraId="266FD782">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80.53</w:t>
            </w:r>
          </w:p>
        </w:tc>
        <w:tc>
          <w:tcPr>
            <w:tcW w:w="1093" w:type="pct"/>
            <w:tcBorders>
              <w:tl2br w:val="nil"/>
              <w:tr2bl w:val="nil"/>
            </w:tcBorders>
            <w:shd w:val="clear" w:color="auto" w:fill="auto"/>
            <w:vAlign w:val="center"/>
          </w:tcPr>
          <w:p w14:paraId="7E1FCB94">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17.53</w:t>
            </w:r>
          </w:p>
        </w:tc>
        <w:tc>
          <w:tcPr>
            <w:tcW w:w="1094" w:type="pct"/>
            <w:tcBorders>
              <w:tl2br w:val="nil"/>
              <w:tr2bl w:val="nil"/>
            </w:tcBorders>
            <w:shd w:val="clear" w:color="auto" w:fill="auto"/>
            <w:vAlign w:val="center"/>
          </w:tcPr>
          <w:p w14:paraId="6C315B5B">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98.06</w:t>
            </w:r>
          </w:p>
        </w:tc>
      </w:tr>
      <w:tr w14:paraId="63788C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1585" w:type="pct"/>
            <w:tcBorders>
              <w:tl2br w:val="nil"/>
              <w:tr2bl w:val="nil"/>
            </w:tcBorders>
            <w:shd w:val="clear" w:color="auto" w:fill="auto"/>
            <w:vAlign w:val="center"/>
          </w:tcPr>
          <w:p w14:paraId="7B4934CC">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毛需水量（万m³）</w:t>
            </w:r>
          </w:p>
        </w:tc>
        <w:tc>
          <w:tcPr>
            <w:tcW w:w="1226" w:type="pct"/>
            <w:tcBorders>
              <w:tl2br w:val="nil"/>
              <w:tr2bl w:val="nil"/>
            </w:tcBorders>
            <w:shd w:val="clear" w:color="auto" w:fill="auto"/>
            <w:vAlign w:val="center"/>
          </w:tcPr>
          <w:p w14:paraId="72EF310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 xml:space="preserve">164.35 </w:t>
            </w:r>
          </w:p>
        </w:tc>
        <w:tc>
          <w:tcPr>
            <w:tcW w:w="1093" w:type="pct"/>
            <w:tcBorders>
              <w:tl2br w:val="nil"/>
              <w:tr2bl w:val="nil"/>
            </w:tcBorders>
            <w:shd w:val="clear" w:color="auto" w:fill="auto"/>
            <w:vAlign w:val="center"/>
          </w:tcPr>
          <w:p w14:paraId="5F85D17C">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 xml:space="preserve">35.78 </w:t>
            </w:r>
          </w:p>
        </w:tc>
        <w:tc>
          <w:tcPr>
            <w:tcW w:w="1094" w:type="pct"/>
            <w:tcBorders>
              <w:tl2br w:val="nil"/>
              <w:tr2bl w:val="nil"/>
            </w:tcBorders>
            <w:shd w:val="clear" w:color="auto" w:fill="auto"/>
            <w:vAlign w:val="center"/>
          </w:tcPr>
          <w:p w14:paraId="7F3AA9A5">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 xml:space="preserve">200.12 </w:t>
            </w:r>
          </w:p>
        </w:tc>
      </w:tr>
    </w:tbl>
    <w:p w14:paraId="73DEF582">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项目区农作物净灌溉需水</w:t>
      </w:r>
      <w:r>
        <w:rPr>
          <w:rFonts w:hint="default" w:ascii="Times New Roman" w:hAnsi="Times New Roman" w:eastAsia="宋体" w:cs="Times New Roman"/>
          <w:smallCaps w:val="0"/>
          <w:color w:val="auto"/>
          <w:spacing w:val="0"/>
          <w:w w:val="100"/>
          <w:sz w:val="30"/>
          <w:szCs w:val="30"/>
          <w:highlight w:val="none"/>
          <w:lang w:val="en-US" w:eastAsia="zh-CN"/>
        </w:rPr>
        <w:t>为</w:t>
      </w:r>
      <w:r>
        <w:rPr>
          <w:rFonts w:hint="default" w:ascii="Times New Roman" w:hAnsi="Times New Roman" w:eastAsia="宋体" w:cs="Times New Roman"/>
          <w:smallCaps w:val="0"/>
          <w:color w:val="auto"/>
          <w:spacing w:val="0"/>
          <w:w w:val="100"/>
          <w:sz w:val="30"/>
          <w:szCs w:val="30"/>
          <w:highlight w:val="none"/>
          <w:lang w:eastAsia="zh-CN"/>
        </w:rPr>
        <w:t xml:space="preserve"> </w:t>
      </w:r>
      <w:r>
        <w:rPr>
          <w:rFonts w:hint="default" w:ascii="Times New Roman" w:hAnsi="Times New Roman" w:eastAsia="宋体" w:cs="Times New Roman"/>
          <w:smallCaps w:val="0"/>
          <w:color w:val="auto"/>
          <w:spacing w:val="0"/>
          <w:w w:val="100"/>
          <w:sz w:val="30"/>
          <w:szCs w:val="30"/>
          <w:highlight w:val="none"/>
          <w:lang w:val="en-US" w:eastAsia="zh-CN"/>
        </w:rPr>
        <w:t>200.12</w:t>
      </w:r>
      <w:r>
        <w:rPr>
          <w:rFonts w:hint="default" w:ascii="Times New Roman" w:hAnsi="Times New Roman" w:eastAsia="宋体" w:cs="Times New Roman"/>
          <w:smallCaps w:val="0"/>
          <w:color w:val="auto"/>
          <w:spacing w:val="0"/>
          <w:w w:val="100"/>
          <w:sz w:val="30"/>
          <w:szCs w:val="30"/>
          <w:highlight w:val="none"/>
          <w:lang w:eastAsia="zh-CN"/>
        </w:rPr>
        <w:t>万m³。</w:t>
      </w:r>
    </w:p>
    <w:p w14:paraId="283DD828">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2）人畜用水量</w:t>
      </w:r>
    </w:p>
    <w:p w14:paraId="679A4BCC">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项目区人畜饮水工程已实施完成，本次设计主要涉及高标准农田建设，不对人畜饮水进行分析。</w:t>
      </w:r>
    </w:p>
    <w:p w14:paraId="255AC613">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综上，现状年项目区农田灌溉需水量为</w:t>
      </w:r>
      <w:r>
        <w:rPr>
          <w:rFonts w:hint="default" w:ascii="Times New Roman" w:hAnsi="Times New Roman" w:eastAsia="宋体" w:cs="Times New Roman"/>
          <w:smallCaps w:val="0"/>
          <w:color w:val="auto"/>
          <w:spacing w:val="0"/>
          <w:w w:val="100"/>
          <w:sz w:val="30"/>
          <w:szCs w:val="30"/>
          <w:highlight w:val="none"/>
          <w:lang w:val="en-US" w:eastAsia="zh-CN"/>
        </w:rPr>
        <w:t>200.12</w:t>
      </w:r>
      <w:r>
        <w:rPr>
          <w:rFonts w:hint="default" w:ascii="Times New Roman" w:hAnsi="Times New Roman" w:eastAsia="宋体" w:cs="Times New Roman"/>
          <w:smallCaps w:val="0"/>
          <w:color w:val="auto"/>
          <w:spacing w:val="0"/>
          <w:w w:val="100"/>
          <w:sz w:val="30"/>
          <w:szCs w:val="30"/>
          <w:highlight w:val="none"/>
          <w:lang w:eastAsia="zh-CN"/>
        </w:rPr>
        <w:t>万 m³。</w:t>
      </w:r>
    </w:p>
    <w:p w14:paraId="5418E916">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w:t>
      </w:r>
      <w:r>
        <w:rPr>
          <w:rFonts w:hint="default" w:ascii="Times New Roman" w:hAnsi="Times New Roman" w:eastAsia="宋体" w:cs="Times New Roman"/>
          <w:smallCaps w:val="0"/>
          <w:color w:val="auto"/>
          <w:spacing w:val="0"/>
          <w:w w:val="100"/>
          <w:sz w:val="30"/>
          <w:szCs w:val="30"/>
          <w:highlight w:val="none"/>
          <w:lang w:val="en-US" w:eastAsia="zh-CN"/>
        </w:rPr>
        <w:t>现状年</w:t>
      </w:r>
      <w:r>
        <w:rPr>
          <w:rFonts w:hint="default" w:ascii="Times New Roman" w:hAnsi="Times New Roman" w:eastAsia="宋体" w:cs="Times New Roman"/>
          <w:smallCaps w:val="0"/>
          <w:color w:val="auto"/>
          <w:spacing w:val="0"/>
          <w:w w:val="100"/>
          <w:sz w:val="30"/>
          <w:szCs w:val="30"/>
          <w:highlight w:val="none"/>
          <w:lang w:eastAsia="zh-CN"/>
        </w:rPr>
        <w:t>供需水平衡分析结论</w:t>
      </w:r>
    </w:p>
    <w:p w14:paraId="0EBE2F27">
      <w:pPr>
        <w:pStyle w:val="17"/>
        <w:ind w:left="0" w:leftChars="0" w:firstLine="0" w:firstLineChars="0"/>
        <w:jc w:val="center"/>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现状年水供需情况表</w:t>
      </w:r>
    </w:p>
    <w:p w14:paraId="5AB2D3BF">
      <w:pPr>
        <w:kinsoku/>
        <w:spacing w:before="160" w:line="220" w:lineRule="auto"/>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表4.1-4</w:t>
      </w:r>
    </w:p>
    <w:tbl>
      <w:tblPr>
        <w:tblStyle w:val="26"/>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618"/>
        <w:gridCol w:w="3552"/>
        <w:gridCol w:w="2899"/>
      </w:tblGrid>
      <w:tr w14:paraId="6DCBB6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1443" w:type="pct"/>
          </w:tcPr>
          <w:p w14:paraId="19722FAA">
            <w:pPr>
              <w:kinsoku/>
              <w:spacing w:before="54" w:line="225" w:lineRule="auto"/>
              <w:ind w:left="203"/>
              <w:rPr>
                <w:rFonts w:hint="default" w:ascii="Times New Roman" w:hAnsi="Times New Roman" w:eastAsia="宋体" w:cs="Times New Roman"/>
                <w:smallCaps w:val="0"/>
                <w:color w:val="auto"/>
                <w:spacing w:val="0"/>
                <w:w w:val="100"/>
                <w:sz w:val="24"/>
                <w:szCs w:val="24"/>
                <w:highlight w:val="none"/>
                <w:lang w:eastAsia="zh-CN"/>
              </w:rPr>
            </w:pPr>
            <w:r>
              <w:rPr>
                <w:rFonts w:hint="default" w:ascii="Times New Roman" w:hAnsi="Times New Roman" w:eastAsia="宋体" w:cs="Times New Roman"/>
                <w:smallCaps w:val="0"/>
                <w:color w:val="auto"/>
                <w:spacing w:val="0"/>
                <w:w w:val="100"/>
                <w:sz w:val="24"/>
                <w:szCs w:val="24"/>
                <w:highlight w:val="none"/>
              </w:rPr>
              <w:t xml:space="preserve">可供水量（万 </w:t>
            </w:r>
            <w:r>
              <w:rPr>
                <w:rFonts w:hint="default" w:ascii="Times New Roman" w:hAnsi="Times New Roman" w:eastAsia="宋体" w:cs="Times New Roman"/>
                <w:smallCaps w:val="0"/>
                <w:color w:val="auto"/>
                <w:spacing w:val="0"/>
                <w:w w:val="100"/>
                <w:sz w:val="24"/>
                <w:szCs w:val="24"/>
                <w:highlight w:val="none"/>
                <w:lang w:eastAsia="zh-CN"/>
              </w:rPr>
              <w:t>m³）</w:t>
            </w:r>
          </w:p>
        </w:tc>
        <w:tc>
          <w:tcPr>
            <w:tcW w:w="1958" w:type="pct"/>
          </w:tcPr>
          <w:p w14:paraId="4C9B481A">
            <w:pPr>
              <w:kinsoku/>
              <w:spacing w:before="54" w:line="218" w:lineRule="auto"/>
              <w:ind w:left="149"/>
              <w:rPr>
                <w:rFonts w:hint="default" w:ascii="Times New Roman" w:hAnsi="Times New Roman" w:eastAsia="宋体" w:cs="Times New Roman"/>
                <w:smallCaps w:val="0"/>
                <w:color w:val="auto"/>
                <w:spacing w:val="0"/>
                <w:w w:val="100"/>
                <w:sz w:val="24"/>
                <w:szCs w:val="24"/>
                <w:highlight w:val="none"/>
                <w:lang w:eastAsia="zh-CN"/>
              </w:rPr>
            </w:pPr>
            <w:r>
              <w:rPr>
                <w:rFonts w:hint="default" w:ascii="Times New Roman" w:hAnsi="Times New Roman" w:eastAsia="宋体" w:cs="Times New Roman"/>
                <w:smallCaps w:val="0"/>
                <w:color w:val="auto"/>
                <w:spacing w:val="0"/>
                <w:w w:val="100"/>
                <w:sz w:val="24"/>
                <w:szCs w:val="24"/>
                <w:highlight w:val="none"/>
                <w:lang w:eastAsia="zh-CN"/>
              </w:rPr>
              <w:t>农田灌溉用需水量（万 m³）</w:t>
            </w:r>
          </w:p>
        </w:tc>
        <w:tc>
          <w:tcPr>
            <w:tcW w:w="1598" w:type="pct"/>
          </w:tcPr>
          <w:p w14:paraId="7C29E1E3">
            <w:pPr>
              <w:kinsoku/>
              <w:spacing w:before="53" w:line="227" w:lineRule="auto"/>
              <w:ind w:left="220"/>
              <w:rPr>
                <w:rFonts w:hint="default" w:ascii="Times New Roman" w:hAnsi="Times New Roman" w:eastAsia="宋体" w:cs="Times New Roman"/>
                <w:smallCaps w:val="0"/>
                <w:color w:val="auto"/>
                <w:spacing w:val="0"/>
                <w:w w:val="100"/>
                <w:sz w:val="16"/>
                <w:szCs w:val="16"/>
                <w:highlight w:val="none"/>
                <w:lang w:eastAsia="zh-CN"/>
              </w:rPr>
            </w:pPr>
            <w:r>
              <w:rPr>
                <w:rFonts w:hint="default" w:ascii="Times New Roman" w:hAnsi="Times New Roman" w:eastAsia="宋体" w:cs="Times New Roman"/>
                <w:smallCaps w:val="0"/>
                <w:color w:val="auto"/>
                <w:spacing w:val="0"/>
                <w:w w:val="100"/>
                <w:sz w:val="24"/>
                <w:szCs w:val="24"/>
                <w:highlight w:val="none"/>
              </w:rPr>
              <w:t xml:space="preserve">余（+ </w:t>
            </w:r>
            <w:r>
              <w:rPr>
                <w:rFonts w:hint="default" w:ascii="Times New Roman" w:hAnsi="Times New Roman" w:eastAsia="宋体" w:cs="Times New Roman"/>
                <w:smallCaps w:val="0"/>
                <w:color w:val="auto"/>
                <w:spacing w:val="0"/>
                <w:w w:val="100"/>
                <w:sz w:val="24"/>
                <w:szCs w:val="24"/>
                <w:highlight w:val="none"/>
                <w:lang w:eastAsia="zh-CN"/>
              </w:rPr>
              <w:t>）</w:t>
            </w:r>
            <w:r>
              <w:rPr>
                <w:rFonts w:hint="default" w:ascii="Times New Roman" w:hAnsi="Times New Roman" w:eastAsia="宋体" w:cs="Times New Roman"/>
                <w:smallCaps w:val="0"/>
                <w:color w:val="auto"/>
                <w:spacing w:val="0"/>
                <w:w w:val="100"/>
                <w:sz w:val="24"/>
                <w:szCs w:val="24"/>
                <w:highlight w:val="none"/>
              </w:rPr>
              <w:t>缺（</w:t>
            </w:r>
            <w:r>
              <w:rPr>
                <w:rFonts w:hint="default" w:ascii="Times New Roman" w:hAnsi="Times New Roman" w:eastAsia="宋体" w:cs="Times New Roman"/>
                <w:smallCaps w:val="0"/>
                <w:color w:val="auto"/>
                <w:spacing w:val="0"/>
                <w:w w:val="100"/>
                <w:sz w:val="24"/>
                <w:szCs w:val="24"/>
                <w:highlight w:val="none"/>
                <w:lang w:eastAsia="zh-CN"/>
              </w:rPr>
              <w:t>－）</w:t>
            </w:r>
            <w:r>
              <w:rPr>
                <w:rFonts w:hint="default" w:ascii="Times New Roman" w:hAnsi="Times New Roman" w:eastAsia="宋体" w:cs="Times New Roman"/>
                <w:smallCaps w:val="0"/>
                <w:color w:val="auto"/>
                <w:spacing w:val="0"/>
                <w:w w:val="100"/>
                <w:sz w:val="24"/>
                <w:szCs w:val="24"/>
                <w:highlight w:val="none"/>
              </w:rPr>
              <w:t xml:space="preserve">万 </w:t>
            </w:r>
            <w:r>
              <w:rPr>
                <w:rFonts w:hint="default" w:ascii="Times New Roman" w:hAnsi="Times New Roman" w:eastAsia="宋体" w:cs="Times New Roman"/>
                <w:smallCaps w:val="0"/>
                <w:color w:val="auto"/>
                <w:spacing w:val="0"/>
                <w:w w:val="100"/>
                <w:sz w:val="24"/>
                <w:szCs w:val="24"/>
                <w:highlight w:val="none"/>
                <w:lang w:eastAsia="zh-CN"/>
              </w:rPr>
              <w:t>m³</w:t>
            </w:r>
          </w:p>
        </w:tc>
      </w:tr>
      <w:tr w14:paraId="6ABAE8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1443" w:type="pct"/>
          </w:tcPr>
          <w:p w14:paraId="3B254237">
            <w:pPr>
              <w:kinsoku/>
              <w:spacing w:before="82" w:line="186" w:lineRule="auto"/>
              <w:ind w:left="870"/>
              <w:rPr>
                <w:rFonts w:hint="default" w:ascii="Times New Roman" w:hAnsi="Times New Roman" w:eastAsia="宋体" w:cs="Times New Roman"/>
                <w:smallCaps w:val="0"/>
                <w:color w:val="auto"/>
                <w:spacing w:val="0"/>
                <w:w w:val="100"/>
                <w:sz w:val="24"/>
                <w:szCs w:val="24"/>
                <w:highlight w:val="none"/>
                <w:lang w:val="en-US"/>
              </w:rPr>
            </w:pPr>
            <w:r>
              <w:rPr>
                <w:rFonts w:hint="default" w:ascii="Times New Roman" w:hAnsi="Times New Roman" w:eastAsia="宋体" w:cs="Times New Roman"/>
                <w:smallCaps w:val="0"/>
                <w:color w:val="auto"/>
                <w:spacing w:val="0"/>
                <w:w w:val="100"/>
                <w:sz w:val="24"/>
                <w:szCs w:val="24"/>
                <w:highlight w:val="none"/>
                <w:lang w:val="en-US" w:eastAsia="zh-CN"/>
              </w:rPr>
              <w:t>196.21</w:t>
            </w:r>
          </w:p>
        </w:tc>
        <w:tc>
          <w:tcPr>
            <w:tcW w:w="1958" w:type="pct"/>
          </w:tcPr>
          <w:p w14:paraId="1F69F93F">
            <w:pPr>
              <w:kinsoku/>
              <w:spacing w:before="82" w:line="186" w:lineRule="auto"/>
              <w:ind w:left="1297"/>
              <w:rPr>
                <w:rFonts w:hint="default" w:ascii="Times New Roman" w:hAnsi="Times New Roman" w:eastAsia="宋体" w:cs="Times New Roman"/>
                <w:smallCaps w:val="0"/>
                <w:color w:val="auto"/>
                <w:spacing w:val="0"/>
                <w:w w:val="100"/>
                <w:sz w:val="24"/>
                <w:szCs w:val="24"/>
                <w:highlight w:val="none"/>
                <w:lang w:val="en-US" w:eastAsia="zh-CN"/>
              </w:rPr>
            </w:pPr>
            <w:r>
              <w:rPr>
                <w:rFonts w:hint="default" w:ascii="Times New Roman" w:hAnsi="Times New Roman" w:eastAsia="宋体" w:cs="Times New Roman"/>
                <w:smallCaps w:val="0"/>
                <w:color w:val="auto"/>
                <w:spacing w:val="0"/>
                <w:w w:val="100"/>
                <w:sz w:val="24"/>
                <w:szCs w:val="24"/>
                <w:highlight w:val="none"/>
                <w:lang w:val="en-US" w:eastAsia="zh-CN"/>
              </w:rPr>
              <w:t>200.12</w:t>
            </w:r>
          </w:p>
        </w:tc>
        <w:tc>
          <w:tcPr>
            <w:tcW w:w="1598" w:type="pct"/>
          </w:tcPr>
          <w:p w14:paraId="3F8BA161">
            <w:pPr>
              <w:kinsoku/>
              <w:spacing w:before="38" w:line="211" w:lineRule="auto"/>
              <w:jc w:val="center"/>
              <w:rPr>
                <w:rFonts w:hint="default" w:ascii="Times New Roman" w:hAnsi="Times New Roman" w:eastAsia="宋体" w:cs="Times New Roman"/>
                <w:smallCaps w:val="0"/>
                <w:color w:val="auto"/>
                <w:spacing w:val="0"/>
                <w:w w:val="100"/>
                <w:sz w:val="24"/>
                <w:szCs w:val="24"/>
                <w:highlight w:val="none"/>
                <w:lang w:val="en-US"/>
              </w:rPr>
            </w:pPr>
            <w:r>
              <w:rPr>
                <w:rFonts w:hint="default" w:ascii="Times New Roman" w:hAnsi="Times New Roman" w:eastAsia="宋体" w:cs="Times New Roman"/>
                <w:smallCaps w:val="0"/>
                <w:color w:val="auto"/>
                <w:spacing w:val="0"/>
                <w:w w:val="100"/>
                <w:sz w:val="24"/>
                <w:szCs w:val="24"/>
                <w:highlight w:val="none"/>
                <w:lang w:val="en-US" w:eastAsia="zh-CN"/>
              </w:rPr>
              <w:t>-3.91</w:t>
            </w:r>
          </w:p>
        </w:tc>
      </w:tr>
    </w:tbl>
    <w:p w14:paraId="1F7AE232">
      <w:pPr>
        <w:keepNext w:val="0"/>
        <w:keepLines w:val="0"/>
        <w:pageBreakBefore w:val="0"/>
        <w:widowControl/>
        <w:kinsoku/>
        <w:wordWrap/>
        <w:overflowPunct/>
        <w:topLinePunct w:val="0"/>
        <w:autoSpaceDE w:val="0"/>
        <w:autoSpaceDN w:val="0"/>
        <w:bidi w:val="0"/>
        <w:adjustRightInd w:val="0"/>
        <w:snapToGrid w:val="0"/>
        <w:spacing w:before="152" w:line="360" w:lineRule="auto"/>
        <w:ind w:left="141" w:right="112" w:firstLine="587"/>
        <w:textAlignment w:val="baseline"/>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从上表可以看出，现状年可供水量</w:t>
      </w:r>
      <w:r>
        <w:rPr>
          <w:rFonts w:hint="default" w:ascii="Times New Roman" w:hAnsi="Times New Roman" w:eastAsia="宋体" w:cs="Times New Roman"/>
          <w:smallCaps w:val="0"/>
          <w:color w:val="auto"/>
          <w:spacing w:val="0"/>
          <w:w w:val="100"/>
          <w:sz w:val="30"/>
          <w:szCs w:val="30"/>
          <w:highlight w:val="none"/>
          <w:lang w:val="en-US" w:eastAsia="zh-CN"/>
        </w:rPr>
        <w:t>196.21</w:t>
      </w:r>
      <w:r>
        <w:rPr>
          <w:rFonts w:hint="default" w:ascii="Times New Roman" w:hAnsi="Times New Roman" w:eastAsia="宋体" w:cs="Times New Roman"/>
          <w:smallCaps w:val="0"/>
          <w:color w:val="auto"/>
          <w:spacing w:val="0"/>
          <w:w w:val="100"/>
          <w:sz w:val="30"/>
          <w:szCs w:val="30"/>
          <w:highlight w:val="none"/>
          <w:lang w:eastAsia="zh-CN"/>
        </w:rPr>
        <w:t>万 m³，农田灌溉需水量</w:t>
      </w:r>
      <w:r>
        <w:rPr>
          <w:rFonts w:hint="default" w:ascii="Times New Roman" w:hAnsi="Times New Roman" w:eastAsia="宋体" w:cs="Times New Roman"/>
          <w:smallCaps w:val="0"/>
          <w:color w:val="auto"/>
          <w:spacing w:val="0"/>
          <w:w w:val="100"/>
          <w:sz w:val="30"/>
          <w:szCs w:val="30"/>
          <w:highlight w:val="none"/>
          <w:lang w:val="en-US" w:eastAsia="zh-CN"/>
        </w:rPr>
        <w:t>200.12</w:t>
      </w:r>
      <w:r>
        <w:rPr>
          <w:rFonts w:hint="default" w:ascii="Times New Roman" w:hAnsi="Times New Roman" w:eastAsia="宋体" w:cs="Times New Roman"/>
          <w:smallCaps w:val="0"/>
          <w:color w:val="auto"/>
          <w:spacing w:val="0"/>
          <w:w w:val="100"/>
          <w:sz w:val="30"/>
          <w:szCs w:val="30"/>
          <w:highlight w:val="none"/>
          <w:lang w:eastAsia="zh-CN"/>
        </w:rPr>
        <w:t>万m³，</w:t>
      </w:r>
      <w:r>
        <w:rPr>
          <w:rFonts w:hint="default" w:ascii="Times New Roman" w:hAnsi="Times New Roman" w:eastAsia="宋体" w:cs="Times New Roman"/>
          <w:smallCaps w:val="0"/>
          <w:color w:val="auto"/>
          <w:spacing w:val="0"/>
          <w:w w:val="100"/>
          <w:sz w:val="30"/>
          <w:szCs w:val="30"/>
          <w:highlight w:val="none"/>
          <w:lang w:val="en-US" w:eastAsia="zh-CN"/>
        </w:rPr>
        <w:t>则现状年的可供水量不能满足项目区作物的灌溉需求</w:t>
      </w:r>
      <w:r>
        <w:rPr>
          <w:rFonts w:hint="default" w:ascii="Times New Roman" w:hAnsi="Times New Roman" w:eastAsia="宋体" w:cs="Times New Roman"/>
          <w:smallCaps w:val="0"/>
          <w:color w:val="auto"/>
          <w:spacing w:val="0"/>
          <w:w w:val="100"/>
          <w:sz w:val="30"/>
          <w:szCs w:val="30"/>
          <w:highlight w:val="none"/>
          <w:lang w:eastAsia="zh-CN"/>
        </w:rPr>
        <w:t>。</w:t>
      </w:r>
    </w:p>
    <w:p w14:paraId="0A433A89">
      <w:pPr>
        <w:keepNext w:val="0"/>
        <w:keepLines w:val="0"/>
        <w:pageBreakBefore w:val="0"/>
        <w:widowControl/>
        <w:kinsoku/>
        <w:wordWrap/>
        <w:overflowPunct/>
        <w:topLinePunct w:val="0"/>
        <w:autoSpaceDE w:val="0"/>
        <w:autoSpaceDN w:val="0"/>
        <w:bidi w:val="0"/>
        <w:adjustRightInd w:val="0"/>
        <w:snapToGrid w:val="0"/>
        <w:spacing w:before="152" w:line="360" w:lineRule="auto"/>
        <w:ind w:left="141" w:right="112" w:firstLine="587"/>
        <w:textAlignment w:val="baseline"/>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通过上述分析发现，项目区可供水</w:t>
      </w:r>
      <w:r>
        <w:rPr>
          <w:rFonts w:hint="default" w:ascii="Times New Roman" w:hAnsi="Times New Roman" w:eastAsia="宋体" w:cs="Times New Roman"/>
          <w:smallCaps w:val="0"/>
          <w:color w:val="auto"/>
          <w:spacing w:val="0"/>
          <w:w w:val="100"/>
          <w:sz w:val="30"/>
          <w:szCs w:val="30"/>
          <w:highlight w:val="none"/>
          <w:lang w:val="en-US" w:eastAsia="zh-CN"/>
        </w:rPr>
        <w:t>不能</w:t>
      </w:r>
      <w:r>
        <w:rPr>
          <w:rFonts w:hint="default" w:ascii="Times New Roman" w:hAnsi="Times New Roman" w:eastAsia="宋体" w:cs="Times New Roman"/>
          <w:smallCaps w:val="0"/>
          <w:color w:val="auto"/>
          <w:spacing w:val="0"/>
          <w:w w:val="100"/>
          <w:sz w:val="30"/>
          <w:szCs w:val="30"/>
          <w:highlight w:val="none"/>
          <w:lang w:eastAsia="zh-CN"/>
        </w:rPr>
        <w:t>农田灌溉用水需求，但 项目区</w:t>
      </w:r>
      <w:r>
        <w:rPr>
          <w:rFonts w:hint="default" w:ascii="Times New Roman" w:hAnsi="Times New Roman" w:eastAsia="宋体" w:cs="Times New Roman"/>
          <w:smallCaps w:val="0"/>
          <w:color w:val="auto"/>
          <w:spacing w:val="0"/>
          <w:w w:val="100"/>
          <w:sz w:val="30"/>
          <w:szCs w:val="30"/>
          <w:highlight w:val="none"/>
          <w:lang w:val="en-US" w:eastAsia="zh-CN"/>
        </w:rPr>
        <w:t>缺乏</w:t>
      </w:r>
      <w:r>
        <w:rPr>
          <w:rFonts w:hint="default" w:ascii="Times New Roman" w:hAnsi="Times New Roman" w:eastAsia="宋体" w:cs="Times New Roman"/>
          <w:smallCaps w:val="0"/>
          <w:color w:val="auto"/>
          <w:spacing w:val="0"/>
          <w:w w:val="100"/>
          <w:sz w:val="30"/>
          <w:szCs w:val="30"/>
          <w:highlight w:val="none"/>
          <w:lang w:eastAsia="zh-CN"/>
        </w:rPr>
        <w:t>有效的引水灌溉工程，加上降雨时段主要集中在5-10</w:t>
      </w:r>
      <w:bookmarkStart w:id="138" w:name="bookmark61"/>
      <w:bookmarkEnd w:id="138"/>
      <w:r>
        <w:rPr>
          <w:rFonts w:hint="default" w:ascii="Times New Roman" w:hAnsi="Times New Roman" w:eastAsia="宋体" w:cs="Times New Roman"/>
          <w:smallCaps w:val="0"/>
          <w:color w:val="auto"/>
          <w:spacing w:val="0"/>
          <w:w w:val="100"/>
          <w:sz w:val="30"/>
          <w:szCs w:val="30"/>
          <w:highlight w:val="none"/>
          <w:lang w:eastAsia="zh-CN"/>
        </w:rPr>
        <w:t>月，造成项目区耕地在无降水的时段，当地因缺少提水、输水设施和拦蓄水设施而无水灌溉，降水过程与农作物需水矛盾较大。因此，对农业灌溉用水量进行调整，势必从两个方面入手，一是在项目区新建农田水利设施，新建排灌系统，逐步推广先进灌溉技术和节水措施，提高地表水利用率，减少渠系输水损失；二是加强田间灌溉管理，节约用水，减少水量浪费。</w:t>
      </w:r>
    </w:p>
    <w:p w14:paraId="17C4BBCF">
      <w:pPr>
        <w:kinsoku/>
        <w:spacing w:line="560" w:lineRule="exact"/>
        <w:ind w:left="336"/>
        <w:outlineLvl w:val="2"/>
        <w:rPr>
          <w:rFonts w:hint="default" w:ascii="Times New Roman" w:hAnsi="Times New Roman" w:eastAsia="宋体" w:cs="Times New Roman"/>
          <w:smallCaps w:val="0"/>
          <w:color w:val="auto"/>
          <w:spacing w:val="0"/>
          <w:w w:val="100"/>
          <w:sz w:val="30"/>
          <w:szCs w:val="30"/>
          <w:highlight w:val="none"/>
          <w:lang w:eastAsia="zh-CN"/>
        </w:rPr>
      </w:pPr>
      <w:bookmarkStart w:id="139" w:name="_Toc29368"/>
      <w:r>
        <w:rPr>
          <w:rFonts w:hint="default" w:ascii="Times New Roman" w:hAnsi="Times New Roman" w:eastAsia="宋体" w:cs="Times New Roman"/>
          <w:b/>
          <w:bCs/>
          <w:smallCaps w:val="0"/>
          <w:color w:val="auto"/>
          <w:spacing w:val="0"/>
          <w:w w:val="100"/>
          <w:sz w:val="30"/>
          <w:szCs w:val="30"/>
          <w:highlight w:val="none"/>
          <w:lang w:eastAsia="zh-CN"/>
        </w:rPr>
        <w:t>4.1.4 设计水平年分析</w:t>
      </w:r>
      <w:bookmarkEnd w:id="139"/>
    </w:p>
    <w:p w14:paraId="7165BC47">
      <w:pPr>
        <w:kinsoku/>
        <w:spacing w:line="560" w:lineRule="exact"/>
        <w:ind w:left="39" w:right="5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设计年水供需平衡分析指通过项目规划、设计，通过项目建设，改善、完善项目区工程设施条件后，项目区农田作物种植制度调整后的作物年需水量和项目区农田水利基础设施建成后年可供水量的分析。</w:t>
      </w:r>
    </w:p>
    <w:p w14:paraId="66F4E5F4">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（1）可供水量</w:t>
      </w:r>
    </w:p>
    <w:p w14:paraId="70CD731F">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由于项目区所在地拦蓄水措施不足，本项目拟新建拦河坝1座、300m³蓄水池1座及配套管道等措施</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eastAsia="zh-CN"/>
        </w:rPr>
        <w:t>项目建设后</w:t>
      </w:r>
      <w:r>
        <w:rPr>
          <w:rFonts w:hint="default" w:ascii="Times New Roman" w:hAnsi="Times New Roman" w:eastAsia="宋体" w:cs="Times New Roman"/>
          <w:smallCaps w:val="0"/>
          <w:color w:val="auto"/>
          <w:spacing w:val="0"/>
          <w:w w:val="100"/>
          <w:sz w:val="30"/>
          <w:szCs w:val="30"/>
          <w:highlight w:val="none"/>
          <w:lang w:val="en-US" w:eastAsia="zh-CN"/>
        </w:rPr>
        <w:t>，通过计算可为项目区年供水231.77万m³</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满足项目区作物的灌溉需求</w:t>
      </w:r>
      <w:r>
        <w:rPr>
          <w:rFonts w:hint="eastAsia" w:ascii="Times New Roman" w:hAnsi="Times New Roman" w:eastAsia="宋体" w:cs="Times New Roman"/>
          <w:smallCaps w:val="0"/>
          <w:color w:val="auto"/>
          <w:spacing w:val="0"/>
          <w:w w:val="100"/>
          <w:sz w:val="30"/>
          <w:szCs w:val="30"/>
          <w:highlight w:val="none"/>
          <w:lang w:val="en-US" w:eastAsia="zh-CN"/>
        </w:rPr>
        <w:t>。</w:t>
      </w:r>
    </w:p>
    <w:p w14:paraId="2F237C10">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vertAlign w:val="baseli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其中，新建拦河坝位于</w:t>
      </w:r>
      <w:r>
        <w:rPr>
          <w:rFonts w:hint="default" w:ascii="Times New Roman" w:hAnsi="Times New Roman" w:eastAsia="宋体" w:cs="Times New Roman"/>
          <w:smallCaps w:val="0"/>
          <w:color w:val="auto"/>
          <w:spacing w:val="0"/>
          <w:w w:val="100"/>
          <w:sz w:val="30"/>
          <w:szCs w:val="30"/>
          <w:highlight w:val="none"/>
          <w:lang w:val="en-US" w:eastAsia="zh-CN"/>
        </w:rPr>
        <w:t>霍古都村</w:t>
      </w:r>
      <w:r>
        <w:rPr>
          <w:rFonts w:hint="eastAsia" w:ascii="Times New Roman" w:hAnsi="Times New Roman" w:eastAsia="宋体" w:cs="Times New Roman"/>
          <w:smallCaps w:val="0"/>
          <w:color w:val="auto"/>
          <w:spacing w:val="0"/>
          <w:w w:val="100"/>
          <w:sz w:val="30"/>
          <w:szCs w:val="30"/>
          <w:highlight w:val="none"/>
          <w:lang w:val="en-US" w:eastAsia="zh-CN"/>
        </w:rPr>
        <w:t>果拉顶上游三百米处日利瓦晓沟，坝址以上集雨面积为7.58km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2</w:t>
      </w:r>
      <w:r>
        <w:rPr>
          <w:rFonts w:hint="eastAsia" w:ascii="Times New Roman" w:hAnsi="Times New Roman" w:eastAsia="宋体" w:cs="Times New Roman"/>
          <w:smallCaps w:val="0"/>
          <w:color w:val="auto"/>
          <w:spacing w:val="0"/>
          <w:w w:val="100"/>
          <w:sz w:val="30"/>
          <w:szCs w:val="30"/>
          <w:highlight w:val="none"/>
          <w:vertAlign w:val="baseline"/>
          <w:lang w:val="en-US" w:eastAsia="zh-CN"/>
        </w:rPr>
        <w:t>，河道长为5.99km，河道平均比降为149.58‰；根据《四川省1956～2016年平均径流深等值线图》，项目区多年平均径流深约为380mm，采用《四川省水文手册》中公式Q</w:t>
      </w:r>
      <w:r>
        <w:rPr>
          <w:rFonts w:hint="eastAsia" w:ascii="Times New Roman" w:hAnsi="Times New Roman" w:eastAsia="宋体" w:cs="Times New Roman"/>
          <w:smallCaps w:val="0"/>
          <w:color w:val="auto"/>
          <w:spacing w:val="0"/>
          <w:w w:val="100"/>
          <w:sz w:val="30"/>
          <w:szCs w:val="30"/>
          <w:highlight w:val="none"/>
          <w:vertAlign w:val="subscript"/>
          <w:lang w:val="en-US" w:eastAsia="zh-CN"/>
        </w:rPr>
        <w:t>0</w:t>
      </w:r>
      <w:r>
        <w:rPr>
          <w:rFonts w:hint="eastAsia" w:ascii="Times New Roman" w:hAnsi="Times New Roman" w:eastAsia="宋体" w:cs="Times New Roman"/>
          <w:smallCaps w:val="0"/>
          <w:color w:val="auto"/>
          <w:spacing w:val="0"/>
          <w:w w:val="100"/>
          <w:sz w:val="30"/>
          <w:szCs w:val="30"/>
          <w:highlight w:val="none"/>
          <w:vertAlign w:val="baseline"/>
          <w:lang w:val="en-US" w:eastAsia="zh-CN"/>
        </w:rPr>
        <w:t>=0.0000317*hF计算径流，根据《四川省水文手册》年径流变差系数C</w:t>
      </w:r>
      <w:r>
        <w:rPr>
          <w:rFonts w:hint="eastAsia" w:ascii="Times New Roman" w:hAnsi="Times New Roman" w:eastAsia="宋体" w:cs="Times New Roman"/>
          <w:smallCaps w:val="0"/>
          <w:color w:val="auto"/>
          <w:spacing w:val="0"/>
          <w:w w:val="100"/>
          <w:sz w:val="30"/>
          <w:szCs w:val="30"/>
          <w:highlight w:val="none"/>
          <w:vertAlign w:val="subscript"/>
          <w:lang w:val="en-US" w:eastAsia="zh-CN"/>
        </w:rPr>
        <w:t>v</w:t>
      </w:r>
      <w:r>
        <w:rPr>
          <w:rFonts w:hint="eastAsia" w:ascii="Times New Roman" w:hAnsi="Times New Roman" w:eastAsia="宋体" w:cs="Times New Roman"/>
          <w:smallCaps w:val="0"/>
          <w:color w:val="auto"/>
          <w:spacing w:val="0"/>
          <w:w w:val="100"/>
          <w:sz w:val="30"/>
          <w:szCs w:val="30"/>
          <w:highlight w:val="none"/>
          <w:vertAlign w:val="baseline"/>
          <w:lang w:val="en-US" w:eastAsia="zh-CN"/>
        </w:rPr>
        <w:t>等值线图（附图2-2）查流域中心处该河流C</w:t>
      </w:r>
      <w:r>
        <w:rPr>
          <w:rFonts w:hint="eastAsia" w:ascii="Times New Roman" w:hAnsi="Times New Roman" w:eastAsia="宋体" w:cs="Times New Roman"/>
          <w:smallCaps w:val="0"/>
          <w:color w:val="auto"/>
          <w:spacing w:val="0"/>
          <w:w w:val="100"/>
          <w:sz w:val="30"/>
          <w:szCs w:val="30"/>
          <w:highlight w:val="none"/>
          <w:vertAlign w:val="subscript"/>
          <w:lang w:val="en-US" w:eastAsia="zh-CN"/>
        </w:rPr>
        <w:t>v</w:t>
      </w:r>
      <w:r>
        <w:rPr>
          <w:rFonts w:hint="eastAsia" w:ascii="Times New Roman" w:hAnsi="Times New Roman" w:eastAsia="宋体" w:cs="Times New Roman"/>
          <w:smallCaps w:val="0"/>
          <w:color w:val="auto"/>
          <w:spacing w:val="0"/>
          <w:w w:val="100"/>
          <w:sz w:val="30"/>
          <w:szCs w:val="30"/>
          <w:highlight w:val="none"/>
          <w:vertAlign w:val="baseline"/>
          <w:lang w:val="en-US" w:eastAsia="zh-CN"/>
        </w:rPr>
        <w:t>=0.15，查皮Ⅲ型K</w:t>
      </w:r>
      <w:r>
        <w:rPr>
          <w:rFonts w:hint="eastAsia" w:ascii="Times New Roman" w:hAnsi="Times New Roman" w:eastAsia="宋体" w:cs="Times New Roman"/>
          <w:smallCaps w:val="0"/>
          <w:color w:val="auto"/>
          <w:spacing w:val="0"/>
          <w:w w:val="100"/>
          <w:sz w:val="30"/>
          <w:szCs w:val="30"/>
          <w:highlight w:val="none"/>
          <w:vertAlign w:val="subscript"/>
          <w:lang w:val="en-US" w:eastAsia="zh-CN"/>
        </w:rPr>
        <w:t>p</w:t>
      </w:r>
      <w:r>
        <w:rPr>
          <w:rFonts w:hint="eastAsia" w:ascii="Times New Roman" w:hAnsi="Times New Roman" w:eastAsia="宋体" w:cs="Times New Roman"/>
          <w:smallCaps w:val="0"/>
          <w:color w:val="auto"/>
          <w:spacing w:val="0"/>
          <w:w w:val="100"/>
          <w:sz w:val="30"/>
          <w:szCs w:val="30"/>
          <w:highlight w:val="none"/>
          <w:vertAlign w:val="baseline"/>
          <w:lang w:val="en-US" w:eastAsia="zh-CN"/>
        </w:rPr>
        <w:t>表（Cs=2C</w:t>
      </w:r>
      <w:r>
        <w:rPr>
          <w:rFonts w:hint="eastAsia" w:ascii="Times New Roman" w:hAnsi="Times New Roman" w:eastAsia="宋体" w:cs="Times New Roman"/>
          <w:smallCaps w:val="0"/>
          <w:color w:val="auto"/>
          <w:spacing w:val="0"/>
          <w:w w:val="100"/>
          <w:sz w:val="30"/>
          <w:szCs w:val="30"/>
          <w:highlight w:val="none"/>
          <w:vertAlign w:val="subscript"/>
          <w:lang w:val="en-US" w:eastAsia="zh-CN"/>
        </w:rPr>
        <w:t>v</w:t>
      </w:r>
      <w:r>
        <w:rPr>
          <w:rFonts w:hint="eastAsia" w:ascii="Times New Roman" w:hAnsi="Times New Roman" w:eastAsia="宋体" w:cs="Times New Roman"/>
          <w:smallCaps w:val="0"/>
          <w:color w:val="auto"/>
          <w:spacing w:val="0"/>
          <w:w w:val="100"/>
          <w:sz w:val="30"/>
          <w:szCs w:val="30"/>
          <w:highlight w:val="none"/>
          <w:vertAlign w:val="baseline"/>
          <w:lang w:val="en-US" w:eastAsia="zh-CN"/>
        </w:rPr>
        <w:t>）计算径流情况和来水量，计算可得坝址处多年平均流量为0.0913m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3</w:t>
      </w:r>
      <w:r>
        <w:rPr>
          <w:rFonts w:hint="eastAsia" w:ascii="Times New Roman" w:hAnsi="Times New Roman" w:eastAsia="宋体" w:cs="Times New Roman"/>
          <w:smallCaps w:val="0"/>
          <w:color w:val="auto"/>
          <w:spacing w:val="0"/>
          <w:w w:val="100"/>
          <w:sz w:val="30"/>
          <w:szCs w:val="30"/>
          <w:highlight w:val="none"/>
          <w:vertAlign w:val="baseline"/>
          <w:lang w:val="en-US" w:eastAsia="zh-CN"/>
        </w:rPr>
        <w:t>/s，P=75%平均流量为0.0822m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3</w:t>
      </w:r>
      <w:r>
        <w:rPr>
          <w:rFonts w:hint="eastAsia" w:ascii="Times New Roman" w:hAnsi="Times New Roman" w:eastAsia="宋体" w:cs="Times New Roman"/>
          <w:smallCaps w:val="0"/>
          <w:color w:val="auto"/>
          <w:spacing w:val="0"/>
          <w:w w:val="100"/>
          <w:sz w:val="30"/>
          <w:szCs w:val="30"/>
          <w:highlight w:val="none"/>
          <w:vertAlign w:val="baseline"/>
          <w:lang w:val="en-US" w:eastAsia="zh-CN"/>
        </w:rPr>
        <w:t>/s，坝址处年来水量（P=75%）为259.15万m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3</w:t>
      </w:r>
      <w:r>
        <w:rPr>
          <w:rFonts w:hint="eastAsia" w:ascii="Times New Roman" w:hAnsi="Times New Roman" w:eastAsia="宋体" w:cs="Times New Roman"/>
          <w:smallCaps w:val="0"/>
          <w:color w:val="auto"/>
          <w:spacing w:val="0"/>
          <w:w w:val="100"/>
          <w:sz w:val="30"/>
          <w:szCs w:val="30"/>
          <w:highlight w:val="none"/>
          <w:vertAlign w:val="baseline"/>
          <w:lang w:val="en-US" w:eastAsia="zh-CN"/>
        </w:rPr>
        <w:t>，本次设计灌溉供水量为35.56万m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3</w:t>
      </w:r>
      <w:r>
        <w:rPr>
          <w:rFonts w:hint="eastAsia" w:ascii="Times New Roman" w:hAnsi="Times New Roman" w:eastAsia="宋体" w:cs="Times New Roman"/>
          <w:smallCaps w:val="0"/>
          <w:color w:val="auto"/>
          <w:spacing w:val="0"/>
          <w:w w:val="100"/>
          <w:sz w:val="30"/>
          <w:szCs w:val="30"/>
          <w:highlight w:val="none"/>
          <w:vertAlign w:val="baseline"/>
          <w:lang w:val="en-US" w:eastAsia="zh-CN"/>
        </w:rPr>
        <w:t>，来水量远大于需水量，</w:t>
      </w:r>
      <w:r>
        <w:rPr>
          <w:rFonts w:hint="default" w:ascii="Times New Roman" w:hAnsi="Times New Roman" w:eastAsia="宋体" w:cs="Times New Roman"/>
          <w:smallCaps w:val="0"/>
          <w:color w:val="auto"/>
          <w:spacing w:val="0"/>
          <w:w w:val="100"/>
          <w:sz w:val="30"/>
          <w:szCs w:val="30"/>
          <w:highlight w:val="none"/>
          <w:lang w:val="en-US" w:eastAsia="zh-CN"/>
        </w:rPr>
        <w:t>满足</w:t>
      </w:r>
      <w:r>
        <w:rPr>
          <w:rFonts w:hint="eastAsia" w:ascii="Times New Roman" w:hAnsi="Times New Roman" w:eastAsia="宋体" w:cs="Times New Roman"/>
          <w:smallCaps w:val="0"/>
          <w:color w:val="auto"/>
          <w:spacing w:val="0"/>
          <w:w w:val="100"/>
          <w:sz w:val="30"/>
          <w:szCs w:val="30"/>
          <w:highlight w:val="none"/>
          <w:lang w:val="en-US" w:eastAsia="zh-CN"/>
        </w:rPr>
        <w:t>高效节水片区</w:t>
      </w:r>
      <w:r>
        <w:rPr>
          <w:rFonts w:hint="default" w:ascii="Times New Roman" w:hAnsi="Times New Roman" w:eastAsia="宋体" w:cs="Times New Roman"/>
          <w:smallCaps w:val="0"/>
          <w:color w:val="auto"/>
          <w:spacing w:val="0"/>
          <w:w w:val="100"/>
          <w:sz w:val="30"/>
          <w:szCs w:val="30"/>
          <w:highlight w:val="none"/>
          <w:lang w:val="en-US" w:eastAsia="zh-CN"/>
        </w:rPr>
        <w:t>的灌溉需求</w:t>
      </w:r>
      <w:r>
        <w:rPr>
          <w:rFonts w:hint="eastAsia" w:ascii="Times New Roman" w:hAnsi="Times New Roman" w:eastAsia="宋体" w:cs="Times New Roman"/>
          <w:smallCaps w:val="0"/>
          <w:color w:val="auto"/>
          <w:spacing w:val="0"/>
          <w:w w:val="100"/>
          <w:sz w:val="30"/>
          <w:szCs w:val="30"/>
          <w:highlight w:val="none"/>
          <w:vertAlign w:val="baseline"/>
          <w:lang w:val="en-US" w:eastAsia="zh-CN"/>
        </w:rPr>
        <w:t>。</w:t>
      </w:r>
    </w:p>
    <w:p w14:paraId="5C9941BE">
      <w:pPr>
        <w:kinsoku/>
        <w:spacing w:line="560" w:lineRule="exact"/>
        <w:ind w:left="39" w:right="5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（2）项目实施后项目区农业灌溉需水量</w:t>
      </w:r>
    </w:p>
    <w:p w14:paraId="5C26ACB6">
      <w:pPr>
        <w:kinsoku/>
        <w:spacing w:line="560" w:lineRule="exact"/>
        <w:ind w:left="39" w:right="50" w:firstLine="605"/>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项目实施后，通过</w:t>
      </w:r>
      <w:r>
        <w:rPr>
          <w:rFonts w:hint="default" w:ascii="Times New Roman" w:hAnsi="Times New Roman" w:eastAsia="宋体" w:cs="Times New Roman"/>
          <w:smallCaps w:val="0"/>
          <w:color w:val="auto"/>
          <w:spacing w:val="0"/>
          <w:w w:val="100"/>
          <w:sz w:val="30"/>
          <w:szCs w:val="30"/>
          <w:highlight w:val="none"/>
          <w:lang w:val="en-US" w:eastAsia="zh-CN"/>
        </w:rPr>
        <w:t>渠道</w:t>
      </w:r>
      <w:r>
        <w:rPr>
          <w:rFonts w:hint="default" w:ascii="Times New Roman" w:hAnsi="Times New Roman" w:eastAsia="宋体" w:cs="Times New Roman"/>
          <w:smallCaps w:val="0"/>
          <w:color w:val="auto"/>
          <w:spacing w:val="0"/>
          <w:w w:val="100"/>
          <w:sz w:val="30"/>
          <w:szCs w:val="30"/>
          <w:highlight w:val="none"/>
          <w:lang w:eastAsia="zh-CN"/>
        </w:rPr>
        <w:t>建设，</w:t>
      </w:r>
      <w:r>
        <w:rPr>
          <w:rFonts w:hint="default" w:ascii="Times New Roman" w:hAnsi="Times New Roman" w:eastAsia="宋体" w:cs="Times New Roman"/>
          <w:smallCaps w:val="0"/>
          <w:color w:val="auto"/>
          <w:spacing w:val="0"/>
          <w:w w:val="100"/>
          <w:sz w:val="30"/>
          <w:szCs w:val="30"/>
          <w:highlight w:val="none"/>
          <w:lang w:val="en-US" w:eastAsia="zh-CN"/>
        </w:rPr>
        <w:t>渠系</w:t>
      </w:r>
      <w:r>
        <w:rPr>
          <w:rFonts w:hint="default" w:ascii="Times New Roman" w:hAnsi="Times New Roman" w:eastAsia="宋体" w:cs="Times New Roman"/>
          <w:smallCaps w:val="0"/>
          <w:color w:val="auto"/>
          <w:spacing w:val="0"/>
          <w:w w:val="100"/>
          <w:sz w:val="30"/>
          <w:szCs w:val="30"/>
          <w:highlight w:val="none"/>
          <w:lang w:eastAsia="zh-CN"/>
        </w:rPr>
        <w:t>水利用系数为η</w:t>
      </w:r>
      <w:r>
        <w:rPr>
          <w:rFonts w:hint="default" w:ascii="Times New Roman" w:hAnsi="Times New Roman" w:eastAsia="宋体" w:cs="Times New Roman"/>
          <w:smallCaps w:val="0"/>
          <w:color w:val="auto"/>
          <w:spacing w:val="0"/>
          <w:w w:val="100"/>
          <w:sz w:val="30"/>
          <w:szCs w:val="30"/>
          <w:highlight w:val="none"/>
          <w:lang w:val="en-US" w:eastAsia="zh-CN"/>
        </w:rPr>
        <w:t>渠</w:t>
      </w:r>
      <w:r>
        <w:rPr>
          <w:rFonts w:hint="default" w:ascii="Times New Roman" w:hAnsi="Times New Roman" w:eastAsia="宋体" w:cs="Times New Roman"/>
          <w:smallCaps w:val="0"/>
          <w:color w:val="auto"/>
          <w:spacing w:val="0"/>
          <w:w w:val="100"/>
          <w:sz w:val="30"/>
          <w:szCs w:val="30"/>
          <w:highlight w:val="none"/>
          <w:lang w:eastAsia="zh-CN"/>
        </w:rPr>
        <w:t>=0.</w:t>
      </w:r>
      <w:r>
        <w:rPr>
          <w:rFonts w:hint="default" w:ascii="Times New Roman" w:hAnsi="Times New Roman" w:eastAsia="宋体" w:cs="Times New Roman"/>
          <w:smallCaps w:val="0"/>
          <w:color w:val="auto"/>
          <w:spacing w:val="0"/>
          <w:w w:val="100"/>
          <w:sz w:val="30"/>
          <w:szCs w:val="30"/>
          <w:highlight w:val="none"/>
          <w:lang w:val="en-US" w:eastAsia="zh-CN"/>
        </w:rPr>
        <w:t>68</w:t>
      </w:r>
      <w:r>
        <w:rPr>
          <w:rFonts w:hint="default" w:ascii="Times New Roman" w:hAnsi="Times New Roman" w:eastAsia="宋体" w:cs="Times New Roman"/>
          <w:smallCaps w:val="0"/>
          <w:color w:val="auto"/>
          <w:spacing w:val="0"/>
          <w:w w:val="100"/>
          <w:sz w:val="30"/>
          <w:szCs w:val="30"/>
          <w:highlight w:val="none"/>
          <w:lang w:eastAsia="zh-CN"/>
        </w:rPr>
        <w:t>，旱地田间水利用系数为η地=0.85，灌溉水利用系数为0.</w:t>
      </w:r>
      <w:r>
        <w:rPr>
          <w:rFonts w:hint="default" w:ascii="Times New Roman" w:hAnsi="Times New Roman" w:eastAsia="宋体" w:cs="Times New Roman"/>
          <w:smallCaps w:val="0"/>
          <w:color w:val="auto"/>
          <w:spacing w:val="0"/>
          <w:w w:val="100"/>
          <w:sz w:val="30"/>
          <w:szCs w:val="30"/>
          <w:highlight w:val="none"/>
          <w:lang w:val="en-US" w:eastAsia="zh-CN"/>
        </w:rPr>
        <w:t>68</w:t>
      </w:r>
      <w:r>
        <w:rPr>
          <w:rFonts w:hint="default" w:ascii="Times New Roman" w:hAnsi="Times New Roman" w:eastAsia="宋体" w:cs="Times New Roman"/>
          <w:smallCaps w:val="0"/>
          <w:color w:val="auto"/>
          <w:spacing w:val="0"/>
          <w:w w:val="100"/>
          <w:sz w:val="30"/>
          <w:szCs w:val="30"/>
          <w:highlight w:val="none"/>
          <w:lang w:eastAsia="zh-CN"/>
        </w:rPr>
        <w:t>×0.85=0.</w:t>
      </w:r>
      <w:r>
        <w:rPr>
          <w:rFonts w:hint="default" w:ascii="Times New Roman" w:hAnsi="Times New Roman" w:eastAsia="宋体" w:cs="Times New Roman"/>
          <w:smallCaps w:val="0"/>
          <w:color w:val="auto"/>
          <w:spacing w:val="0"/>
          <w:w w:val="100"/>
          <w:sz w:val="30"/>
          <w:szCs w:val="30"/>
          <w:highlight w:val="none"/>
          <w:lang w:val="en-US" w:eastAsia="zh-CN"/>
        </w:rPr>
        <w:t>578，</w:t>
      </w:r>
      <w:r>
        <w:rPr>
          <w:rFonts w:hint="default" w:ascii="Times New Roman" w:hAnsi="Times New Roman" w:eastAsia="宋体" w:cs="Times New Roman"/>
          <w:smallCaps w:val="0"/>
          <w:color w:val="auto"/>
          <w:spacing w:val="0"/>
          <w:w w:val="100"/>
          <w:sz w:val="30"/>
          <w:szCs w:val="30"/>
          <w:highlight w:val="none"/>
          <w:lang w:eastAsia="zh-CN"/>
        </w:rPr>
        <w:t>为项目区农业生产提供水源保证，以推进项目区农业产业化和农业现代化进程。</w:t>
      </w:r>
    </w:p>
    <w:p w14:paraId="7ADA35AE">
      <w:pPr>
        <w:kinsoku/>
        <w:spacing w:before="160" w:line="220" w:lineRule="auto"/>
        <w:jc w:val="center"/>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项目实施后项目区农业需水量统计表</w:t>
      </w:r>
    </w:p>
    <w:p w14:paraId="204A4F78">
      <w:pPr>
        <w:kinsoku/>
        <w:spacing w:before="160" w:line="220" w:lineRule="auto"/>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表4.1-5</w:t>
      </w:r>
    </w:p>
    <w:tbl>
      <w:tblPr>
        <w:tblStyle w:val="18"/>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966"/>
        <w:gridCol w:w="2251"/>
        <w:gridCol w:w="2028"/>
        <w:gridCol w:w="2030"/>
      </w:tblGrid>
      <w:tr w14:paraId="279FFC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9" w:hRule="atLeast"/>
        </w:trPr>
        <w:tc>
          <w:tcPr>
            <w:tcW w:w="1598" w:type="pct"/>
            <w:tcBorders>
              <w:tl2br w:val="nil"/>
              <w:tr2bl w:val="nil"/>
            </w:tcBorders>
            <w:shd w:val="clear" w:color="auto" w:fill="auto"/>
            <w:vAlign w:val="center"/>
          </w:tcPr>
          <w:p w14:paraId="74F32DE2">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作物名称</w:t>
            </w:r>
          </w:p>
        </w:tc>
        <w:tc>
          <w:tcPr>
            <w:tcW w:w="1213" w:type="pct"/>
            <w:tcBorders>
              <w:tl2br w:val="nil"/>
              <w:tr2bl w:val="nil"/>
            </w:tcBorders>
            <w:shd w:val="clear" w:color="auto" w:fill="auto"/>
            <w:vAlign w:val="center"/>
          </w:tcPr>
          <w:p w14:paraId="7D4AF0D1">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青稞</w:t>
            </w:r>
          </w:p>
        </w:tc>
        <w:tc>
          <w:tcPr>
            <w:tcW w:w="1093" w:type="pct"/>
            <w:tcBorders>
              <w:tl2br w:val="nil"/>
              <w:tr2bl w:val="nil"/>
            </w:tcBorders>
            <w:shd w:val="clear" w:color="auto" w:fill="auto"/>
            <w:vAlign w:val="center"/>
          </w:tcPr>
          <w:p w14:paraId="274880A3">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马铃薯</w:t>
            </w:r>
          </w:p>
        </w:tc>
        <w:tc>
          <w:tcPr>
            <w:tcW w:w="1094" w:type="pct"/>
            <w:tcBorders>
              <w:tl2br w:val="nil"/>
              <w:tr2bl w:val="nil"/>
            </w:tcBorders>
            <w:shd w:val="clear" w:color="auto" w:fill="auto"/>
            <w:vAlign w:val="center"/>
          </w:tcPr>
          <w:p w14:paraId="1F916A97">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合计</w:t>
            </w:r>
          </w:p>
        </w:tc>
      </w:tr>
      <w:tr w14:paraId="7A5678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9" w:hRule="atLeast"/>
        </w:trPr>
        <w:tc>
          <w:tcPr>
            <w:tcW w:w="1598" w:type="pct"/>
            <w:tcBorders>
              <w:tl2br w:val="nil"/>
              <w:tr2bl w:val="nil"/>
            </w:tcBorders>
            <w:shd w:val="clear" w:color="auto" w:fill="auto"/>
            <w:vAlign w:val="center"/>
          </w:tcPr>
          <w:p w14:paraId="57D39ECA">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种植面积（亩）</w:t>
            </w:r>
          </w:p>
        </w:tc>
        <w:tc>
          <w:tcPr>
            <w:tcW w:w="1213" w:type="pct"/>
            <w:tcBorders>
              <w:tl2br w:val="nil"/>
              <w:tr2bl w:val="nil"/>
            </w:tcBorders>
            <w:shd w:val="clear" w:color="auto" w:fill="auto"/>
            <w:vAlign w:val="center"/>
          </w:tcPr>
          <w:p w14:paraId="47F09EA4">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8052.8</w:t>
            </w:r>
          </w:p>
        </w:tc>
        <w:tc>
          <w:tcPr>
            <w:tcW w:w="1093" w:type="pct"/>
            <w:tcBorders>
              <w:tl2br w:val="nil"/>
              <w:tr2bl w:val="nil"/>
            </w:tcBorders>
            <w:shd w:val="clear" w:color="auto" w:fill="auto"/>
            <w:vAlign w:val="center"/>
          </w:tcPr>
          <w:p w14:paraId="32E84797">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1947.2</w:t>
            </w:r>
          </w:p>
        </w:tc>
        <w:tc>
          <w:tcPr>
            <w:tcW w:w="1094" w:type="pct"/>
            <w:tcBorders>
              <w:tl2br w:val="nil"/>
              <w:tr2bl w:val="nil"/>
            </w:tcBorders>
            <w:shd w:val="clear" w:color="auto" w:fill="auto"/>
            <w:vAlign w:val="center"/>
          </w:tcPr>
          <w:p w14:paraId="7E795F93">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10000</w:t>
            </w:r>
          </w:p>
        </w:tc>
      </w:tr>
      <w:tr w14:paraId="691A87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9" w:hRule="atLeast"/>
        </w:trPr>
        <w:tc>
          <w:tcPr>
            <w:tcW w:w="1598" w:type="pct"/>
            <w:tcBorders>
              <w:tl2br w:val="nil"/>
              <w:tr2bl w:val="nil"/>
            </w:tcBorders>
            <w:shd w:val="clear" w:color="auto" w:fill="auto"/>
            <w:vAlign w:val="center"/>
          </w:tcPr>
          <w:p w14:paraId="4177848D">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净灌溉定额（亩/m³）</w:t>
            </w:r>
          </w:p>
        </w:tc>
        <w:tc>
          <w:tcPr>
            <w:tcW w:w="1213" w:type="pct"/>
            <w:tcBorders>
              <w:tl2br w:val="nil"/>
              <w:tr2bl w:val="nil"/>
            </w:tcBorders>
            <w:shd w:val="clear" w:color="auto" w:fill="auto"/>
            <w:vAlign w:val="center"/>
          </w:tcPr>
          <w:p w14:paraId="69C2231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100</w:t>
            </w:r>
          </w:p>
        </w:tc>
        <w:tc>
          <w:tcPr>
            <w:tcW w:w="1093" w:type="pct"/>
            <w:tcBorders>
              <w:tl2br w:val="nil"/>
              <w:tr2bl w:val="nil"/>
            </w:tcBorders>
            <w:shd w:val="clear" w:color="auto" w:fill="auto"/>
            <w:vAlign w:val="center"/>
          </w:tcPr>
          <w:p w14:paraId="4C35CD1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90</w:t>
            </w:r>
          </w:p>
        </w:tc>
        <w:tc>
          <w:tcPr>
            <w:tcW w:w="1094" w:type="pct"/>
            <w:tcBorders>
              <w:tl2br w:val="nil"/>
              <w:tr2bl w:val="nil"/>
            </w:tcBorders>
            <w:shd w:val="clear" w:color="auto" w:fill="auto"/>
            <w:vAlign w:val="center"/>
          </w:tcPr>
          <w:p w14:paraId="4F02CC59">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w:t>
            </w:r>
          </w:p>
        </w:tc>
      </w:tr>
      <w:tr w14:paraId="72AC6D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9" w:hRule="atLeast"/>
        </w:trPr>
        <w:tc>
          <w:tcPr>
            <w:tcW w:w="1598" w:type="pct"/>
            <w:tcBorders>
              <w:tl2br w:val="nil"/>
              <w:tr2bl w:val="nil"/>
            </w:tcBorders>
            <w:shd w:val="clear" w:color="auto" w:fill="auto"/>
            <w:vAlign w:val="center"/>
          </w:tcPr>
          <w:p w14:paraId="327044E6">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净需水量（万m³）</w:t>
            </w:r>
          </w:p>
        </w:tc>
        <w:tc>
          <w:tcPr>
            <w:tcW w:w="1213" w:type="pct"/>
            <w:tcBorders>
              <w:tl2br w:val="nil"/>
              <w:tr2bl w:val="nil"/>
            </w:tcBorders>
            <w:shd w:val="clear" w:color="auto" w:fill="auto"/>
            <w:vAlign w:val="center"/>
          </w:tcPr>
          <w:p w14:paraId="401C6540">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80.53</w:t>
            </w:r>
          </w:p>
        </w:tc>
        <w:tc>
          <w:tcPr>
            <w:tcW w:w="1093" w:type="pct"/>
            <w:tcBorders>
              <w:tl2br w:val="nil"/>
              <w:tr2bl w:val="nil"/>
            </w:tcBorders>
            <w:shd w:val="clear" w:color="auto" w:fill="auto"/>
            <w:vAlign w:val="center"/>
          </w:tcPr>
          <w:p w14:paraId="265E639B">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17.53</w:t>
            </w:r>
          </w:p>
        </w:tc>
        <w:tc>
          <w:tcPr>
            <w:tcW w:w="1094" w:type="pct"/>
            <w:tcBorders>
              <w:tl2br w:val="nil"/>
              <w:tr2bl w:val="nil"/>
            </w:tcBorders>
            <w:shd w:val="clear" w:color="auto" w:fill="auto"/>
            <w:vAlign w:val="center"/>
          </w:tcPr>
          <w:p w14:paraId="75306E6B">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98.06</w:t>
            </w:r>
          </w:p>
        </w:tc>
      </w:tr>
      <w:tr w14:paraId="6E09C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2" w:hRule="atLeast"/>
        </w:trPr>
        <w:tc>
          <w:tcPr>
            <w:tcW w:w="1598" w:type="pct"/>
            <w:tcBorders>
              <w:tl2br w:val="nil"/>
              <w:tr2bl w:val="nil"/>
            </w:tcBorders>
            <w:shd w:val="clear" w:color="auto" w:fill="auto"/>
            <w:vAlign w:val="center"/>
          </w:tcPr>
          <w:p w14:paraId="0301EC35">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毛需水量（万m³）</w:t>
            </w:r>
          </w:p>
        </w:tc>
        <w:tc>
          <w:tcPr>
            <w:tcW w:w="1213" w:type="pct"/>
            <w:tcBorders>
              <w:tl2br w:val="nil"/>
              <w:tr2bl w:val="nil"/>
            </w:tcBorders>
            <w:shd w:val="clear" w:color="auto" w:fill="auto"/>
            <w:vAlign w:val="center"/>
          </w:tcPr>
          <w:p w14:paraId="7E83E0F0">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 xml:space="preserve">139.33 </w:t>
            </w:r>
          </w:p>
        </w:tc>
        <w:tc>
          <w:tcPr>
            <w:tcW w:w="1093" w:type="pct"/>
            <w:tcBorders>
              <w:tl2br w:val="nil"/>
              <w:tr2bl w:val="nil"/>
            </w:tcBorders>
            <w:shd w:val="clear" w:color="auto" w:fill="auto"/>
            <w:vAlign w:val="center"/>
          </w:tcPr>
          <w:p w14:paraId="598BE0FF">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 xml:space="preserve">30.33 </w:t>
            </w:r>
          </w:p>
        </w:tc>
        <w:tc>
          <w:tcPr>
            <w:tcW w:w="1094" w:type="pct"/>
            <w:tcBorders>
              <w:tl2br w:val="nil"/>
              <w:tr2bl w:val="nil"/>
            </w:tcBorders>
            <w:shd w:val="clear" w:color="auto" w:fill="auto"/>
            <w:vAlign w:val="center"/>
          </w:tcPr>
          <w:p w14:paraId="3AE90D65">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宋体" w:cs="Times New Roman"/>
                <w:i w:val="0"/>
                <w:iCs w:val="0"/>
                <w:snapToGrid w:val="0"/>
                <w:color w:val="auto"/>
                <w:kern w:val="0"/>
                <w:sz w:val="28"/>
                <w:szCs w:val="28"/>
                <w:highlight w:val="none"/>
                <w:u w:val="none"/>
                <w:lang w:val="en-US" w:eastAsia="zh-CN" w:bidi="ar"/>
              </w:rPr>
              <w:t xml:space="preserve">169.65 </w:t>
            </w:r>
          </w:p>
        </w:tc>
      </w:tr>
    </w:tbl>
    <w:p w14:paraId="74B0A3E0">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（3）供需水平衡分析结论</w:t>
      </w:r>
    </w:p>
    <w:p w14:paraId="45292DFC">
      <w:pPr>
        <w:kinsoku/>
        <w:spacing w:line="560" w:lineRule="exact"/>
        <w:ind w:left="125" w:right="30"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经计算供需平衡如下所示。</w:t>
      </w:r>
    </w:p>
    <w:p w14:paraId="626EE0F7">
      <w:pPr>
        <w:pStyle w:val="17"/>
        <w:rPr>
          <w:rFonts w:hint="default" w:ascii="Times New Roman" w:hAnsi="Times New Roman" w:eastAsia="宋体" w:cs="Times New Roman"/>
          <w:smallCaps w:val="0"/>
          <w:color w:val="auto"/>
          <w:spacing w:val="0"/>
          <w:w w:val="100"/>
          <w:sz w:val="30"/>
          <w:szCs w:val="30"/>
          <w:highlight w:val="none"/>
          <w:lang w:eastAsia="zh-CN"/>
        </w:rPr>
      </w:pPr>
    </w:p>
    <w:p w14:paraId="2EC5201E">
      <w:pPr>
        <w:rPr>
          <w:rFonts w:hint="default"/>
          <w:color w:val="auto"/>
          <w:highlight w:val="none"/>
          <w:lang w:eastAsia="zh-CN"/>
        </w:rPr>
      </w:pPr>
    </w:p>
    <w:p w14:paraId="7DAD267B">
      <w:pPr>
        <w:pStyle w:val="17"/>
        <w:ind w:left="0" w:leftChars="0" w:firstLine="0" w:firstLineChars="0"/>
        <w:jc w:val="center"/>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项目实施后灌溉水资源平衡计算表</w:t>
      </w:r>
    </w:p>
    <w:p w14:paraId="4B2C4D45">
      <w:pPr>
        <w:kinsoku/>
        <w:spacing w:before="160" w:line="220" w:lineRule="auto"/>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表4.1-6</w:t>
      </w:r>
    </w:p>
    <w:tbl>
      <w:tblPr>
        <w:tblStyle w:val="26"/>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618"/>
        <w:gridCol w:w="3552"/>
        <w:gridCol w:w="2899"/>
      </w:tblGrid>
      <w:tr w14:paraId="77C2A8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1443" w:type="pct"/>
          </w:tcPr>
          <w:p w14:paraId="497A95A5">
            <w:pPr>
              <w:kinsoku/>
              <w:spacing w:before="54" w:line="225" w:lineRule="auto"/>
              <w:ind w:left="203"/>
              <w:rPr>
                <w:rFonts w:hint="default" w:ascii="Times New Roman" w:hAnsi="Times New Roman" w:eastAsia="宋体" w:cs="Times New Roman"/>
                <w:smallCaps w:val="0"/>
                <w:color w:val="auto"/>
                <w:spacing w:val="0"/>
                <w:w w:val="100"/>
                <w:sz w:val="24"/>
                <w:szCs w:val="24"/>
                <w:highlight w:val="none"/>
                <w:lang w:eastAsia="zh-CN"/>
              </w:rPr>
            </w:pPr>
            <w:r>
              <w:rPr>
                <w:rFonts w:hint="default" w:ascii="Times New Roman" w:hAnsi="Times New Roman" w:eastAsia="宋体" w:cs="Times New Roman"/>
                <w:smallCaps w:val="0"/>
                <w:color w:val="auto"/>
                <w:spacing w:val="0"/>
                <w:w w:val="100"/>
                <w:sz w:val="24"/>
                <w:szCs w:val="24"/>
                <w:highlight w:val="none"/>
              </w:rPr>
              <w:t xml:space="preserve">可供水量（万 </w:t>
            </w:r>
            <w:r>
              <w:rPr>
                <w:rFonts w:hint="default" w:ascii="Times New Roman" w:hAnsi="Times New Roman" w:eastAsia="宋体" w:cs="Times New Roman"/>
                <w:smallCaps w:val="0"/>
                <w:color w:val="auto"/>
                <w:spacing w:val="0"/>
                <w:w w:val="100"/>
                <w:sz w:val="24"/>
                <w:szCs w:val="24"/>
                <w:highlight w:val="none"/>
                <w:lang w:eastAsia="zh-CN"/>
              </w:rPr>
              <w:t>m³）</w:t>
            </w:r>
          </w:p>
        </w:tc>
        <w:tc>
          <w:tcPr>
            <w:tcW w:w="1958" w:type="pct"/>
          </w:tcPr>
          <w:p w14:paraId="7ECBB8AC">
            <w:pPr>
              <w:kinsoku/>
              <w:spacing w:before="54" w:line="218" w:lineRule="auto"/>
              <w:ind w:left="149"/>
              <w:rPr>
                <w:rFonts w:hint="default" w:ascii="Times New Roman" w:hAnsi="Times New Roman" w:eastAsia="宋体" w:cs="Times New Roman"/>
                <w:smallCaps w:val="0"/>
                <w:color w:val="auto"/>
                <w:spacing w:val="0"/>
                <w:w w:val="100"/>
                <w:sz w:val="24"/>
                <w:szCs w:val="24"/>
                <w:highlight w:val="none"/>
                <w:lang w:eastAsia="zh-CN"/>
              </w:rPr>
            </w:pPr>
            <w:r>
              <w:rPr>
                <w:rFonts w:hint="default" w:ascii="Times New Roman" w:hAnsi="Times New Roman" w:eastAsia="宋体" w:cs="Times New Roman"/>
                <w:smallCaps w:val="0"/>
                <w:color w:val="auto"/>
                <w:spacing w:val="0"/>
                <w:w w:val="100"/>
                <w:sz w:val="24"/>
                <w:szCs w:val="24"/>
                <w:highlight w:val="none"/>
                <w:lang w:eastAsia="zh-CN"/>
              </w:rPr>
              <w:t>农田灌溉用需水量（万 m³）</w:t>
            </w:r>
          </w:p>
        </w:tc>
        <w:tc>
          <w:tcPr>
            <w:tcW w:w="1598" w:type="pct"/>
          </w:tcPr>
          <w:p w14:paraId="6878A79A">
            <w:pPr>
              <w:kinsoku/>
              <w:spacing w:before="53" w:line="227" w:lineRule="auto"/>
              <w:ind w:left="220"/>
              <w:rPr>
                <w:rFonts w:hint="default" w:ascii="Times New Roman" w:hAnsi="Times New Roman" w:eastAsia="宋体" w:cs="Times New Roman"/>
                <w:smallCaps w:val="0"/>
                <w:color w:val="auto"/>
                <w:spacing w:val="0"/>
                <w:w w:val="100"/>
                <w:sz w:val="16"/>
                <w:szCs w:val="16"/>
                <w:highlight w:val="none"/>
                <w:lang w:eastAsia="zh-CN"/>
              </w:rPr>
            </w:pPr>
            <w:r>
              <w:rPr>
                <w:rFonts w:hint="default" w:ascii="Times New Roman" w:hAnsi="Times New Roman" w:eastAsia="宋体" w:cs="Times New Roman"/>
                <w:smallCaps w:val="0"/>
                <w:color w:val="auto"/>
                <w:spacing w:val="0"/>
                <w:w w:val="100"/>
                <w:sz w:val="24"/>
                <w:szCs w:val="24"/>
                <w:highlight w:val="none"/>
              </w:rPr>
              <w:t xml:space="preserve">余（+ </w:t>
            </w:r>
            <w:r>
              <w:rPr>
                <w:rFonts w:hint="default" w:ascii="Times New Roman" w:hAnsi="Times New Roman" w:eastAsia="宋体" w:cs="Times New Roman"/>
                <w:smallCaps w:val="0"/>
                <w:color w:val="auto"/>
                <w:spacing w:val="0"/>
                <w:w w:val="100"/>
                <w:sz w:val="24"/>
                <w:szCs w:val="24"/>
                <w:highlight w:val="none"/>
                <w:lang w:eastAsia="zh-CN"/>
              </w:rPr>
              <w:t>）</w:t>
            </w:r>
            <w:r>
              <w:rPr>
                <w:rFonts w:hint="default" w:ascii="Times New Roman" w:hAnsi="Times New Roman" w:eastAsia="宋体" w:cs="Times New Roman"/>
                <w:smallCaps w:val="0"/>
                <w:color w:val="auto"/>
                <w:spacing w:val="0"/>
                <w:w w:val="100"/>
                <w:sz w:val="24"/>
                <w:szCs w:val="24"/>
                <w:highlight w:val="none"/>
              </w:rPr>
              <w:t>缺（</w:t>
            </w:r>
            <w:r>
              <w:rPr>
                <w:rFonts w:hint="default" w:ascii="Times New Roman" w:hAnsi="Times New Roman" w:eastAsia="宋体" w:cs="Times New Roman"/>
                <w:smallCaps w:val="0"/>
                <w:color w:val="auto"/>
                <w:spacing w:val="0"/>
                <w:w w:val="100"/>
                <w:sz w:val="24"/>
                <w:szCs w:val="24"/>
                <w:highlight w:val="none"/>
                <w:lang w:eastAsia="zh-CN"/>
              </w:rPr>
              <w:t>－）</w:t>
            </w:r>
            <w:r>
              <w:rPr>
                <w:rFonts w:hint="default" w:ascii="Times New Roman" w:hAnsi="Times New Roman" w:eastAsia="宋体" w:cs="Times New Roman"/>
                <w:smallCaps w:val="0"/>
                <w:color w:val="auto"/>
                <w:spacing w:val="0"/>
                <w:w w:val="100"/>
                <w:sz w:val="24"/>
                <w:szCs w:val="24"/>
                <w:highlight w:val="none"/>
              </w:rPr>
              <w:t xml:space="preserve">万 </w:t>
            </w:r>
            <w:r>
              <w:rPr>
                <w:rFonts w:hint="default" w:ascii="Times New Roman" w:hAnsi="Times New Roman" w:eastAsia="宋体" w:cs="Times New Roman"/>
                <w:smallCaps w:val="0"/>
                <w:color w:val="auto"/>
                <w:spacing w:val="0"/>
                <w:w w:val="100"/>
                <w:sz w:val="24"/>
                <w:szCs w:val="24"/>
                <w:highlight w:val="none"/>
                <w:lang w:eastAsia="zh-CN"/>
              </w:rPr>
              <w:t>m³</w:t>
            </w:r>
          </w:p>
        </w:tc>
      </w:tr>
      <w:tr w14:paraId="4687D1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1443" w:type="pct"/>
          </w:tcPr>
          <w:p w14:paraId="01C20DCC">
            <w:pPr>
              <w:kinsoku/>
              <w:spacing w:before="54" w:line="225" w:lineRule="auto"/>
              <w:ind w:left="203"/>
              <w:jc w:val="center"/>
              <w:rPr>
                <w:rFonts w:hint="default" w:ascii="Times New Roman" w:hAnsi="Times New Roman" w:eastAsia="宋体" w:cs="Times New Roman"/>
                <w:smallCaps w:val="0"/>
                <w:color w:val="auto"/>
                <w:spacing w:val="0"/>
                <w:w w:val="100"/>
                <w:sz w:val="24"/>
                <w:szCs w:val="24"/>
                <w:highlight w:val="none"/>
                <w:lang w:val="en-US"/>
              </w:rPr>
            </w:pPr>
            <w:r>
              <w:rPr>
                <w:rFonts w:hint="default" w:ascii="Times New Roman" w:hAnsi="Times New Roman" w:eastAsia="宋体" w:cs="Times New Roman"/>
                <w:smallCaps w:val="0"/>
                <w:color w:val="auto"/>
                <w:spacing w:val="0"/>
                <w:w w:val="100"/>
                <w:sz w:val="24"/>
                <w:szCs w:val="24"/>
                <w:highlight w:val="none"/>
                <w:lang w:val="en-US" w:eastAsia="zh-CN"/>
              </w:rPr>
              <w:t>231.77</w:t>
            </w:r>
          </w:p>
        </w:tc>
        <w:tc>
          <w:tcPr>
            <w:tcW w:w="1958" w:type="pct"/>
          </w:tcPr>
          <w:p w14:paraId="0C97F11A">
            <w:pPr>
              <w:kinsoku/>
              <w:spacing w:before="54" w:line="225" w:lineRule="auto"/>
              <w:ind w:left="203"/>
              <w:jc w:val="center"/>
              <w:rPr>
                <w:rFonts w:hint="default" w:ascii="Times New Roman" w:hAnsi="Times New Roman" w:eastAsia="宋体" w:cs="Times New Roman"/>
                <w:smallCaps w:val="0"/>
                <w:color w:val="auto"/>
                <w:spacing w:val="0"/>
                <w:w w:val="100"/>
                <w:sz w:val="24"/>
                <w:szCs w:val="24"/>
                <w:highlight w:val="none"/>
                <w:lang w:val="en-US"/>
              </w:rPr>
            </w:pPr>
            <w:r>
              <w:rPr>
                <w:rFonts w:hint="default" w:ascii="Times New Roman" w:hAnsi="Times New Roman" w:eastAsia="宋体" w:cs="Times New Roman"/>
                <w:smallCaps w:val="0"/>
                <w:color w:val="auto"/>
                <w:spacing w:val="0"/>
                <w:w w:val="100"/>
                <w:sz w:val="24"/>
                <w:szCs w:val="24"/>
                <w:highlight w:val="none"/>
                <w:lang w:val="en-US" w:eastAsia="zh-CN"/>
              </w:rPr>
              <w:t>169.65</w:t>
            </w:r>
          </w:p>
        </w:tc>
        <w:tc>
          <w:tcPr>
            <w:tcW w:w="1598" w:type="pct"/>
          </w:tcPr>
          <w:p w14:paraId="3C092972">
            <w:pPr>
              <w:kinsoku/>
              <w:spacing w:before="54" w:line="225" w:lineRule="auto"/>
              <w:jc w:val="center"/>
              <w:rPr>
                <w:rFonts w:hint="default" w:ascii="Times New Roman" w:hAnsi="Times New Roman" w:eastAsia="宋体" w:cs="Times New Roman"/>
                <w:smallCaps w:val="0"/>
                <w:color w:val="auto"/>
                <w:spacing w:val="0"/>
                <w:w w:val="100"/>
                <w:sz w:val="24"/>
                <w:szCs w:val="24"/>
                <w:highlight w:val="none"/>
                <w:lang w:val="en-US"/>
              </w:rPr>
            </w:pPr>
            <w:r>
              <w:rPr>
                <w:rFonts w:hint="default" w:ascii="Times New Roman" w:hAnsi="Times New Roman" w:eastAsia="宋体" w:cs="Times New Roman"/>
                <w:smallCaps w:val="0"/>
                <w:color w:val="auto"/>
                <w:spacing w:val="0"/>
                <w:w w:val="100"/>
                <w:sz w:val="24"/>
                <w:szCs w:val="24"/>
                <w:highlight w:val="none"/>
              </w:rPr>
              <w:t>+</w:t>
            </w:r>
            <w:r>
              <w:rPr>
                <w:rFonts w:hint="default" w:ascii="Times New Roman" w:hAnsi="Times New Roman" w:eastAsia="宋体" w:cs="Times New Roman"/>
                <w:smallCaps w:val="0"/>
                <w:color w:val="auto"/>
                <w:spacing w:val="0"/>
                <w:w w:val="100"/>
                <w:sz w:val="24"/>
                <w:szCs w:val="24"/>
                <w:highlight w:val="none"/>
                <w:lang w:val="en-US" w:eastAsia="zh-CN"/>
              </w:rPr>
              <w:t>62.12</w:t>
            </w:r>
          </w:p>
        </w:tc>
      </w:tr>
    </w:tbl>
    <w:p w14:paraId="7F700AB2">
      <w:pPr>
        <w:shd w:val="clear" w:color="010000" w:fill="auto"/>
        <w:spacing w:line="360" w:lineRule="auto"/>
        <w:ind w:firstLine="600" w:firstLineChars="2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从表中可以看出：P=90%水平年时，项目区设计水平年农业生产可供水资源量</w:t>
      </w:r>
      <w:r>
        <w:rPr>
          <w:rFonts w:hint="default" w:ascii="Times New Roman" w:hAnsi="Times New Roman" w:eastAsia="宋体" w:cs="Times New Roman"/>
          <w:smallCaps w:val="0"/>
          <w:color w:val="auto"/>
          <w:spacing w:val="0"/>
          <w:w w:val="100"/>
          <w:sz w:val="30"/>
          <w:szCs w:val="30"/>
          <w:highlight w:val="none"/>
          <w:lang w:val="en-US" w:eastAsia="zh-CN"/>
        </w:rPr>
        <w:t>231.77</w:t>
      </w:r>
      <w:r>
        <w:rPr>
          <w:rFonts w:hint="default" w:ascii="Times New Roman" w:hAnsi="Times New Roman" w:eastAsia="宋体" w:cs="Times New Roman"/>
          <w:smallCaps w:val="0"/>
          <w:color w:val="auto"/>
          <w:spacing w:val="0"/>
          <w:w w:val="100"/>
          <w:sz w:val="30"/>
          <w:szCs w:val="30"/>
          <w:highlight w:val="none"/>
          <w:lang w:eastAsia="zh-CN"/>
        </w:rPr>
        <w:t>万m³，农业生产需水量为</w:t>
      </w:r>
      <w:r>
        <w:rPr>
          <w:rFonts w:hint="default" w:ascii="Times New Roman" w:hAnsi="Times New Roman" w:eastAsia="宋体" w:cs="Times New Roman"/>
          <w:smallCaps w:val="0"/>
          <w:color w:val="auto"/>
          <w:spacing w:val="0"/>
          <w:w w:val="100"/>
          <w:sz w:val="30"/>
          <w:szCs w:val="30"/>
          <w:highlight w:val="none"/>
          <w:lang w:val="en-US" w:eastAsia="zh-CN"/>
        </w:rPr>
        <w:t>169.65</w:t>
      </w:r>
      <w:r>
        <w:rPr>
          <w:rFonts w:hint="default" w:ascii="Times New Roman" w:hAnsi="Times New Roman" w:eastAsia="宋体" w:cs="Times New Roman"/>
          <w:smallCaps w:val="0"/>
          <w:color w:val="auto"/>
          <w:spacing w:val="0"/>
          <w:w w:val="100"/>
          <w:sz w:val="30"/>
          <w:szCs w:val="30"/>
          <w:highlight w:val="none"/>
          <w:lang w:eastAsia="zh-CN"/>
        </w:rPr>
        <w:t>万m³，设计水平年项目区供水满足农业生产用水要求，还富余</w:t>
      </w:r>
      <w:r>
        <w:rPr>
          <w:rFonts w:hint="default" w:ascii="Times New Roman" w:hAnsi="Times New Roman" w:eastAsia="宋体" w:cs="Times New Roman"/>
          <w:smallCaps w:val="0"/>
          <w:color w:val="auto"/>
          <w:spacing w:val="0"/>
          <w:w w:val="100"/>
          <w:sz w:val="30"/>
          <w:szCs w:val="30"/>
          <w:highlight w:val="none"/>
          <w:lang w:val="en-US" w:eastAsia="zh-CN"/>
        </w:rPr>
        <w:t>62.12</w:t>
      </w:r>
      <w:r>
        <w:rPr>
          <w:rFonts w:hint="default" w:ascii="Times New Roman" w:hAnsi="Times New Roman" w:eastAsia="宋体" w:cs="Times New Roman"/>
          <w:smallCaps w:val="0"/>
          <w:color w:val="auto"/>
          <w:spacing w:val="0"/>
          <w:w w:val="100"/>
          <w:sz w:val="30"/>
          <w:szCs w:val="30"/>
          <w:highlight w:val="none"/>
          <w:lang w:eastAsia="zh-CN"/>
        </w:rPr>
        <w:t>万m³。</w:t>
      </w:r>
    </w:p>
    <w:p w14:paraId="2F2F301A">
      <w:pPr>
        <w:shd w:val="clear" w:color="010000" w:fill="auto"/>
        <w:spacing w:line="360" w:lineRule="auto"/>
        <w:ind w:firstLine="600" w:firstLineChars="2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次项目区设计水利工程按照高标准建设，积极推行节水工程措施，尽一切可能提高了灌溉水利用系数，通过配套完善输水管道，田间土地平整，配水到田块，减少了田间水的损失，从而大大减少了农业生产的需水量，降低了农业生产成本，大量节约了水资源。</w:t>
      </w:r>
    </w:p>
    <w:p w14:paraId="6977CAC8">
      <w:pPr>
        <w:kinsoku/>
        <w:spacing w:line="560" w:lineRule="exact"/>
        <w:ind w:left="36"/>
        <w:outlineLvl w:val="1"/>
        <w:rPr>
          <w:rFonts w:hint="default" w:ascii="Times New Roman" w:hAnsi="Times New Roman" w:eastAsia="宋体" w:cs="Times New Roman"/>
          <w:smallCaps w:val="0"/>
          <w:color w:val="auto"/>
          <w:spacing w:val="0"/>
          <w:w w:val="100"/>
          <w:sz w:val="30"/>
          <w:szCs w:val="30"/>
          <w:highlight w:val="none"/>
          <w:lang w:eastAsia="zh-CN"/>
        </w:rPr>
      </w:pPr>
      <w:bookmarkStart w:id="140" w:name="bookmark23"/>
      <w:bookmarkEnd w:id="140"/>
      <w:bookmarkStart w:id="141" w:name="_Toc8871"/>
      <w:bookmarkStart w:id="142" w:name="_Toc24795"/>
      <w:bookmarkStart w:id="143" w:name="_Toc15931"/>
      <w:r>
        <w:rPr>
          <w:rFonts w:hint="default" w:ascii="Times New Roman" w:hAnsi="Times New Roman" w:eastAsia="宋体" w:cs="Times New Roman"/>
          <w:b/>
          <w:bCs/>
          <w:smallCaps w:val="0"/>
          <w:color w:val="auto"/>
          <w:spacing w:val="0"/>
          <w:w w:val="100"/>
          <w:sz w:val="30"/>
          <w:szCs w:val="30"/>
          <w:highlight w:val="none"/>
          <w:lang w:eastAsia="zh-CN"/>
        </w:rPr>
        <w:t>4.2 灌溉水质分析评价</w:t>
      </w:r>
      <w:bookmarkEnd w:id="141"/>
      <w:bookmarkEnd w:id="142"/>
      <w:bookmarkEnd w:id="143"/>
    </w:p>
    <w:p w14:paraId="33AB3FE3">
      <w:pPr>
        <w:kinsoku/>
        <w:spacing w:line="560" w:lineRule="exact"/>
        <w:ind w:left="41" w:firstLine="598"/>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 据 工 程 建 设 要 求 ， 按 照 《农田灌溉水质标准》 （GB 5084-2021）规定，对项目区水源工程取水进行水质化验，水温浑浊度、色度、pH值、总硬度、嗅味、大肠菌群数等水质的基本控制项目指标均符合灌溉水要求。</w:t>
      </w:r>
    </w:p>
    <w:p w14:paraId="3AF1A173">
      <w:pPr>
        <w:kinsoku/>
        <w:spacing w:line="375" w:lineRule="auto"/>
        <w:rPr>
          <w:rFonts w:hint="default" w:ascii="Times New Roman" w:hAnsi="Times New Roman" w:eastAsia="宋体" w:cs="Times New Roman"/>
          <w:smallCaps w:val="0"/>
          <w:color w:val="auto"/>
          <w:spacing w:val="0"/>
          <w:w w:val="100"/>
          <w:sz w:val="30"/>
          <w:szCs w:val="30"/>
          <w:highlight w:val="none"/>
          <w:lang w:eastAsia="zh-CN"/>
        </w:rPr>
        <w:sectPr>
          <w:headerReference r:id="rId10" w:type="default"/>
          <w:footerReference r:id="rId11" w:type="default"/>
          <w:type w:val="nextColumn"/>
          <w:pgSz w:w="11900" w:h="16840"/>
          <w:pgMar w:top="1134" w:right="1418" w:bottom="1134" w:left="1417" w:header="862" w:footer="1214" w:gutter="0"/>
          <w:pgBorders>
            <w:top w:val="none" w:sz="0" w:space="0"/>
            <w:left w:val="none" w:sz="0" w:space="0"/>
            <w:bottom w:val="none" w:sz="0" w:space="0"/>
            <w:right w:val="none" w:sz="0" w:space="0"/>
          </w:pgBorders>
          <w:pgNumType w:fmt="numberInDash"/>
          <w:cols w:space="720" w:num="1"/>
        </w:sectPr>
      </w:pPr>
    </w:p>
    <w:p w14:paraId="478518E7">
      <w:pPr>
        <w:kinsoku/>
        <w:spacing w:before="117" w:line="219" w:lineRule="auto"/>
        <w:ind w:left="2838"/>
        <w:outlineLvl w:val="0"/>
        <w:rPr>
          <w:rFonts w:hint="default" w:ascii="Times New Roman" w:hAnsi="Times New Roman" w:eastAsia="宋体" w:cs="Times New Roman"/>
          <w:smallCaps w:val="0"/>
          <w:color w:val="auto"/>
          <w:spacing w:val="0"/>
          <w:w w:val="100"/>
          <w:sz w:val="36"/>
          <w:szCs w:val="36"/>
          <w:highlight w:val="none"/>
          <w:lang w:eastAsia="zh-CN"/>
        </w:rPr>
      </w:pPr>
      <w:bookmarkStart w:id="144" w:name="bookmark24"/>
      <w:bookmarkEnd w:id="144"/>
      <w:bookmarkStart w:id="145" w:name="_Toc30684"/>
      <w:bookmarkStart w:id="146" w:name="_Toc11560"/>
      <w:bookmarkStart w:id="147" w:name="_Toc19638"/>
      <w:r>
        <w:rPr>
          <w:rFonts w:hint="default" w:ascii="Times New Roman" w:hAnsi="Times New Roman" w:eastAsia="宋体" w:cs="Times New Roman"/>
          <w:b/>
          <w:bCs/>
          <w:smallCaps w:val="0"/>
          <w:color w:val="auto"/>
          <w:spacing w:val="0"/>
          <w:w w:val="100"/>
          <w:sz w:val="36"/>
          <w:szCs w:val="36"/>
          <w:highlight w:val="none"/>
          <w:lang w:eastAsia="zh-CN"/>
        </w:rPr>
        <w:t>第五章</w:t>
      </w:r>
      <w:r>
        <w:rPr>
          <w:rFonts w:hint="default" w:ascii="Times New Roman" w:hAnsi="Times New Roman" w:eastAsia="宋体" w:cs="Times New Roman"/>
          <w:smallCaps w:val="0"/>
          <w:color w:val="auto"/>
          <w:spacing w:val="0"/>
          <w:w w:val="100"/>
          <w:sz w:val="36"/>
          <w:szCs w:val="36"/>
          <w:highlight w:val="none"/>
          <w:lang w:eastAsia="zh-CN"/>
        </w:rPr>
        <w:t xml:space="preserve"> </w:t>
      </w:r>
      <w:r>
        <w:rPr>
          <w:rFonts w:hint="default" w:ascii="Times New Roman" w:hAnsi="Times New Roman" w:eastAsia="宋体" w:cs="Times New Roman"/>
          <w:b/>
          <w:bCs/>
          <w:smallCaps w:val="0"/>
          <w:color w:val="auto"/>
          <w:spacing w:val="0"/>
          <w:w w:val="100"/>
          <w:sz w:val="36"/>
          <w:szCs w:val="36"/>
          <w:highlight w:val="none"/>
          <w:lang w:eastAsia="zh-CN"/>
        </w:rPr>
        <w:t>工程设计</w:t>
      </w:r>
      <w:bookmarkEnd w:id="145"/>
      <w:bookmarkEnd w:id="146"/>
      <w:bookmarkEnd w:id="147"/>
    </w:p>
    <w:p w14:paraId="58192378">
      <w:pPr>
        <w:kinsoku/>
        <w:spacing w:line="560" w:lineRule="exact"/>
        <w:ind w:left="39"/>
        <w:outlineLvl w:val="1"/>
        <w:rPr>
          <w:rFonts w:hint="default" w:ascii="Times New Roman" w:hAnsi="Times New Roman" w:eastAsia="宋体" w:cs="Times New Roman"/>
          <w:smallCaps w:val="0"/>
          <w:color w:val="auto"/>
          <w:spacing w:val="0"/>
          <w:w w:val="100"/>
          <w:sz w:val="30"/>
          <w:szCs w:val="30"/>
          <w:highlight w:val="none"/>
          <w:lang w:eastAsia="zh-CN"/>
        </w:rPr>
      </w:pPr>
      <w:bookmarkStart w:id="148" w:name="bookmark25"/>
      <w:bookmarkEnd w:id="148"/>
      <w:bookmarkStart w:id="149" w:name="_Toc21640"/>
      <w:bookmarkStart w:id="150" w:name="_Toc13030"/>
      <w:bookmarkStart w:id="151" w:name="_Toc22143"/>
      <w:r>
        <w:rPr>
          <w:rFonts w:hint="default" w:ascii="Times New Roman" w:hAnsi="Times New Roman" w:eastAsia="宋体" w:cs="Times New Roman"/>
          <w:b/>
          <w:bCs/>
          <w:smallCaps w:val="0"/>
          <w:color w:val="auto"/>
          <w:spacing w:val="0"/>
          <w:w w:val="100"/>
          <w:sz w:val="30"/>
          <w:szCs w:val="30"/>
          <w:highlight w:val="none"/>
          <w:lang w:eastAsia="zh-CN"/>
        </w:rPr>
        <w:t>5.1 设计依据</w:t>
      </w:r>
      <w:bookmarkEnd w:id="149"/>
      <w:bookmarkEnd w:id="150"/>
      <w:bookmarkEnd w:id="151"/>
    </w:p>
    <w:p w14:paraId="079508EB">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52" w:name="_Toc23920"/>
      <w:r>
        <w:rPr>
          <w:rFonts w:hint="default" w:ascii="Times New Roman" w:hAnsi="Times New Roman" w:eastAsia="宋体" w:cs="Times New Roman"/>
          <w:smallCaps w:val="0"/>
          <w:color w:val="auto"/>
          <w:spacing w:val="0"/>
          <w:w w:val="100"/>
          <w:highlight w:val="none"/>
        </w:rPr>
        <w:t>5.1.1水利工程设计依据</w:t>
      </w:r>
      <w:bookmarkEnd w:id="152"/>
    </w:p>
    <w:p w14:paraId="37F734AA">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《灌溉与排水工程设计标准》（GB50288-2018）</w:t>
      </w:r>
    </w:p>
    <w:p w14:paraId="21AC26F7">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《节水灌溉工程技术标准》（GB/T50363-2018）</w:t>
      </w:r>
    </w:p>
    <w:p w14:paraId="645F96F6">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《农田排水工程技术规范》（SL/T 4-2020）</w:t>
      </w:r>
    </w:p>
    <w:p w14:paraId="422F5547">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《渠道防渗衬砌工程技术标准》（GB/T 50600-2020）</w:t>
      </w:r>
    </w:p>
    <w:p w14:paraId="2CE74C93">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《水利水电工程等级划分及洪水标准》（SL252-2017）</w:t>
      </w:r>
    </w:p>
    <w:p w14:paraId="40717DB1">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《水利水电工程边坡设计规范》（SL386-</w:t>
      </w:r>
      <w:r>
        <w:rPr>
          <w:rFonts w:hint="default" w:ascii="Times New Roman" w:hAnsi="Times New Roman" w:eastAsia="宋体" w:cs="Times New Roman"/>
          <w:smallCaps w:val="0"/>
          <w:color w:val="auto"/>
          <w:spacing w:val="0"/>
          <w:w w:val="100"/>
          <w:sz w:val="30"/>
          <w:szCs w:val="30"/>
          <w:highlight w:val="none"/>
          <w:lang w:val="en-US" w:eastAsia="zh-CN"/>
        </w:rPr>
        <w:t>2007</w:t>
      </w:r>
      <w:r>
        <w:rPr>
          <w:rFonts w:hint="default" w:ascii="Times New Roman" w:hAnsi="Times New Roman" w:eastAsia="宋体" w:cs="Times New Roman"/>
          <w:smallCaps w:val="0"/>
          <w:color w:val="auto"/>
          <w:spacing w:val="0"/>
          <w:w w:val="100"/>
          <w:sz w:val="30"/>
          <w:szCs w:val="30"/>
          <w:highlight w:val="none"/>
          <w:lang w:eastAsia="zh-CN"/>
        </w:rPr>
        <w:t>）</w:t>
      </w:r>
    </w:p>
    <w:p w14:paraId="5CEFC46B">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《农田灌溉水质标准》（GB5084-2021）</w:t>
      </w:r>
    </w:p>
    <w:p w14:paraId="7820FF06">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《水工混凝土结构设计规范》（SL191-2008）</w:t>
      </w:r>
    </w:p>
    <w:p w14:paraId="24E48CAE">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《水工建筑物荷载设计规范》（SL744-2016）</w:t>
      </w:r>
    </w:p>
    <w:p w14:paraId="6EF5C0A8">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《水利水电工程设计工程量计算规定》（SL328-2005）</w:t>
      </w:r>
    </w:p>
    <w:p w14:paraId="64ECD7E1">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《四川省用水定额》（川府函〔2021〕8号）</w:t>
      </w:r>
    </w:p>
    <w:p w14:paraId="452FA57B">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53" w:name="_Toc26613"/>
      <w:r>
        <w:rPr>
          <w:rFonts w:hint="default" w:ascii="Times New Roman" w:hAnsi="Times New Roman" w:eastAsia="宋体" w:cs="Times New Roman"/>
          <w:smallCaps w:val="0"/>
          <w:color w:val="auto"/>
          <w:spacing w:val="0"/>
          <w:w w:val="100"/>
          <w:highlight w:val="none"/>
        </w:rPr>
        <w:t>5.1.2 农业设计依据</w:t>
      </w:r>
      <w:bookmarkEnd w:id="153"/>
    </w:p>
    <w:p w14:paraId="764A4A5B">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《高标准农田建设通则》（GB/T30600-2022）</w:t>
      </w:r>
    </w:p>
    <w:p w14:paraId="10F97363">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《四川省高标准农田建设技术规范》（DB51/T 3062-2023）</w:t>
      </w:r>
    </w:p>
    <w:p w14:paraId="42A1F8B1">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《四川省高标准农田建设项目管理办法》（川农规〔2023〕5号）</w:t>
      </w:r>
    </w:p>
    <w:p w14:paraId="32154FC9">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《四川省高标准农田建设设计技术、施工技术细则（试行）》的通知（川农函〔2024〕509号）</w:t>
      </w:r>
    </w:p>
    <w:p w14:paraId="4A7D720F">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《有机肥料》（NY/T 525-2021）</w:t>
      </w:r>
    </w:p>
    <w:p w14:paraId="7CB14448">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54" w:name="_Toc1452"/>
      <w:r>
        <w:rPr>
          <w:rFonts w:hint="default" w:ascii="Times New Roman" w:hAnsi="Times New Roman" w:eastAsia="宋体" w:cs="Times New Roman"/>
          <w:smallCaps w:val="0"/>
          <w:color w:val="auto"/>
          <w:spacing w:val="0"/>
          <w:w w:val="100"/>
          <w:highlight w:val="none"/>
        </w:rPr>
        <w:t>5.1.3 田间道路设计依据</w:t>
      </w:r>
      <w:bookmarkEnd w:id="154"/>
    </w:p>
    <w:p w14:paraId="4AD0231F">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《农业机械化生产道路通用技术条件》（DB51/T</w:t>
      </w:r>
      <w:r>
        <w:rPr>
          <w:rFonts w:hint="eastAsia" w:ascii="Times New Roman" w:hAnsi="Times New Roman" w:eastAsia="宋体" w:cs="Times New Roman"/>
          <w:smallCaps w:val="0"/>
          <w:color w:val="auto"/>
          <w:spacing w:val="0"/>
          <w:w w:val="100"/>
          <w:sz w:val="30"/>
          <w:szCs w:val="30"/>
          <w:highlight w:val="none"/>
          <w:lang w:val="en-US" w:eastAsia="zh-CN"/>
        </w:rPr>
        <w:t xml:space="preserve"> </w:t>
      </w:r>
      <w:r>
        <w:rPr>
          <w:rFonts w:hint="default" w:ascii="Times New Roman" w:hAnsi="Times New Roman" w:eastAsia="宋体" w:cs="Times New Roman"/>
          <w:smallCaps w:val="0"/>
          <w:color w:val="auto"/>
          <w:spacing w:val="0"/>
          <w:w w:val="100"/>
          <w:sz w:val="30"/>
          <w:szCs w:val="30"/>
          <w:highlight w:val="none"/>
          <w:lang w:eastAsia="zh-CN"/>
        </w:rPr>
        <w:t>379-2017）</w:t>
      </w:r>
    </w:p>
    <w:p w14:paraId="0D77CC78">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《公路水泥混凝土路面设计规范》（JTG</w:t>
      </w:r>
      <w:r>
        <w:rPr>
          <w:rFonts w:hint="eastAsia" w:ascii="Times New Roman" w:hAnsi="Times New Roman" w:eastAsia="宋体" w:cs="Times New Roman"/>
          <w:smallCaps w:val="0"/>
          <w:color w:val="auto"/>
          <w:spacing w:val="0"/>
          <w:w w:val="100"/>
          <w:sz w:val="30"/>
          <w:szCs w:val="30"/>
          <w:highlight w:val="none"/>
          <w:lang w:val="en-US" w:eastAsia="zh-CN"/>
        </w:rPr>
        <w:t xml:space="preserve"> </w:t>
      </w:r>
      <w:r>
        <w:rPr>
          <w:rFonts w:hint="default" w:ascii="Times New Roman" w:hAnsi="Times New Roman" w:eastAsia="宋体" w:cs="Times New Roman"/>
          <w:smallCaps w:val="0"/>
          <w:color w:val="auto"/>
          <w:spacing w:val="0"/>
          <w:w w:val="100"/>
          <w:sz w:val="30"/>
          <w:szCs w:val="30"/>
          <w:highlight w:val="none"/>
          <w:lang w:eastAsia="zh-CN"/>
        </w:rPr>
        <w:t>D40-2011）</w:t>
      </w:r>
    </w:p>
    <w:p w14:paraId="3DB8E616">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《公路路基设计规范》（JTG</w:t>
      </w:r>
      <w:r>
        <w:rPr>
          <w:rFonts w:hint="eastAsia" w:ascii="Times New Roman" w:hAnsi="Times New Roman" w:eastAsia="宋体" w:cs="Times New Roman"/>
          <w:smallCaps w:val="0"/>
          <w:color w:val="auto"/>
          <w:spacing w:val="0"/>
          <w:w w:val="100"/>
          <w:sz w:val="30"/>
          <w:szCs w:val="30"/>
          <w:highlight w:val="none"/>
          <w:lang w:val="en-US" w:eastAsia="zh-CN"/>
        </w:rPr>
        <w:t xml:space="preserve"> </w:t>
      </w:r>
      <w:r>
        <w:rPr>
          <w:rFonts w:hint="default" w:ascii="Times New Roman" w:hAnsi="Times New Roman" w:eastAsia="宋体" w:cs="Times New Roman"/>
          <w:smallCaps w:val="0"/>
          <w:color w:val="auto"/>
          <w:spacing w:val="0"/>
          <w:w w:val="100"/>
          <w:sz w:val="30"/>
          <w:szCs w:val="30"/>
          <w:highlight w:val="none"/>
          <w:lang w:eastAsia="zh-CN"/>
        </w:rPr>
        <w:t>D30－201</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w:t>
      </w:r>
    </w:p>
    <w:p w14:paraId="379583C1">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《公路工程技术标准》（JTG</w:t>
      </w:r>
      <w:r>
        <w:rPr>
          <w:rFonts w:hint="eastAsia" w:ascii="Times New Roman" w:hAnsi="Times New Roman" w:eastAsia="宋体" w:cs="Times New Roman"/>
          <w:smallCaps w:val="0"/>
          <w:color w:val="auto"/>
          <w:spacing w:val="0"/>
          <w:w w:val="100"/>
          <w:sz w:val="30"/>
          <w:szCs w:val="30"/>
          <w:highlight w:val="none"/>
          <w:lang w:val="en-US" w:eastAsia="zh-CN"/>
        </w:rPr>
        <w:t xml:space="preserve"> </w:t>
      </w:r>
      <w:r>
        <w:rPr>
          <w:rFonts w:hint="default" w:ascii="Times New Roman" w:hAnsi="Times New Roman" w:eastAsia="宋体" w:cs="Times New Roman"/>
          <w:smallCaps w:val="0"/>
          <w:color w:val="auto"/>
          <w:spacing w:val="0"/>
          <w:w w:val="100"/>
          <w:sz w:val="30"/>
          <w:szCs w:val="30"/>
          <w:highlight w:val="none"/>
          <w:lang w:eastAsia="zh-CN"/>
        </w:rPr>
        <w:t>B01-20</w:t>
      </w:r>
      <w:r>
        <w:rPr>
          <w:rFonts w:hint="default" w:ascii="Times New Roman" w:hAnsi="Times New Roman" w:eastAsia="宋体" w:cs="Times New Roman"/>
          <w:smallCaps w:val="0"/>
          <w:color w:val="auto"/>
          <w:spacing w:val="0"/>
          <w:w w:val="100"/>
          <w:sz w:val="30"/>
          <w:szCs w:val="30"/>
          <w:highlight w:val="none"/>
          <w:lang w:val="en-US" w:eastAsia="zh-CN"/>
        </w:rPr>
        <w:t>14</w:t>
      </w:r>
      <w:r>
        <w:rPr>
          <w:rFonts w:hint="default" w:ascii="Times New Roman" w:hAnsi="Times New Roman" w:eastAsia="宋体" w:cs="Times New Roman"/>
          <w:smallCaps w:val="0"/>
          <w:color w:val="auto"/>
          <w:spacing w:val="0"/>
          <w:w w:val="100"/>
          <w:sz w:val="30"/>
          <w:szCs w:val="30"/>
          <w:highlight w:val="none"/>
          <w:lang w:eastAsia="zh-CN"/>
        </w:rPr>
        <w:t>）</w:t>
      </w:r>
    </w:p>
    <w:p w14:paraId="7DEC57DB">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55" w:name="_Toc8612"/>
      <w:r>
        <w:rPr>
          <w:rFonts w:hint="default" w:ascii="Times New Roman" w:hAnsi="Times New Roman" w:eastAsia="宋体" w:cs="Times New Roman"/>
          <w:smallCaps w:val="0"/>
          <w:color w:val="auto"/>
          <w:spacing w:val="0"/>
          <w:w w:val="100"/>
          <w:highlight w:val="none"/>
        </w:rPr>
        <w:t>5.1.4 标识标牌设计依据</w:t>
      </w:r>
      <w:bookmarkEnd w:id="155"/>
    </w:p>
    <w:p w14:paraId="24357912">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《农业农村部办公厅关于规范统一高标准农田国家标识的通知》农办建〔2020〕7号</w:t>
      </w:r>
    </w:p>
    <w:p w14:paraId="1D47695A">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《四川省农业农村厅关于转发〈农业农村部办公厅关于规范统一高标准农田国家标识的通知〉的通知》</w:t>
      </w:r>
    </w:p>
    <w:p w14:paraId="456578D7">
      <w:pPr>
        <w:kinsoku/>
        <w:spacing w:before="43" w:line="220" w:lineRule="auto"/>
        <w:ind w:left="39"/>
        <w:outlineLvl w:val="1"/>
        <w:rPr>
          <w:rFonts w:hint="default" w:ascii="Times New Roman" w:hAnsi="Times New Roman" w:eastAsia="宋体" w:cs="Times New Roman"/>
          <w:b/>
          <w:bCs/>
          <w:smallCaps w:val="0"/>
          <w:color w:val="auto"/>
          <w:spacing w:val="0"/>
          <w:w w:val="100"/>
          <w:sz w:val="30"/>
          <w:szCs w:val="30"/>
          <w:highlight w:val="none"/>
          <w:lang w:eastAsia="zh-CN"/>
        </w:rPr>
      </w:pPr>
      <w:bookmarkStart w:id="156" w:name="bookmark26"/>
      <w:bookmarkEnd w:id="156"/>
      <w:bookmarkStart w:id="157" w:name="_Toc16527"/>
      <w:bookmarkStart w:id="158" w:name="_Toc10133"/>
      <w:bookmarkStart w:id="159" w:name="_Toc6687"/>
      <w:r>
        <w:rPr>
          <w:rFonts w:hint="default" w:ascii="Times New Roman" w:hAnsi="Times New Roman" w:eastAsia="宋体" w:cs="Times New Roman"/>
          <w:b/>
          <w:bCs/>
          <w:smallCaps w:val="0"/>
          <w:color w:val="auto"/>
          <w:spacing w:val="0"/>
          <w:w w:val="100"/>
          <w:sz w:val="30"/>
          <w:szCs w:val="30"/>
          <w:highlight w:val="none"/>
          <w:lang w:eastAsia="zh-CN"/>
        </w:rPr>
        <w:t>5.2 建设标准</w:t>
      </w:r>
      <w:bookmarkEnd w:id="157"/>
      <w:bookmarkEnd w:id="158"/>
      <w:bookmarkEnd w:id="159"/>
    </w:p>
    <w:p w14:paraId="1B222D5E">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60" w:name="_Toc7332"/>
      <w:r>
        <w:rPr>
          <w:rFonts w:hint="default" w:ascii="Times New Roman" w:hAnsi="Times New Roman" w:eastAsia="宋体" w:cs="Times New Roman"/>
          <w:smallCaps w:val="0"/>
          <w:color w:val="auto"/>
          <w:spacing w:val="0"/>
          <w:w w:val="100"/>
          <w:highlight w:val="none"/>
        </w:rPr>
        <w:t>5.2.1 水利工程设计标准</w:t>
      </w:r>
      <w:bookmarkEnd w:id="160"/>
    </w:p>
    <w:p w14:paraId="2C4BF5A9">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项目区位于川西高原区，水利设施设计标准如下：</w:t>
      </w:r>
    </w:p>
    <w:p w14:paraId="791C259D">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a）灌溉设计保证率不低于70%；</w:t>
      </w:r>
    </w:p>
    <w:p w14:paraId="47DBF457">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b）灌溉水利用系数不低于70%；</w:t>
      </w:r>
    </w:p>
    <w:p w14:paraId="5C3994A1">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c）渠系水利用系数不低于75%；</w:t>
      </w:r>
    </w:p>
    <w:p w14:paraId="2807DB54">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d）田间水利用系数不低于80%；</w:t>
      </w:r>
    </w:p>
    <w:p w14:paraId="5075DC23">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e）</w:t>
      </w:r>
      <w:r>
        <w:rPr>
          <w:rFonts w:hint="default" w:ascii="Times New Roman" w:hAnsi="Times New Roman" w:eastAsia="宋体" w:cs="Times New Roman"/>
          <w:smallCaps w:val="0"/>
          <w:color w:val="auto"/>
          <w:spacing w:val="0"/>
          <w:w w:val="100"/>
          <w:sz w:val="30"/>
          <w:szCs w:val="30"/>
          <w:highlight w:val="none"/>
          <w:lang w:val="en-US" w:eastAsia="zh-CN"/>
        </w:rPr>
        <w:t>旱作区</w:t>
      </w:r>
      <w:r>
        <w:rPr>
          <w:rFonts w:hint="default" w:ascii="Times New Roman" w:hAnsi="Times New Roman" w:eastAsia="宋体" w:cs="Times New Roman"/>
          <w:smallCaps w:val="0"/>
          <w:color w:val="auto"/>
          <w:spacing w:val="0"/>
          <w:w w:val="100"/>
          <w:sz w:val="30"/>
          <w:szCs w:val="30"/>
          <w:highlight w:val="none"/>
          <w:lang w:eastAsia="zh-CN"/>
        </w:rPr>
        <w:t>（青稞、小麦、油菜等）排涝设计暴雨重现期宜采用5年～10年一遇标准，1d～3d暴雨从作物受淹起1d～3d排至田面无积水。</w:t>
      </w:r>
    </w:p>
    <w:p w14:paraId="66160729">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f</w:t>
      </w:r>
      <w:r>
        <w:rPr>
          <w:rFonts w:hint="default" w:ascii="Times New Roman" w:hAnsi="Times New Roman" w:eastAsia="宋体" w:cs="Times New Roman"/>
          <w:smallCaps w:val="0"/>
          <w:color w:val="auto"/>
          <w:spacing w:val="0"/>
          <w:w w:val="100"/>
          <w:sz w:val="30"/>
          <w:szCs w:val="30"/>
          <w:highlight w:val="none"/>
          <w:lang w:eastAsia="zh-CN"/>
        </w:rPr>
        <w:t>）蓄水池</w:t>
      </w:r>
    </w:p>
    <w:p w14:paraId="41B30158">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根据《水利水电工程等级划分及洪水标准》（SL252—2017），单座蓄水池容积仅为300立方米，灌溉面积小于5000亩，综合确定工程等别为V等小（2）型。主要建筑物按5级设计，次要建筑物按5级设计。</w:t>
      </w:r>
    </w:p>
    <w:p w14:paraId="002E94B2">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g</w:t>
      </w:r>
      <w:r>
        <w:rPr>
          <w:rFonts w:hint="default" w:ascii="Times New Roman" w:hAnsi="Times New Roman" w:eastAsia="宋体" w:cs="Times New Roman"/>
          <w:smallCaps w:val="0"/>
          <w:color w:val="auto"/>
          <w:spacing w:val="0"/>
          <w:w w:val="100"/>
          <w:sz w:val="30"/>
          <w:szCs w:val="30"/>
          <w:highlight w:val="none"/>
          <w:lang w:eastAsia="zh-CN"/>
        </w:rPr>
        <w:t>）高效节水</w:t>
      </w:r>
    </w:p>
    <w:p w14:paraId="61F5EE10">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本工程高效节水区域设计灌溉保证率为</w:t>
      </w:r>
      <w:r>
        <w:rPr>
          <w:rFonts w:hint="eastAsia" w:ascii="Times New Roman" w:hAnsi="Times New Roman" w:eastAsia="宋体" w:cs="Times New Roman"/>
          <w:smallCaps w:val="0"/>
          <w:color w:val="auto"/>
          <w:spacing w:val="0"/>
          <w:w w:val="100"/>
          <w:sz w:val="30"/>
          <w:szCs w:val="30"/>
          <w:highlight w:val="none"/>
          <w:lang w:val="en-US" w:eastAsia="zh-CN"/>
        </w:rPr>
        <w:t>75</w:t>
      </w:r>
      <w:r>
        <w:rPr>
          <w:rFonts w:hint="default" w:ascii="Times New Roman" w:hAnsi="Times New Roman" w:eastAsia="宋体" w:cs="Times New Roman"/>
          <w:smallCaps w:val="0"/>
          <w:color w:val="auto"/>
          <w:spacing w:val="0"/>
          <w:w w:val="100"/>
          <w:sz w:val="30"/>
          <w:szCs w:val="30"/>
          <w:highlight w:val="none"/>
          <w:lang w:eastAsia="zh-CN"/>
        </w:rPr>
        <w:t>%。根据《水利水电工程等级划分及洪水标准》（SL252—2017）及《灌溉与排水工程设计标准》（GB50288—2018），本项目渠道属Ⅴ等小（1）型灌溉工程，主要建筑物级别为4级，次要及临时建筑物按5级设计；高效节水属Ⅴ等小（2）型灌溉工程，主要建筑物级别为5级，次要及临时建筑物按5级设计。</w:t>
      </w:r>
    </w:p>
    <w:p w14:paraId="38BC112C">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61" w:name="_Toc11139"/>
      <w:r>
        <w:rPr>
          <w:rFonts w:hint="default" w:ascii="Times New Roman" w:hAnsi="Times New Roman" w:eastAsia="宋体" w:cs="Times New Roman"/>
          <w:smallCaps w:val="0"/>
          <w:color w:val="auto"/>
          <w:spacing w:val="0"/>
          <w:w w:val="100"/>
          <w:highlight w:val="none"/>
        </w:rPr>
        <w:t>5.2.2 农业设计标准</w:t>
      </w:r>
      <w:bookmarkEnd w:id="161"/>
    </w:p>
    <w:p w14:paraId="21EBA4D2">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农田有效土层厚度应达到40cm以上，耕作层厚度应在</w:t>
      </w: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5cm以上，旱地纵向坡度≤10%，土体中无明显粘层、砂砾层等障碍因素。田块整治时应尽量避免打乱表土层与心土层，确需打乱应先将肥沃的表土层进行剥离，单独堆放，待块整治完成后，再将表土均匀摊铺到田面上，回覆后土壤容重宜在1.1～1.7g/cm³。整理后的田块应有利于作物的生长发育，有利于田间机械作业，有利于水土保持满足灌溉排水要求，便于经营管理。</w:t>
      </w:r>
    </w:p>
    <w:p w14:paraId="1BB1DF71">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地形起伏小，土层厚的旱涝保收农田田面设计高程根据土方挖填确定。地形起伏大，土层薄的坡地的田面高程设计应因地制宜。田块内各方向相对高差应当控制在±3cm以内。</w:t>
      </w:r>
    </w:p>
    <w:p w14:paraId="2F4D62EB">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田块整治以土地平整度指标控制，包含地表平整度、横向地表坡降和纵向地表坡降三项指标。</w:t>
      </w:r>
    </w:p>
    <w:p w14:paraId="233400B7">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62" w:name="_Toc27822"/>
      <w:r>
        <w:rPr>
          <w:rFonts w:hint="default" w:ascii="Times New Roman" w:hAnsi="Times New Roman" w:eastAsia="宋体" w:cs="Times New Roman"/>
          <w:smallCaps w:val="0"/>
          <w:color w:val="auto"/>
          <w:spacing w:val="0"/>
          <w:w w:val="100"/>
          <w:highlight w:val="none"/>
        </w:rPr>
        <w:t>5.2.3 农田地力提升工程标准</w:t>
      </w:r>
      <w:bookmarkEnd w:id="162"/>
    </w:p>
    <w:p w14:paraId="5A5CC266">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农田地力提升工程</w:t>
      </w:r>
      <w:r>
        <w:rPr>
          <w:rFonts w:hint="eastAsia" w:ascii="Times New Roman" w:hAnsi="Times New Roman" w:eastAsia="宋体" w:cs="Times New Roman"/>
          <w:smallCaps w:val="0"/>
          <w:color w:val="auto"/>
          <w:spacing w:val="0"/>
          <w:w w:val="100"/>
          <w:sz w:val="30"/>
          <w:szCs w:val="30"/>
          <w:highlight w:val="none"/>
          <w:lang w:val="en-US" w:eastAsia="zh-CN"/>
        </w:rPr>
        <w:t>后</w:t>
      </w:r>
      <w:r>
        <w:rPr>
          <w:rFonts w:hint="default" w:ascii="Times New Roman" w:hAnsi="Times New Roman" w:eastAsia="宋体" w:cs="Times New Roman"/>
          <w:smallCaps w:val="0"/>
          <w:color w:val="auto"/>
          <w:spacing w:val="0"/>
          <w:w w:val="100"/>
          <w:sz w:val="30"/>
          <w:szCs w:val="30"/>
          <w:highlight w:val="none"/>
          <w:lang w:eastAsia="zh-CN"/>
        </w:rPr>
        <w:t>，土壤有机质含量</w:t>
      </w:r>
      <w:r>
        <w:rPr>
          <w:rFonts w:hint="eastAsia" w:ascii="Times New Roman" w:hAnsi="Times New Roman" w:eastAsia="宋体" w:cs="Times New Roman"/>
          <w:smallCaps w:val="0"/>
          <w:color w:val="auto"/>
          <w:spacing w:val="0"/>
          <w:w w:val="100"/>
          <w:sz w:val="30"/>
          <w:szCs w:val="30"/>
          <w:highlight w:val="none"/>
          <w:lang w:val="en-US" w:eastAsia="zh-CN"/>
        </w:rPr>
        <w:t>应</w:t>
      </w:r>
      <w:r>
        <w:rPr>
          <w:rFonts w:hint="default" w:ascii="Times New Roman" w:hAnsi="Times New Roman" w:eastAsia="宋体" w:cs="Times New Roman"/>
          <w:smallCaps w:val="0"/>
          <w:color w:val="auto"/>
          <w:spacing w:val="0"/>
          <w:w w:val="100"/>
          <w:sz w:val="30"/>
          <w:szCs w:val="30"/>
          <w:highlight w:val="none"/>
          <w:lang w:eastAsia="zh-CN"/>
        </w:rPr>
        <w:t>达到 18g/kg以上，土壤pH值宜保持在5.5~7.5之间，达到高标准农田的要求。</w:t>
      </w:r>
    </w:p>
    <w:p w14:paraId="339AABA8">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农田地力提升工程包括使用</w:t>
      </w:r>
      <w:r>
        <w:rPr>
          <w:rFonts w:hint="eastAsia" w:ascii="Times New Roman" w:hAnsi="Times New Roman" w:eastAsia="宋体" w:cs="Times New Roman"/>
          <w:smallCaps w:val="0"/>
          <w:color w:val="auto"/>
          <w:spacing w:val="0"/>
          <w:w w:val="100"/>
          <w:sz w:val="30"/>
          <w:szCs w:val="30"/>
          <w:highlight w:val="none"/>
          <w:lang w:val="en-US" w:eastAsia="zh-CN"/>
        </w:rPr>
        <w:t>有机-无机复混肥、</w:t>
      </w:r>
      <w:r>
        <w:rPr>
          <w:rFonts w:hint="default" w:ascii="Times New Roman" w:hAnsi="Times New Roman" w:eastAsia="宋体" w:cs="Times New Roman"/>
          <w:smallCaps w:val="0"/>
          <w:color w:val="auto"/>
          <w:spacing w:val="0"/>
          <w:w w:val="100"/>
          <w:sz w:val="30"/>
          <w:szCs w:val="30"/>
          <w:highlight w:val="none"/>
          <w:lang w:eastAsia="zh-CN"/>
        </w:rPr>
        <w:t>有机肥、实施秸秆还田、菌渣还田、测土配方施肥和种养循环。每年农家肥按22500～30000kg/hm²，厩肥要经堆制腐熟后才能施用；商品有机肥按 3000～4500kg/hm²。</w:t>
      </w:r>
    </w:p>
    <w:p w14:paraId="78A514D5">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63" w:name="_Toc30726"/>
      <w:r>
        <w:rPr>
          <w:rFonts w:hint="default" w:ascii="Times New Roman" w:hAnsi="Times New Roman" w:eastAsia="宋体" w:cs="Times New Roman"/>
          <w:smallCaps w:val="0"/>
          <w:color w:val="auto"/>
          <w:spacing w:val="0"/>
          <w:w w:val="100"/>
          <w:highlight w:val="none"/>
        </w:rPr>
        <w:t>5.2.</w:t>
      </w:r>
      <w:r>
        <w:rPr>
          <w:rFonts w:hint="default" w:ascii="Times New Roman" w:hAnsi="Times New Roman" w:cs="Times New Roman"/>
          <w:smallCaps w:val="0"/>
          <w:color w:val="auto"/>
          <w:spacing w:val="0"/>
          <w:w w:val="100"/>
          <w:highlight w:val="none"/>
          <w:lang w:val="en-US" w:eastAsia="zh-CN"/>
        </w:rPr>
        <w:t>4</w:t>
      </w:r>
      <w:r>
        <w:rPr>
          <w:rFonts w:hint="default" w:ascii="Times New Roman" w:hAnsi="Times New Roman" w:eastAsia="宋体" w:cs="Times New Roman"/>
          <w:smallCaps w:val="0"/>
          <w:color w:val="auto"/>
          <w:spacing w:val="0"/>
          <w:w w:val="100"/>
          <w:highlight w:val="none"/>
        </w:rPr>
        <w:t xml:space="preserve"> 田间道路工程设计标准</w:t>
      </w:r>
      <w:bookmarkEnd w:id="163"/>
    </w:p>
    <w:p w14:paraId="68DD4B5F">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田间道路建设参照《农业机械化生产道路通用技术条件》DB51/T379-2017机耕道设计行车速度</w:t>
      </w:r>
      <w:r>
        <w:rPr>
          <w:rFonts w:hint="default" w:ascii="Times New Roman" w:hAnsi="Times New Roman" w:eastAsia="宋体" w:cs="Times New Roman"/>
          <w:smallCaps w:val="0"/>
          <w:color w:val="auto"/>
          <w:spacing w:val="0"/>
          <w:w w:val="100"/>
          <w:sz w:val="30"/>
          <w:szCs w:val="30"/>
          <w:highlight w:val="none"/>
          <w:lang w:val="en-US" w:eastAsia="zh-CN"/>
        </w:rPr>
        <w:t>为</w:t>
      </w:r>
      <w:r>
        <w:rPr>
          <w:rFonts w:hint="default" w:ascii="Times New Roman" w:hAnsi="Times New Roman" w:eastAsia="宋体" w:cs="Times New Roman"/>
          <w:smallCaps w:val="0"/>
          <w:color w:val="auto"/>
          <w:spacing w:val="0"/>
          <w:w w:val="100"/>
          <w:sz w:val="30"/>
          <w:szCs w:val="30"/>
          <w:highlight w:val="none"/>
          <w:lang w:eastAsia="zh-CN"/>
        </w:rPr>
        <w:t>15km/h，路面宽2.5～4.5m，路基宽3.5～5.0m，每间隔200～300m距离设置错车道1处。结合高标准农田建设标准，机械作业道有效路面宽度 3.0～4.5m，路面有效荷载参照4级标准；道路通达率90%以上。</w:t>
      </w:r>
    </w:p>
    <w:p w14:paraId="6F80BF6D">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64" w:name="_Toc24807"/>
      <w:r>
        <w:rPr>
          <w:rFonts w:hint="default" w:ascii="Times New Roman" w:hAnsi="Times New Roman" w:eastAsia="宋体" w:cs="Times New Roman"/>
          <w:smallCaps w:val="0"/>
          <w:color w:val="auto"/>
          <w:spacing w:val="0"/>
          <w:w w:val="100"/>
          <w:highlight w:val="none"/>
        </w:rPr>
        <w:t>5.2.</w:t>
      </w:r>
      <w:r>
        <w:rPr>
          <w:rFonts w:hint="default" w:ascii="Times New Roman" w:hAnsi="Times New Roman" w:cs="Times New Roman"/>
          <w:smallCaps w:val="0"/>
          <w:color w:val="auto"/>
          <w:spacing w:val="0"/>
          <w:w w:val="100"/>
          <w:highlight w:val="none"/>
          <w:lang w:val="en-US" w:eastAsia="zh-CN"/>
        </w:rPr>
        <w:t>5</w:t>
      </w:r>
      <w:r>
        <w:rPr>
          <w:rFonts w:hint="default" w:ascii="Times New Roman" w:hAnsi="Times New Roman" w:eastAsia="宋体" w:cs="Times New Roman"/>
          <w:smallCaps w:val="0"/>
          <w:color w:val="auto"/>
          <w:spacing w:val="0"/>
          <w:w w:val="100"/>
          <w:highlight w:val="none"/>
        </w:rPr>
        <w:t>使用年限及抗冻设计标准</w:t>
      </w:r>
      <w:bookmarkEnd w:id="164"/>
    </w:p>
    <w:p w14:paraId="51565AEB">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根据《水利水电工程合理使用年限及耐久性设计规范》SL654-2014，本工程渠道为灌溉工程，永久建筑物级别为5级，合理使用年限为</w:t>
      </w: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0年；田间道路合理使用年限为10年。</w:t>
      </w:r>
    </w:p>
    <w:p w14:paraId="22D71834">
      <w:pPr>
        <w:kinsoku/>
        <w:spacing w:line="560" w:lineRule="exact"/>
        <w:ind w:left="32" w:firstLine="60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工程区内属青藏高原季风气候，具有四季不分明，气温低，雨量少风沙大，气候干燥，日照时数长，无霜期短，春旱、冰雹、积雪等自然灾害频繁。年平均气温为6.3℃，年极端最高气温30.1℃；年极端最低气温-22.6℃。依据《水工混凝土结构设计规范》（SL191-2008）、《水工建筑物抗冰冻设计标准》（GB/T 50662-2011[2024年局部修订]）及当地气候状况，工程区属严寒地区，根据规范，本次设计混凝土抗冻等级F200，蓄水池混凝土防渗等级为</w:t>
      </w:r>
      <w:r>
        <w:rPr>
          <w:rFonts w:hint="default" w:ascii="Times New Roman" w:hAnsi="Times New Roman" w:eastAsia="宋体" w:cs="Times New Roman"/>
          <w:smallCaps w:val="0"/>
          <w:color w:val="auto"/>
          <w:spacing w:val="0"/>
          <w:w w:val="100"/>
          <w:sz w:val="30"/>
          <w:szCs w:val="30"/>
          <w:highlight w:val="none"/>
          <w:lang w:val="en-US" w:eastAsia="zh-CN"/>
        </w:rPr>
        <w:t>W</w:t>
      </w:r>
      <w:r>
        <w:rPr>
          <w:rFonts w:hint="default" w:ascii="Times New Roman" w:hAnsi="Times New Roman" w:eastAsia="宋体" w:cs="Times New Roman"/>
          <w:smallCaps w:val="0"/>
          <w:color w:val="auto"/>
          <w:spacing w:val="0"/>
          <w:w w:val="100"/>
          <w:sz w:val="30"/>
          <w:szCs w:val="30"/>
          <w:highlight w:val="none"/>
          <w:lang w:eastAsia="zh-CN"/>
        </w:rPr>
        <w:t>4。</w:t>
      </w:r>
    </w:p>
    <w:p w14:paraId="3246133A">
      <w:pPr>
        <w:kinsoku/>
        <w:spacing w:before="267" w:line="220" w:lineRule="auto"/>
        <w:ind w:left="38"/>
        <w:outlineLvl w:val="1"/>
        <w:rPr>
          <w:rFonts w:hint="default" w:ascii="Times New Roman" w:hAnsi="Times New Roman" w:eastAsia="宋体" w:cs="Times New Roman"/>
          <w:smallCaps w:val="0"/>
          <w:color w:val="auto"/>
          <w:spacing w:val="0"/>
          <w:w w:val="100"/>
          <w:sz w:val="30"/>
          <w:szCs w:val="30"/>
          <w:highlight w:val="none"/>
          <w:lang w:eastAsia="zh-CN"/>
        </w:rPr>
      </w:pPr>
      <w:bookmarkStart w:id="165" w:name="bookmark27"/>
      <w:bookmarkEnd w:id="165"/>
      <w:bookmarkStart w:id="166" w:name="_Toc23971"/>
      <w:bookmarkStart w:id="167" w:name="_Toc24372"/>
      <w:bookmarkStart w:id="168" w:name="_Toc3492"/>
      <w:r>
        <w:rPr>
          <w:rFonts w:hint="default" w:ascii="Times New Roman" w:hAnsi="Times New Roman" w:eastAsia="宋体" w:cs="Times New Roman"/>
          <w:b/>
          <w:bCs/>
          <w:smallCaps w:val="0"/>
          <w:color w:val="auto"/>
          <w:spacing w:val="0"/>
          <w:w w:val="100"/>
          <w:sz w:val="30"/>
          <w:szCs w:val="30"/>
          <w:highlight w:val="none"/>
          <w:lang w:eastAsia="zh-CN"/>
        </w:rPr>
        <w:t>5.3 目标任务与建设内容</w:t>
      </w:r>
      <w:bookmarkEnd w:id="166"/>
      <w:bookmarkEnd w:id="167"/>
      <w:bookmarkEnd w:id="168"/>
    </w:p>
    <w:p w14:paraId="455C609A">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69" w:name="_Toc27758"/>
      <w:r>
        <w:rPr>
          <w:rFonts w:hint="default" w:ascii="Times New Roman" w:hAnsi="Times New Roman" w:eastAsia="宋体" w:cs="Times New Roman"/>
          <w:smallCaps w:val="0"/>
          <w:color w:val="auto"/>
          <w:spacing w:val="0"/>
          <w:w w:val="100"/>
          <w:highlight w:val="none"/>
        </w:rPr>
        <w:t>5.3.1项目目标任务</w:t>
      </w:r>
      <w:bookmarkEnd w:id="169"/>
    </w:p>
    <w:p w14:paraId="439AA330">
      <w:pPr>
        <w:kinsoku/>
        <w:spacing w:before="273" w:line="379" w:lineRule="auto"/>
        <w:ind w:left="40" w:firstLine="627"/>
        <w:jc w:val="both"/>
        <w:rPr>
          <w:rFonts w:hint="default" w:ascii="Times New Roman" w:hAnsi="Times New Roman" w:eastAsia="宋体" w:cs="Times New Roman"/>
          <w:smallCaps w:val="0"/>
          <w:color w:val="auto"/>
          <w:spacing w:val="0"/>
          <w:w w:val="100"/>
          <w:sz w:val="30"/>
          <w:szCs w:val="30"/>
          <w:highlight w:val="none"/>
          <w:lang w:eastAsia="zh-CN"/>
        </w:rPr>
      </w:pPr>
      <w:r>
        <w:rPr>
          <w:rFonts w:hint="eastAsia" w:ascii="Times New Roman" w:hAnsi="Times New Roman" w:eastAsia="宋体" w:cs="Times New Roman"/>
          <w:smallCaps w:val="0"/>
          <w:color w:val="auto"/>
          <w:spacing w:val="0"/>
          <w:w w:val="100"/>
          <w:sz w:val="30"/>
          <w:szCs w:val="30"/>
          <w:highlight w:val="none"/>
          <w:lang w:eastAsia="zh-CN"/>
        </w:rPr>
        <w:t>甘孜县2026年财政转移支付资金高标准农田建设项目（新建）</w:t>
      </w:r>
      <w:r>
        <w:rPr>
          <w:rFonts w:hint="default" w:ascii="Times New Roman" w:hAnsi="Times New Roman" w:eastAsia="宋体" w:cs="Times New Roman"/>
          <w:smallCaps w:val="0"/>
          <w:color w:val="auto"/>
          <w:spacing w:val="0"/>
          <w:w w:val="100"/>
          <w:sz w:val="30"/>
          <w:szCs w:val="30"/>
          <w:highlight w:val="none"/>
          <w:lang w:eastAsia="zh-CN"/>
        </w:rPr>
        <w:t>涉及来马镇、甘孜镇、拖坝乡、庭卡乡、泥柯乡五个乡镇，项目区主要位于国道317两侧，集中连片，新建高标准农田项目建设10000亩（其中高效节水2000亩（管灌）），不断提高耕地综合生产能力，以稳定和发展高产稳产青稞等主要农产品的生产，确保国家粮食安全解决本口粮和农副产品供给，实现由</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藏粮于仓</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向</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藏粮于地</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的战略性转变。打造独具特色的绿色青稞种植示范区，培育特色农业主导产业。</w:t>
      </w:r>
    </w:p>
    <w:p w14:paraId="13D07513">
      <w:pPr>
        <w:pStyle w:val="4"/>
        <w:spacing w:before="0" w:after="0" w:line="560" w:lineRule="exact"/>
        <w:rPr>
          <w:rFonts w:hint="default" w:ascii="Times New Roman" w:hAnsi="Times New Roman" w:eastAsia="宋体" w:cs="Times New Roman"/>
          <w:smallCaps w:val="0"/>
          <w:color w:val="auto"/>
          <w:spacing w:val="0"/>
          <w:w w:val="100"/>
          <w:highlight w:val="none"/>
        </w:rPr>
      </w:pPr>
      <w:bookmarkStart w:id="170" w:name="_Toc21391"/>
      <w:r>
        <w:rPr>
          <w:rFonts w:hint="default" w:ascii="Times New Roman" w:hAnsi="Times New Roman" w:eastAsia="宋体" w:cs="Times New Roman"/>
          <w:smallCaps w:val="0"/>
          <w:color w:val="auto"/>
          <w:spacing w:val="0"/>
          <w:w w:val="100"/>
          <w:highlight w:val="none"/>
        </w:rPr>
        <w:t>5.3.2布局及建设内容</w:t>
      </w:r>
      <w:bookmarkEnd w:id="170"/>
    </w:p>
    <w:p w14:paraId="7CF9E3D2">
      <w:pPr>
        <w:kinsoku/>
        <w:spacing w:before="273" w:line="379" w:lineRule="auto"/>
        <w:ind w:left="40" w:firstLine="62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项目建设坚持</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突出重点</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缺啥补啥</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综合开发</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原则充分利用现有设施和条件，科学规划建设高标准农田的各项措施进行全面整治建设。本次项目新建高标准农田项目建设10000亩（其中高效节水2000亩（管灌）），本次项目主要措施包括田块整治工程、农田地力提升工程、灌溉与排水工程、田间道路工程，农田防护和生态保护工程，建设内容见表5.3-1。</w:t>
      </w:r>
    </w:p>
    <w:p w14:paraId="5D96BAA2">
      <w:pPr>
        <w:kinsoku/>
        <w:autoSpaceDE/>
        <w:autoSpaceDN/>
        <w:adjustRightInd/>
        <w:snapToGrid/>
        <w:textAlignment w:val="auto"/>
        <w:rPr>
          <w:rFonts w:hint="default" w:ascii="Times New Roman" w:hAnsi="Times New Roman" w:eastAsia="宋体" w:cs="Times New Roman"/>
          <w:smallCaps w:val="0"/>
          <w:color w:val="auto"/>
          <w:spacing w:val="0"/>
          <w:w w:val="100"/>
          <w:sz w:val="30"/>
          <w:szCs w:val="30"/>
          <w:highlight w:val="none"/>
          <w:lang w:eastAsia="zh-CN"/>
        </w:rPr>
      </w:pPr>
    </w:p>
    <w:p w14:paraId="0E45E645">
      <w:pPr>
        <w:rPr>
          <w:rFonts w:hint="default" w:ascii="Times New Roman" w:hAnsi="Times New Roman" w:eastAsia="宋体" w:cs="Times New Roman"/>
          <w:smallCaps w:val="0"/>
          <w:color w:val="auto"/>
          <w:spacing w:val="0"/>
          <w:w w:val="100"/>
          <w:highlight w:val="none"/>
          <w:lang w:eastAsia="zh-CN"/>
        </w:rPr>
        <w:sectPr>
          <w:headerReference r:id="rId12" w:type="default"/>
          <w:footerReference r:id="rId13" w:type="default"/>
          <w:type w:val="nextColumn"/>
          <w:pgSz w:w="11900" w:h="16840"/>
          <w:pgMar w:top="1134" w:right="1418" w:bottom="1134" w:left="1417" w:header="862" w:footer="1214" w:gutter="0"/>
          <w:pgBorders>
            <w:top w:val="none" w:sz="0" w:space="0"/>
            <w:left w:val="none" w:sz="0" w:space="0"/>
            <w:bottom w:val="none" w:sz="0" w:space="0"/>
            <w:right w:val="none" w:sz="0" w:space="0"/>
          </w:pgBorders>
          <w:pgNumType w:fmt="numberInDash"/>
          <w:cols w:space="720" w:num="1"/>
        </w:sectPr>
      </w:pPr>
    </w:p>
    <w:p w14:paraId="19F5E26F">
      <w:pPr>
        <w:kinsoku/>
        <w:spacing w:line="560" w:lineRule="exact"/>
        <w:ind w:right="110"/>
        <w:jc w:val="center"/>
        <w:rPr>
          <w:rFonts w:hint="default" w:ascii="Times New Roman" w:hAnsi="Times New Roman" w:eastAsia="宋体" w:cs="Times New Roman"/>
          <w:smallCaps w:val="0"/>
          <w:color w:val="auto"/>
          <w:spacing w:val="0"/>
          <w:w w:val="100"/>
          <w:sz w:val="28"/>
          <w:szCs w:val="28"/>
          <w:highlight w:val="none"/>
          <w:lang w:eastAsia="zh-CN"/>
        </w:rPr>
      </w:pPr>
      <w:bookmarkStart w:id="171" w:name="_Toc15857"/>
      <w:r>
        <w:rPr>
          <w:rFonts w:hint="default" w:ascii="Times New Roman" w:hAnsi="Times New Roman" w:eastAsia="宋体" w:cs="Times New Roman"/>
          <w:b/>
          <w:bCs/>
          <w:smallCaps w:val="0"/>
          <w:color w:val="auto"/>
          <w:spacing w:val="0"/>
          <w:w w:val="100"/>
          <w:sz w:val="30"/>
          <w:szCs w:val="30"/>
          <w:highlight w:val="none"/>
          <w:lang w:eastAsia="zh-CN"/>
        </w:rPr>
        <w:t>工程建设内容统计表</w:t>
      </w:r>
      <w:bookmarkEnd w:id="171"/>
    </w:p>
    <w:p w14:paraId="349A0328">
      <w:pPr>
        <w:kinsoku/>
        <w:spacing w:line="560" w:lineRule="exact"/>
        <w:ind w:right="110"/>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表5.3-1</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4"/>
        <w:gridCol w:w="984"/>
        <w:gridCol w:w="985"/>
        <w:gridCol w:w="985"/>
        <w:gridCol w:w="985"/>
        <w:gridCol w:w="985"/>
        <w:gridCol w:w="985"/>
        <w:gridCol w:w="985"/>
        <w:gridCol w:w="985"/>
        <w:gridCol w:w="985"/>
        <w:gridCol w:w="985"/>
        <w:gridCol w:w="985"/>
        <w:gridCol w:w="994"/>
        <w:gridCol w:w="985"/>
        <w:gridCol w:w="985"/>
      </w:tblGrid>
      <w:tr w14:paraId="5A59B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trPr>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DDDC2">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序号</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49127">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项目</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B8FAF">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田块整治工程</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45D44">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农田地力提升工程</w:t>
            </w:r>
          </w:p>
        </w:tc>
        <w:tc>
          <w:tcPr>
            <w:tcW w:w="3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1A9D93A">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灌溉与排水工程</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EBD63D">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田间道路工程</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987CA">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农田防护和生态保护工程</w:t>
            </w:r>
          </w:p>
        </w:tc>
      </w:tr>
      <w:tr w14:paraId="053E1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trPr>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8E398">
            <w:pPr>
              <w:pStyle w:val="71"/>
              <w:bidi w:val="0"/>
              <w:rPr>
                <w:rFonts w:hint="default" w:ascii="Times New Roman" w:hAnsi="Times New Roman" w:cs="Times New Roman"/>
                <w:color w:val="auto"/>
                <w:sz w:val="18"/>
                <w:szCs w:val="18"/>
                <w:highlight w:val="none"/>
                <w:lang w:val="en-US" w:eastAsia="zh-CN"/>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DB225">
            <w:pPr>
              <w:pStyle w:val="71"/>
              <w:bidi w:val="0"/>
              <w:rPr>
                <w:rFonts w:hint="default" w:ascii="Times New Roman" w:hAnsi="Times New Roman" w:cs="Times New Roman"/>
                <w:color w:val="auto"/>
                <w:sz w:val="18"/>
                <w:szCs w:val="18"/>
                <w:highlight w:val="none"/>
                <w:lang w:val="en-US" w:eastAsia="zh-CN"/>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24BA3">
            <w:pPr>
              <w:pStyle w:val="71"/>
              <w:bidi w:val="0"/>
              <w:rPr>
                <w:rFonts w:hint="eastAsia"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地</w:t>
            </w:r>
            <w:r>
              <w:rPr>
                <w:rFonts w:hint="eastAsia" w:ascii="Times New Roman" w:hAnsi="Times New Roman" w:cs="Times New Roman"/>
                <w:color w:val="auto"/>
                <w:sz w:val="18"/>
                <w:szCs w:val="18"/>
                <w:highlight w:val="none"/>
                <w:lang w:val="en-US" w:eastAsia="zh-CN"/>
              </w:rPr>
              <w:t>块整治（亩）</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38EC5">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土壤培肥（亩）</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D9BF9">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300m³</w:t>
            </w:r>
            <w:r>
              <w:rPr>
                <w:rFonts w:hint="eastAsia" w:ascii="Times New Roman" w:hAnsi="Times New Roman" w:cs="Times New Roman"/>
                <w:color w:val="auto"/>
                <w:sz w:val="18"/>
                <w:szCs w:val="18"/>
                <w:highlight w:val="none"/>
                <w:lang w:val="en-US" w:eastAsia="zh-CN"/>
              </w:rPr>
              <w:t>蓄水池（口）</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20993">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新建拦河坝（座）</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FA0807">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DN200</w:t>
            </w:r>
            <w:r>
              <w:rPr>
                <w:rFonts w:hint="eastAsia" w:ascii="Times New Roman" w:hAnsi="Times New Roman" w:cs="Times New Roman"/>
                <w:color w:val="auto"/>
                <w:sz w:val="18"/>
                <w:szCs w:val="18"/>
                <w:highlight w:val="none"/>
                <w:lang w:val="en-US" w:eastAsia="zh-CN"/>
              </w:rPr>
              <w:t>主管（</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146A2">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DN75</w:t>
            </w:r>
            <w:r>
              <w:rPr>
                <w:rFonts w:hint="eastAsia" w:ascii="Times New Roman" w:hAnsi="Times New Roman" w:cs="Times New Roman"/>
                <w:color w:val="auto"/>
                <w:sz w:val="18"/>
                <w:szCs w:val="18"/>
                <w:highlight w:val="none"/>
                <w:lang w:val="en-US" w:eastAsia="zh-CN"/>
              </w:rPr>
              <w:t>支管（</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38B85">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整治</w:t>
            </w:r>
            <w:r>
              <w:rPr>
                <w:rFonts w:hint="default" w:ascii="Times New Roman" w:hAnsi="Times New Roman" w:cs="Times New Roman"/>
                <w:color w:val="auto"/>
                <w:sz w:val="18"/>
                <w:szCs w:val="18"/>
                <w:highlight w:val="none"/>
                <w:lang w:val="en-US" w:eastAsia="zh-CN"/>
              </w:rPr>
              <w:t>1.0*1.0</w:t>
            </w:r>
            <w:r>
              <w:rPr>
                <w:rFonts w:hint="eastAsia" w:ascii="Times New Roman" w:hAnsi="Times New Roman" w:cs="Times New Roman"/>
                <w:color w:val="auto"/>
                <w:sz w:val="18"/>
                <w:szCs w:val="18"/>
                <w:highlight w:val="none"/>
                <w:lang w:val="en-US" w:eastAsia="zh-CN"/>
              </w:rPr>
              <w:t>排水渠（</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C2B90">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整治</w:t>
            </w:r>
            <w:r>
              <w:rPr>
                <w:rFonts w:hint="default" w:ascii="Times New Roman" w:hAnsi="Times New Roman" w:cs="Times New Roman"/>
                <w:color w:val="auto"/>
                <w:sz w:val="18"/>
                <w:szCs w:val="18"/>
                <w:highlight w:val="none"/>
                <w:lang w:val="en-US" w:eastAsia="zh-CN"/>
              </w:rPr>
              <w:t>0.5*0.5</w:t>
            </w:r>
            <w:r>
              <w:rPr>
                <w:rFonts w:hint="eastAsia" w:ascii="Times New Roman" w:hAnsi="Times New Roman" w:cs="Times New Roman"/>
                <w:color w:val="auto"/>
                <w:sz w:val="18"/>
                <w:szCs w:val="18"/>
                <w:highlight w:val="none"/>
                <w:lang w:val="en-US" w:eastAsia="zh-CN"/>
              </w:rPr>
              <w:t>排水渠（</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19576">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整治</w:t>
            </w:r>
            <w:r>
              <w:rPr>
                <w:rFonts w:hint="default" w:ascii="Times New Roman" w:hAnsi="Times New Roman" w:cs="Times New Roman"/>
                <w:color w:val="auto"/>
                <w:sz w:val="18"/>
                <w:szCs w:val="18"/>
                <w:highlight w:val="none"/>
                <w:lang w:val="en-US" w:eastAsia="zh-CN"/>
              </w:rPr>
              <w:t>1.5*1.5</w:t>
            </w:r>
            <w:r>
              <w:rPr>
                <w:rFonts w:hint="eastAsia" w:ascii="Times New Roman" w:hAnsi="Times New Roman" w:cs="Times New Roman"/>
                <w:color w:val="auto"/>
                <w:sz w:val="18"/>
                <w:szCs w:val="18"/>
                <w:highlight w:val="none"/>
                <w:lang w:val="en-US" w:eastAsia="zh-CN"/>
              </w:rPr>
              <w:t>排水渠（</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75B44">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整治</w:t>
            </w:r>
            <w:r>
              <w:rPr>
                <w:rFonts w:hint="default" w:ascii="Times New Roman" w:hAnsi="Times New Roman" w:cs="Times New Roman"/>
                <w:color w:val="auto"/>
                <w:sz w:val="18"/>
                <w:szCs w:val="18"/>
                <w:highlight w:val="none"/>
                <w:lang w:val="en-US" w:eastAsia="zh-CN"/>
              </w:rPr>
              <w:t>0.8*0.8</w:t>
            </w:r>
            <w:r>
              <w:rPr>
                <w:rFonts w:hint="eastAsia" w:ascii="Times New Roman" w:hAnsi="Times New Roman" w:cs="Times New Roman"/>
                <w:color w:val="auto"/>
                <w:sz w:val="18"/>
                <w:szCs w:val="18"/>
                <w:highlight w:val="none"/>
                <w:lang w:val="en-US" w:eastAsia="zh-CN"/>
              </w:rPr>
              <w:t>排水渠（</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C13F5">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整治</w:t>
            </w:r>
            <w:r>
              <w:rPr>
                <w:rFonts w:hint="default" w:ascii="Times New Roman" w:hAnsi="Times New Roman" w:cs="Times New Roman"/>
                <w:color w:val="auto"/>
                <w:sz w:val="18"/>
                <w:szCs w:val="18"/>
                <w:highlight w:val="none"/>
                <w:lang w:val="en-US" w:eastAsia="zh-CN"/>
              </w:rPr>
              <w:t>0.3*0.3</w:t>
            </w:r>
            <w:r>
              <w:rPr>
                <w:rFonts w:hint="eastAsia" w:ascii="Times New Roman" w:hAnsi="Times New Roman" w:cs="Times New Roman"/>
                <w:color w:val="auto"/>
                <w:sz w:val="18"/>
                <w:szCs w:val="18"/>
                <w:highlight w:val="none"/>
                <w:lang w:val="en-US" w:eastAsia="zh-CN"/>
              </w:rPr>
              <w:t>排水渠（</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62B87">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机耕道（</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78540">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围栏（</w:t>
            </w:r>
            <w:r>
              <w:rPr>
                <w:rFonts w:hint="default" w:ascii="Times New Roman" w:hAnsi="Times New Roman" w:cs="Times New Roman"/>
                <w:color w:val="auto"/>
                <w:sz w:val="18"/>
                <w:szCs w:val="18"/>
                <w:highlight w:val="none"/>
                <w:lang w:val="en-US" w:eastAsia="zh-CN"/>
              </w:rPr>
              <w:t>m</w:t>
            </w:r>
            <w:r>
              <w:rPr>
                <w:rFonts w:hint="eastAsia" w:ascii="Times New Roman" w:hAnsi="Times New Roman" w:cs="Times New Roman"/>
                <w:color w:val="auto"/>
                <w:sz w:val="18"/>
                <w:szCs w:val="18"/>
                <w:highlight w:val="none"/>
                <w:lang w:val="en-US" w:eastAsia="zh-CN"/>
              </w:rPr>
              <w:t>）</w:t>
            </w:r>
          </w:p>
        </w:tc>
      </w:tr>
      <w:tr w14:paraId="0F60F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E572D">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F4571">
            <w:pPr>
              <w:pStyle w:val="71"/>
              <w:bidi w:val="0"/>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新建</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940B9">
            <w:pPr>
              <w:pStyle w:val="71"/>
              <w:bidi w:val="0"/>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413.70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D8BAA">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10000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CA591">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5E46C">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56D90">
            <w:pPr>
              <w:pStyle w:val="71"/>
              <w:bidi w:val="0"/>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6171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03F07">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21263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14D4B">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629</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F019E">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607</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B3B56">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602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4AF29">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611</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9418E">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316</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4F77E1">
            <w:pPr>
              <w:pStyle w:val="71"/>
              <w:bidi w:val="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7813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ADD97">
            <w:pPr>
              <w:pStyle w:val="71"/>
              <w:bidi w:val="0"/>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39874</w:t>
            </w:r>
          </w:p>
        </w:tc>
      </w:tr>
    </w:tbl>
    <w:p w14:paraId="161785A9">
      <w:pPr>
        <w:kinsoku/>
        <w:spacing w:line="560" w:lineRule="exact"/>
        <w:ind w:right="110"/>
        <w:rPr>
          <w:rFonts w:hint="default" w:ascii="Times New Roman" w:hAnsi="Times New Roman" w:eastAsia="宋体" w:cs="Times New Roman"/>
          <w:smallCaps w:val="0"/>
          <w:color w:val="auto"/>
          <w:spacing w:val="0"/>
          <w:w w:val="100"/>
          <w:sz w:val="28"/>
          <w:szCs w:val="28"/>
          <w:highlight w:val="none"/>
          <w:lang w:eastAsia="zh-CN"/>
        </w:rPr>
      </w:pPr>
    </w:p>
    <w:p w14:paraId="50988236">
      <w:pPr>
        <w:kinsoku/>
        <w:spacing w:before="273" w:line="379" w:lineRule="auto"/>
        <w:ind w:left="40" w:firstLine="627"/>
        <w:jc w:val="both"/>
        <w:rPr>
          <w:rFonts w:hint="default" w:ascii="Times New Roman" w:hAnsi="Times New Roman" w:eastAsia="宋体" w:cs="Times New Roman"/>
          <w:smallCaps w:val="0"/>
          <w:color w:val="auto"/>
          <w:spacing w:val="0"/>
          <w:w w:val="100"/>
          <w:sz w:val="30"/>
          <w:szCs w:val="30"/>
          <w:highlight w:val="none"/>
          <w:lang w:eastAsia="zh-CN"/>
        </w:rPr>
      </w:pPr>
    </w:p>
    <w:p w14:paraId="3C3367DA">
      <w:pPr>
        <w:kinsoku/>
        <w:spacing w:before="273" w:line="379" w:lineRule="auto"/>
        <w:ind w:left="40" w:firstLine="627"/>
        <w:jc w:val="both"/>
        <w:rPr>
          <w:rFonts w:hint="default" w:ascii="Times New Roman" w:hAnsi="Times New Roman" w:eastAsia="宋体" w:cs="Times New Roman"/>
          <w:smallCaps w:val="0"/>
          <w:color w:val="auto"/>
          <w:spacing w:val="0"/>
          <w:w w:val="100"/>
          <w:sz w:val="30"/>
          <w:szCs w:val="30"/>
          <w:highlight w:val="none"/>
          <w:lang w:eastAsia="zh-CN"/>
        </w:rPr>
        <w:sectPr>
          <w:type w:val="nextColumn"/>
          <w:pgSz w:w="16840" w:h="11900" w:orient="landscape"/>
          <w:pgMar w:top="1418" w:right="1134" w:bottom="1588" w:left="1134" w:header="862" w:footer="1213" w:gutter="0"/>
          <w:pgBorders>
            <w:top w:val="none" w:sz="0" w:space="0"/>
            <w:left w:val="none" w:sz="0" w:space="0"/>
            <w:bottom w:val="none" w:sz="0" w:space="0"/>
            <w:right w:val="none" w:sz="0" w:space="0"/>
          </w:pgBorders>
          <w:pgNumType w:fmt="numberInDash"/>
          <w:cols w:space="720" w:num="1"/>
        </w:sectPr>
      </w:pPr>
    </w:p>
    <w:p w14:paraId="0DB0A675">
      <w:pPr>
        <w:kinsoku/>
        <w:spacing w:line="560" w:lineRule="exact"/>
        <w:ind w:left="39"/>
        <w:outlineLvl w:val="1"/>
        <w:rPr>
          <w:rFonts w:hint="default" w:ascii="Times New Roman" w:hAnsi="Times New Roman" w:eastAsia="宋体" w:cs="Times New Roman"/>
          <w:b/>
          <w:bCs/>
          <w:smallCaps w:val="0"/>
          <w:color w:val="auto"/>
          <w:spacing w:val="0"/>
          <w:w w:val="100"/>
          <w:sz w:val="30"/>
          <w:szCs w:val="30"/>
          <w:highlight w:val="none"/>
          <w:lang w:eastAsia="zh-CN"/>
        </w:rPr>
      </w:pPr>
      <w:bookmarkStart w:id="172" w:name="bookmark28"/>
      <w:bookmarkEnd w:id="172"/>
      <w:bookmarkStart w:id="173" w:name="_Toc15405"/>
      <w:bookmarkStart w:id="174" w:name="_Toc16358"/>
      <w:bookmarkStart w:id="175" w:name="_Toc27918"/>
      <w:r>
        <w:rPr>
          <w:rFonts w:hint="default" w:ascii="Times New Roman" w:hAnsi="Times New Roman" w:eastAsia="宋体" w:cs="Times New Roman"/>
          <w:b/>
          <w:bCs/>
          <w:smallCaps w:val="0"/>
          <w:color w:val="auto"/>
          <w:spacing w:val="0"/>
          <w:w w:val="100"/>
          <w:sz w:val="30"/>
          <w:szCs w:val="30"/>
          <w:highlight w:val="none"/>
          <w:lang w:eastAsia="zh-CN"/>
        </w:rPr>
        <w:t>5.4 工程设计</w:t>
      </w:r>
      <w:bookmarkEnd w:id="173"/>
      <w:bookmarkEnd w:id="174"/>
      <w:bookmarkEnd w:id="175"/>
    </w:p>
    <w:p w14:paraId="670113A8">
      <w:pPr>
        <w:pStyle w:val="4"/>
        <w:spacing w:before="0" w:after="0" w:line="560" w:lineRule="exact"/>
        <w:rPr>
          <w:rFonts w:hint="default" w:ascii="Times New Roman" w:hAnsi="Times New Roman" w:eastAsia="宋体" w:cs="Times New Roman"/>
          <w:b w:val="0"/>
          <w:bCs w:val="0"/>
          <w:smallCaps w:val="0"/>
          <w:color w:val="auto"/>
          <w:spacing w:val="0"/>
          <w:w w:val="100"/>
          <w:highlight w:val="none"/>
        </w:rPr>
      </w:pPr>
      <w:bookmarkStart w:id="176" w:name="_Toc2306"/>
      <w:r>
        <w:rPr>
          <w:rFonts w:hint="default" w:ascii="Times New Roman" w:hAnsi="Times New Roman" w:eastAsia="宋体" w:cs="Times New Roman"/>
          <w:smallCaps w:val="0"/>
          <w:color w:val="auto"/>
          <w:spacing w:val="0"/>
          <w:w w:val="100"/>
          <w:highlight w:val="none"/>
        </w:rPr>
        <w:t>5.4.1 田块整治</w:t>
      </w:r>
      <w:bookmarkEnd w:id="176"/>
    </w:p>
    <w:p w14:paraId="4CEE9DC3">
      <w:pPr>
        <w:kinsoku/>
        <w:spacing w:line="560" w:lineRule="exact"/>
        <w:ind w:left="39" w:leftChars="0"/>
        <w:outlineLvl w:val="3"/>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5.4.1.1 田块整治类型</w:t>
      </w:r>
    </w:p>
    <w:p w14:paraId="5B39E74D">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农田有效土层厚度应达到40cm以上，耕作层厚度应在15cm以上，旱地纵向坡度≤10%，土体中无明显粘层、砂砾层等障碍因素。田块整治时应尽量避免打乱表土层与心土层，确需打乱应先将肥沃的表土层进行剥离，单独堆放，待块整治完成后，再将表土均匀摊铺到田面上，回覆后土壤容重宜在1.1～1.7g/cm³。整理后的田块应有利于作物的生长发育，有利于田间机械作业，有利于水土保持满足灌溉排水要求，便于经营管理。</w:t>
      </w:r>
    </w:p>
    <w:p w14:paraId="576B4DD6">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地形起伏小，土层厚的</w:t>
      </w:r>
      <w:r>
        <w:rPr>
          <w:rFonts w:hint="default" w:ascii="Times New Roman" w:hAnsi="Times New Roman" w:eastAsia="宋体" w:cs="Times New Roman"/>
          <w:smallCaps w:val="0"/>
          <w:color w:val="auto"/>
          <w:spacing w:val="0"/>
          <w:w w:val="100"/>
          <w:sz w:val="30"/>
          <w:szCs w:val="30"/>
          <w:highlight w:val="none"/>
          <w:lang w:val="en-US" w:eastAsia="zh-CN"/>
        </w:rPr>
        <w:t>旱</w:t>
      </w:r>
      <w:r>
        <w:rPr>
          <w:rFonts w:hint="default" w:ascii="Times New Roman" w:hAnsi="Times New Roman" w:eastAsia="宋体" w:cs="Times New Roman"/>
          <w:smallCaps w:val="0"/>
          <w:color w:val="auto"/>
          <w:spacing w:val="0"/>
          <w:w w:val="100"/>
          <w:sz w:val="30"/>
          <w:szCs w:val="30"/>
          <w:highlight w:val="none"/>
          <w:lang w:eastAsia="zh-CN"/>
        </w:rPr>
        <w:t>涝保收农田田面设计高程根据土方挖填确定。地形起伏大，土层薄的坡地的田面高程设计应因地制宜。田块内各方向相对高差应当控制在±3cm以内。</w:t>
      </w:r>
    </w:p>
    <w:p w14:paraId="6ADF6515">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田块整治以土地平整度指标控制，包含地表平整度、横向地表坡降和纵向地表坡降三项指标。</w:t>
      </w:r>
    </w:p>
    <w:p w14:paraId="3D933E01">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1.</w:t>
      </w:r>
      <w:r>
        <w:rPr>
          <w:rFonts w:hint="default" w:ascii="Times New Roman" w:hAnsi="Times New Roman" w:eastAsia="宋体" w:cs="Times New Roman"/>
          <w:smallCaps w:val="0"/>
          <w:color w:val="auto"/>
          <w:spacing w:val="0"/>
          <w:w w:val="100"/>
          <w:sz w:val="30"/>
          <w:szCs w:val="30"/>
          <w:highlight w:val="none"/>
          <w:lang w:eastAsia="zh-CN"/>
        </w:rPr>
        <w:t>耕作层剥离和回填</w:t>
      </w:r>
    </w:p>
    <w:p w14:paraId="54BE720C">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田土调型过程中需进行表土剥离和表土回填，设计表土剥离厚度为2</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cm，待田土平整过后，全部松散回填复位到改造后的地块表层。</w:t>
      </w:r>
    </w:p>
    <w:p w14:paraId="6C6A3412">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（1）土方局部平衡计算</w:t>
      </w:r>
    </w:p>
    <w:p w14:paraId="415C7CE4">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①核实每个地块的平整（推土）工程量，进行土方平衡计算，需要调配土方的应绘制土方调配图。明确土方的搬运方向、搬运量，土方开挖深度和范围、土方填埋深度和范围。</w:t>
      </w:r>
    </w:p>
    <w:p w14:paraId="14301577">
      <w:pPr>
        <w:kinsoku/>
        <w:spacing w:line="560" w:lineRule="exact"/>
        <w:ind w:left="638"/>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②核实地表附属物数量。</w:t>
      </w:r>
    </w:p>
    <w:p w14:paraId="13B43985">
      <w:pPr>
        <w:kinsoku/>
        <w:spacing w:line="560" w:lineRule="exact"/>
        <w:ind w:left="39" w:right="84" w:firstLine="598"/>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③在施工设计中，一般在地块划分后，可以使用软件按每个地块区域平衡法进行土方挖填计算。田型调整工程：水平梯田可采用专业软件区域土方平衡法计算，坡式梯田可采用断面法计算。</w:t>
      </w:r>
    </w:p>
    <w:p w14:paraId="040F5B24">
      <w:pPr>
        <w:kinsoku/>
        <w:spacing w:line="560" w:lineRule="exact"/>
        <w:ind w:left="44" w:right="79" w:firstLine="593"/>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④若采用典型田块设计要确定各种形式的典型田块所代表的区域规模；各种主要农用地用地类型均应根据不同地形条件分别进行典型田块设计；典型田块设计应能够代表该用地类型所处的地形条件和土壤条件；田间工程应具有代表性。</w:t>
      </w:r>
    </w:p>
    <w:p w14:paraId="161DB926">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地表石头清理</w:t>
      </w:r>
    </w:p>
    <w:p w14:paraId="4D05A309">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根据现场实地调查，项目区部分耕作地块存在大小不一的砾石分布，砾石的存在不仅破坏土壤耕作层结构、阻碍农作物根系伸展，还会影响农业机械作业效率（易造成农机具磨损、作业受阻），导致土壤保水保肥能力下降，最终制约农业生产提质增效与粮食产量提升。为彻底改善地块耕作条件，保障后续农业生产与农机化作业顺利开展，结合地块实际情况，优化地表砾石清理设计方案，明确清理流程、技术要求与质量标准，具体内容如下：</w:t>
      </w:r>
    </w:p>
    <w:p w14:paraId="6544BC36">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1）、清理原则 坚持“因地制宜、分类处置、彻底清理、生态优先、熟土保护、质量可控”的原则，结合砾石大小、分布密度，采用“机械为主、人工为辅、分轮推进”的清理方式，兼顾清理效率与耕作需求，确保清理后地块满足农业生产及农机化作业标准，同时避免过度扰动土壤，保护耕作层。 2）、清理范围与对象 ①清理范围：项目区所有存在砾石影响的设计捡石的地块，，确保清理范围无遗漏、无死角。 ②清理对象：地块地表所有影响农业生产、农机作业的砾石，包括直径≥5cm的较大石块、零散碎石及砾石碎屑，重点清理易造成农机卡阻、根系损伤的块状砾石。 ③、优化清理流程与操作要求 采用“分轮清理、分级处置”的流程，先处理大型砾石，再清理零散碎石，全程做好质量管控，具体操作如下： （一）第一轮：大型砾石机械清理处置 1. 前期勘察标记：清理前，组织人员对地块进行逐片勘察，采用标杆标记、分区划分的方式，明确大型砾石（直径≥50cm）的分布位置、数量，避免清理过程中遗漏或重复作业，同时规划农机作业路线，减少土壤扰动。 2. 大型砾石破碎/爆破处理：针对地块内直径≥50cm、无法直接清运的大型砾石，根据现场地形及安全要求，优先采用破碎锤进行破碎处理，将其分解为直径≤20cm的碎石块；对位于地块边缘、远离居民区及作物区域，且破碎作业难度较大的大型砾石，可采用机械撬移至弃置点方式处理。 3. 机械清运清理：大型砾石破碎后，采用挖掘机配合拖拉机开展集中清运清理作业。挖掘机负责将破碎后的碎石块及地块内直径5-50cm的中型砾石集中归集，堆放于地块临时堆放点，临时堆放点选择地块边缘、不影响后续耕作及农机通行的区域，做好防尘、防流失措施；拖拉机配合拖车，将临时堆放的砾石统一清运至项目指定弃置点，清运过程中避免砾石散落，防止二次污染地块。 4. 地块初步平整：大型砾石清运完成后，采用拖拉机配套旋耕机对地块进行初步平整，平整后地块地表无明显坑洼凸起，农机作业无卡阻，确保后续人工捡石作业顺利开展。 （二）第二轮：零散碎石人工二次清理 1. 人工捡石作业：第一轮机械清理完成后，组织专业作业人员开展人工二次捡石，重点清理地块内散落的直径≥5cm的碎石、砾石碎屑，以及机械清理过程中遗漏的小型砾石。作业时采用“分片作业、逐行排查”的方式，作业人员手持铁锹、竹筐等工具，将碎石逐一捡拾、归集，确保无遗漏。 2. 碎石二次清运：人工捡拾的碎石集中堆放于临时堆放点，定期采用拖拉机拖车清运至指定弃置点，严禁随意堆放于地块边缘、田间道路或灌溉渠道旁，避免影响农业生产、交通及灌溉。 （三）清理后地块修整 二次捡石完成后，再次采用拖拉机配套旋耕机对地块进行深耕、平整，深耕深度控制在15-20cm，确保土壤耕作层疏松、平整，砾石分布均匀，同时清理地块内的杂草、杂物，为后续播种、农机作业奠定基础。 四、质量控制标准 1. 砾石含量标准：地表及耕作层（0-30cm）砾石含量≤15%，其中直径≥5cm的砾石不得留存，确保土壤耕作层满足农作物生长及农机化作业要求。 2. 地块平整标准：清理后地块地表平整，无明显坑洼、凸起，地表坡度≤5°，无碎石堆、</w:t>
      </w:r>
    </w:p>
    <w:p w14:paraId="4FF712C7">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3. 弃置标准：清理的砾石需全部清运至项目指定弃置点，弃置点需做好防护措施，避免砾石流失、污染周边环境，严禁随意丢弃。</w:t>
      </w:r>
    </w:p>
    <w:p w14:paraId="35956936">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4. 质量验收要求：清理工作完成后，采用“随机抽样检测”的方式进行验收，抽样密度为每50亩抽取3个检测点，每个检测点取样面积1㎡，深度30cm，检测砾石含量及清理质量，验收合格后方可进入下一环节作业；不合格地块需限期整改，重新清理后再次验收，直至合格。</w:t>
      </w:r>
    </w:p>
    <w:p w14:paraId="5C2833EA">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3.</w:t>
      </w:r>
      <w:r>
        <w:rPr>
          <w:rFonts w:hint="eastAsia" w:ascii="Times New Roman" w:hAnsi="Times New Roman" w:eastAsia="宋体" w:cs="Times New Roman"/>
          <w:smallCaps w:val="0"/>
          <w:color w:val="auto"/>
          <w:spacing w:val="0"/>
          <w:w w:val="100"/>
          <w:sz w:val="30"/>
          <w:szCs w:val="30"/>
          <w:highlight w:val="none"/>
          <w:lang w:val="en-US" w:eastAsia="zh-CN"/>
        </w:rPr>
        <w:t>机械平整</w:t>
      </w:r>
    </w:p>
    <w:p w14:paraId="0D5C8EEC">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采用机械覆土时，土壤被压得很实，一般来说，疏松土层有利于农作物根系的发育、生长，也有助于土壤渗水，减少地面径流，所以机械平整后，压实部分经过翻耕耙犁，捣碎土块，有利于达到疏松土壤的目的。所以，土地平整施工后，地块部分面积表土被机械压实，应进行翻耕耙犁工序。</w:t>
      </w:r>
    </w:p>
    <w:p w14:paraId="58A02F9C">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4、浆砌块石田埂</w:t>
      </w:r>
    </w:p>
    <w:p w14:paraId="03682525">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结合</w:t>
      </w:r>
      <w:r>
        <w:rPr>
          <w:rFonts w:hint="eastAsia" w:ascii="Times New Roman" w:hAnsi="Times New Roman" w:eastAsia="宋体" w:cs="Times New Roman"/>
          <w:smallCaps w:val="0"/>
          <w:color w:val="auto"/>
          <w:spacing w:val="0"/>
          <w:w w:val="100"/>
          <w:sz w:val="30"/>
          <w:szCs w:val="30"/>
          <w:highlight w:val="none"/>
          <w:lang w:val="en-US" w:eastAsia="zh-CN"/>
        </w:rPr>
        <w:t>现场合理</w:t>
      </w:r>
      <w:r>
        <w:rPr>
          <w:rFonts w:hint="default" w:ascii="Times New Roman" w:hAnsi="Times New Roman" w:eastAsia="宋体" w:cs="Times New Roman"/>
          <w:smallCaps w:val="0"/>
          <w:color w:val="auto"/>
          <w:spacing w:val="0"/>
          <w:w w:val="100"/>
          <w:sz w:val="30"/>
          <w:szCs w:val="30"/>
          <w:highlight w:val="none"/>
          <w:lang w:eastAsia="zh-CN"/>
        </w:rPr>
        <w:t>的布置田块调形，归并原有田埂，切小并大，按照规划设计重新制埂，田坎不得使用有机质及淤泥夯筑。</w:t>
      </w:r>
    </w:p>
    <w:p w14:paraId="22D980D6">
      <w:pPr>
        <w:kinsoku/>
        <w:spacing w:line="560" w:lineRule="exact"/>
        <w:ind w:left="44" w:right="96" w:firstLine="619"/>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制埂要求：清除表土，铲除废弃土埂，田坎设计参照《水土保持综合治理技术规范》（GB/T16453－2008），按10年一遇6小时最大暴雨设计。根据项目区实际地形，田坎原则上沿原陡坎线布设，部分地段截弯取直。田埂较高的地方，采用M7.5浆砌块石护埂，外边坡比为1:0.25，块石之间应互相嵌实咬紧，石缝错开，分层砌筑，从而保证石坎稳定，不垮塌。块石坎基础必须置于坚硬的基岩或土质上。</w:t>
      </w: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9"/>
        <w:gridCol w:w="1006"/>
        <w:gridCol w:w="1079"/>
        <w:gridCol w:w="849"/>
        <w:gridCol w:w="1905"/>
        <w:gridCol w:w="1857"/>
        <w:gridCol w:w="1605"/>
      </w:tblGrid>
      <w:tr w14:paraId="39FB9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blHeader/>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B382C">
            <w:pPr>
              <w:keepNext w:val="0"/>
              <w:keepLines w:val="0"/>
              <w:widowControl/>
              <w:suppressLineNumbers w:val="0"/>
              <w:jc w:val="center"/>
              <w:textAlignment w:val="center"/>
              <w:rPr>
                <w:rFonts w:hint="eastAsia" w:ascii="宋体" w:hAnsi="宋体" w:eastAsia="宋体" w:cs="宋体"/>
                <w:b/>
                <w:bCs/>
                <w:i w:val="0"/>
                <w:iCs w:val="0"/>
                <w:color w:val="auto"/>
                <w:sz w:val="36"/>
                <w:szCs w:val="36"/>
                <w:highlight w:val="none"/>
                <w:u w:val="none"/>
              </w:rPr>
            </w:pPr>
            <w:r>
              <w:rPr>
                <w:rFonts w:hint="eastAsia" w:ascii="宋体" w:hAnsi="宋体" w:eastAsia="宋体" w:cs="宋体"/>
                <w:b/>
                <w:bCs/>
                <w:i w:val="0"/>
                <w:iCs w:val="0"/>
                <w:snapToGrid w:val="0"/>
                <w:color w:val="auto"/>
                <w:kern w:val="0"/>
                <w:sz w:val="36"/>
                <w:szCs w:val="36"/>
                <w:highlight w:val="none"/>
                <w:u w:val="none"/>
                <w:lang w:val="en-US" w:eastAsia="zh-CN" w:bidi="ar"/>
              </w:rPr>
              <w:t>浆砌块石田埂工程量表</w:t>
            </w:r>
          </w:p>
        </w:tc>
      </w:tr>
      <w:tr w14:paraId="76268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blHeader/>
        </w:trPr>
        <w:tc>
          <w:tcPr>
            <w:tcW w:w="9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1AC5D9">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权属</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D2F7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编号</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3E2A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长度（m）</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C9483">
            <w:pPr>
              <w:keepNext w:val="0"/>
              <w:keepLines w:val="0"/>
              <w:widowControl/>
              <w:suppressLineNumbers w:val="0"/>
              <w:jc w:val="center"/>
              <w:textAlignment w:val="center"/>
              <w:rPr>
                <w:rFonts w:hint="eastAsia" w:ascii="宋体" w:hAnsi="宋体" w:eastAsia="宋体" w:cs="宋体"/>
                <w:i w:val="0"/>
                <w:iCs w:val="0"/>
                <w:snapToGrid w:val="0"/>
                <w:color w:val="auto"/>
                <w:kern w:val="0"/>
                <w:sz w:val="24"/>
                <w:szCs w:val="24"/>
                <w:highlight w:val="none"/>
                <w:u w:val="none"/>
                <w:lang w:val="en-US" w:eastAsia="zh-CN" w:bidi="ar"/>
              </w:rPr>
            </w:pPr>
            <w:r>
              <w:rPr>
                <w:rFonts w:hint="eastAsia" w:ascii="宋体" w:hAnsi="宋体" w:eastAsia="宋体" w:cs="宋体"/>
                <w:i w:val="0"/>
                <w:iCs w:val="0"/>
                <w:snapToGrid w:val="0"/>
                <w:color w:val="auto"/>
                <w:kern w:val="0"/>
                <w:sz w:val="24"/>
                <w:szCs w:val="24"/>
                <w:highlight w:val="none"/>
                <w:u w:val="none"/>
                <w:lang w:val="en-US" w:eastAsia="zh-CN" w:bidi="ar"/>
              </w:rPr>
              <w:t>M7.5浆砌块石</w:t>
            </w:r>
          </w:p>
          <w:p w14:paraId="394AA4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（m³）</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23842">
            <w:pPr>
              <w:keepNext w:val="0"/>
              <w:keepLines w:val="0"/>
              <w:widowControl/>
              <w:suppressLineNumbers w:val="0"/>
              <w:jc w:val="center"/>
              <w:textAlignment w:val="center"/>
              <w:rPr>
                <w:rFonts w:hint="eastAsia" w:ascii="宋体" w:hAnsi="宋体" w:eastAsia="宋体" w:cs="宋体"/>
                <w:i w:val="0"/>
                <w:iCs w:val="0"/>
                <w:snapToGrid w:val="0"/>
                <w:color w:val="auto"/>
                <w:kern w:val="0"/>
                <w:sz w:val="24"/>
                <w:szCs w:val="24"/>
                <w:highlight w:val="none"/>
                <w:u w:val="none"/>
                <w:lang w:val="en-US" w:eastAsia="zh-CN" w:bidi="ar"/>
              </w:rPr>
            </w:pPr>
            <w:r>
              <w:rPr>
                <w:rFonts w:hint="eastAsia" w:ascii="宋体" w:hAnsi="宋体" w:eastAsia="宋体" w:cs="宋体"/>
                <w:i w:val="0"/>
                <w:iCs w:val="0"/>
                <w:snapToGrid w:val="0"/>
                <w:color w:val="auto"/>
                <w:kern w:val="0"/>
                <w:sz w:val="24"/>
                <w:szCs w:val="24"/>
                <w:highlight w:val="none"/>
                <w:u w:val="none"/>
                <w:lang w:val="en-US" w:eastAsia="zh-CN" w:bidi="ar"/>
              </w:rPr>
              <w:t>∅32PVC泄水孔</w:t>
            </w:r>
          </w:p>
          <w:p w14:paraId="12EC4B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（m）</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58D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砂石反滤堆(m³)</w:t>
            </w:r>
          </w:p>
        </w:tc>
      </w:tr>
      <w:tr w14:paraId="41FB0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2FD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0E9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036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TG001</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2B86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287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257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165.78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35C9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717.64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468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1.15 </w:t>
            </w:r>
          </w:p>
        </w:tc>
      </w:tr>
      <w:tr w14:paraId="406CF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C13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EE6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F37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TG002</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993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315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DAD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182.01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6F9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787.91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FB3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1.26 </w:t>
            </w:r>
          </w:p>
        </w:tc>
      </w:tr>
      <w:tr w14:paraId="32400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50C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B2A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77A8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TG003</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4EAB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472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44A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272.49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2B6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1179.61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658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1.89 </w:t>
            </w:r>
          </w:p>
        </w:tc>
      </w:tr>
      <w:tr w14:paraId="7C0AC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EE4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C41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9E74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TG004</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61C8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198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A0E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114.19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641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494.33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719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0.79 </w:t>
            </w:r>
          </w:p>
        </w:tc>
      </w:tr>
      <w:tr w14:paraId="4C8CC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4417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B68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5C8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TG005</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96B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145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D20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83.62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18E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362.01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408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0.58 </w:t>
            </w:r>
          </w:p>
        </w:tc>
      </w:tr>
      <w:tr w14:paraId="5F04E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5A5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2EA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D00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TG006</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DCAF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147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637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85.16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2A5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368.67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0F1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0.59 </w:t>
            </w:r>
          </w:p>
        </w:tc>
      </w:tr>
      <w:tr w14:paraId="76B6B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984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A75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59A1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TG007</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E26A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320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5BC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184.62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A84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799.23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4F0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1.28 </w:t>
            </w:r>
          </w:p>
        </w:tc>
      </w:tr>
      <w:tr w14:paraId="64233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57F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913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678D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TG008</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B44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228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013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131.85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788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570.77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60C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0.91 </w:t>
            </w:r>
          </w:p>
        </w:tc>
      </w:tr>
      <w:tr w14:paraId="4E20E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B19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F6D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1A58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TG009</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FDE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257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993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148.31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016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642.02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1D7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1.03 </w:t>
            </w:r>
          </w:p>
        </w:tc>
      </w:tr>
      <w:tr w14:paraId="45B0F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AC2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C6E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326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TG010</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423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258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BD55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148.81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382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644.18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DDA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1.03 </w:t>
            </w:r>
          </w:p>
        </w:tc>
      </w:tr>
      <w:tr w14:paraId="423E9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856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B27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E1E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TG011</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A5D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206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8CE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118.75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D3B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514.08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878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0.82 </w:t>
            </w:r>
          </w:p>
        </w:tc>
      </w:tr>
      <w:tr w14:paraId="61530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5AE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BAD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FB2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TG012</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1151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48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B75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27.60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786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119.47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79D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0.19 </w:t>
            </w:r>
          </w:p>
        </w:tc>
      </w:tr>
      <w:tr w14:paraId="584F0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0C5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E5F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386D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TG013</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5B94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400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9C1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231.17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812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1000.73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156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1.60 </w:t>
            </w:r>
          </w:p>
        </w:tc>
      </w:tr>
      <w:tr w14:paraId="4A0F5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586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BB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C3A1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TG014</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F85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147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1EA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84.85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F76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367.30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E6F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0.59 </w:t>
            </w:r>
          </w:p>
        </w:tc>
      </w:tr>
      <w:tr w14:paraId="64F41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8FF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258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CAD8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TG015</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D9CC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264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320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152.45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0F2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659.94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228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1.06 </w:t>
            </w:r>
          </w:p>
        </w:tc>
      </w:tr>
      <w:tr w14:paraId="05552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9F9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955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3DF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TG016</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4A3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199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DEF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114.73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169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496.66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3E9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0.79 </w:t>
            </w:r>
          </w:p>
        </w:tc>
      </w:tr>
      <w:tr w14:paraId="6AA80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FC9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E11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7C8C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TG017</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E511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196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534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113.04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6354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489.34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48B7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0.78 </w:t>
            </w:r>
          </w:p>
        </w:tc>
      </w:tr>
      <w:tr w14:paraId="0DA4C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DD2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E49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4ADC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TG018</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35A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130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62D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75.01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710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324.73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165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0.52 </w:t>
            </w:r>
          </w:p>
        </w:tc>
      </w:tr>
      <w:tr w14:paraId="50476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37A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482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93E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TG019</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598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151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9E5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87.32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579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378.00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A57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0.60 </w:t>
            </w:r>
          </w:p>
        </w:tc>
      </w:tr>
      <w:tr w14:paraId="68CE4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0A0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E06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756D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TG020</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7546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725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003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418.91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7F4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1813.46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464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2.90 </w:t>
            </w:r>
          </w:p>
        </w:tc>
      </w:tr>
      <w:tr w14:paraId="24B0B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8E8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0EF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978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TG021</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A2A8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372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335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214.81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A6F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929.93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4B0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1.49 </w:t>
            </w:r>
          </w:p>
        </w:tc>
      </w:tr>
      <w:tr w14:paraId="386D5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828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C362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229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TG022</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9AE8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216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35C6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124.77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484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540.13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8E3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0.86 </w:t>
            </w:r>
          </w:p>
        </w:tc>
      </w:tr>
      <w:tr w14:paraId="011FD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AED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F93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E05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TG023</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0D72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322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980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185.75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7C9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804.10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00B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1.29 </w:t>
            </w:r>
          </w:p>
        </w:tc>
      </w:tr>
      <w:tr w14:paraId="556A1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FE1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780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8A3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TG024</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7E5D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250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B8B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144.27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528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624.54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EC6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1.00 </w:t>
            </w:r>
          </w:p>
        </w:tc>
      </w:tr>
      <w:tr w14:paraId="4719F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687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62E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E3D7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TG025</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BA0E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63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479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36.18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034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156.62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BCF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0.25 </w:t>
            </w:r>
          </w:p>
        </w:tc>
      </w:tr>
      <w:tr w14:paraId="66869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484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11B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D6E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TG026</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C623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87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167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50.42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7424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218.28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7C8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0.35 </w:t>
            </w:r>
          </w:p>
        </w:tc>
      </w:tr>
      <w:tr w14:paraId="1557E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7F9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95F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DF28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TG027</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960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47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530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27.14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CAD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117.48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905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0.19 </w:t>
            </w:r>
          </w:p>
        </w:tc>
      </w:tr>
      <w:tr w14:paraId="36AB7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95F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3E0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929B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TG028</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1BA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90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74E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52.18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32C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225.88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533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0.36 </w:t>
            </w:r>
          </w:p>
        </w:tc>
      </w:tr>
      <w:tr w14:paraId="5D9DC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AA1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FEB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0118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TG029</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C8E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107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9C5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61.96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AE2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268.23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1C7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0.43 </w:t>
            </w:r>
          </w:p>
        </w:tc>
      </w:tr>
      <w:tr w14:paraId="3BA47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653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EBB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AC7E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TG030</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7E54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66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C50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38.03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43F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164.61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2A1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0.26 </w:t>
            </w:r>
          </w:p>
        </w:tc>
      </w:tr>
      <w:tr w14:paraId="72087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38A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E94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579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TG031</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E25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161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2A6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93.03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89C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402.74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44E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0.64 </w:t>
            </w:r>
          </w:p>
        </w:tc>
      </w:tr>
      <w:tr w14:paraId="6C1AE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2FB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7A7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CF0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TG032</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4D3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403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91F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232.70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222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1007.37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736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1.61 </w:t>
            </w:r>
          </w:p>
        </w:tc>
      </w:tr>
      <w:tr w14:paraId="4346F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F8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FA9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1B5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TG033</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853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261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6E6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150.60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FB6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651.95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1FE4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1.04 </w:t>
            </w:r>
          </w:p>
        </w:tc>
      </w:tr>
      <w:tr w14:paraId="65FFF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FF7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BB8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2DB2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TG034</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FC84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199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330C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114.67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B1B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496.41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8A6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0.79 </w:t>
            </w:r>
          </w:p>
        </w:tc>
      </w:tr>
      <w:tr w14:paraId="6F381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437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FF3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1AD5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TG035</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044B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80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551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46.19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196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199.97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A1A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0.32 </w:t>
            </w:r>
          </w:p>
        </w:tc>
      </w:tr>
      <w:tr w14:paraId="427D1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491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8BB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3316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TG036</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CB2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161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74B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92.95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196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402.37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8FF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0.64 </w:t>
            </w:r>
          </w:p>
        </w:tc>
      </w:tr>
      <w:tr w14:paraId="301A6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FB4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88F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728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TG037</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B91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149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244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85.78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2A6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371.36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995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0.59 </w:t>
            </w:r>
          </w:p>
        </w:tc>
      </w:tr>
      <w:tr w14:paraId="0388F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C24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22B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122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TG038</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DABD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199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32B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115.16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874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498.52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DF8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0.80 </w:t>
            </w:r>
          </w:p>
        </w:tc>
      </w:tr>
      <w:tr w14:paraId="5EAF2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850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779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163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TG039</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180D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257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E65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148.59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DAE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643.25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ABB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1.03 </w:t>
            </w:r>
          </w:p>
        </w:tc>
      </w:tr>
      <w:tr w14:paraId="4D1FF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565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286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ED8B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TG040</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706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148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4FE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85.74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58B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371.18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ACA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0.59 </w:t>
            </w:r>
          </w:p>
        </w:tc>
      </w:tr>
      <w:tr w14:paraId="232CF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D18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48E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BEC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TG041</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FD8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92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114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53.07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8D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229.74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7E9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0.37 </w:t>
            </w:r>
          </w:p>
        </w:tc>
      </w:tr>
      <w:tr w14:paraId="1B8DD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BE3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2CB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CC68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TG042</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3994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234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4B6C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134.85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2B5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583.76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283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0.93 </w:t>
            </w:r>
          </w:p>
        </w:tc>
      </w:tr>
      <w:tr w14:paraId="012E4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B61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E347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1F5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TG043</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8945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208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45E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120.06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3E7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519.75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962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0.83 </w:t>
            </w:r>
          </w:p>
        </w:tc>
      </w:tr>
      <w:tr w14:paraId="74B09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A88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6AD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2C3C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TG044</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03D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263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6E2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151.73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F0E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656.84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9B1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1.05 </w:t>
            </w:r>
          </w:p>
        </w:tc>
      </w:tr>
      <w:tr w14:paraId="3A59C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85C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2C2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136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TG045</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FEF3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196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648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113.02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5BB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489.27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D55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0.78 </w:t>
            </w:r>
          </w:p>
        </w:tc>
      </w:tr>
      <w:tr w14:paraId="530F0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B02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4194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622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TG046</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8131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244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65D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140.80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E3D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609.51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B77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0.98 </w:t>
            </w:r>
          </w:p>
        </w:tc>
      </w:tr>
      <w:tr w14:paraId="084D6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F48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E62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ECD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TG047</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9159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233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C76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134.39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035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581.79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806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0.93 </w:t>
            </w:r>
          </w:p>
        </w:tc>
      </w:tr>
      <w:tr w14:paraId="38E9C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396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308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44E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TG048</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25A2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117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777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67.58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ADD7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292.57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6D1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0.47 </w:t>
            </w:r>
          </w:p>
        </w:tc>
      </w:tr>
      <w:tr w14:paraId="78AF4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D74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9E2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EFC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TG049</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578D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218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E2C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125.68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956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544.09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B75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0.87 </w:t>
            </w:r>
          </w:p>
        </w:tc>
      </w:tr>
      <w:tr w14:paraId="56FCC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760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27D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27BC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TG050</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6C3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115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69AE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66.56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A2C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288.14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F63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0.46 </w:t>
            </w:r>
          </w:p>
        </w:tc>
      </w:tr>
      <w:tr w14:paraId="230FE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70E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562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30A7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TG051</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B57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56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789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32.30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804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139.82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5A5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0.22 </w:t>
            </w:r>
          </w:p>
        </w:tc>
      </w:tr>
      <w:tr w14:paraId="23051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630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353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08B0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TG052</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AB0E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77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F65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44.29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AEB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191.72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C80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0.31 </w:t>
            </w:r>
          </w:p>
        </w:tc>
      </w:tr>
      <w:tr w14:paraId="2AF41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DA0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A8C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DAA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TG053</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5234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110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54E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63.33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F9C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274.14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764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0.44 </w:t>
            </w:r>
          </w:p>
        </w:tc>
      </w:tr>
      <w:tr w14:paraId="4899D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D32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D51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3078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TG054</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775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329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30F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190.16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3970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823.22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4BE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1.32 </w:t>
            </w:r>
          </w:p>
        </w:tc>
      </w:tr>
      <w:tr w14:paraId="1B810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970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851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66D7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TG055</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79B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172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2D56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99.08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0D6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428.92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773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0.69 </w:t>
            </w:r>
          </w:p>
        </w:tc>
      </w:tr>
      <w:tr w14:paraId="7B53E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923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20E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D94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TG056</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18C3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130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889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75.30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E38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325.97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A75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0.52 </w:t>
            </w:r>
          </w:p>
        </w:tc>
      </w:tr>
      <w:tr w14:paraId="3722E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58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D2092">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合计</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7A746">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11522 </w:t>
            </w:r>
          </w:p>
        </w:tc>
        <w:tc>
          <w:tcPr>
            <w:tcW w:w="10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A45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6653.77 </w:t>
            </w:r>
          </w:p>
        </w:tc>
        <w:tc>
          <w:tcPr>
            <w:tcW w:w="10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AD0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28804.19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64C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 xml:space="preserve">46.09 </w:t>
            </w:r>
          </w:p>
        </w:tc>
      </w:tr>
    </w:tbl>
    <w:p w14:paraId="7E80653C">
      <w:pPr>
        <w:rPr>
          <w:rFonts w:hint="default" w:ascii="Times New Roman" w:hAnsi="Times New Roman" w:eastAsia="宋体" w:cs="Times New Roman"/>
          <w:smallCaps w:val="0"/>
          <w:color w:val="auto"/>
          <w:spacing w:val="0"/>
          <w:w w:val="100"/>
          <w:highlight w:val="none"/>
          <w:lang w:eastAsia="zh-CN"/>
        </w:rPr>
        <w:sectPr>
          <w:headerReference r:id="rId14" w:type="default"/>
          <w:footerReference r:id="rId15" w:type="default"/>
          <w:pgSz w:w="11900" w:h="16840"/>
          <w:pgMar w:top="1134" w:right="1418" w:bottom="1134" w:left="1588" w:header="862" w:footer="1214" w:gutter="0"/>
          <w:pgBorders>
            <w:top w:val="none" w:sz="0" w:space="0"/>
            <w:left w:val="none" w:sz="0" w:space="0"/>
            <w:bottom w:val="none" w:sz="0" w:space="0"/>
            <w:right w:val="none" w:sz="0" w:space="0"/>
          </w:pgBorders>
          <w:pgNumType w:fmt="numberInDash"/>
          <w:cols w:space="720" w:num="1"/>
        </w:sectPr>
      </w:pPr>
    </w:p>
    <w:p w14:paraId="358E8F76">
      <w:pPr>
        <w:kinsoku/>
        <w:spacing w:before="91" w:line="219" w:lineRule="auto"/>
        <w:ind w:left="150"/>
        <w:jc w:val="center"/>
        <w:rPr>
          <w:rFonts w:hint="default" w:ascii="Times New Roman" w:hAnsi="Times New Roman" w:eastAsia="宋体" w:cs="Times New Roman"/>
          <w:b/>
          <w:bCs/>
          <w:smallCaps w:val="0"/>
          <w:color w:val="auto"/>
          <w:spacing w:val="0"/>
          <w:w w:val="100"/>
          <w:sz w:val="30"/>
          <w:szCs w:val="30"/>
          <w:highlight w:val="none"/>
          <w:lang w:eastAsia="zh-CN"/>
        </w:rPr>
      </w:pPr>
      <w:r>
        <w:rPr>
          <w:rFonts w:hint="eastAsia" w:ascii="Times New Roman" w:hAnsi="Times New Roman" w:eastAsia="宋体" w:cs="Times New Roman"/>
          <w:b/>
          <w:bCs/>
          <w:smallCaps w:val="0"/>
          <w:color w:val="auto"/>
          <w:spacing w:val="0"/>
          <w:w w:val="100"/>
          <w:sz w:val="30"/>
          <w:szCs w:val="30"/>
          <w:highlight w:val="none"/>
          <w:lang w:eastAsia="zh-CN"/>
        </w:rPr>
        <w:t>甘孜县2026年财政转移支付资金高标准农田建设项目（新建）</w:t>
      </w:r>
      <w:r>
        <w:rPr>
          <w:rFonts w:hint="default" w:ascii="Times New Roman" w:hAnsi="Times New Roman" w:eastAsia="宋体" w:cs="Times New Roman"/>
          <w:b/>
          <w:bCs/>
          <w:smallCaps w:val="0"/>
          <w:color w:val="auto"/>
          <w:spacing w:val="0"/>
          <w:w w:val="100"/>
          <w:sz w:val="30"/>
          <w:szCs w:val="30"/>
          <w:highlight w:val="none"/>
          <w:lang w:eastAsia="zh-CN"/>
        </w:rPr>
        <w:t>－-土地平整工程量</w:t>
      </w:r>
    </w:p>
    <w:p w14:paraId="0D76C5D4">
      <w:pPr>
        <w:kinsoku/>
        <w:spacing w:before="91" w:line="219" w:lineRule="auto"/>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表5.4.1-1</w:t>
      </w:r>
    </w:p>
    <w:tbl>
      <w:tblPr>
        <w:tblStyle w:val="18"/>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87"/>
        <w:gridCol w:w="1587"/>
        <w:gridCol w:w="1588"/>
        <w:gridCol w:w="1695"/>
        <w:gridCol w:w="3103"/>
        <w:gridCol w:w="2527"/>
        <w:gridCol w:w="2527"/>
        <w:gridCol w:w="4081"/>
        <w:gridCol w:w="2638"/>
      </w:tblGrid>
      <w:tr w14:paraId="332A3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63BD03">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权属</w:t>
            </w:r>
          </w:p>
        </w:tc>
        <w:tc>
          <w:tcPr>
            <w:tcW w:w="3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4567A1">
            <w:pPr>
              <w:pStyle w:val="71"/>
              <w:bidi w:val="0"/>
              <w:rPr>
                <w:rFonts w:hint="default" w:ascii="Times New Roman" w:hAnsi="Times New Roman" w:cs="Times New Roman"/>
                <w:color w:val="auto"/>
                <w:highlight w:val="none"/>
              </w:rPr>
            </w:pPr>
          </w:p>
        </w:tc>
        <w:tc>
          <w:tcPr>
            <w:tcW w:w="3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9AA0A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地类</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76C69F">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编号</w:t>
            </w:r>
          </w:p>
        </w:tc>
        <w:tc>
          <w:tcPr>
            <w:tcW w:w="7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2133E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面积（亩）</w:t>
            </w:r>
          </w:p>
        </w:tc>
        <w:tc>
          <w:tcPr>
            <w:tcW w:w="59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C30B3B">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表土剥离（m3）</w:t>
            </w:r>
          </w:p>
        </w:tc>
        <w:tc>
          <w:tcPr>
            <w:tcW w:w="59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25F6B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表土回填（m3）</w:t>
            </w:r>
          </w:p>
        </w:tc>
        <w:tc>
          <w:tcPr>
            <w:tcW w:w="95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E0094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土方开挖回填（m3）</w:t>
            </w:r>
          </w:p>
        </w:tc>
        <w:tc>
          <w:tcPr>
            <w:tcW w:w="6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9A765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下田坡道（处）</w:t>
            </w:r>
          </w:p>
        </w:tc>
      </w:tr>
      <w:tr w14:paraId="2A352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FE49AB">
            <w:pPr>
              <w:pStyle w:val="71"/>
              <w:bidi w:val="0"/>
              <w:rPr>
                <w:rFonts w:hint="default" w:ascii="Times New Roman" w:hAnsi="Times New Roman" w:cs="Times New Roman"/>
                <w:color w:val="auto"/>
                <w:highlight w:val="none"/>
              </w:rPr>
            </w:pPr>
          </w:p>
        </w:tc>
        <w:tc>
          <w:tcPr>
            <w:tcW w:w="3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96F45E">
            <w:pPr>
              <w:pStyle w:val="71"/>
              <w:bidi w:val="0"/>
              <w:rPr>
                <w:rFonts w:hint="default" w:ascii="Times New Roman" w:hAnsi="Times New Roman" w:cs="Times New Roman"/>
                <w:color w:val="auto"/>
                <w:highlight w:val="none"/>
              </w:rPr>
            </w:pPr>
          </w:p>
        </w:tc>
        <w:tc>
          <w:tcPr>
            <w:tcW w:w="3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680941">
            <w:pPr>
              <w:pStyle w:val="71"/>
              <w:bidi w:val="0"/>
              <w:rPr>
                <w:rFonts w:hint="default" w:ascii="Times New Roman" w:hAnsi="Times New Roman" w:cs="Times New Roman"/>
                <w:color w:val="auto"/>
                <w:highlight w:val="none"/>
              </w:rPr>
            </w:pP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BE9061">
            <w:pPr>
              <w:pStyle w:val="71"/>
              <w:bidi w:val="0"/>
              <w:rPr>
                <w:rFonts w:hint="default" w:ascii="Times New Roman" w:hAnsi="Times New Roman" w:cs="Times New Roman"/>
                <w:color w:val="auto"/>
                <w:highlight w:val="none"/>
              </w:rPr>
            </w:pPr>
          </w:p>
        </w:tc>
        <w:tc>
          <w:tcPr>
            <w:tcW w:w="7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D921A9">
            <w:pPr>
              <w:pStyle w:val="71"/>
              <w:bidi w:val="0"/>
              <w:rPr>
                <w:rFonts w:hint="default" w:ascii="Times New Roman" w:hAnsi="Times New Roman" w:cs="Times New Roman"/>
                <w:color w:val="auto"/>
                <w:highlight w:val="none"/>
              </w:rPr>
            </w:pPr>
          </w:p>
        </w:tc>
        <w:tc>
          <w:tcPr>
            <w:tcW w:w="5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EF1C54">
            <w:pPr>
              <w:pStyle w:val="71"/>
              <w:bidi w:val="0"/>
              <w:rPr>
                <w:rFonts w:hint="default" w:ascii="Times New Roman" w:hAnsi="Times New Roman" w:cs="Times New Roman"/>
                <w:color w:val="auto"/>
                <w:highlight w:val="none"/>
              </w:rPr>
            </w:pPr>
          </w:p>
        </w:tc>
        <w:tc>
          <w:tcPr>
            <w:tcW w:w="5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E27303">
            <w:pPr>
              <w:pStyle w:val="71"/>
              <w:bidi w:val="0"/>
              <w:rPr>
                <w:rFonts w:hint="default" w:ascii="Times New Roman" w:hAnsi="Times New Roman" w:cs="Times New Roman"/>
                <w:color w:val="auto"/>
                <w:highlight w:val="none"/>
              </w:rPr>
            </w:pPr>
          </w:p>
        </w:tc>
        <w:tc>
          <w:tcPr>
            <w:tcW w:w="95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C33F8B">
            <w:pPr>
              <w:pStyle w:val="71"/>
              <w:bidi w:val="0"/>
              <w:rPr>
                <w:rFonts w:hint="default" w:ascii="Times New Roman" w:hAnsi="Times New Roman" w:cs="Times New Roman"/>
                <w:color w:val="auto"/>
                <w:highlight w:val="none"/>
              </w:rPr>
            </w:pPr>
          </w:p>
        </w:tc>
        <w:tc>
          <w:tcPr>
            <w:tcW w:w="6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86125B">
            <w:pPr>
              <w:pStyle w:val="71"/>
              <w:bidi w:val="0"/>
              <w:rPr>
                <w:rFonts w:hint="default" w:ascii="Times New Roman" w:hAnsi="Times New Roman" w:cs="Times New Roman"/>
                <w:color w:val="auto"/>
                <w:highlight w:val="none"/>
              </w:rPr>
            </w:pPr>
          </w:p>
        </w:tc>
      </w:tr>
      <w:tr w14:paraId="22B78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A160D">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EB0DD">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4634F">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F718A">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2026TP01</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4B8DF">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8.41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47D9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1401.67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2876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1401.67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B8C59">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2242.68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C4AF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2 </w:t>
            </w:r>
          </w:p>
        </w:tc>
      </w:tr>
      <w:tr w14:paraId="27686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6CF8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86C27">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B918C">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2D94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2026TP02</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353ED">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34.29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B616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5715.03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01CBF">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5715.03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06A0E">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9144.05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172A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10 </w:t>
            </w:r>
          </w:p>
        </w:tc>
      </w:tr>
      <w:tr w14:paraId="56B46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2DA8C">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253A3">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81E5F">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90EC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2026TP03</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7C82B">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70.32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40F31">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11720.06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084E4">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11720.06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1246F">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18752.09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EABE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18 </w:t>
            </w:r>
          </w:p>
        </w:tc>
      </w:tr>
      <w:tr w14:paraId="30754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1A0C3">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16B1E">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D7FAA">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50EF9">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2026TP04</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FB663">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11.42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C5E3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1903.34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05CF2">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1903.34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0175E">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3045.35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BDDAD">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3 </w:t>
            </w:r>
          </w:p>
        </w:tc>
      </w:tr>
      <w:tr w14:paraId="7A640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5F66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F4F7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EAB3C">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D356C">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2026TP05</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71F6C">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6.42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6CA0D">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1070.01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B4894">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1070.01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7750D">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1712.01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7ABD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 </w:t>
            </w:r>
          </w:p>
        </w:tc>
      </w:tr>
      <w:tr w14:paraId="4B2BB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869BA">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0661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5488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B9CF3">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2026TP06</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12FC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68.58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9716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11430.06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0704D">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11430.06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69637">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18288.09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FA5D7">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17 </w:t>
            </w:r>
          </w:p>
        </w:tc>
      </w:tr>
      <w:tr w14:paraId="1A1E7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4E191">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A786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76ECF">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42C9C">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2026TP07</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2507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8.09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2B53C">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1348.34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4235F">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1348.34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D4D5A">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2157.34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D392A">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2 </w:t>
            </w:r>
          </w:p>
        </w:tc>
      </w:tr>
      <w:tr w14:paraId="314E3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BBA57">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DB974">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9C3FB">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657D4">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2026TP08</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B1B7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30.24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CE5BC">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5040.03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7F9FE">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5040.03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450A4">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8064.04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CA34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9 </w:t>
            </w:r>
          </w:p>
        </w:tc>
      </w:tr>
      <w:tr w14:paraId="25C27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B67F1">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3BD8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8E84A">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CA04D">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2026TP09</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EB85B">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52.41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06AF4">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8735.04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5C31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8735.04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DF8FC">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13976.07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0B19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14 </w:t>
            </w:r>
          </w:p>
        </w:tc>
      </w:tr>
      <w:tr w14:paraId="3F3A2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C5FD3">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DA4C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F05D9">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3AF23">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2026TP10</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1FEE3">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43.64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2ED7C">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7273.37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D470E">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7273.37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E6253">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11637.39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32461">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14 </w:t>
            </w:r>
          </w:p>
        </w:tc>
      </w:tr>
      <w:tr w14:paraId="712C1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81282">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BDC8B">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C1EAF">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BD15A">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2026TP11</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66FDB">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10.89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146A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1815.01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75D8A">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1815.01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8D39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2904.01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DD4272">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3 </w:t>
            </w:r>
          </w:p>
        </w:tc>
      </w:tr>
      <w:tr w14:paraId="7367A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1E609">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FBDED">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B7819">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675E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2026TP12</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FF43A">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5.97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F9C9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995.00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5421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995.00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B0DD7">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1592.01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F81A1">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 </w:t>
            </w:r>
          </w:p>
        </w:tc>
      </w:tr>
      <w:tr w14:paraId="3CB78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C4E11">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2BEE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537F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DBB47">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2026TP13</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0AE07">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51.73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F1A5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8621.71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1CB89">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8621.71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EBF1A">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13794.74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C3FEB">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15 </w:t>
            </w:r>
          </w:p>
        </w:tc>
      </w:tr>
      <w:tr w14:paraId="7F2B0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7CAF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B3371">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E42FB">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3E1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2026TP14</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5A2E9">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5.26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5039C">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876.67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E8279">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876.67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EB76A">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1402.67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89B4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 </w:t>
            </w:r>
          </w:p>
        </w:tc>
      </w:tr>
      <w:tr w14:paraId="0830D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7E25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甘孜镇</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3749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霍古都村</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8EECE">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旱地</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4902B">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2026TP15</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A28B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6.03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CC80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1005.01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573B2">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1005.01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74D0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1608.01 </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FB12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 </w:t>
            </w:r>
          </w:p>
        </w:tc>
      </w:tr>
      <w:tr w14:paraId="7DBC9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13"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92F34">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合计</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13B6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413.70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DB61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68950.34 </w:t>
            </w:r>
          </w:p>
        </w:tc>
        <w:tc>
          <w:tcPr>
            <w:tcW w:w="5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E1CDF">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68950.34 </w:t>
            </w:r>
          </w:p>
        </w:tc>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A3D1B">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110320.55 </w:t>
            </w:r>
          </w:p>
        </w:tc>
        <w:tc>
          <w:tcPr>
            <w:tcW w:w="6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BAA5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111.00 </w:t>
            </w:r>
          </w:p>
        </w:tc>
      </w:tr>
    </w:tbl>
    <w:p w14:paraId="2874DD31">
      <w:pPr>
        <w:kinsoku/>
        <w:spacing w:line="560" w:lineRule="exact"/>
        <w:rPr>
          <w:rFonts w:hint="default" w:ascii="Times New Roman" w:hAnsi="Times New Roman" w:eastAsia="宋体" w:cs="Times New Roman"/>
          <w:smallCaps w:val="0"/>
          <w:color w:val="auto"/>
          <w:spacing w:val="0"/>
          <w:w w:val="100"/>
          <w:highlight w:val="none"/>
          <w:lang w:eastAsia="zh-CN"/>
        </w:rPr>
      </w:pPr>
    </w:p>
    <w:tbl>
      <w:tblPr>
        <w:tblStyle w:val="18"/>
        <w:tblW w:w="494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006"/>
        <w:gridCol w:w="6010"/>
        <w:gridCol w:w="9103"/>
      </w:tblGrid>
      <w:tr w14:paraId="6B819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5000" w:type="pct"/>
            <w:gridSpan w:val="3"/>
            <w:tcBorders>
              <w:top w:val="nil"/>
              <w:left w:val="nil"/>
              <w:bottom w:val="nil"/>
              <w:right w:val="nil"/>
            </w:tcBorders>
            <w:shd w:val="clear" w:color="auto" w:fill="auto"/>
            <w:noWrap/>
            <w:vAlign w:val="center"/>
          </w:tcPr>
          <w:p w14:paraId="307EEBFE">
            <w:pPr>
              <w:keepNext w:val="0"/>
              <w:keepLines w:val="0"/>
              <w:widowControl/>
              <w:suppressLineNumbers w:val="0"/>
              <w:jc w:val="center"/>
              <w:textAlignment w:val="center"/>
              <w:rPr>
                <w:rFonts w:hint="default" w:ascii="Times New Roman" w:hAnsi="Times New Roman" w:eastAsia="宋体" w:cs="Times New Roman"/>
                <w:b/>
                <w:bCs/>
                <w:i w:val="0"/>
                <w:iCs w:val="0"/>
                <w:color w:val="auto"/>
                <w:sz w:val="32"/>
                <w:szCs w:val="32"/>
                <w:highlight w:val="none"/>
                <w:u w:val="none"/>
              </w:rPr>
            </w:pPr>
            <w:r>
              <w:rPr>
                <w:rFonts w:hint="default" w:ascii="Times New Roman" w:hAnsi="Times New Roman" w:eastAsia="宋体" w:cs="Times New Roman"/>
                <w:b/>
                <w:bCs/>
                <w:i w:val="0"/>
                <w:iCs w:val="0"/>
                <w:snapToGrid w:val="0"/>
                <w:color w:val="auto"/>
                <w:kern w:val="0"/>
                <w:sz w:val="32"/>
                <w:szCs w:val="32"/>
                <w:highlight w:val="none"/>
                <w:u w:val="none"/>
                <w:lang w:val="en-US" w:eastAsia="zh-CN" w:bidi="ar"/>
              </w:rPr>
              <w:t>捡石工程数量表</w:t>
            </w:r>
          </w:p>
        </w:tc>
      </w:tr>
      <w:tr w14:paraId="5DDE3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284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9DF8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权属</w:t>
            </w:r>
          </w:p>
        </w:tc>
        <w:tc>
          <w:tcPr>
            <w:tcW w:w="21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0780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面积（亩）</w:t>
            </w:r>
          </w:p>
        </w:tc>
      </w:tr>
      <w:tr w14:paraId="3E186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7782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来马镇</w:t>
            </w:r>
          </w:p>
        </w:tc>
        <w:tc>
          <w:tcPr>
            <w:tcW w:w="1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578C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夺日村</w:t>
            </w:r>
          </w:p>
        </w:tc>
        <w:tc>
          <w:tcPr>
            <w:tcW w:w="21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B7AB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lang w:val="en-US"/>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313</w:t>
            </w:r>
          </w:p>
        </w:tc>
      </w:tr>
      <w:tr w14:paraId="49622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8A29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来马镇</w:t>
            </w:r>
          </w:p>
        </w:tc>
        <w:tc>
          <w:tcPr>
            <w:tcW w:w="1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968B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格通村</w:t>
            </w:r>
          </w:p>
        </w:tc>
        <w:tc>
          <w:tcPr>
            <w:tcW w:w="21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56200">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lang w:val="en-US" w:eastAsia="zh-CN"/>
              </w:rPr>
            </w:pPr>
            <w:r>
              <w:rPr>
                <w:rFonts w:hint="default" w:ascii="Times New Roman" w:hAnsi="Times New Roman" w:eastAsia="宋体" w:cs="Times New Roman"/>
                <w:i w:val="0"/>
                <w:iCs w:val="0"/>
                <w:color w:val="auto"/>
                <w:sz w:val="24"/>
                <w:szCs w:val="24"/>
                <w:highlight w:val="none"/>
                <w:u w:val="none"/>
                <w:lang w:val="en-US" w:eastAsia="zh-CN"/>
              </w:rPr>
              <w:t>632</w:t>
            </w:r>
          </w:p>
        </w:tc>
      </w:tr>
      <w:tr w14:paraId="01F46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7B38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来马镇</w:t>
            </w:r>
          </w:p>
        </w:tc>
        <w:tc>
          <w:tcPr>
            <w:tcW w:w="1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F541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里拉村</w:t>
            </w:r>
          </w:p>
        </w:tc>
        <w:tc>
          <w:tcPr>
            <w:tcW w:w="21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7C86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lang w:val="en-US"/>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156</w:t>
            </w:r>
          </w:p>
        </w:tc>
      </w:tr>
      <w:tr w14:paraId="00D65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284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4823C">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highlight w:val="none"/>
                <w:u w:val="none"/>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合计</w:t>
            </w:r>
          </w:p>
        </w:tc>
        <w:tc>
          <w:tcPr>
            <w:tcW w:w="21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12842">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highlight w:val="none"/>
                <w:u w:val="none"/>
                <w:lang w:val="en-US"/>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1101</w:t>
            </w:r>
          </w:p>
        </w:tc>
      </w:tr>
    </w:tbl>
    <w:p w14:paraId="19FDE322">
      <w:pPr>
        <w:pStyle w:val="17"/>
        <w:rPr>
          <w:rFonts w:hint="default" w:ascii="Times New Roman" w:hAnsi="Times New Roman" w:eastAsia="宋体" w:cs="Times New Roman"/>
          <w:smallCaps w:val="0"/>
          <w:color w:val="auto"/>
          <w:spacing w:val="0"/>
          <w:w w:val="100"/>
          <w:highlight w:val="none"/>
          <w:lang w:eastAsia="zh-CN"/>
        </w:rPr>
        <w:sectPr>
          <w:headerReference r:id="rId16" w:type="default"/>
          <w:footerReference r:id="rId17" w:type="default"/>
          <w:pgSz w:w="23247" w:h="16840"/>
          <w:pgMar w:top="1134" w:right="850" w:bottom="1134" w:left="1276" w:header="856" w:footer="1213" w:gutter="0"/>
          <w:pgBorders>
            <w:top w:val="none" w:sz="0" w:space="0"/>
            <w:left w:val="none" w:sz="0" w:space="0"/>
            <w:bottom w:val="none" w:sz="0" w:space="0"/>
            <w:right w:val="none" w:sz="0" w:space="0"/>
          </w:pgBorders>
          <w:pgNumType w:fmt="numberInDash"/>
          <w:cols w:space="720" w:num="1"/>
        </w:sectPr>
      </w:pPr>
    </w:p>
    <w:p w14:paraId="3E75DE53">
      <w:pPr>
        <w:pStyle w:val="4"/>
        <w:spacing w:before="0" w:after="0" w:line="560" w:lineRule="exact"/>
        <w:outlineLvl w:val="2"/>
        <w:rPr>
          <w:rFonts w:hint="default" w:ascii="Times New Roman" w:hAnsi="Times New Roman" w:eastAsia="宋体" w:cs="Times New Roman"/>
          <w:smallCaps w:val="0"/>
          <w:color w:val="auto"/>
          <w:spacing w:val="0"/>
          <w:w w:val="100"/>
          <w:highlight w:val="none"/>
        </w:rPr>
      </w:pPr>
      <w:bookmarkStart w:id="177" w:name="_Toc11367"/>
      <w:bookmarkStart w:id="178" w:name="_Toc24972"/>
      <w:r>
        <w:rPr>
          <w:rFonts w:hint="default" w:ascii="Times New Roman" w:hAnsi="Times New Roman" w:eastAsia="宋体" w:cs="Times New Roman"/>
          <w:smallCaps w:val="0"/>
          <w:color w:val="auto"/>
          <w:spacing w:val="0"/>
          <w:w w:val="100"/>
          <w:highlight w:val="none"/>
        </w:rPr>
        <w:t>5.4.2 土壤改良</w:t>
      </w:r>
      <w:bookmarkEnd w:id="177"/>
      <w:bookmarkEnd w:id="178"/>
    </w:p>
    <w:p w14:paraId="353B0D2E">
      <w:pPr>
        <w:pStyle w:val="5"/>
        <w:spacing w:before="0" w:after="0" w:line="560" w:lineRule="exact"/>
        <w:outlineLvl w:val="3"/>
        <w:rPr>
          <w:rFonts w:hint="default" w:ascii="Times New Roman" w:hAnsi="Times New Roman" w:eastAsia="宋体" w:cs="Times New Roman"/>
          <w:smallCaps w:val="0"/>
          <w:color w:val="auto"/>
          <w:spacing w:val="0"/>
          <w:w w:val="100"/>
          <w:highlight w:val="none"/>
          <w:lang w:eastAsia="zh-CN"/>
        </w:rPr>
      </w:pPr>
      <w:bookmarkStart w:id="179" w:name="_Toc22471"/>
      <w:r>
        <w:rPr>
          <w:rFonts w:hint="default" w:ascii="Times New Roman" w:hAnsi="Times New Roman" w:eastAsia="宋体" w:cs="Times New Roman"/>
          <w:smallCaps w:val="0"/>
          <w:color w:val="auto"/>
          <w:spacing w:val="0"/>
          <w:w w:val="100"/>
          <w:highlight w:val="none"/>
          <w:lang w:eastAsia="zh-CN"/>
        </w:rPr>
        <w:t>5.4.2.1设计原则</w:t>
      </w:r>
      <w:bookmarkEnd w:id="179"/>
    </w:p>
    <w:p w14:paraId="595C158C">
      <w:pPr>
        <w:kinsoku/>
        <w:spacing w:line="560" w:lineRule="exact"/>
        <w:ind w:left="40" w:right="62" w:firstLine="602"/>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项目建设本着科学的、经济的、先进的、完整的、有效的技术措施和实施细则。</w:t>
      </w:r>
    </w:p>
    <w:p w14:paraId="31CFBE63">
      <w:pPr>
        <w:kinsoku/>
        <w:spacing w:line="560" w:lineRule="exact"/>
        <w:ind w:left="40" w:right="62" w:firstLine="602"/>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根据甘孜县农牧农村和科技局土壤检测结果，项目区土壤有机质含量为中等－高含量型，但由于项目区田块整治区域表土剥离、覆盖施工，对土壤有机质扰动较大。</w:t>
      </w:r>
    </w:p>
    <w:p w14:paraId="0CEE7EBC">
      <w:pPr>
        <w:pStyle w:val="5"/>
        <w:spacing w:before="0" w:after="0" w:line="560" w:lineRule="exact"/>
        <w:outlineLvl w:val="3"/>
        <w:rPr>
          <w:rFonts w:hint="default" w:ascii="Times New Roman" w:hAnsi="Times New Roman" w:eastAsia="宋体" w:cs="Times New Roman"/>
          <w:smallCaps w:val="0"/>
          <w:color w:val="auto"/>
          <w:spacing w:val="0"/>
          <w:w w:val="100"/>
          <w:highlight w:val="none"/>
          <w:lang w:eastAsia="zh-CN"/>
        </w:rPr>
      </w:pPr>
      <w:bookmarkStart w:id="180" w:name="_Toc1573"/>
      <w:r>
        <w:rPr>
          <w:rFonts w:hint="default" w:ascii="Times New Roman" w:hAnsi="Times New Roman" w:eastAsia="宋体" w:cs="Times New Roman"/>
          <w:smallCaps w:val="0"/>
          <w:color w:val="auto"/>
          <w:spacing w:val="0"/>
          <w:w w:val="100"/>
          <w:highlight w:val="none"/>
          <w:lang w:eastAsia="zh-CN"/>
        </w:rPr>
        <w:t>5.4.2.2现状分析</w:t>
      </w:r>
      <w:bookmarkEnd w:id="180"/>
    </w:p>
    <w:p w14:paraId="08F4901C">
      <w:pPr>
        <w:kinsoku/>
        <w:spacing w:before="268" w:line="380" w:lineRule="auto"/>
        <w:ind w:left="40" w:right="62" w:firstLine="602"/>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经调查发现，土壤类型主要为山地褐土、暗棕壤</w:t>
      </w:r>
      <w:r>
        <w:rPr>
          <w:rFonts w:hint="eastAsia" w:ascii="Times New Roman" w:hAnsi="Times New Roman" w:eastAsia="宋体" w:cs="Times New Roman"/>
          <w:smallCaps w:val="0"/>
          <w:color w:val="auto"/>
          <w:spacing w:val="0"/>
          <w:w w:val="100"/>
          <w:sz w:val="30"/>
          <w:szCs w:val="30"/>
          <w:highlight w:val="none"/>
          <w:lang w:eastAsia="zh-CN"/>
        </w:rPr>
        <w:t>等</w:t>
      </w:r>
      <w:r>
        <w:rPr>
          <w:rFonts w:hint="default" w:ascii="Times New Roman" w:hAnsi="Times New Roman" w:eastAsia="宋体" w:cs="Times New Roman"/>
          <w:smallCaps w:val="0"/>
          <w:color w:val="auto"/>
          <w:spacing w:val="0"/>
          <w:w w:val="100"/>
          <w:sz w:val="30"/>
          <w:szCs w:val="30"/>
          <w:highlight w:val="none"/>
          <w:lang w:eastAsia="zh-CN"/>
        </w:rPr>
        <w:t>，保水保肥能力较差，导致土壤结构发生变化，土壤有机质偏低，肥力下降，土壤有机质低于18%，肥力不均，严重影响项目区的农作物的生长，因此本次计划安排土壤改良措施，主要为地力培肥。计划对</w:t>
      </w:r>
      <w:r>
        <w:rPr>
          <w:rFonts w:hint="eastAsia" w:ascii="Times New Roman" w:hAnsi="Times New Roman" w:eastAsia="宋体" w:cs="Times New Roman"/>
          <w:smallCaps w:val="0"/>
          <w:color w:val="auto"/>
          <w:spacing w:val="0"/>
          <w:w w:val="100"/>
          <w:sz w:val="30"/>
          <w:szCs w:val="30"/>
          <w:highlight w:val="none"/>
          <w:lang w:val="en-US" w:eastAsia="zh-CN"/>
        </w:rPr>
        <w:t>项目区耕地</w:t>
      </w:r>
      <w:r>
        <w:rPr>
          <w:rFonts w:hint="default" w:ascii="Times New Roman" w:hAnsi="Times New Roman" w:eastAsia="宋体" w:cs="Times New Roman"/>
          <w:smallCaps w:val="0"/>
          <w:color w:val="auto"/>
          <w:spacing w:val="0"/>
          <w:w w:val="100"/>
          <w:sz w:val="30"/>
          <w:szCs w:val="30"/>
          <w:highlight w:val="none"/>
          <w:lang w:eastAsia="zh-CN"/>
        </w:rPr>
        <w:t>进行地力培肥，提高农田基础地力和农业生产能力，保障粮食增产增收。</w:t>
      </w:r>
    </w:p>
    <w:p w14:paraId="5CB02651">
      <w:pPr>
        <w:pStyle w:val="5"/>
        <w:spacing w:before="0" w:after="0" w:line="560" w:lineRule="exact"/>
        <w:outlineLvl w:val="3"/>
        <w:rPr>
          <w:rFonts w:hint="default" w:ascii="Times New Roman" w:hAnsi="Times New Roman" w:eastAsia="宋体" w:cs="Times New Roman"/>
          <w:smallCaps w:val="0"/>
          <w:color w:val="auto"/>
          <w:spacing w:val="0"/>
          <w:w w:val="100"/>
          <w:highlight w:val="none"/>
          <w:lang w:val="en-US" w:eastAsia="zh-CN"/>
        </w:rPr>
      </w:pPr>
      <w:r>
        <w:rPr>
          <w:rFonts w:hint="default" w:ascii="Times New Roman" w:hAnsi="Times New Roman" w:eastAsia="宋体" w:cs="Times New Roman"/>
          <w:smallCaps w:val="0"/>
          <w:color w:val="auto"/>
          <w:spacing w:val="0"/>
          <w:w w:val="100"/>
          <w:highlight w:val="none"/>
          <w:lang w:eastAsia="zh-CN"/>
        </w:rPr>
        <w:t>5.4.2.</w:t>
      </w:r>
      <w:r>
        <w:rPr>
          <w:rFonts w:hint="default" w:ascii="Times New Roman" w:hAnsi="Times New Roman" w:eastAsia="宋体" w:cs="Times New Roman"/>
          <w:smallCaps w:val="0"/>
          <w:color w:val="auto"/>
          <w:spacing w:val="0"/>
          <w:w w:val="100"/>
          <w:highlight w:val="none"/>
          <w:lang w:val="en-US" w:eastAsia="zh-CN"/>
        </w:rPr>
        <w:t>3土壤改良设计</w:t>
      </w:r>
    </w:p>
    <w:p w14:paraId="7BDFAF85">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有机肥料是指既含有作物所需的营养元素，又含有微生物的制品，是生物、有机的结合体它可以代替化肥，提供农作物生长发育所需的各类营养元素。为保证土壤有机质含量，</w:t>
      </w:r>
      <w:r>
        <w:rPr>
          <w:rFonts w:hint="default" w:ascii="Times New Roman" w:hAnsi="Times New Roman" w:eastAsia="宋体" w:cs="Times New Roman"/>
          <w:smallCaps w:val="0"/>
          <w:color w:val="auto"/>
          <w:spacing w:val="0"/>
          <w:w w:val="100"/>
          <w:sz w:val="30"/>
          <w:szCs w:val="30"/>
          <w:highlight w:val="none"/>
          <w:lang w:val="en-US" w:eastAsia="zh-CN"/>
        </w:rPr>
        <w:t>本次采用商品有机肥</w:t>
      </w:r>
      <w:r>
        <w:rPr>
          <w:rFonts w:hint="eastAsia" w:ascii="Times New Roman" w:hAnsi="Times New Roman" w:eastAsia="宋体" w:cs="Times New Roman"/>
          <w:smallCaps w:val="0"/>
          <w:color w:val="auto"/>
          <w:spacing w:val="0"/>
          <w:w w:val="100"/>
          <w:sz w:val="30"/>
          <w:szCs w:val="30"/>
          <w:highlight w:val="none"/>
          <w:lang w:val="en-US" w:eastAsia="zh-CN"/>
        </w:rPr>
        <w:t>及</w:t>
      </w:r>
      <w:r>
        <w:rPr>
          <w:rFonts w:hint="default" w:ascii="Times New Roman" w:hAnsi="Times New Roman" w:eastAsia="宋体" w:cs="Times New Roman"/>
          <w:smallCaps w:val="0"/>
          <w:color w:val="auto"/>
          <w:spacing w:val="0"/>
          <w:w w:val="100"/>
          <w:sz w:val="30"/>
          <w:szCs w:val="30"/>
          <w:highlight w:val="none"/>
          <w:lang w:eastAsia="zh-CN"/>
        </w:rPr>
        <w:t>有机-无机复混肥</w:t>
      </w:r>
      <w:r>
        <w:rPr>
          <w:rFonts w:hint="default"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eastAsia="zh-CN"/>
        </w:rPr>
        <w:t>按照《有机肥料》（NY/T525-2021）标准，产品规格：有机质&gt;30%，水分S30%，酸碱度5.5-8.5，有效期＞6月。</w:t>
      </w:r>
      <w:r>
        <w:rPr>
          <w:rFonts w:hint="default" w:ascii="Times New Roman" w:hAnsi="Times New Roman" w:eastAsia="宋体" w:cs="Times New Roman"/>
          <w:smallCaps w:val="0"/>
          <w:color w:val="auto"/>
          <w:spacing w:val="0"/>
          <w:w w:val="100"/>
          <w:sz w:val="30"/>
          <w:szCs w:val="30"/>
          <w:highlight w:val="none"/>
          <w:lang w:val="en-US" w:eastAsia="zh-CN"/>
        </w:rPr>
        <w:t>有机-无机复混肥I型执行GB/T 18877-2020《有机无机复混肥料》</w:t>
      </w:r>
      <w:r>
        <w:rPr>
          <w:rFonts w:hint="eastAsia" w:ascii="Times New Roman" w:hAnsi="Times New Roman" w:eastAsia="宋体" w:cs="Times New Roman"/>
          <w:smallCaps w:val="0"/>
          <w:color w:val="auto"/>
          <w:spacing w:val="0"/>
          <w:w w:val="100"/>
          <w:sz w:val="30"/>
          <w:szCs w:val="30"/>
          <w:highlight w:val="none"/>
          <w:lang w:val="en-US" w:eastAsia="zh-CN"/>
        </w:rPr>
        <w:t>。</w:t>
      </w:r>
    </w:p>
    <w:p w14:paraId="09AC3FA5">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本次</w:t>
      </w:r>
      <w:r>
        <w:rPr>
          <w:rFonts w:hint="default" w:ascii="Times New Roman" w:hAnsi="Times New Roman" w:eastAsia="宋体" w:cs="Times New Roman"/>
          <w:smallCaps w:val="0"/>
          <w:color w:val="auto"/>
          <w:spacing w:val="0"/>
          <w:w w:val="100"/>
          <w:sz w:val="30"/>
          <w:szCs w:val="30"/>
          <w:highlight w:val="none"/>
          <w:lang w:val="en-US" w:eastAsia="zh-CN"/>
        </w:rPr>
        <w:t>项目区</w:t>
      </w:r>
      <w:r>
        <w:rPr>
          <w:rFonts w:hint="default" w:ascii="Times New Roman" w:hAnsi="Times New Roman" w:eastAsia="宋体" w:cs="Times New Roman"/>
          <w:smallCaps w:val="0"/>
          <w:color w:val="auto"/>
          <w:spacing w:val="0"/>
          <w:w w:val="100"/>
          <w:sz w:val="30"/>
          <w:szCs w:val="30"/>
          <w:highlight w:val="none"/>
          <w:lang w:eastAsia="zh-CN"/>
        </w:rPr>
        <w:t>进行有机质提升土壤改良面积10000亩，增施商品有机肥2875.89t（300kg/亩），增施有机-无机复混肥I型33.096t(80KG/亩）（地块整治区域施撒有机-无机复混肥I型，其余区域施撒商品有机肥）。</w:t>
      </w:r>
    </w:p>
    <w:p w14:paraId="22EA4A6E">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为保证农田地力提升工程质量，采取以下三项措施：（1）由</w:t>
      </w:r>
      <w:r>
        <w:rPr>
          <w:rFonts w:hint="default" w:ascii="Times New Roman" w:hAnsi="Times New Roman" w:eastAsia="宋体" w:cs="Times New Roman"/>
          <w:smallCaps w:val="0"/>
          <w:color w:val="auto"/>
          <w:spacing w:val="0"/>
          <w:w w:val="100"/>
          <w:sz w:val="30"/>
          <w:szCs w:val="30"/>
          <w:highlight w:val="none"/>
          <w:lang w:val="en-US" w:eastAsia="zh-CN"/>
        </w:rPr>
        <w:t>施工单位统一</w:t>
      </w:r>
      <w:r>
        <w:rPr>
          <w:rFonts w:hint="default" w:ascii="Times New Roman" w:hAnsi="Times New Roman" w:eastAsia="宋体" w:cs="Times New Roman"/>
          <w:smallCaps w:val="0"/>
          <w:color w:val="auto"/>
          <w:spacing w:val="0"/>
          <w:w w:val="100"/>
          <w:sz w:val="30"/>
          <w:szCs w:val="30"/>
          <w:highlight w:val="none"/>
          <w:lang w:eastAsia="zh-CN"/>
        </w:rPr>
        <w:t>采购有机肥</w:t>
      </w:r>
      <w:r>
        <w:rPr>
          <w:rFonts w:hint="eastAsia"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并在施肥前对产品进行复检确保重金属不超标、有机质含量达标</w:t>
      </w:r>
      <w:r>
        <w:rPr>
          <w:rFonts w:hint="default" w:ascii="Times New Roman" w:hAnsi="Times New Roman" w:eastAsia="宋体" w:cs="Times New Roman"/>
          <w:smallCaps w:val="0"/>
          <w:color w:val="auto"/>
          <w:spacing w:val="0"/>
          <w:w w:val="100"/>
          <w:sz w:val="30"/>
          <w:szCs w:val="30"/>
          <w:highlight w:val="none"/>
          <w:lang w:eastAsia="zh-CN"/>
        </w:rPr>
        <w:t>。（2）项目实施过程中，由第三方监测评价机构对地力提升工程区域进行肥力评估，对耕层土壤有机质含量进行提升前、提升后的肥力评估。（3）在田块整治阶段由工程施工</w:t>
      </w:r>
      <w:r>
        <w:rPr>
          <w:rFonts w:hint="default" w:ascii="Times New Roman" w:hAnsi="Times New Roman" w:eastAsia="宋体" w:cs="Times New Roman"/>
          <w:smallCaps w:val="0"/>
          <w:color w:val="auto"/>
          <w:spacing w:val="0"/>
          <w:w w:val="100"/>
          <w:sz w:val="30"/>
          <w:szCs w:val="30"/>
          <w:highlight w:val="none"/>
          <w:lang w:val="en-US" w:eastAsia="zh-CN"/>
        </w:rPr>
        <w:t>方</w:t>
      </w:r>
      <w:r>
        <w:rPr>
          <w:rFonts w:hint="default" w:ascii="Times New Roman" w:hAnsi="Times New Roman" w:eastAsia="宋体" w:cs="Times New Roman"/>
          <w:smallCaps w:val="0"/>
          <w:color w:val="auto"/>
          <w:spacing w:val="0"/>
          <w:w w:val="100"/>
          <w:sz w:val="30"/>
          <w:szCs w:val="30"/>
          <w:highlight w:val="none"/>
          <w:lang w:eastAsia="zh-CN"/>
        </w:rPr>
        <w:t>商品有机肥在整治旋耕措施时，将商品有机肥施入农田中，监理全程监督并记入监理日志，并附现场照片。</w:t>
      </w:r>
    </w:p>
    <w:p w14:paraId="78F597AA">
      <w:pPr>
        <w:pStyle w:val="4"/>
        <w:spacing w:before="0" w:after="0" w:line="560" w:lineRule="exact"/>
        <w:outlineLvl w:val="2"/>
        <w:rPr>
          <w:rFonts w:hint="default" w:ascii="Times New Roman" w:hAnsi="Times New Roman" w:eastAsia="宋体" w:cs="Times New Roman"/>
          <w:smallCaps w:val="0"/>
          <w:color w:val="auto"/>
          <w:spacing w:val="0"/>
          <w:w w:val="100"/>
          <w:highlight w:val="none"/>
        </w:rPr>
      </w:pPr>
      <w:bookmarkStart w:id="181" w:name="_Toc2747"/>
      <w:bookmarkStart w:id="182" w:name="_Toc25419"/>
      <w:r>
        <w:rPr>
          <w:rFonts w:hint="default" w:ascii="Times New Roman" w:hAnsi="Times New Roman" w:eastAsia="宋体" w:cs="Times New Roman"/>
          <w:smallCaps w:val="0"/>
          <w:color w:val="auto"/>
          <w:spacing w:val="0"/>
          <w:w w:val="100"/>
          <w:highlight w:val="none"/>
        </w:rPr>
        <w:t>5.4.3 灌溉与排水</w:t>
      </w:r>
      <w:bookmarkEnd w:id="181"/>
      <w:bookmarkEnd w:id="182"/>
    </w:p>
    <w:p w14:paraId="3BBDF70D">
      <w:pPr>
        <w:pStyle w:val="5"/>
        <w:spacing w:before="0" w:after="0" w:line="560" w:lineRule="exact"/>
        <w:outlineLvl w:val="3"/>
        <w:rPr>
          <w:rFonts w:hint="default" w:ascii="Times New Roman" w:hAnsi="Times New Roman" w:eastAsia="宋体" w:cs="Times New Roman"/>
          <w:smallCaps w:val="0"/>
          <w:color w:val="auto"/>
          <w:spacing w:val="0"/>
          <w:w w:val="100"/>
          <w:highlight w:val="none"/>
          <w:lang w:val="en-US" w:eastAsia="zh-CN"/>
        </w:rPr>
      </w:pPr>
      <w:bookmarkStart w:id="183" w:name="_Toc201"/>
      <w:r>
        <w:rPr>
          <w:rFonts w:hint="default" w:ascii="Times New Roman" w:hAnsi="Times New Roman" w:eastAsia="宋体" w:cs="Times New Roman"/>
          <w:smallCaps w:val="0"/>
          <w:color w:val="auto"/>
          <w:spacing w:val="0"/>
          <w:w w:val="100"/>
          <w:highlight w:val="none"/>
          <w:lang w:eastAsia="zh-CN"/>
        </w:rPr>
        <w:t>5.4.3.</w:t>
      </w:r>
      <w:r>
        <w:rPr>
          <w:rFonts w:hint="default" w:ascii="Times New Roman" w:hAnsi="Times New Roman" w:eastAsia="宋体" w:cs="Times New Roman"/>
          <w:smallCaps w:val="0"/>
          <w:color w:val="auto"/>
          <w:spacing w:val="0"/>
          <w:w w:val="100"/>
          <w:highlight w:val="none"/>
          <w:lang w:val="en-US" w:eastAsia="zh-CN"/>
        </w:rPr>
        <w:t>1</w:t>
      </w:r>
      <w:r>
        <w:rPr>
          <w:rFonts w:hint="default" w:ascii="Times New Roman" w:hAnsi="Times New Roman" w:eastAsia="宋体" w:cs="Times New Roman"/>
          <w:smallCaps w:val="0"/>
          <w:color w:val="auto"/>
          <w:spacing w:val="0"/>
          <w:w w:val="100"/>
          <w:highlight w:val="none"/>
          <w:lang w:eastAsia="zh-CN"/>
        </w:rPr>
        <w:t xml:space="preserve"> 水源工程—</w:t>
      </w:r>
      <w:r>
        <w:rPr>
          <w:rFonts w:hint="default" w:ascii="Times New Roman" w:hAnsi="Times New Roman" w:eastAsia="宋体" w:cs="Times New Roman"/>
          <w:smallCaps w:val="0"/>
          <w:color w:val="auto"/>
          <w:spacing w:val="0"/>
          <w:w w:val="100"/>
          <w:highlight w:val="none"/>
          <w:lang w:val="en-US" w:eastAsia="zh-CN"/>
        </w:rPr>
        <w:t>拦河坝工程</w:t>
      </w:r>
    </w:p>
    <w:p w14:paraId="203BB044">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（1）取水口布置</w:t>
      </w:r>
    </w:p>
    <w:p w14:paraId="5D593C81">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根据现场实际地形、地质情况，</w:t>
      </w:r>
      <w:r>
        <w:rPr>
          <w:rFonts w:hint="eastAsia" w:ascii="Times New Roman" w:hAnsi="Times New Roman" w:eastAsia="宋体" w:cs="Times New Roman"/>
          <w:smallCaps w:val="0"/>
          <w:color w:val="auto"/>
          <w:spacing w:val="0"/>
          <w:w w:val="100"/>
          <w:sz w:val="30"/>
          <w:szCs w:val="30"/>
          <w:highlight w:val="none"/>
          <w:lang w:val="en-US" w:eastAsia="zh-CN"/>
        </w:rPr>
        <w:t>本次新建拦河坝1座，位于</w:t>
      </w:r>
      <w:r>
        <w:rPr>
          <w:rFonts w:hint="default" w:ascii="Times New Roman" w:hAnsi="Times New Roman" w:eastAsia="宋体" w:cs="Times New Roman"/>
          <w:smallCaps w:val="0"/>
          <w:color w:val="auto"/>
          <w:spacing w:val="0"/>
          <w:w w:val="100"/>
          <w:sz w:val="30"/>
          <w:szCs w:val="30"/>
          <w:highlight w:val="none"/>
          <w:lang w:val="en-US" w:eastAsia="zh-CN"/>
        </w:rPr>
        <w:t>霍古都村山溪沟</w:t>
      </w:r>
      <w:r>
        <w:rPr>
          <w:rFonts w:hint="eastAsia" w:ascii="Times New Roman" w:hAnsi="Times New Roman" w:eastAsia="宋体" w:cs="Times New Roman"/>
          <w:smallCaps w:val="0"/>
          <w:color w:val="auto"/>
          <w:spacing w:val="0"/>
          <w:w w:val="100"/>
          <w:sz w:val="30"/>
          <w:szCs w:val="30"/>
          <w:highlight w:val="none"/>
          <w:lang w:val="en-US" w:eastAsia="zh-CN"/>
        </w:rPr>
        <w:t>，坝址处以上集雨面积为7.58km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2</w:t>
      </w:r>
      <w:r>
        <w:rPr>
          <w:rFonts w:hint="eastAsia" w:ascii="Times New Roman" w:hAnsi="Times New Roman" w:eastAsia="宋体" w:cs="Times New Roman"/>
          <w:smallCaps w:val="0"/>
          <w:color w:val="auto"/>
          <w:spacing w:val="0"/>
          <w:w w:val="100"/>
          <w:sz w:val="30"/>
          <w:szCs w:val="30"/>
          <w:highlight w:val="none"/>
          <w:lang w:val="en-US" w:eastAsia="zh-CN"/>
        </w:rPr>
        <w:t>，河道长为5.99km，河道平均比降为149.58‰。根据《防洪标准》（GB50201-2014）和《水利水电工程等级划分及洪水标准》（SL 252-2017），拦河坝为Ⅴ等工程，永久性主要建筑物为5级，次要建筑物为5级，采用10年一遇洪水设计，20年一遇洪水校核。</w:t>
      </w:r>
    </w:p>
    <w:p w14:paraId="67141BEE">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拦河坝</w:t>
      </w:r>
      <w:r>
        <w:rPr>
          <w:rFonts w:hint="eastAsia" w:ascii="Times New Roman" w:hAnsi="Times New Roman" w:eastAsia="宋体" w:cs="Times New Roman"/>
          <w:smallCaps w:val="0"/>
          <w:color w:val="auto"/>
          <w:spacing w:val="0"/>
          <w:w w:val="100"/>
          <w:sz w:val="30"/>
          <w:szCs w:val="30"/>
          <w:highlight w:val="none"/>
          <w:lang w:val="en-US" w:eastAsia="zh-CN"/>
        </w:rPr>
        <w:t>坝主体、护岸</w:t>
      </w:r>
      <w:r>
        <w:rPr>
          <w:rFonts w:hint="default" w:ascii="Times New Roman" w:hAnsi="Times New Roman" w:eastAsia="宋体" w:cs="Times New Roman"/>
          <w:smallCaps w:val="0"/>
          <w:color w:val="auto"/>
          <w:spacing w:val="0"/>
          <w:w w:val="100"/>
          <w:sz w:val="30"/>
          <w:szCs w:val="30"/>
          <w:highlight w:val="no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消力池</w:t>
      </w:r>
      <w:r>
        <w:rPr>
          <w:rFonts w:hint="default" w:ascii="Times New Roman" w:hAnsi="Times New Roman" w:eastAsia="宋体" w:cs="Times New Roman"/>
          <w:smallCaps w:val="0"/>
          <w:color w:val="auto"/>
          <w:spacing w:val="0"/>
          <w:w w:val="100"/>
          <w:sz w:val="30"/>
          <w:szCs w:val="30"/>
          <w:highlight w:val="none"/>
          <w:lang w:val="en-US" w:eastAsia="zh-CN"/>
        </w:rPr>
        <w:t>等组成。</w:t>
      </w:r>
    </w:p>
    <w:p w14:paraId="55FCB888">
      <w:pPr>
        <w:tabs>
          <w:tab w:val="left" w:pos="387"/>
        </w:tabs>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（2）设计洪水计算</w:t>
      </w:r>
    </w:p>
    <w:p w14:paraId="423B0715">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河流无实测洪水资料及地表径流资料，根据《四川省中小河流暴雨洪水计算手册（1984年）》（以下简称《手册》）的推理公式法及根据2010年《四川暴雨统计参数图集》以下简称《参数图集》）查算值计算设计暴雨值，设计面暴雨根据《手册》）中不同面积的点面折减系数进行修正。</w:t>
      </w:r>
    </w:p>
    <w:p w14:paraId="7589F786">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查《参数图集》年最大1/6小时、1小时、6小时、24小时暴雨等值线图得出Cv、Cs和Cs/Cv值，由皮尔逊III型频率表查出P=20%、P=10%和P=5%频率的Kp值，计算各频率下的暴雨量。成果见下表。</w:t>
      </w:r>
    </w:p>
    <w:p w14:paraId="1B8B011A">
      <w:pPr>
        <w:pStyle w:val="73"/>
        <w:bidi w:val="0"/>
        <w:rPr>
          <w:rFonts w:hint="default"/>
          <w:color w:val="auto"/>
          <w:highlight w:val="none"/>
          <w:lang w:val="en-US" w:eastAsia="zh-CN"/>
        </w:rPr>
      </w:pPr>
      <w:r>
        <w:rPr>
          <w:rFonts w:hint="eastAsia"/>
          <w:color w:val="auto"/>
          <w:highlight w:val="none"/>
          <w:lang w:val="en-US" w:eastAsia="zh-CN"/>
        </w:rPr>
        <w:t>项目区设计点暴雨计算成果表</w:t>
      </w:r>
    </w:p>
    <w:tbl>
      <w:tblPr>
        <w:tblStyle w:val="18"/>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9"/>
        <w:gridCol w:w="1419"/>
        <w:gridCol w:w="1309"/>
        <w:gridCol w:w="1309"/>
        <w:gridCol w:w="1309"/>
        <w:gridCol w:w="1311"/>
        <w:gridCol w:w="1313"/>
      </w:tblGrid>
      <w:tr w14:paraId="0A625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05" w:type="pct"/>
            <w:vMerge w:val="restart"/>
            <w:noWrap w:val="0"/>
            <w:vAlign w:val="center"/>
          </w:tcPr>
          <w:p w14:paraId="37FE96E6">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历时</w:t>
            </w:r>
          </w:p>
        </w:tc>
        <w:tc>
          <w:tcPr>
            <w:tcW w:w="764" w:type="pct"/>
            <w:vMerge w:val="restart"/>
            <w:noWrap w:val="0"/>
            <w:vAlign w:val="center"/>
          </w:tcPr>
          <w:p w14:paraId="6BD848CA">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drawing>
                <wp:inline distT="0" distB="0" distL="114300" distR="114300">
                  <wp:extent cx="182880" cy="198755"/>
                  <wp:effectExtent l="0" t="0" r="7620" b="12700"/>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42"/>
                          <a:stretch>
                            <a:fillRect/>
                          </a:stretch>
                        </pic:blipFill>
                        <pic:spPr>
                          <a:xfrm>
                            <a:off x="0" y="0"/>
                            <a:ext cx="182880" cy="198755"/>
                          </a:xfrm>
                          <a:prstGeom prst="rect">
                            <a:avLst/>
                          </a:prstGeom>
                          <a:noFill/>
                          <a:ln>
                            <a:noFill/>
                          </a:ln>
                        </pic:spPr>
                      </pic:pic>
                    </a:graphicData>
                  </a:graphic>
                </wp:inline>
              </w:drawing>
            </w:r>
            <w:r>
              <w:rPr>
                <w:rFonts w:hint="default" w:ascii="Times New Roman" w:hAnsi="Times New Roman" w:cs="Times New Roman"/>
                <w:color w:val="auto"/>
                <w:highlight w:val="none"/>
                <w:lang w:val="en-US" w:eastAsia="zh-CN"/>
              </w:rPr>
              <w:t>（mm）</w:t>
            </w:r>
          </w:p>
        </w:tc>
        <w:tc>
          <w:tcPr>
            <w:tcW w:w="705" w:type="pct"/>
            <w:vMerge w:val="restart"/>
            <w:noWrap w:val="0"/>
            <w:vAlign w:val="center"/>
          </w:tcPr>
          <w:p w14:paraId="4BFB2773">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Cv</w:t>
            </w:r>
          </w:p>
        </w:tc>
        <w:tc>
          <w:tcPr>
            <w:tcW w:w="705" w:type="pct"/>
            <w:vMerge w:val="restart"/>
            <w:noWrap w:val="0"/>
            <w:vAlign w:val="center"/>
          </w:tcPr>
          <w:p w14:paraId="75C95F65">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Cs/Cv</w:t>
            </w:r>
          </w:p>
        </w:tc>
        <w:tc>
          <w:tcPr>
            <w:tcW w:w="2118" w:type="pct"/>
            <w:gridSpan w:val="3"/>
            <w:noWrap w:val="0"/>
            <w:vAlign w:val="center"/>
          </w:tcPr>
          <w:p w14:paraId="703970DB">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各频率设计值（mm）</w:t>
            </w:r>
          </w:p>
        </w:tc>
      </w:tr>
      <w:tr w14:paraId="52316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705" w:type="pct"/>
            <w:vMerge w:val="continue"/>
            <w:noWrap w:val="0"/>
            <w:vAlign w:val="center"/>
          </w:tcPr>
          <w:p w14:paraId="752222EC">
            <w:pPr>
              <w:pStyle w:val="72"/>
              <w:bidi w:val="0"/>
              <w:rPr>
                <w:rFonts w:hint="default" w:ascii="Times New Roman" w:hAnsi="Times New Roman" w:cs="Times New Roman"/>
                <w:color w:val="auto"/>
                <w:highlight w:val="none"/>
                <w:lang w:val="en-US" w:eastAsia="zh-CN"/>
              </w:rPr>
            </w:pPr>
          </w:p>
        </w:tc>
        <w:tc>
          <w:tcPr>
            <w:tcW w:w="764" w:type="pct"/>
            <w:vMerge w:val="continue"/>
            <w:noWrap w:val="0"/>
            <w:vAlign w:val="center"/>
          </w:tcPr>
          <w:p w14:paraId="12DDA7D3">
            <w:pPr>
              <w:pStyle w:val="72"/>
              <w:bidi w:val="0"/>
              <w:rPr>
                <w:rFonts w:hint="default" w:ascii="Times New Roman" w:hAnsi="Times New Roman" w:cs="Times New Roman"/>
                <w:color w:val="auto"/>
                <w:highlight w:val="none"/>
                <w:lang w:val="en-US" w:eastAsia="zh-CN"/>
              </w:rPr>
            </w:pPr>
          </w:p>
        </w:tc>
        <w:tc>
          <w:tcPr>
            <w:tcW w:w="705" w:type="pct"/>
            <w:vMerge w:val="continue"/>
            <w:noWrap w:val="0"/>
            <w:vAlign w:val="center"/>
          </w:tcPr>
          <w:p w14:paraId="06ED27BC">
            <w:pPr>
              <w:pStyle w:val="72"/>
              <w:bidi w:val="0"/>
              <w:rPr>
                <w:rFonts w:hint="default" w:ascii="Times New Roman" w:hAnsi="Times New Roman" w:cs="Times New Roman"/>
                <w:color w:val="auto"/>
                <w:highlight w:val="none"/>
                <w:lang w:val="en-US" w:eastAsia="zh-CN"/>
              </w:rPr>
            </w:pPr>
          </w:p>
        </w:tc>
        <w:tc>
          <w:tcPr>
            <w:tcW w:w="705" w:type="pct"/>
            <w:vMerge w:val="continue"/>
            <w:noWrap w:val="0"/>
            <w:vAlign w:val="center"/>
          </w:tcPr>
          <w:p w14:paraId="178A66AC">
            <w:pPr>
              <w:pStyle w:val="72"/>
              <w:bidi w:val="0"/>
              <w:rPr>
                <w:rFonts w:hint="default" w:ascii="Times New Roman" w:hAnsi="Times New Roman" w:cs="Times New Roman"/>
                <w:color w:val="auto"/>
                <w:highlight w:val="none"/>
                <w:lang w:val="en-US" w:eastAsia="zh-CN"/>
              </w:rPr>
            </w:pPr>
          </w:p>
        </w:tc>
        <w:tc>
          <w:tcPr>
            <w:tcW w:w="705" w:type="pct"/>
            <w:noWrap w:val="0"/>
            <w:vAlign w:val="center"/>
          </w:tcPr>
          <w:p w14:paraId="6DBAE4FB">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P=5%</w:t>
            </w:r>
          </w:p>
        </w:tc>
        <w:tc>
          <w:tcPr>
            <w:tcW w:w="706" w:type="pct"/>
            <w:noWrap w:val="0"/>
            <w:vAlign w:val="center"/>
          </w:tcPr>
          <w:p w14:paraId="52BAE7D7">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P=10%</w:t>
            </w:r>
          </w:p>
        </w:tc>
        <w:tc>
          <w:tcPr>
            <w:tcW w:w="706" w:type="pct"/>
            <w:noWrap w:val="0"/>
            <w:vAlign w:val="center"/>
          </w:tcPr>
          <w:p w14:paraId="613075C9">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P=20%</w:t>
            </w:r>
          </w:p>
        </w:tc>
      </w:tr>
      <w:tr w14:paraId="513D1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705" w:type="pct"/>
            <w:noWrap w:val="0"/>
            <w:vAlign w:val="center"/>
          </w:tcPr>
          <w:p w14:paraId="37D00CFF">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1/6h</w:t>
            </w:r>
          </w:p>
        </w:tc>
        <w:tc>
          <w:tcPr>
            <w:tcW w:w="764" w:type="pct"/>
            <w:noWrap w:val="0"/>
            <w:vAlign w:val="center"/>
          </w:tcPr>
          <w:p w14:paraId="02361925">
            <w:pPr>
              <w:pStyle w:val="72"/>
              <w:bidi w:val="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8</w:t>
            </w:r>
          </w:p>
        </w:tc>
        <w:tc>
          <w:tcPr>
            <w:tcW w:w="705" w:type="pct"/>
            <w:noWrap w:val="0"/>
            <w:vAlign w:val="center"/>
          </w:tcPr>
          <w:p w14:paraId="7025CD58">
            <w:pPr>
              <w:pStyle w:val="72"/>
              <w:bidi w:val="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0.45</w:t>
            </w:r>
          </w:p>
        </w:tc>
        <w:tc>
          <w:tcPr>
            <w:tcW w:w="705" w:type="pct"/>
            <w:noWrap w:val="0"/>
            <w:vAlign w:val="center"/>
          </w:tcPr>
          <w:p w14:paraId="15F04788">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3.5</w:t>
            </w:r>
          </w:p>
        </w:tc>
        <w:tc>
          <w:tcPr>
            <w:tcW w:w="705" w:type="pct"/>
            <w:noWrap w:val="0"/>
            <w:vAlign w:val="center"/>
          </w:tcPr>
          <w:p w14:paraId="18D66470">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15.1</w:t>
            </w:r>
          </w:p>
        </w:tc>
        <w:tc>
          <w:tcPr>
            <w:tcW w:w="706" w:type="pct"/>
            <w:noWrap w:val="0"/>
            <w:vAlign w:val="center"/>
          </w:tcPr>
          <w:p w14:paraId="5939BECC">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12.8</w:t>
            </w:r>
          </w:p>
        </w:tc>
        <w:tc>
          <w:tcPr>
            <w:tcW w:w="706" w:type="pct"/>
            <w:noWrap w:val="0"/>
            <w:vAlign w:val="center"/>
          </w:tcPr>
          <w:p w14:paraId="188FC7B8">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10.4</w:t>
            </w:r>
          </w:p>
        </w:tc>
      </w:tr>
      <w:tr w14:paraId="5DAB3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05" w:type="pct"/>
            <w:noWrap w:val="0"/>
            <w:vAlign w:val="center"/>
          </w:tcPr>
          <w:p w14:paraId="0F6FEF3E">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1h</w:t>
            </w:r>
          </w:p>
        </w:tc>
        <w:tc>
          <w:tcPr>
            <w:tcW w:w="764" w:type="pct"/>
            <w:noWrap w:val="0"/>
            <w:vAlign w:val="center"/>
          </w:tcPr>
          <w:p w14:paraId="13BDB4AC">
            <w:pPr>
              <w:pStyle w:val="72"/>
              <w:bidi w:val="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15</w:t>
            </w:r>
          </w:p>
        </w:tc>
        <w:tc>
          <w:tcPr>
            <w:tcW w:w="705" w:type="pct"/>
            <w:noWrap w:val="0"/>
            <w:vAlign w:val="center"/>
          </w:tcPr>
          <w:p w14:paraId="75AF8062">
            <w:pPr>
              <w:pStyle w:val="72"/>
              <w:bidi w:val="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0.40</w:t>
            </w:r>
          </w:p>
        </w:tc>
        <w:tc>
          <w:tcPr>
            <w:tcW w:w="705" w:type="pct"/>
            <w:noWrap w:val="0"/>
            <w:vAlign w:val="center"/>
          </w:tcPr>
          <w:p w14:paraId="792A8A46">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3.5</w:t>
            </w:r>
          </w:p>
        </w:tc>
        <w:tc>
          <w:tcPr>
            <w:tcW w:w="705" w:type="pct"/>
            <w:noWrap w:val="0"/>
            <w:vAlign w:val="center"/>
          </w:tcPr>
          <w:p w14:paraId="3451ED13">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26.6</w:t>
            </w:r>
          </w:p>
        </w:tc>
        <w:tc>
          <w:tcPr>
            <w:tcW w:w="706" w:type="pct"/>
            <w:noWrap w:val="0"/>
            <w:vAlign w:val="center"/>
          </w:tcPr>
          <w:p w14:paraId="550D991D">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23.0</w:t>
            </w:r>
          </w:p>
        </w:tc>
        <w:tc>
          <w:tcPr>
            <w:tcW w:w="706" w:type="pct"/>
            <w:noWrap w:val="0"/>
            <w:vAlign w:val="center"/>
          </w:tcPr>
          <w:p w14:paraId="446E5107">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19.2</w:t>
            </w:r>
          </w:p>
        </w:tc>
      </w:tr>
      <w:tr w14:paraId="10A3B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05" w:type="pct"/>
            <w:noWrap w:val="0"/>
            <w:vAlign w:val="center"/>
          </w:tcPr>
          <w:p w14:paraId="1DB7C7E2">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6h</w:t>
            </w:r>
          </w:p>
        </w:tc>
        <w:tc>
          <w:tcPr>
            <w:tcW w:w="764" w:type="pct"/>
            <w:noWrap w:val="0"/>
            <w:vAlign w:val="center"/>
          </w:tcPr>
          <w:p w14:paraId="692CDBF9">
            <w:pPr>
              <w:pStyle w:val="72"/>
              <w:bidi w:val="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20</w:t>
            </w:r>
          </w:p>
        </w:tc>
        <w:tc>
          <w:tcPr>
            <w:tcW w:w="705" w:type="pct"/>
            <w:noWrap w:val="0"/>
            <w:vAlign w:val="center"/>
          </w:tcPr>
          <w:p w14:paraId="2ADB1306">
            <w:pPr>
              <w:pStyle w:val="72"/>
              <w:bidi w:val="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0.35</w:t>
            </w:r>
          </w:p>
        </w:tc>
        <w:tc>
          <w:tcPr>
            <w:tcW w:w="705" w:type="pct"/>
            <w:noWrap w:val="0"/>
            <w:vAlign w:val="center"/>
          </w:tcPr>
          <w:p w14:paraId="3AC1E11D">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3.5</w:t>
            </w:r>
          </w:p>
        </w:tc>
        <w:tc>
          <w:tcPr>
            <w:tcW w:w="705" w:type="pct"/>
            <w:noWrap w:val="0"/>
            <w:vAlign w:val="center"/>
          </w:tcPr>
          <w:p w14:paraId="2542A2D9">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33.4</w:t>
            </w:r>
          </w:p>
        </w:tc>
        <w:tc>
          <w:tcPr>
            <w:tcW w:w="706" w:type="pct"/>
            <w:noWrap w:val="0"/>
            <w:vAlign w:val="center"/>
          </w:tcPr>
          <w:p w14:paraId="6969E3C2">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29.4</w:t>
            </w:r>
          </w:p>
        </w:tc>
        <w:tc>
          <w:tcPr>
            <w:tcW w:w="706" w:type="pct"/>
            <w:noWrap w:val="0"/>
            <w:vAlign w:val="center"/>
          </w:tcPr>
          <w:p w14:paraId="7AF15B6A">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25.1</w:t>
            </w:r>
          </w:p>
        </w:tc>
      </w:tr>
      <w:tr w14:paraId="76AD0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05" w:type="pct"/>
            <w:noWrap w:val="0"/>
            <w:vAlign w:val="center"/>
          </w:tcPr>
          <w:p w14:paraId="7EBF9A21">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24h</w:t>
            </w:r>
          </w:p>
        </w:tc>
        <w:tc>
          <w:tcPr>
            <w:tcW w:w="764" w:type="pct"/>
            <w:noWrap w:val="0"/>
            <w:vAlign w:val="center"/>
          </w:tcPr>
          <w:p w14:paraId="722B6200">
            <w:pPr>
              <w:pStyle w:val="72"/>
              <w:bidi w:val="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30</w:t>
            </w:r>
          </w:p>
        </w:tc>
        <w:tc>
          <w:tcPr>
            <w:tcW w:w="705" w:type="pct"/>
            <w:noWrap w:val="0"/>
            <w:vAlign w:val="center"/>
          </w:tcPr>
          <w:p w14:paraId="25EC2812">
            <w:pPr>
              <w:pStyle w:val="72"/>
              <w:bidi w:val="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0.30</w:t>
            </w:r>
          </w:p>
        </w:tc>
        <w:tc>
          <w:tcPr>
            <w:tcW w:w="705" w:type="pct"/>
            <w:noWrap w:val="0"/>
            <w:vAlign w:val="center"/>
          </w:tcPr>
          <w:p w14:paraId="52C40A1B">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3.5</w:t>
            </w:r>
          </w:p>
        </w:tc>
        <w:tc>
          <w:tcPr>
            <w:tcW w:w="705" w:type="pct"/>
            <w:noWrap w:val="0"/>
            <w:vAlign w:val="center"/>
          </w:tcPr>
          <w:p w14:paraId="58E67EA6">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47.0</w:t>
            </w:r>
          </w:p>
        </w:tc>
        <w:tc>
          <w:tcPr>
            <w:tcW w:w="706" w:type="pct"/>
            <w:noWrap w:val="0"/>
            <w:vAlign w:val="center"/>
          </w:tcPr>
          <w:p w14:paraId="5D304282">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42.1</w:t>
            </w:r>
          </w:p>
        </w:tc>
        <w:tc>
          <w:tcPr>
            <w:tcW w:w="706" w:type="pct"/>
            <w:noWrap w:val="0"/>
            <w:vAlign w:val="center"/>
          </w:tcPr>
          <w:p w14:paraId="7D2F147F">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36.8</w:t>
            </w:r>
          </w:p>
        </w:tc>
      </w:tr>
    </w:tbl>
    <w:p w14:paraId="6B07FFF0">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由于取水口所在河段集雨面积（5.31km2）较小，故不考虑点面折减；</w:t>
      </w:r>
      <w:r>
        <w:rPr>
          <w:rFonts w:hint="default" w:ascii="Times New Roman" w:hAnsi="Times New Roman" w:eastAsia="宋体" w:cs="Times New Roman"/>
          <w:smallCaps w:val="0"/>
          <w:color w:val="auto"/>
          <w:spacing w:val="0"/>
          <w:w w:val="100"/>
          <w:sz w:val="30"/>
          <w:szCs w:val="30"/>
          <w:highlight w:val="none"/>
          <w:lang w:val="en-US" w:eastAsia="zh-CN"/>
        </w:rPr>
        <w:t>由于汇流时间不长，在一次暴雨过程中仅有短历时的核心部分雨量参与形成洪峰流量。因此，结合本流域降雨特征，按《手册》推荐的公式推求设计洪水。</w:t>
      </w:r>
    </w:p>
    <w:p w14:paraId="2DCF70E2">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①推理公式基本关系式：</w:t>
      </w:r>
    </w:p>
    <w:p w14:paraId="62401AD2">
      <w:pPr>
        <w:bidi w:val="0"/>
        <w:jc w:val="center"/>
        <w:rPr>
          <w:rFonts w:hint="default"/>
          <w:color w:val="auto"/>
          <w:highlight w:val="none"/>
          <w:lang w:val="en-US" w:eastAsia="zh-CN"/>
        </w:rPr>
      </w:pPr>
      <w:r>
        <w:rPr>
          <w:rFonts w:eastAsia="仿宋_GB2312"/>
          <w:color w:val="auto"/>
          <w:kern w:val="0"/>
          <w:sz w:val="30"/>
          <w:szCs w:val="30"/>
          <w:highlight w:val="none"/>
        </w:rPr>
        <w:drawing>
          <wp:inline distT="0" distB="0" distL="114300" distR="114300">
            <wp:extent cx="1813560" cy="440690"/>
            <wp:effectExtent l="0" t="0" r="0" b="17145"/>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43"/>
                    <a:stretch>
                      <a:fillRect/>
                    </a:stretch>
                  </pic:blipFill>
                  <pic:spPr>
                    <a:xfrm>
                      <a:off x="0" y="0"/>
                      <a:ext cx="1813560" cy="440690"/>
                    </a:xfrm>
                    <a:prstGeom prst="rect">
                      <a:avLst/>
                    </a:prstGeom>
                    <a:noFill/>
                    <a:ln>
                      <a:noFill/>
                    </a:ln>
                  </pic:spPr>
                </pic:pic>
              </a:graphicData>
            </a:graphic>
          </wp:inline>
        </w:drawing>
      </w:r>
    </w:p>
    <w:p w14:paraId="0F71B2CC">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式中：Q——最大流量（m³/s）；</w:t>
      </w:r>
    </w:p>
    <w:p w14:paraId="76C7FA5D">
      <w:pPr>
        <w:kinsoku/>
        <w:spacing w:before="43" w:line="375" w:lineRule="auto"/>
        <w:ind w:left="41" w:firstLine="1452" w:firstLineChars="484"/>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ψ——洪峰径流系数；</w:t>
      </w:r>
    </w:p>
    <w:p w14:paraId="4E6B0499">
      <w:pPr>
        <w:kinsoku/>
        <w:spacing w:before="43" w:line="375" w:lineRule="auto"/>
        <w:ind w:left="41" w:firstLine="1452" w:firstLineChars="484"/>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i——最大平均暴雨强度（mm/h）；</w:t>
      </w:r>
    </w:p>
    <w:p w14:paraId="534A178F">
      <w:pPr>
        <w:kinsoku/>
        <w:spacing w:before="43" w:line="375" w:lineRule="auto"/>
        <w:ind w:left="41" w:firstLine="1452" w:firstLineChars="484"/>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S——暴雨雨力，即最大1小时暴雨量（mm/h）；</w:t>
      </w:r>
    </w:p>
    <w:p w14:paraId="4F499F6B">
      <w:pPr>
        <w:kinsoku/>
        <w:spacing w:before="43" w:line="375" w:lineRule="auto"/>
        <w:ind w:left="41" w:firstLine="1452" w:firstLineChars="484"/>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n——暴雨公式指数；</w:t>
      </w:r>
    </w:p>
    <w:p w14:paraId="58DF37DA">
      <w:pPr>
        <w:kinsoku/>
        <w:spacing w:before="43" w:line="375" w:lineRule="auto"/>
        <w:ind w:left="41" w:firstLine="1452" w:firstLineChars="484"/>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τ——流域汇流时间（h）；</w:t>
      </w:r>
    </w:p>
    <w:p w14:paraId="1C16FF96">
      <w:pPr>
        <w:kinsoku/>
        <w:spacing w:before="43" w:line="375" w:lineRule="auto"/>
        <w:ind w:left="41" w:firstLine="1452" w:firstLineChars="484"/>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F——流域面积（km</w:t>
      </w:r>
      <w:r>
        <w:rPr>
          <w:rFonts w:hint="default" w:ascii="Times New Roman" w:hAnsi="Times New Roman" w:eastAsia="宋体" w:cs="Times New Roman"/>
          <w:smallCaps w:val="0"/>
          <w:color w:val="auto"/>
          <w:spacing w:val="0"/>
          <w:w w:val="100"/>
          <w:sz w:val="30"/>
          <w:szCs w:val="30"/>
          <w:highlight w:val="none"/>
          <w:vertAlign w:val="superscript"/>
          <w:lang w:val="en-US" w:eastAsia="zh-CN"/>
        </w:rPr>
        <w:t>2</w:t>
      </w:r>
      <w:r>
        <w:rPr>
          <w:rFonts w:hint="default" w:ascii="Times New Roman" w:hAnsi="Times New Roman" w:eastAsia="宋体" w:cs="Times New Roman"/>
          <w:smallCaps w:val="0"/>
          <w:color w:val="auto"/>
          <w:spacing w:val="0"/>
          <w:w w:val="100"/>
          <w:sz w:val="30"/>
          <w:szCs w:val="30"/>
          <w:highlight w:val="none"/>
          <w:lang w:val="en-US" w:eastAsia="zh-CN"/>
        </w:rPr>
        <w:t>）。</w:t>
      </w:r>
    </w:p>
    <w:p w14:paraId="079E7D98">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②流域汇流参数m</w:t>
      </w:r>
    </w:p>
    <w:p w14:paraId="7757E762">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本流域地处川西南山地，依据《手册》，流域汇流参数按下式计算：</w:t>
      </w:r>
    </w:p>
    <w:p w14:paraId="3D23060C">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当θ=0～30，m=0.221θ</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0.204</w:t>
      </w:r>
      <w:r>
        <w:rPr>
          <w:rFonts w:hint="eastAsia" w:ascii="Times New Roman" w:hAnsi="Times New Roman" w:eastAsia="宋体" w:cs="Times New Roman"/>
          <w:smallCaps w:val="0"/>
          <w:color w:val="auto"/>
          <w:spacing w:val="0"/>
          <w:w w:val="100"/>
          <w:sz w:val="30"/>
          <w:szCs w:val="30"/>
          <w:highlight w:val="none"/>
          <w:lang w:val="en-US" w:eastAsia="zh-CN"/>
        </w:rPr>
        <w:t>；</w:t>
      </w:r>
    </w:p>
    <w:p w14:paraId="5C45B674">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当θ=30～300，m=0.025θ</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0.845</w:t>
      </w:r>
      <w:r>
        <w:rPr>
          <w:rFonts w:hint="eastAsia" w:ascii="Times New Roman" w:hAnsi="Times New Roman" w:eastAsia="宋体" w:cs="Times New Roman"/>
          <w:smallCaps w:val="0"/>
          <w:color w:val="auto"/>
          <w:spacing w:val="0"/>
          <w:w w:val="100"/>
          <w:sz w:val="30"/>
          <w:szCs w:val="30"/>
          <w:highlight w:val="none"/>
          <w:lang w:val="en-US" w:eastAsia="zh-CN"/>
        </w:rPr>
        <w:t>。</w:t>
      </w:r>
    </w:p>
    <w:p w14:paraId="4C7261B2">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③流域产流参数μ</w:t>
      </w:r>
    </w:p>
    <w:p w14:paraId="10492627">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本流域地处川西南山地，依据《手册》，流域产流参数μ=3.6F</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-0.19</w:t>
      </w:r>
      <w:r>
        <w:rPr>
          <w:rFonts w:hint="eastAsia" w:ascii="Times New Roman" w:hAnsi="Times New Roman" w:eastAsia="宋体" w:cs="Times New Roman"/>
          <w:smallCaps w:val="0"/>
          <w:color w:val="auto"/>
          <w:spacing w:val="0"/>
          <w:w w:val="100"/>
          <w:sz w:val="30"/>
          <w:szCs w:val="30"/>
          <w:highlight w:val="none"/>
          <w:lang w:val="en-US" w:eastAsia="zh-CN"/>
        </w:rPr>
        <w:t>，Cv=0.23，Cs/Cv=3.5。</w:t>
      </w:r>
    </w:p>
    <w:p w14:paraId="5BE66B25">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④暴雨雨力S、暴雨公式指数n</w:t>
      </w:r>
    </w:p>
    <w:p w14:paraId="4EA1F37F">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短历时暴雨公式指数和暴雨雨力分历时确定：</w:t>
      </w:r>
    </w:p>
    <w:p w14:paraId="4BB69AEE">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t=6～24h，</w:t>
      </w:r>
      <w:r>
        <w:rPr>
          <w:rFonts w:hint="default" w:ascii="Times New Roman" w:hAnsi="Times New Roman" w:eastAsia="宋体" w:cs="Times New Roman"/>
          <w:smallCaps w:val="0"/>
          <w:color w:val="auto"/>
          <w:spacing w:val="0"/>
          <w:w w:val="100"/>
          <w:sz w:val="30"/>
          <w:szCs w:val="30"/>
          <w:highlight w:val="none"/>
          <w:lang w:val="en-US" w:eastAsia="zh-CN"/>
        </w:rPr>
        <w:object>
          <v:shape id="_x0000_i1027" o:spt="75" type="#_x0000_t75" style="height:39pt;width:114pt;" o:ole="t" filled="f" o:preferrelative="t" stroked="f" coordsize="21600,21600">
            <v:path/>
            <v:fill on="f" focussize="0,0"/>
            <v:stroke on="f" joinstyle="miter"/>
            <v:imagedata r:id="rId45" o:title=""/>
            <o:lock v:ext="edit" aspectratio="t"/>
            <w10:wrap type="none"/>
            <w10:anchorlock/>
          </v:shape>
          <o:OLEObject Type="Embed" ProgID="Equation.DSMT4" ShapeID="_x0000_i1027" DrawAspect="Content" ObjectID="_1468075725" r:id="rId44">
            <o:LockedField>false</o:LockedField>
          </o:OLEObject>
        </w:object>
      </w:r>
      <w:r>
        <w:rPr>
          <w:rFonts w:hint="default" w:ascii="Times New Roman" w:hAnsi="Times New Roman" w:eastAsia="宋体" w:cs="Times New Roman"/>
          <w:smallCaps w:val="0"/>
          <w:color w:val="auto"/>
          <w:spacing w:val="0"/>
          <w:w w:val="100"/>
          <w:sz w:val="30"/>
          <w:szCs w:val="30"/>
          <w:highlight w:val="none"/>
          <w:lang w:val="en-US" w:eastAsia="zh-CN"/>
        </w:rPr>
        <w:t xml:space="preserve"> ，</w:t>
      </w:r>
      <w:r>
        <w:rPr>
          <w:rFonts w:hint="default" w:ascii="Times New Roman" w:hAnsi="Times New Roman" w:eastAsia="宋体" w:cs="Times New Roman"/>
          <w:smallCaps w:val="0"/>
          <w:color w:val="auto"/>
          <w:spacing w:val="0"/>
          <w:w w:val="100"/>
          <w:sz w:val="30"/>
          <w:szCs w:val="30"/>
          <w:highlight w:val="none"/>
          <w:lang w:val="en-US" w:eastAsia="zh-CN"/>
        </w:rPr>
        <w:object>
          <v:shape id="_x0000_i1028" o:spt="75" type="#_x0000_t75" style="height:20.25pt;width:72.75pt;" o:ole="t" filled="f" o:preferrelative="t" stroked="f" coordsize="21600,21600">
            <v:path/>
            <v:fill on="f" focussize="0,0"/>
            <v:stroke on="f" joinstyle="miter"/>
            <v:imagedata r:id="rId47" o:title=""/>
            <o:lock v:ext="edit" aspectratio="t"/>
            <w10:wrap type="none"/>
            <w10:anchorlock/>
          </v:shape>
          <o:OLEObject Type="Embed" ProgID="Equation.DSMT4" ShapeID="_x0000_i1028" DrawAspect="Content" ObjectID="_1468075726" r:id="rId46">
            <o:LockedField>false</o:LockedField>
          </o:OLEObject>
        </w:object>
      </w:r>
      <w:r>
        <w:rPr>
          <w:rFonts w:hint="default" w:ascii="Times New Roman" w:hAnsi="Times New Roman" w:eastAsia="宋体" w:cs="Times New Roman"/>
          <w:smallCaps w:val="0"/>
          <w:color w:val="auto"/>
          <w:spacing w:val="0"/>
          <w:w w:val="100"/>
          <w:sz w:val="30"/>
          <w:szCs w:val="30"/>
          <w:highlight w:val="none"/>
          <w:lang w:val="en-US" w:eastAsia="zh-CN"/>
        </w:rPr>
        <w:t>；</w:t>
      </w:r>
    </w:p>
    <w:p w14:paraId="1E727511">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t=1～6h，</w:t>
      </w:r>
      <w:r>
        <w:rPr>
          <w:rFonts w:hint="default" w:ascii="Times New Roman" w:hAnsi="Times New Roman" w:eastAsia="宋体" w:cs="Times New Roman"/>
          <w:smallCaps w:val="0"/>
          <w:color w:val="auto"/>
          <w:spacing w:val="0"/>
          <w:w w:val="100"/>
          <w:sz w:val="30"/>
          <w:szCs w:val="30"/>
          <w:highlight w:val="none"/>
          <w:lang w:val="en-US" w:eastAsia="zh-CN"/>
        </w:rPr>
        <w:object>
          <v:shape id="_x0000_i1029" o:spt="75" type="#_x0000_t75" style="height:39pt;width:111pt;" o:ole="t" filled="f" o:preferrelative="t" stroked="f" coordsize="21600,21600">
            <v:path/>
            <v:fill on="f" focussize="0,0"/>
            <v:stroke on="f" joinstyle="miter"/>
            <v:imagedata r:id="rId49" o:title=""/>
            <o:lock v:ext="edit" aspectratio="t"/>
            <w10:wrap type="none"/>
            <w10:anchorlock/>
          </v:shape>
          <o:OLEObject Type="Embed" ProgID="Equation.DSMT4" ShapeID="_x0000_i1029" DrawAspect="Content" ObjectID="_1468075727" r:id="rId48">
            <o:LockedField>false</o:LockedField>
          </o:OLEObject>
        </w:object>
      </w:r>
      <w:r>
        <w:rPr>
          <w:rFonts w:hint="default" w:ascii="Times New Roman" w:hAnsi="Times New Roman" w:eastAsia="宋体" w:cs="Times New Roman"/>
          <w:smallCaps w:val="0"/>
          <w:color w:val="auto"/>
          <w:spacing w:val="0"/>
          <w:w w:val="100"/>
          <w:sz w:val="30"/>
          <w:szCs w:val="30"/>
          <w:highlight w:val="none"/>
          <w:lang w:val="en-US" w:eastAsia="zh-CN"/>
        </w:rPr>
        <w:t xml:space="preserve"> ，</w:t>
      </w:r>
      <w:r>
        <w:rPr>
          <w:rFonts w:hint="default" w:ascii="Times New Roman" w:hAnsi="Times New Roman" w:eastAsia="宋体" w:cs="Times New Roman"/>
          <w:smallCaps w:val="0"/>
          <w:color w:val="auto"/>
          <w:spacing w:val="0"/>
          <w:w w:val="100"/>
          <w:sz w:val="30"/>
          <w:szCs w:val="30"/>
          <w:highlight w:val="none"/>
          <w:lang w:val="en-US" w:eastAsia="zh-CN"/>
        </w:rPr>
        <w:object>
          <v:shape id="_x0000_i1030" o:spt="75" type="#_x0000_t75" style="height:18.75pt;width:47.25pt;" o:ole="t" filled="f" o:preferrelative="t" stroked="f" coordsize="21600,21600">
            <v:path/>
            <v:fill on="f" focussize="0,0"/>
            <v:stroke on="f" joinstyle="miter"/>
            <v:imagedata r:id="rId51" o:title=""/>
            <o:lock v:ext="edit" aspectratio="t"/>
            <w10:wrap type="none"/>
            <w10:anchorlock/>
          </v:shape>
          <o:OLEObject Type="Embed" ProgID="Equation.DSMT4" ShapeID="_x0000_i1030" DrawAspect="Content" ObjectID="_1468075728" r:id="rId50">
            <o:LockedField>false</o:LockedField>
          </o:OLEObject>
        </w:object>
      </w:r>
      <w:r>
        <w:rPr>
          <w:rFonts w:hint="default" w:ascii="Times New Roman" w:hAnsi="Times New Roman" w:eastAsia="宋体" w:cs="Times New Roman"/>
          <w:smallCaps w:val="0"/>
          <w:color w:val="auto"/>
          <w:spacing w:val="0"/>
          <w:w w:val="100"/>
          <w:sz w:val="30"/>
          <w:szCs w:val="30"/>
          <w:highlight w:val="none"/>
          <w:lang w:val="en-US" w:eastAsia="zh-CN"/>
        </w:rPr>
        <w:t>；</w:t>
      </w:r>
    </w:p>
    <w:p w14:paraId="496559B5">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t=1/6～1h，</w:t>
      </w:r>
      <w:r>
        <w:rPr>
          <w:rFonts w:hint="default" w:ascii="Times New Roman" w:hAnsi="Times New Roman" w:eastAsia="宋体" w:cs="Times New Roman"/>
          <w:smallCaps w:val="0"/>
          <w:color w:val="auto"/>
          <w:spacing w:val="0"/>
          <w:w w:val="100"/>
          <w:sz w:val="30"/>
          <w:szCs w:val="30"/>
          <w:highlight w:val="none"/>
          <w:lang w:val="en-US" w:eastAsia="zh-CN"/>
        </w:rPr>
        <w:object>
          <v:shape id="_x0000_i1031" o:spt="75" type="#_x0000_t75" style="height:39pt;width:116.25pt;" o:ole="t" filled="f" o:preferrelative="t" stroked="f" coordsize="21600,21600">
            <v:path/>
            <v:fill on="f" focussize="0,0"/>
            <v:stroke on="f" joinstyle="miter"/>
            <v:imagedata r:id="rId53" o:title=""/>
            <o:lock v:ext="edit" aspectratio="t"/>
            <w10:wrap type="none"/>
            <w10:anchorlock/>
          </v:shape>
          <o:OLEObject Type="Embed" ProgID="Equation.DSMT4" ShapeID="_x0000_i1031" DrawAspect="Content" ObjectID="_1468075729" r:id="rId52">
            <o:LockedField>false</o:LockedField>
          </o:OLEObject>
        </w:object>
      </w:r>
      <w:r>
        <w:rPr>
          <w:rFonts w:hint="default" w:ascii="Times New Roman" w:hAnsi="Times New Roman" w:eastAsia="宋体" w:cs="Times New Roman"/>
          <w:smallCaps w:val="0"/>
          <w:color w:val="auto"/>
          <w:spacing w:val="0"/>
          <w:w w:val="100"/>
          <w:sz w:val="30"/>
          <w:szCs w:val="30"/>
          <w:highlight w:val="none"/>
          <w:lang w:val="en-US" w:eastAsia="zh-CN"/>
        </w:rPr>
        <w:t xml:space="preserve"> ，</w:t>
      </w:r>
      <w:r>
        <w:rPr>
          <w:rFonts w:hint="default" w:ascii="Times New Roman" w:hAnsi="Times New Roman" w:eastAsia="宋体" w:cs="Times New Roman"/>
          <w:smallCaps w:val="0"/>
          <w:color w:val="auto"/>
          <w:spacing w:val="0"/>
          <w:w w:val="100"/>
          <w:sz w:val="30"/>
          <w:szCs w:val="30"/>
          <w:highlight w:val="none"/>
          <w:lang w:val="en-US" w:eastAsia="zh-CN"/>
        </w:rPr>
        <w:object>
          <v:shape id="_x0000_i1032" o:spt="75" type="#_x0000_t75" style="height:33pt;width:90.75pt;" o:ole="t" filled="f" o:preferrelative="t" stroked="f" coordsize="21600,21600">
            <v:path/>
            <v:fill on="f" focussize="0,0"/>
            <v:stroke on="f" joinstyle="miter"/>
            <v:imagedata r:id="rId55" o:title=""/>
            <o:lock v:ext="edit" aspectratio="t"/>
            <w10:wrap type="none"/>
            <w10:anchorlock/>
          </v:shape>
          <o:OLEObject Type="Embed" ProgID="Equation.DSMT4" ShapeID="_x0000_i1032" DrawAspect="Content" ObjectID="_1468075730" r:id="rId54">
            <o:LockedField>false</o:LockedField>
          </o:OLEObject>
        </w:object>
      </w:r>
    </w:p>
    <w:p w14:paraId="44A470BD">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⑤单位汇流时间τ0、流域汇流时间τ</w:t>
      </w:r>
    </w:p>
    <w:p w14:paraId="2EECAEEC">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计算公式：</w:t>
      </w:r>
      <w:r>
        <w:rPr>
          <w:rFonts w:hint="default" w:ascii="Times New Roman" w:hAnsi="Times New Roman" w:eastAsia="宋体" w:cs="Times New Roman"/>
          <w:smallCaps w:val="0"/>
          <w:color w:val="auto"/>
          <w:spacing w:val="0"/>
          <w:w w:val="100"/>
          <w:sz w:val="30"/>
          <w:szCs w:val="30"/>
          <w:highlight w:val="none"/>
          <w:lang w:val="en-US" w:eastAsia="zh-CN"/>
        </w:rPr>
        <w:object>
          <v:shape id="_x0000_i1033" o:spt="75" type="#_x0000_t75" style="height:72.75pt;width:83.25pt;" o:ole="t" filled="f" o:preferrelative="t" stroked="f" coordsize="21600,21600">
            <v:path/>
            <v:fill on="f" focussize="0,0"/>
            <v:stroke on="f" joinstyle="miter"/>
            <v:imagedata r:id="rId57" o:title=""/>
            <o:lock v:ext="edit" aspectratio="t"/>
            <w10:wrap type="none"/>
            <w10:anchorlock/>
          </v:shape>
          <o:OLEObject Type="Embed" ProgID="Equation.DSMT4" ShapeID="_x0000_i1033" DrawAspect="Content" ObjectID="_1468075731" r:id="rId56">
            <o:LockedField>false</o:LockedField>
          </o:OLEObject>
        </w:object>
      </w:r>
      <w:r>
        <w:rPr>
          <w:rFonts w:hint="default"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val="en-US" w:eastAsia="zh-CN"/>
        </w:rPr>
        <w:object>
          <v:shape id="_x0000_i1034" o:spt="75" type="#_x0000_t75" style="height:26.25pt;width:54.75pt;" o:ole="t" filled="f" o:preferrelative="t" stroked="f" coordsize="21600,21600">
            <v:path/>
            <v:fill on="f" focussize="0,0"/>
            <v:stroke on="f" joinstyle="miter"/>
            <v:imagedata r:id="rId59" o:title=""/>
            <o:lock v:ext="edit" aspectratio="t"/>
            <w10:wrap type="none"/>
            <w10:anchorlock/>
          </v:shape>
          <o:OLEObject Type="Embed" ProgID="Equation.DSMT4" ShapeID="_x0000_i1034" DrawAspect="Content" ObjectID="_1468075732" r:id="rId58">
            <o:LockedField>false</o:LockedField>
          </o:OLEObject>
        </w:object>
      </w:r>
    </w:p>
    <w:p w14:paraId="00866A61">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⑥用推理公式计算出最大流量Q。</w:t>
      </w:r>
    </w:p>
    <w:p w14:paraId="31C15B35">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⑦核算。计算m′的值应与m值十分接近。</w:t>
      </w:r>
    </w:p>
    <w:p w14:paraId="05BC535D">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计算公式：</w:t>
      </w:r>
      <w:r>
        <w:rPr>
          <w:rFonts w:hint="default" w:ascii="Times New Roman" w:hAnsi="Times New Roman" w:eastAsia="宋体" w:cs="Times New Roman"/>
          <w:smallCaps w:val="0"/>
          <w:color w:val="auto"/>
          <w:spacing w:val="0"/>
          <w:w w:val="100"/>
          <w:sz w:val="30"/>
          <w:szCs w:val="30"/>
          <w:highlight w:val="none"/>
          <w:lang w:val="en-US" w:eastAsia="zh-CN"/>
        </w:rPr>
        <w:drawing>
          <wp:inline distT="0" distB="0" distL="114300" distR="114300">
            <wp:extent cx="882015" cy="421640"/>
            <wp:effectExtent l="0" t="0" r="13335" b="16510"/>
            <wp:docPr id="2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6"/>
                    <pic:cNvPicPr>
                      <a:picLocks noChangeAspect="1"/>
                    </pic:cNvPicPr>
                  </pic:nvPicPr>
                  <pic:blipFill>
                    <a:blip r:embed="rId60"/>
                    <a:stretch>
                      <a:fillRect/>
                    </a:stretch>
                  </pic:blipFill>
                  <pic:spPr>
                    <a:xfrm>
                      <a:off x="0" y="0"/>
                      <a:ext cx="882015" cy="421640"/>
                    </a:xfrm>
                    <a:prstGeom prst="rect">
                      <a:avLst/>
                    </a:prstGeom>
                    <a:noFill/>
                    <a:ln>
                      <a:noFill/>
                    </a:ln>
                  </pic:spPr>
                </pic:pic>
              </a:graphicData>
            </a:graphic>
          </wp:inline>
        </w:drawing>
      </w:r>
    </w:p>
    <w:p w14:paraId="0F78A937">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⑧计算成果</w:t>
      </w:r>
    </w:p>
    <w:p w14:paraId="21E4DFCC">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根据上述推理公式基本关系式及确定的各计算参数，</w:t>
      </w:r>
      <w:r>
        <w:rPr>
          <w:rFonts w:hint="eastAsia" w:ascii="Times New Roman" w:hAnsi="Times New Roman" w:eastAsia="宋体" w:cs="Times New Roman"/>
          <w:smallCaps w:val="0"/>
          <w:color w:val="auto"/>
          <w:spacing w:val="0"/>
          <w:w w:val="100"/>
          <w:sz w:val="30"/>
          <w:szCs w:val="30"/>
          <w:highlight w:val="none"/>
          <w:lang w:val="en-US" w:eastAsia="zh-CN"/>
        </w:rPr>
        <w:t>拦河坝</w:t>
      </w:r>
      <w:r>
        <w:rPr>
          <w:rFonts w:hint="default" w:ascii="Times New Roman" w:hAnsi="Times New Roman" w:eastAsia="宋体" w:cs="Times New Roman"/>
          <w:smallCaps w:val="0"/>
          <w:color w:val="auto"/>
          <w:spacing w:val="0"/>
          <w:w w:val="100"/>
          <w:sz w:val="30"/>
          <w:szCs w:val="30"/>
          <w:highlight w:val="none"/>
          <w:lang w:val="en-US" w:eastAsia="zh-CN"/>
        </w:rPr>
        <w:t>各频率设计洪水成果见</w:t>
      </w:r>
      <w:r>
        <w:rPr>
          <w:rFonts w:hint="eastAsia" w:ascii="Times New Roman" w:hAnsi="Times New Roman" w:eastAsia="宋体" w:cs="Times New Roman"/>
          <w:smallCaps w:val="0"/>
          <w:color w:val="auto"/>
          <w:spacing w:val="0"/>
          <w:w w:val="100"/>
          <w:sz w:val="30"/>
          <w:szCs w:val="30"/>
          <w:highlight w:val="none"/>
          <w:lang w:val="en-US" w:eastAsia="zh-CN"/>
        </w:rPr>
        <w:t>下</w:t>
      </w:r>
      <w:r>
        <w:rPr>
          <w:rFonts w:hint="default" w:ascii="Times New Roman" w:hAnsi="Times New Roman" w:eastAsia="宋体" w:cs="Times New Roman"/>
          <w:smallCaps w:val="0"/>
          <w:color w:val="auto"/>
          <w:spacing w:val="0"/>
          <w:w w:val="100"/>
          <w:sz w:val="30"/>
          <w:szCs w:val="30"/>
          <w:highlight w:val="none"/>
          <w:lang w:val="en-US" w:eastAsia="zh-CN"/>
        </w:rPr>
        <w:t>表。</w:t>
      </w:r>
    </w:p>
    <w:p w14:paraId="7AAB0B7C">
      <w:pPr>
        <w:pStyle w:val="73"/>
        <w:bidi w:val="0"/>
        <w:rPr>
          <w:rFonts w:hint="eastAsia"/>
          <w:color w:val="auto"/>
          <w:highlight w:val="none"/>
          <w:lang w:val="en-US" w:eastAsia="zh-CN"/>
        </w:rPr>
      </w:pPr>
      <w:r>
        <w:rPr>
          <w:rFonts w:hint="eastAsia"/>
          <w:color w:val="auto"/>
          <w:highlight w:val="none"/>
          <w:lang w:val="en-US" w:eastAsia="zh-CN"/>
        </w:rPr>
        <w:t>拦河坝各频率洪峰流量计算成果表</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5"/>
        <w:gridCol w:w="1851"/>
        <w:gridCol w:w="1656"/>
        <w:gridCol w:w="1153"/>
        <w:gridCol w:w="1357"/>
        <w:gridCol w:w="1845"/>
      </w:tblGrid>
      <w:tr w14:paraId="05E8B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8425F">
            <w:pPr>
              <w:pStyle w:val="72"/>
              <w:bidi w:val="0"/>
              <w:rPr>
                <w:rFonts w:hint="eastAsia" w:ascii="Times New Roman" w:hAnsi="Times New Roman" w:eastAsia="宋体" w:cs="宋体"/>
                <w:color w:val="auto"/>
                <w:highlight w:val="none"/>
              </w:rPr>
            </w:pPr>
            <w:r>
              <w:rPr>
                <w:rFonts w:hint="eastAsia" w:ascii="Times New Roman" w:hAnsi="Times New Roman" w:eastAsia="宋体" w:cs="宋体"/>
                <w:color w:val="auto"/>
                <w:highlight w:val="none"/>
                <w:lang w:val="en-US" w:eastAsia="zh-CN"/>
              </w:rPr>
              <w:t>工程断面</w:t>
            </w:r>
          </w:p>
        </w:tc>
        <w:tc>
          <w:tcPr>
            <w:tcW w:w="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F0274">
            <w:pPr>
              <w:pStyle w:val="72"/>
              <w:bidi w:val="0"/>
              <w:rPr>
                <w:rFonts w:hint="eastAsia" w:ascii="Times New Roman" w:hAnsi="Times New Roman" w:eastAsia="宋体" w:cs="宋体"/>
                <w:color w:val="auto"/>
                <w:highlight w:val="none"/>
              </w:rPr>
            </w:pPr>
            <w:r>
              <w:rPr>
                <w:rFonts w:hint="eastAsia" w:ascii="Times New Roman" w:hAnsi="Times New Roman" w:eastAsia="宋体" w:cs="宋体"/>
                <w:color w:val="auto"/>
                <w:highlight w:val="none"/>
                <w:lang w:val="en-US" w:eastAsia="zh-CN"/>
              </w:rPr>
              <w:t>集雨面积（</w:t>
            </w:r>
            <w:r>
              <w:rPr>
                <w:rFonts w:hint="default" w:ascii="Times New Roman" w:hAnsi="Times New Roman" w:eastAsia="宋体" w:cs="宋体"/>
                <w:color w:val="auto"/>
                <w:highlight w:val="none"/>
                <w:lang w:val="en-US" w:eastAsia="zh-CN"/>
              </w:rPr>
              <w:t>km</w:t>
            </w:r>
            <w:r>
              <w:rPr>
                <w:rFonts w:hint="eastAsia" w:ascii="Times New Roman" w:hAnsi="Times New Roman" w:eastAsia="宋体" w:cs="宋体"/>
                <w:color w:val="auto"/>
                <w:highlight w:val="none"/>
                <w:lang w:val="en-US" w:eastAsia="zh-CN"/>
              </w:rPr>
              <w:t>²）</w:t>
            </w:r>
          </w:p>
        </w:tc>
        <w:tc>
          <w:tcPr>
            <w:tcW w:w="8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378D0">
            <w:pPr>
              <w:pStyle w:val="72"/>
              <w:bidi w:val="0"/>
              <w:rPr>
                <w:rFonts w:hint="eastAsia" w:ascii="Times New Roman" w:hAnsi="Times New Roman" w:eastAsia="宋体" w:cs="宋体"/>
                <w:color w:val="auto"/>
                <w:highlight w:val="none"/>
                <w:lang w:val="en-US" w:eastAsia="zh-CN"/>
              </w:rPr>
            </w:pPr>
            <w:r>
              <w:rPr>
                <w:rFonts w:hint="eastAsia" w:ascii="Times New Roman" w:hAnsi="Times New Roman" w:eastAsia="宋体" w:cs="宋体"/>
                <w:color w:val="auto"/>
                <w:highlight w:val="none"/>
                <w:lang w:val="en-US" w:eastAsia="zh-CN"/>
              </w:rPr>
              <w:t>河流长度</w:t>
            </w:r>
          </w:p>
          <w:p w14:paraId="0831957E">
            <w:pPr>
              <w:pStyle w:val="72"/>
              <w:bidi w:val="0"/>
              <w:rPr>
                <w:rFonts w:hint="eastAsia" w:ascii="Times New Roman" w:hAnsi="Times New Roman" w:eastAsia="宋体" w:cs="宋体"/>
                <w:color w:val="auto"/>
                <w:highlight w:val="none"/>
              </w:rPr>
            </w:pPr>
            <w:r>
              <w:rPr>
                <w:rFonts w:hint="eastAsia" w:ascii="Times New Roman" w:hAnsi="Times New Roman" w:eastAsia="宋体" w:cs="宋体"/>
                <w:color w:val="auto"/>
                <w:highlight w:val="none"/>
                <w:lang w:val="en-US" w:eastAsia="zh-CN"/>
              </w:rPr>
              <w:t>（</w:t>
            </w:r>
            <w:r>
              <w:rPr>
                <w:rFonts w:hint="default" w:ascii="Times New Roman" w:hAnsi="Times New Roman" w:eastAsia="宋体" w:cs="宋体"/>
                <w:color w:val="auto"/>
                <w:highlight w:val="none"/>
                <w:lang w:val="en-US" w:eastAsia="zh-CN"/>
              </w:rPr>
              <w:t>km</w:t>
            </w:r>
            <w:r>
              <w:rPr>
                <w:rFonts w:hint="eastAsia" w:ascii="Times New Roman" w:hAnsi="Times New Roman" w:eastAsia="宋体" w:cs="宋体"/>
                <w:color w:val="auto"/>
                <w:highlight w:val="none"/>
                <w:lang w:val="en-US" w:eastAsia="zh-CN"/>
              </w:rPr>
              <w:t>）</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E30F8">
            <w:pPr>
              <w:pStyle w:val="72"/>
              <w:bidi w:val="0"/>
              <w:rPr>
                <w:rFonts w:hint="eastAsia" w:ascii="Times New Roman" w:hAnsi="Times New Roman" w:eastAsia="宋体" w:cs="宋体"/>
                <w:color w:val="auto"/>
                <w:highlight w:val="none"/>
                <w:lang w:val="en-US" w:eastAsia="zh-CN"/>
              </w:rPr>
            </w:pPr>
            <w:r>
              <w:rPr>
                <w:rFonts w:hint="eastAsia" w:ascii="Times New Roman" w:hAnsi="Times New Roman" w:eastAsia="宋体" w:cs="宋体"/>
                <w:color w:val="auto"/>
                <w:highlight w:val="none"/>
                <w:lang w:val="en-US" w:eastAsia="zh-CN"/>
              </w:rPr>
              <w:t>比降</w:t>
            </w:r>
          </w:p>
          <w:p w14:paraId="43C7530A">
            <w:pPr>
              <w:pStyle w:val="72"/>
              <w:bidi w:val="0"/>
              <w:rPr>
                <w:rFonts w:hint="eastAsia" w:ascii="Times New Roman" w:hAnsi="Times New Roman" w:eastAsia="宋体" w:cs="宋体"/>
                <w:color w:val="auto"/>
                <w:highlight w:val="none"/>
              </w:rPr>
            </w:pPr>
            <w:r>
              <w:rPr>
                <w:rFonts w:hint="eastAsia" w:ascii="Times New Roman" w:hAnsi="Times New Roman" w:eastAsia="宋体" w:cs="宋体"/>
                <w:color w:val="auto"/>
                <w:highlight w:val="none"/>
                <w:lang w:val="en-US" w:eastAsia="zh-CN"/>
              </w:rPr>
              <w:t>（</w:t>
            </w:r>
            <w:r>
              <w:rPr>
                <w:rFonts w:hint="default" w:ascii="Times New Roman" w:hAnsi="Times New Roman" w:eastAsia="宋体" w:cs="宋体"/>
                <w:color w:val="auto"/>
                <w:highlight w:val="none"/>
                <w:lang w:val="en-US" w:eastAsia="zh-CN"/>
              </w:rPr>
              <w:t>‰</w:t>
            </w:r>
            <w:r>
              <w:rPr>
                <w:rFonts w:hint="eastAsia" w:ascii="Times New Roman" w:hAnsi="Times New Roman" w:eastAsia="宋体" w:cs="宋体"/>
                <w:color w:val="auto"/>
                <w:highlight w:val="none"/>
                <w:lang w:val="en-US" w:eastAsia="zh-CN"/>
              </w:rPr>
              <w:t>）</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57F6F">
            <w:pPr>
              <w:pStyle w:val="72"/>
              <w:bidi w:val="0"/>
              <w:rPr>
                <w:rFonts w:hint="eastAsia" w:ascii="Times New Roman" w:hAnsi="Times New Roman" w:eastAsia="宋体" w:cs="宋体"/>
                <w:color w:val="auto"/>
                <w:highlight w:val="none"/>
              </w:rPr>
            </w:pPr>
            <w:r>
              <w:rPr>
                <w:rFonts w:hint="eastAsia" w:ascii="Times New Roman" w:hAnsi="Times New Roman" w:eastAsia="宋体" w:cs="宋体"/>
                <w:color w:val="auto"/>
                <w:highlight w:val="none"/>
                <w:lang w:val="en-US" w:eastAsia="zh-CN"/>
              </w:rPr>
              <w:t>频率</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1F5E8">
            <w:pPr>
              <w:pStyle w:val="72"/>
              <w:bidi w:val="0"/>
              <w:rPr>
                <w:rFonts w:hint="eastAsia" w:ascii="Times New Roman" w:hAnsi="Times New Roman" w:eastAsia="宋体" w:cs="宋体"/>
                <w:color w:val="auto"/>
                <w:highlight w:val="none"/>
              </w:rPr>
            </w:pPr>
            <w:r>
              <w:rPr>
                <w:rFonts w:hint="eastAsia" w:ascii="Times New Roman" w:hAnsi="Times New Roman" w:eastAsia="宋体" w:cs="宋体"/>
                <w:color w:val="auto"/>
                <w:highlight w:val="none"/>
                <w:lang w:val="en-US" w:eastAsia="zh-CN"/>
              </w:rPr>
              <w:t>设计流量（</w:t>
            </w:r>
            <w:r>
              <w:rPr>
                <w:rFonts w:hint="default" w:ascii="Times New Roman" w:hAnsi="Times New Roman" w:eastAsia="宋体" w:cs="宋体"/>
                <w:color w:val="auto"/>
                <w:highlight w:val="none"/>
                <w:lang w:val="en-US" w:eastAsia="zh-CN"/>
              </w:rPr>
              <w:t>m³/s</w:t>
            </w:r>
            <w:r>
              <w:rPr>
                <w:rFonts w:hint="eastAsia" w:ascii="Times New Roman" w:hAnsi="Times New Roman" w:eastAsia="宋体" w:cs="宋体"/>
                <w:color w:val="auto"/>
                <w:highlight w:val="none"/>
                <w:lang w:val="en-US" w:eastAsia="zh-CN"/>
              </w:rPr>
              <w:t>）</w:t>
            </w:r>
          </w:p>
        </w:tc>
      </w:tr>
      <w:tr w14:paraId="2752A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6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052C5">
            <w:pPr>
              <w:pStyle w:val="72"/>
              <w:bidi w:val="0"/>
              <w:rPr>
                <w:rFonts w:hint="default" w:ascii="Times New Roman" w:hAnsi="Times New Roman" w:eastAsia="宋体" w:cs="宋体"/>
                <w:color w:val="auto"/>
                <w:highlight w:val="none"/>
              </w:rPr>
            </w:pPr>
            <w:r>
              <w:rPr>
                <w:rFonts w:hint="eastAsia" w:ascii="Times New Roman" w:hAnsi="Times New Roman" w:eastAsia="宋体" w:cs="宋体"/>
                <w:color w:val="auto"/>
                <w:highlight w:val="none"/>
                <w:lang w:val="en-US" w:eastAsia="zh-CN"/>
              </w:rPr>
              <w:t>拦河坝</w:t>
            </w:r>
          </w:p>
        </w:tc>
        <w:tc>
          <w:tcPr>
            <w:tcW w:w="99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1278E">
            <w:pPr>
              <w:pStyle w:val="72"/>
              <w:bidi w:val="0"/>
              <w:rPr>
                <w:rFonts w:hint="default" w:ascii="Times New Roman" w:hAnsi="Times New Roman" w:eastAsia="宋体" w:cs="宋体"/>
                <w:color w:val="auto"/>
                <w:highlight w:val="none"/>
                <w:lang w:val="en-US"/>
              </w:rPr>
            </w:pPr>
            <w:r>
              <w:rPr>
                <w:rFonts w:hint="eastAsia" w:ascii="Times New Roman" w:hAnsi="Times New Roman" w:eastAsia="宋体" w:cs="宋体"/>
                <w:color w:val="auto"/>
                <w:highlight w:val="none"/>
                <w:lang w:val="en-US" w:eastAsia="zh-CN"/>
              </w:rPr>
              <w:t>7.58</w:t>
            </w:r>
          </w:p>
        </w:tc>
        <w:tc>
          <w:tcPr>
            <w:tcW w:w="89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C90C8">
            <w:pPr>
              <w:pStyle w:val="72"/>
              <w:bidi w:val="0"/>
              <w:rPr>
                <w:rFonts w:hint="default" w:ascii="Times New Roman" w:hAnsi="Times New Roman" w:eastAsia="宋体" w:cs="宋体"/>
                <w:color w:val="auto"/>
                <w:highlight w:val="none"/>
                <w:lang w:val="en-US"/>
              </w:rPr>
            </w:pPr>
            <w:r>
              <w:rPr>
                <w:rFonts w:hint="eastAsia" w:ascii="Times New Roman" w:hAnsi="Times New Roman" w:eastAsia="宋体" w:cs="宋体"/>
                <w:color w:val="auto"/>
                <w:highlight w:val="none"/>
                <w:lang w:val="en-US" w:eastAsia="zh-CN"/>
              </w:rPr>
              <w:t>5.99</w:t>
            </w:r>
          </w:p>
        </w:tc>
        <w:tc>
          <w:tcPr>
            <w:tcW w:w="62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7F4BB">
            <w:pPr>
              <w:pStyle w:val="72"/>
              <w:bidi w:val="0"/>
              <w:rPr>
                <w:rFonts w:hint="default" w:ascii="Times New Roman" w:hAnsi="Times New Roman" w:eastAsia="宋体" w:cs="宋体"/>
                <w:color w:val="auto"/>
                <w:highlight w:val="none"/>
                <w:lang w:val="en-US"/>
              </w:rPr>
            </w:pPr>
            <w:r>
              <w:rPr>
                <w:rFonts w:hint="eastAsia" w:ascii="Times New Roman" w:hAnsi="Times New Roman" w:eastAsia="宋体" w:cs="宋体"/>
                <w:color w:val="auto"/>
                <w:highlight w:val="none"/>
                <w:lang w:val="en-US" w:eastAsia="zh-CN"/>
              </w:rPr>
              <w:t>146.58</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13E65">
            <w:pPr>
              <w:pStyle w:val="72"/>
              <w:bidi w:val="0"/>
              <w:rPr>
                <w:rFonts w:hint="default" w:ascii="Times New Roman" w:hAnsi="Times New Roman" w:eastAsia="宋体" w:cs="宋体"/>
                <w:color w:val="auto"/>
                <w:highlight w:val="none"/>
              </w:rPr>
            </w:pPr>
            <w:r>
              <w:rPr>
                <w:rFonts w:hint="default" w:ascii="Times New Roman" w:hAnsi="Times New Roman" w:eastAsia="宋体" w:cs="宋体"/>
                <w:color w:val="auto"/>
                <w:highlight w:val="none"/>
                <w:lang w:val="en-US" w:eastAsia="zh-CN"/>
              </w:rPr>
              <w:t>P=5%</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F9EE1">
            <w:pPr>
              <w:keepNext w:val="0"/>
              <w:keepLines w:val="0"/>
              <w:widowControl/>
              <w:suppressLineNumbers w:val="0"/>
              <w:jc w:val="center"/>
              <w:textAlignment w:val="center"/>
              <w:rPr>
                <w:rFonts w:hint="default" w:ascii="Times New Roman" w:hAnsi="Times New Roman" w:eastAsia="宋体" w:cs="宋体"/>
                <w:color w:val="auto"/>
                <w:highlight w:val="none"/>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8.67</w:t>
            </w:r>
          </w:p>
        </w:tc>
      </w:tr>
      <w:tr w14:paraId="43214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E148B">
            <w:pPr>
              <w:pStyle w:val="72"/>
              <w:bidi w:val="0"/>
              <w:rPr>
                <w:rFonts w:hint="default" w:ascii="Times New Roman" w:hAnsi="Times New Roman" w:eastAsia="宋体" w:cs="宋体"/>
                <w:color w:val="auto"/>
                <w:highlight w:val="none"/>
              </w:rPr>
            </w:pPr>
          </w:p>
        </w:tc>
        <w:tc>
          <w:tcPr>
            <w:tcW w:w="9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CAA5A">
            <w:pPr>
              <w:pStyle w:val="72"/>
              <w:bidi w:val="0"/>
              <w:rPr>
                <w:rFonts w:hint="default" w:ascii="Times New Roman" w:hAnsi="Times New Roman" w:eastAsia="宋体" w:cs="宋体"/>
                <w:color w:val="auto"/>
                <w:highlight w:val="none"/>
              </w:rPr>
            </w:pPr>
          </w:p>
        </w:tc>
        <w:tc>
          <w:tcPr>
            <w:tcW w:w="8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4DFC7">
            <w:pPr>
              <w:pStyle w:val="72"/>
              <w:bidi w:val="0"/>
              <w:rPr>
                <w:rFonts w:hint="default" w:ascii="Times New Roman" w:hAnsi="Times New Roman" w:eastAsia="宋体" w:cs="宋体"/>
                <w:color w:val="auto"/>
                <w:highlight w:val="none"/>
              </w:rPr>
            </w:pPr>
          </w:p>
        </w:tc>
        <w:tc>
          <w:tcPr>
            <w:tcW w:w="6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A016C">
            <w:pPr>
              <w:pStyle w:val="72"/>
              <w:bidi w:val="0"/>
              <w:rPr>
                <w:rFonts w:hint="default" w:ascii="Times New Roman" w:hAnsi="Times New Roman" w:eastAsia="宋体" w:cs="宋体"/>
                <w:color w:val="auto"/>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80347">
            <w:pPr>
              <w:pStyle w:val="72"/>
              <w:bidi w:val="0"/>
              <w:rPr>
                <w:rFonts w:hint="default" w:ascii="Times New Roman" w:hAnsi="Times New Roman" w:eastAsia="宋体" w:cs="宋体"/>
                <w:color w:val="auto"/>
                <w:highlight w:val="none"/>
              </w:rPr>
            </w:pPr>
            <w:r>
              <w:rPr>
                <w:rFonts w:hint="default" w:ascii="Times New Roman" w:hAnsi="Times New Roman" w:eastAsia="宋体" w:cs="宋体"/>
                <w:color w:val="auto"/>
                <w:highlight w:val="none"/>
                <w:lang w:val="en-US" w:eastAsia="zh-CN"/>
              </w:rPr>
              <w:t>P=10%</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5531A">
            <w:pPr>
              <w:keepNext w:val="0"/>
              <w:keepLines w:val="0"/>
              <w:widowControl/>
              <w:suppressLineNumbers w:val="0"/>
              <w:jc w:val="center"/>
              <w:textAlignment w:val="center"/>
              <w:rPr>
                <w:rFonts w:hint="default" w:ascii="Times New Roman" w:hAnsi="Times New Roman" w:eastAsia="宋体" w:cs="宋体"/>
                <w:color w:val="auto"/>
                <w:highlight w:val="none"/>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7.05</w:t>
            </w:r>
          </w:p>
        </w:tc>
      </w:tr>
      <w:tr w14:paraId="17889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6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B2B8B">
            <w:pPr>
              <w:pStyle w:val="72"/>
              <w:bidi w:val="0"/>
              <w:rPr>
                <w:rFonts w:hint="default" w:ascii="Times New Roman" w:hAnsi="Times New Roman" w:eastAsia="宋体" w:cs="宋体"/>
                <w:color w:val="auto"/>
                <w:highlight w:val="none"/>
              </w:rPr>
            </w:pPr>
          </w:p>
        </w:tc>
        <w:tc>
          <w:tcPr>
            <w:tcW w:w="99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20F5B">
            <w:pPr>
              <w:pStyle w:val="72"/>
              <w:bidi w:val="0"/>
              <w:rPr>
                <w:rFonts w:hint="default" w:ascii="Times New Roman" w:hAnsi="Times New Roman" w:eastAsia="宋体" w:cs="宋体"/>
                <w:color w:val="auto"/>
                <w:highlight w:val="none"/>
              </w:rPr>
            </w:pPr>
          </w:p>
        </w:tc>
        <w:tc>
          <w:tcPr>
            <w:tcW w:w="8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A4553">
            <w:pPr>
              <w:pStyle w:val="72"/>
              <w:bidi w:val="0"/>
              <w:rPr>
                <w:rFonts w:hint="default" w:ascii="Times New Roman" w:hAnsi="Times New Roman" w:eastAsia="宋体" w:cs="宋体"/>
                <w:color w:val="auto"/>
                <w:highlight w:val="none"/>
              </w:rPr>
            </w:pPr>
          </w:p>
        </w:tc>
        <w:tc>
          <w:tcPr>
            <w:tcW w:w="6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CC4FB">
            <w:pPr>
              <w:pStyle w:val="72"/>
              <w:bidi w:val="0"/>
              <w:rPr>
                <w:rFonts w:hint="default" w:ascii="Times New Roman" w:hAnsi="Times New Roman" w:eastAsia="宋体" w:cs="宋体"/>
                <w:color w:val="auto"/>
                <w:highlight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9A377">
            <w:pPr>
              <w:pStyle w:val="72"/>
              <w:bidi w:val="0"/>
              <w:rPr>
                <w:rFonts w:hint="default" w:ascii="Times New Roman" w:hAnsi="Times New Roman" w:eastAsia="宋体" w:cs="宋体"/>
                <w:color w:val="auto"/>
                <w:highlight w:val="none"/>
              </w:rPr>
            </w:pPr>
            <w:r>
              <w:rPr>
                <w:rFonts w:hint="default" w:ascii="Times New Roman" w:hAnsi="Times New Roman" w:eastAsia="宋体" w:cs="宋体"/>
                <w:color w:val="auto"/>
                <w:highlight w:val="none"/>
                <w:lang w:val="en-US" w:eastAsia="zh-CN"/>
              </w:rPr>
              <w:t>P=20%</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5C8A7">
            <w:pPr>
              <w:keepNext w:val="0"/>
              <w:keepLines w:val="0"/>
              <w:widowControl/>
              <w:suppressLineNumbers w:val="0"/>
              <w:jc w:val="center"/>
              <w:textAlignment w:val="center"/>
              <w:rPr>
                <w:rFonts w:hint="default" w:ascii="Times New Roman" w:hAnsi="Times New Roman" w:eastAsia="宋体" w:cs="宋体"/>
                <w:color w:val="auto"/>
                <w:highlight w:val="none"/>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3.95</w:t>
            </w:r>
          </w:p>
        </w:tc>
      </w:tr>
    </w:tbl>
    <w:p w14:paraId="2B640EF8">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（3）地质情况</w:t>
      </w:r>
    </w:p>
    <w:p w14:paraId="6F29B2AF">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结合现场调查，拟建</w:t>
      </w:r>
      <w:r>
        <w:rPr>
          <w:rFonts w:hint="eastAsia" w:ascii="Times New Roman" w:hAnsi="Times New Roman" w:eastAsia="宋体" w:cs="Times New Roman"/>
          <w:smallCaps w:val="0"/>
          <w:color w:val="auto"/>
          <w:spacing w:val="0"/>
          <w:w w:val="100"/>
          <w:sz w:val="30"/>
          <w:szCs w:val="30"/>
          <w:highlight w:val="none"/>
          <w:lang w:val="en-US" w:eastAsia="zh-CN"/>
        </w:rPr>
        <w:t>拦河</w:t>
      </w:r>
      <w:r>
        <w:rPr>
          <w:rFonts w:hint="default" w:ascii="Times New Roman" w:hAnsi="Times New Roman" w:eastAsia="宋体" w:cs="Times New Roman"/>
          <w:smallCaps w:val="0"/>
          <w:color w:val="auto"/>
          <w:spacing w:val="0"/>
          <w:w w:val="100"/>
          <w:sz w:val="30"/>
          <w:szCs w:val="30"/>
          <w:highlight w:val="none"/>
          <w:lang w:val="en-US" w:eastAsia="zh-CN"/>
        </w:rPr>
        <w:t>坝场地位于山溪沟的顺直处，取水口处属高山峡谷河流地貌，沟谷段地面高程介于3</w:t>
      </w:r>
      <w:r>
        <w:rPr>
          <w:rFonts w:hint="eastAsia" w:ascii="Times New Roman" w:hAnsi="Times New Roman" w:eastAsia="宋体" w:cs="Times New Roman"/>
          <w:smallCaps w:val="0"/>
          <w:color w:val="auto"/>
          <w:spacing w:val="0"/>
          <w:w w:val="100"/>
          <w:sz w:val="30"/>
          <w:szCs w:val="30"/>
          <w:highlight w:val="none"/>
          <w:lang w:val="en-US" w:eastAsia="zh-CN"/>
        </w:rPr>
        <w:t>577.26</w:t>
      </w:r>
      <w:r>
        <w:rPr>
          <w:rFonts w:hint="default" w:ascii="Times New Roman" w:hAnsi="Times New Roman" w:eastAsia="宋体" w:cs="Times New Roman"/>
          <w:smallCaps w:val="0"/>
          <w:color w:val="auto"/>
          <w:spacing w:val="0"/>
          <w:w w:val="100"/>
          <w:sz w:val="30"/>
          <w:szCs w:val="30"/>
          <w:highlight w:val="no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3588.48</w:t>
      </w:r>
      <w:r>
        <w:rPr>
          <w:rFonts w:hint="default" w:ascii="Times New Roman" w:hAnsi="Times New Roman" w:eastAsia="宋体" w:cs="Times New Roman"/>
          <w:smallCaps w:val="0"/>
          <w:color w:val="auto"/>
          <w:spacing w:val="0"/>
          <w:w w:val="100"/>
          <w:sz w:val="30"/>
          <w:szCs w:val="30"/>
          <w:highlight w:val="none"/>
          <w:lang w:val="en-US" w:eastAsia="zh-CN"/>
        </w:rPr>
        <w:t>m之间,地势较为平坦，地形坡度小于10°，沟谷总体呈</w:t>
      </w:r>
      <w:r>
        <w:rPr>
          <w:rFonts w:hint="eastAsia" w:ascii="Times New Roman" w:hAnsi="Times New Roman" w:eastAsia="宋体" w:cs="Times New Roman"/>
          <w:smallCaps w:val="0"/>
          <w:color w:val="auto"/>
          <w:spacing w:val="0"/>
          <w:w w:val="100"/>
          <w:sz w:val="30"/>
          <w:szCs w:val="30"/>
          <w:highlight w:val="none"/>
          <w:lang w:val="en-US" w:eastAsia="zh-CN"/>
        </w:rPr>
        <w:t>北</w:t>
      </w:r>
      <w:r>
        <w:rPr>
          <w:rFonts w:hint="default" w:ascii="Times New Roman" w:hAnsi="Times New Roman" w:eastAsia="宋体" w:cs="Times New Roman"/>
          <w:smallCaps w:val="0"/>
          <w:color w:val="auto"/>
          <w:spacing w:val="0"/>
          <w:w w:val="100"/>
          <w:sz w:val="30"/>
          <w:szCs w:val="30"/>
          <w:highlight w:val="none"/>
          <w:lang w:val="en-US" w:eastAsia="zh-CN"/>
        </w:rPr>
        <w:t>高</w:t>
      </w:r>
      <w:r>
        <w:rPr>
          <w:rFonts w:hint="eastAsia" w:ascii="Times New Roman" w:hAnsi="Times New Roman" w:eastAsia="宋体" w:cs="Times New Roman"/>
          <w:smallCaps w:val="0"/>
          <w:color w:val="auto"/>
          <w:spacing w:val="0"/>
          <w:w w:val="100"/>
          <w:sz w:val="30"/>
          <w:szCs w:val="30"/>
          <w:highlight w:val="none"/>
          <w:lang w:val="en-US" w:eastAsia="zh-CN"/>
        </w:rPr>
        <w:t>南</w:t>
      </w:r>
      <w:r>
        <w:rPr>
          <w:rFonts w:hint="default" w:ascii="Times New Roman" w:hAnsi="Times New Roman" w:eastAsia="宋体" w:cs="Times New Roman"/>
          <w:smallCaps w:val="0"/>
          <w:color w:val="auto"/>
          <w:spacing w:val="0"/>
          <w:w w:val="100"/>
          <w:sz w:val="30"/>
          <w:szCs w:val="30"/>
          <w:highlight w:val="none"/>
          <w:lang w:val="en-US" w:eastAsia="zh-CN"/>
        </w:rPr>
        <w:t>低，沟谷两侧为峡谷斜坡</w:t>
      </w:r>
      <w:r>
        <w:rPr>
          <w:rFonts w:hint="eastAsia" w:ascii="Times New Roman" w:hAnsi="Times New Roman" w:eastAsia="宋体" w:cs="Times New Roman"/>
          <w:smallCaps w:val="0"/>
          <w:color w:val="auto"/>
          <w:spacing w:val="0"/>
          <w:w w:val="100"/>
          <w:sz w:val="30"/>
          <w:szCs w:val="30"/>
          <w:highlight w:val="none"/>
          <w:lang w:val="en-US" w:eastAsia="zh-CN"/>
        </w:rPr>
        <w:t>，</w:t>
      </w:r>
      <w:bookmarkStart w:id="184" w:name="OLE_LINK7"/>
      <w:bookmarkStart w:id="185" w:name="OLE_LINK6"/>
      <w:r>
        <w:rPr>
          <w:rFonts w:hint="eastAsia" w:ascii="Times New Roman" w:hAnsi="Times New Roman" w:eastAsia="宋体" w:cs="Times New Roman"/>
          <w:smallCaps w:val="0"/>
          <w:color w:val="auto"/>
          <w:spacing w:val="0"/>
          <w:w w:val="100"/>
          <w:sz w:val="30"/>
          <w:szCs w:val="30"/>
          <w:highlight w:val="none"/>
          <w:lang w:val="en-US" w:eastAsia="zh-CN"/>
        </w:rPr>
        <w:t>拦河坝区域主要出露有卵石（</w:t>
      </w:r>
      <w:r>
        <w:rPr>
          <w:rFonts w:hint="default" w:ascii="Times New Roman" w:hAnsi="Times New Roman" w:eastAsia="宋体" w:cs="Times New Roman"/>
          <w:smallCaps w:val="0"/>
          <w:color w:val="auto"/>
          <w:spacing w:val="0"/>
          <w:w w:val="100"/>
          <w:sz w:val="30"/>
          <w:szCs w:val="30"/>
          <w:highlight w:val="none"/>
          <w:lang w:val="en-US" w:eastAsia="zh-CN"/>
        </w:rPr>
        <w:t>Q</w:t>
      </w:r>
      <w:r>
        <w:rPr>
          <w:rFonts w:hint="default" w:ascii="Times New Roman" w:hAnsi="Times New Roman" w:eastAsia="宋体" w:cs="Times New Roman"/>
          <w:smallCaps w:val="0"/>
          <w:color w:val="auto"/>
          <w:spacing w:val="0"/>
          <w:w w:val="100"/>
          <w:sz w:val="30"/>
          <w:szCs w:val="30"/>
          <w:highlight w:val="none"/>
          <w:vertAlign w:val="superscript"/>
          <w:lang w:val="en-US" w:eastAsia="zh-CN"/>
        </w:rPr>
        <w:t>4</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al+pl</w:t>
      </w:r>
      <w:r>
        <w:rPr>
          <w:rFonts w:hint="default" w:ascii="Times New Roman" w:hAnsi="Times New Roman" w:eastAsia="宋体" w:cs="Times New Roman"/>
          <w:smallCaps w:val="0"/>
          <w:color w:val="auto"/>
          <w:spacing w:val="0"/>
          <w:w w:val="100"/>
          <w:sz w:val="30"/>
          <w:szCs w:val="30"/>
          <w:highlight w:val="no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，为稍密～中密状，厚度大，承载力高，可做拟建构筑物基础持力层</w:t>
      </w:r>
      <w:bookmarkEnd w:id="184"/>
      <w:bookmarkEnd w:id="185"/>
      <w:r>
        <w:rPr>
          <w:rFonts w:hint="default" w:ascii="Times New Roman" w:hAnsi="Times New Roman" w:eastAsia="宋体" w:cs="Times New Roman"/>
          <w:smallCaps w:val="0"/>
          <w:color w:val="auto"/>
          <w:spacing w:val="0"/>
          <w:w w:val="100"/>
          <w:sz w:val="30"/>
          <w:szCs w:val="30"/>
          <w:highlight w:val="none"/>
          <w:lang w:val="en-US" w:eastAsia="zh-CN"/>
        </w:rPr>
        <w:t>。</w:t>
      </w:r>
    </w:p>
    <w:p w14:paraId="03866F00">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（4）水力计算</w:t>
      </w:r>
    </w:p>
    <w:p w14:paraId="302D134F">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拦河坝的</w:t>
      </w:r>
      <w:r>
        <w:rPr>
          <w:rFonts w:hint="default" w:ascii="Times New Roman" w:hAnsi="Times New Roman" w:eastAsia="宋体" w:cs="Times New Roman"/>
          <w:smallCaps w:val="0"/>
          <w:color w:val="auto"/>
          <w:spacing w:val="0"/>
          <w:w w:val="100"/>
          <w:sz w:val="30"/>
          <w:szCs w:val="30"/>
          <w:highlight w:val="none"/>
          <w:lang w:val="en-US" w:eastAsia="zh-CN"/>
        </w:rPr>
        <w:t>泄流能力计算</w:t>
      </w:r>
      <w:r>
        <w:rPr>
          <w:rFonts w:hint="eastAsia" w:ascii="Times New Roman" w:hAnsi="Times New Roman" w:eastAsia="宋体" w:cs="Times New Roman"/>
          <w:smallCaps w:val="0"/>
          <w:color w:val="auto"/>
          <w:spacing w:val="0"/>
          <w:w w:val="100"/>
          <w:sz w:val="30"/>
          <w:szCs w:val="30"/>
          <w:highlight w:val="none"/>
          <w:lang w:val="en-US" w:eastAsia="zh-CN"/>
        </w:rPr>
        <w:t>如下式：</w:t>
      </w:r>
    </w:p>
    <w:p w14:paraId="4DD44A74">
      <w:pPr>
        <w:kinsoku/>
        <w:spacing w:before="43" w:line="375" w:lineRule="auto"/>
        <w:ind w:left="41" w:firstLine="600"/>
        <w:jc w:val="center"/>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drawing>
          <wp:inline distT="0" distB="0" distL="114300" distR="114300">
            <wp:extent cx="1752600" cy="368300"/>
            <wp:effectExtent l="0" t="0" r="0" b="12700"/>
            <wp:docPr id="2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4"/>
                    <pic:cNvPicPr>
                      <a:picLocks noChangeAspect="1"/>
                    </pic:cNvPicPr>
                  </pic:nvPicPr>
                  <pic:blipFill>
                    <a:blip r:embed="rId61"/>
                    <a:srcRect t="21088"/>
                    <a:stretch>
                      <a:fillRect/>
                    </a:stretch>
                  </pic:blipFill>
                  <pic:spPr>
                    <a:xfrm>
                      <a:off x="0" y="0"/>
                      <a:ext cx="1752600" cy="368300"/>
                    </a:xfrm>
                    <a:prstGeom prst="rect">
                      <a:avLst/>
                    </a:prstGeom>
                    <a:noFill/>
                    <a:ln>
                      <a:noFill/>
                    </a:ln>
                  </pic:spPr>
                </pic:pic>
              </a:graphicData>
            </a:graphic>
          </wp:inline>
        </w:drawing>
      </w:r>
    </w:p>
    <w:p w14:paraId="584FFFD1">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式中：Q—流量，m3/s；</w:t>
      </w:r>
    </w:p>
    <w:p w14:paraId="3B9FD9FD">
      <w:pPr>
        <w:kinsoku/>
        <w:spacing w:before="43" w:line="375" w:lineRule="auto"/>
        <w:ind w:firstLine="1500" w:firstLineChars="5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B—总净宽，m，取13.60m；</w:t>
      </w:r>
    </w:p>
    <w:p w14:paraId="231213DD">
      <w:pPr>
        <w:kinsoku/>
        <w:spacing w:before="43" w:line="375" w:lineRule="auto"/>
        <w:ind w:left="41" w:firstLine="1452" w:firstLineChars="484"/>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ε—侧收缩系数；</w:t>
      </w:r>
    </w:p>
    <w:p w14:paraId="6D6460E3">
      <w:pPr>
        <w:kinsoku/>
        <w:spacing w:before="43" w:line="375" w:lineRule="auto"/>
        <w:ind w:left="41" w:firstLine="1452" w:firstLineChars="484"/>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σ—淹没系数；</w:t>
      </w:r>
    </w:p>
    <w:p w14:paraId="4EEA717C">
      <w:pPr>
        <w:kinsoku/>
        <w:spacing w:before="43" w:line="375" w:lineRule="auto"/>
        <w:ind w:left="41" w:firstLine="1452" w:firstLineChars="484"/>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 xml:space="preserve">m—流量系数，取0.4； </w:t>
      </w:r>
    </w:p>
    <w:p w14:paraId="4BBDADD9">
      <w:pPr>
        <w:kinsoku/>
        <w:spacing w:before="43" w:line="375" w:lineRule="auto"/>
        <w:ind w:left="41" w:firstLine="1452" w:firstLineChars="484"/>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g—重力加速度，取9.81m/s</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2</w:t>
      </w:r>
      <w:r>
        <w:rPr>
          <w:rFonts w:hint="eastAsia" w:ascii="Times New Roman" w:hAnsi="Times New Roman" w:eastAsia="宋体" w:cs="Times New Roman"/>
          <w:smallCaps w:val="0"/>
          <w:color w:val="auto"/>
          <w:spacing w:val="0"/>
          <w:w w:val="100"/>
          <w:sz w:val="30"/>
          <w:szCs w:val="30"/>
          <w:highlight w:val="none"/>
          <w:lang w:val="en-US" w:eastAsia="zh-CN"/>
        </w:rPr>
        <w:t>；</w:t>
      </w:r>
    </w:p>
    <w:p w14:paraId="273771AF">
      <w:pPr>
        <w:kinsoku/>
        <w:spacing w:before="43" w:line="375" w:lineRule="auto"/>
        <w:ind w:left="41" w:firstLine="1452" w:firstLineChars="484"/>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H</w:t>
      </w:r>
      <w:r>
        <w:rPr>
          <w:rFonts w:hint="eastAsia" w:ascii="Times New Roman" w:hAnsi="Times New Roman" w:eastAsia="宋体" w:cs="Times New Roman"/>
          <w:smallCaps w:val="0"/>
          <w:color w:val="auto"/>
          <w:spacing w:val="0"/>
          <w:w w:val="100"/>
          <w:sz w:val="30"/>
          <w:szCs w:val="30"/>
          <w:highlight w:val="none"/>
          <w:vertAlign w:val="subscript"/>
          <w:lang w:val="en-US" w:eastAsia="zh-CN"/>
        </w:rPr>
        <w:t>0</w:t>
      </w:r>
      <w:r>
        <w:rPr>
          <w:rFonts w:hint="eastAsia" w:ascii="Times New Roman" w:hAnsi="Times New Roman" w:eastAsia="宋体" w:cs="Times New Roman"/>
          <w:smallCaps w:val="0"/>
          <w:color w:val="auto"/>
          <w:spacing w:val="0"/>
          <w:w w:val="100"/>
          <w:sz w:val="30"/>
          <w:szCs w:val="30"/>
          <w:highlight w:val="none"/>
          <w:lang w:val="en-US" w:eastAsia="zh-CN"/>
        </w:rPr>
        <w:t>—计入流速水头的堰上总水头，m。</w:t>
      </w:r>
    </w:p>
    <w:p w14:paraId="6A87F364">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结合工程河段实际情况，十年一遇最大洪峰流量为7.05m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3</w:t>
      </w:r>
      <w:r>
        <w:rPr>
          <w:rFonts w:hint="eastAsia" w:ascii="Times New Roman" w:hAnsi="Times New Roman" w:eastAsia="宋体" w:cs="Times New Roman"/>
          <w:smallCaps w:val="0"/>
          <w:color w:val="auto"/>
          <w:spacing w:val="0"/>
          <w:w w:val="100"/>
          <w:sz w:val="30"/>
          <w:szCs w:val="30"/>
          <w:highlight w:val="none"/>
          <w:lang w:val="en-US" w:eastAsia="zh-CN"/>
        </w:rPr>
        <w:t>/s时，拦水坝堰上水深为0.56m；二十年一遇最大洪峰流量为8.67m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3</w:t>
      </w:r>
      <w:r>
        <w:rPr>
          <w:rFonts w:hint="eastAsia" w:ascii="Times New Roman" w:hAnsi="Times New Roman" w:eastAsia="宋体" w:cs="Times New Roman"/>
          <w:smallCaps w:val="0"/>
          <w:color w:val="auto"/>
          <w:spacing w:val="0"/>
          <w:w w:val="100"/>
          <w:sz w:val="30"/>
          <w:szCs w:val="30"/>
          <w:highlight w:val="none"/>
          <w:lang w:val="en-US" w:eastAsia="zh-CN"/>
        </w:rPr>
        <w:t>/s时，拦水坝堰上水深为0.62m。</w:t>
      </w:r>
    </w:p>
    <w:p w14:paraId="029B6DAC">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p>
    <w:p w14:paraId="7BE6550E">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val="en-US" w:eastAsia="zh-CN"/>
        </w:rPr>
        <w:t>）结构布置</w:t>
      </w:r>
    </w:p>
    <w:p w14:paraId="6E3C06B9">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坝轴线长17.80m，上游面坝顶高程3580.70m，坝顶宽1.0m，坝总高2.8m（挡水深度1.20m）；坝面向下游设置消力坎，砍高30cm，砍宽30cm，坝上设置冲沙闸（100×120cm）1套；坝上游设置40cm厚C25F200砼铺盖，铺盖表面高程3580.70m；坝下游设置消力池，池底板高程3580.30m，池底布置Ф50mm排水孔，间距1.0m；消力池底板与坝主体相接处设置B-280-10橡胶止水；在坝上下游新建C25F200砼挡墙护岸。</w:t>
      </w:r>
    </w:p>
    <w:p w14:paraId="603CDA2E">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拦水坝均置于基岩之上，基础埋深为</w:t>
      </w:r>
      <w:r>
        <w:rPr>
          <w:rFonts w:hint="eastAsia" w:ascii="Times New Roman" w:hAnsi="Times New Roman" w:eastAsia="宋体" w:cs="Times New Roman"/>
          <w:smallCaps w:val="0"/>
          <w:color w:val="auto"/>
          <w:spacing w:val="0"/>
          <w:w w:val="100"/>
          <w:sz w:val="30"/>
          <w:szCs w:val="30"/>
          <w:highlight w:val="none"/>
          <w:lang w:val="en-US" w:eastAsia="zh-CN"/>
        </w:rPr>
        <w:t>1.6</w:t>
      </w:r>
      <w:r>
        <w:rPr>
          <w:rFonts w:hint="default" w:ascii="Times New Roman" w:hAnsi="Times New Roman" w:eastAsia="宋体" w:cs="Times New Roman"/>
          <w:smallCaps w:val="0"/>
          <w:color w:val="auto"/>
          <w:spacing w:val="0"/>
          <w:w w:val="100"/>
          <w:sz w:val="30"/>
          <w:szCs w:val="30"/>
          <w:highlight w:val="none"/>
          <w:lang w:val="en-US" w:eastAsia="zh-CN"/>
        </w:rPr>
        <w:t>m，前后设置齿墙，通过autobank进行验算，渗透稳定满足要求。</w:t>
      </w:r>
    </w:p>
    <w:p w14:paraId="53E7BC70">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坝体稳定按照《混凝土重力坝设计规范》（SL319-2018）的规定的计算公式和方法进行计算。</w:t>
      </w:r>
    </w:p>
    <w:p w14:paraId="1C4E0E16">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86" w:name="_Toc7720"/>
      <w:r>
        <w:rPr>
          <w:rFonts w:hint="default" w:ascii="Times New Roman" w:hAnsi="Times New Roman" w:eastAsia="宋体" w:cs="Times New Roman"/>
          <w:smallCaps w:val="0"/>
          <w:color w:val="auto"/>
          <w:spacing w:val="0"/>
          <w:w w:val="100"/>
          <w:sz w:val="30"/>
          <w:szCs w:val="30"/>
          <w:highlight w:val="none"/>
          <w:lang w:val="en-US" w:eastAsia="zh-CN"/>
        </w:rPr>
        <w:t>a.坝基截面垂直应力计算公式</w:t>
      </w:r>
      <w:bookmarkEnd w:id="186"/>
    </w:p>
    <w:p w14:paraId="4E4E7600">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drawing>
          <wp:inline distT="0" distB="0" distL="114300" distR="114300">
            <wp:extent cx="1295400" cy="619125"/>
            <wp:effectExtent l="0" t="0" r="0" b="0"/>
            <wp:docPr id="43"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2"/>
                    <pic:cNvPicPr>
                      <a:picLocks noChangeAspect="1"/>
                    </pic:cNvPicPr>
                  </pic:nvPicPr>
                  <pic:blipFill>
                    <a:blip r:embed="rId62">
                      <a:clrChange>
                        <a:clrFrom>
                          <a:srgbClr val="FFFFFF"/>
                        </a:clrFrom>
                        <a:clrTo>
                          <a:srgbClr val="FFFFFF">
                            <a:alpha val="0"/>
                          </a:srgbClr>
                        </a:clrTo>
                      </a:clrChange>
                    </a:blip>
                    <a:stretch>
                      <a:fillRect/>
                    </a:stretch>
                  </pic:blipFill>
                  <pic:spPr>
                    <a:xfrm>
                      <a:off x="0" y="0"/>
                      <a:ext cx="1295400" cy="619125"/>
                    </a:xfrm>
                    <a:prstGeom prst="rect">
                      <a:avLst/>
                    </a:prstGeom>
                    <a:noFill/>
                    <a:ln>
                      <a:noFill/>
                    </a:ln>
                  </pic:spPr>
                </pic:pic>
              </a:graphicData>
            </a:graphic>
          </wp:inline>
        </w:drawing>
      </w:r>
    </w:p>
    <w:p w14:paraId="6A02AFDE">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87" w:name="_Toc15229"/>
      <w:r>
        <w:rPr>
          <w:rFonts w:hint="default" w:ascii="Times New Roman" w:hAnsi="Times New Roman" w:eastAsia="宋体" w:cs="Times New Roman"/>
          <w:smallCaps w:val="0"/>
          <w:color w:val="auto"/>
          <w:spacing w:val="0"/>
          <w:w w:val="100"/>
          <w:sz w:val="30"/>
          <w:szCs w:val="30"/>
          <w:highlight w:val="none"/>
          <w:lang w:val="en-US" w:eastAsia="zh-CN"/>
        </w:rPr>
        <w:t>式中：</w:t>
      </w:r>
      <w:bookmarkEnd w:id="187"/>
    </w:p>
    <w:p w14:paraId="2081FF05">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88" w:name="_Toc22422"/>
      <w:r>
        <w:rPr>
          <w:rFonts w:hint="default" w:ascii="Times New Roman" w:hAnsi="Times New Roman" w:eastAsia="宋体" w:cs="Times New Roman"/>
          <w:smallCaps w:val="0"/>
          <w:color w:val="auto"/>
          <w:spacing w:val="0"/>
          <w:w w:val="100"/>
          <w:sz w:val="30"/>
          <w:szCs w:val="30"/>
          <w:highlight w:val="none"/>
          <w:lang w:val="en-US" w:eastAsia="zh-CN"/>
        </w:rPr>
        <w:t>σy——坝基截面垂直应力，kPa；</w:t>
      </w:r>
      <w:bookmarkEnd w:id="188"/>
    </w:p>
    <w:p w14:paraId="134E7A85">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89" w:name="_Toc698"/>
      <w:r>
        <w:rPr>
          <w:rFonts w:hint="default" w:ascii="Times New Roman" w:hAnsi="Times New Roman" w:eastAsia="宋体" w:cs="Times New Roman"/>
          <w:smallCaps w:val="0"/>
          <w:color w:val="auto"/>
          <w:spacing w:val="0"/>
          <w:w w:val="100"/>
          <w:sz w:val="30"/>
          <w:szCs w:val="30"/>
          <w:highlight w:val="none"/>
          <w:lang w:val="en-US" w:eastAsia="zh-CN"/>
        </w:rPr>
        <w:t>∑W——作用于坝段上或1m坝长上全部荷载在坝基截面上法相力的总和，kN；</w:t>
      </w:r>
      <w:bookmarkEnd w:id="189"/>
    </w:p>
    <w:p w14:paraId="04130FD8">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90" w:name="_Toc19124"/>
      <w:r>
        <w:rPr>
          <w:rFonts w:hint="default" w:ascii="Times New Roman" w:hAnsi="Times New Roman" w:eastAsia="宋体" w:cs="Times New Roman"/>
          <w:smallCaps w:val="0"/>
          <w:color w:val="auto"/>
          <w:spacing w:val="0"/>
          <w:w w:val="100"/>
          <w:sz w:val="30"/>
          <w:szCs w:val="30"/>
          <w:highlight w:val="none"/>
          <w:lang w:val="en-US" w:eastAsia="zh-CN"/>
        </w:rPr>
        <w:t>∑M——作用于坝段上或1m坝长上全部荷载对坝基截面形心轴的力矩总和，kN；</w:t>
      </w:r>
      <w:bookmarkEnd w:id="190"/>
    </w:p>
    <w:p w14:paraId="384F50B1">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91" w:name="_Toc32645"/>
      <w:r>
        <w:rPr>
          <w:rFonts w:hint="default" w:ascii="Times New Roman" w:hAnsi="Times New Roman" w:eastAsia="宋体" w:cs="Times New Roman"/>
          <w:smallCaps w:val="0"/>
          <w:color w:val="auto"/>
          <w:spacing w:val="0"/>
          <w:w w:val="100"/>
          <w:sz w:val="30"/>
          <w:szCs w:val="30"/>
          <w:highlight w:val="none"/>
          <w:lang w:val="en-US" w:eastAsia="zh-CN"/>
        </w:rPr>
        <w:t>A ——坝段或1m坝长的坝基截面面积，m²；</w:t>
      </w:r>
      <w:bookmarkEnd w:id="191"/>
    </w:p>
    <w:p w14:paraId="4272E94B">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92" w:name="_Toc16388"/>
      <w:r>
        <w:rPr>
          <w:rFonts w:hint="default" w:ascii="Times New Roman" w:hAnsi="Times New Roman" w:eastAsia="宋体" w:cs="Times New Roman"/>
          <w:smallCaps w:val="0"/>
          <w:color w:val="auto"/>
          <w:spacing w:val="0"/>
          <w:w w:val="100"/>
          <w:sz w:val="30"/>
          <w:szCs w:val="30"/>
          <w:highlight w:val="none"/>
          <w:lang w:val="en-US" w:eastAsia="zh-CN"/>
        </w:rPr>
        <w:t>x ——坝基截面上计算点到形心轴的距离，m；</w:t>
      </w:r>
      <w:bookmarkEnd w:id="192"/>
    </w:p>
    <w:p w14:paraId="284BFED0">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93" w:name="_Toc4644"/>
      <w:r>
        <w:rPr>
          <w:rFonts w:hint="default" w:ascii="Times New Roman" w:hAnsi="Times New Roman" w:eastAsia="宋体" w:cs="Times New Roman"/>
          <w:smallCaps w:val="0"/>
          <w:color w:val="auto"/>
          <w:spacing w:val="0"/>
          <w:w w:val="100"/>
          <w:sz w:val="30"/>
          <w:szCs w:val="30"/>
          <w:highlight w:val="none"/>
          <w:lang w:val="en-US" w:eastAsia="zh-CN"/>
        </w:rPr>
        <w:t>J ——坝段或1m坝长的坝基截面对形心轴的惯性矩，m4</w:t>
      </w:r>
      <w:bookmarkEnd w:id="193"/>
    </w:p>
    <w:p w14:paraId="60368040">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b.坝基面抗滑稳定计算公式：</w:t>
      </w:r>
    </w:p>
    <w:p w14:paraId="5DE98B9B">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drawing>
          <wp:inline distT="0" distB="0" distL="114300" distR="114300">
            <wp:extent cx="676275" cy="619125"/>
            <wp:effectExtent l="0" t="0" r="9525" b="0"/>
            <wp:docPr id="44"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3"/>
                    <pic:cNvPicPr>
                      <a:picLocks noChangeAspect="1"/>
                    </pic:cNvPicPr>
                  </pic:nvPicPr>
                  <pic:blipFill>
                    <a:blip r:embed="rId63">
                      <a:clrChange>
                        <a:clrFrom>
                          <a:srgbClr val="FFFFFF"/>
                        </a:clrFrom>
                        <a:clrTo>
                          <a:srgbClr val="FFFFFF">
                            <a:alpha val="0"/>
                          </a:srgbClr>
                        </a:clrTo>
                      </a:clrChange>
                    </a:blip>
                    <a:stretch>
                      <a:fillRect/>
                    </a:stretch>
                  </pic:blipFill>
                  <pic:spPr>
                    <a:xfrm>
                      <a:off x="0" y="0"/>
                      <a:ext cx="676275" cy="619125"/>
                    </a:xfrm>
                    <a:prstGeom prst="rect">
                      <a:avLst/>
                    </a:prstGeom>
                    <a:noFill/>
                    <a:ln>
                      <a:noFill/>
                    </a:ln>
                  </pic:spPr>
                </pic:pic>
              </a:graphicData>
            </a:graphic>
          </wp:inline>
        </w:drawing>
      </w:r>
    </w:p>
    <w:p w14:paraId="2C693D6E">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94" w:name="_Toc27368"/>
      <w:r>
        <w:rPr>
          <w:rFonts w:hint="default" w:ascii="Times New Roman" w:hAnsi="Times New Roman" w:eastAsia="宋体" w:cs="Times New Roman"/>
          <w:smallCaps w:val="0"/>
          <w:color w:val="auto"/>
          <w:spacing w:val="0"/>
          <w:w w:val="100"/>
          <w:sz w:val="30"/>
          <w:szCs w:val="30"/>
          <w:highlight w:val="none"/>
          <w:lang w:val="en-US" w:eastAsia="zh-CN"/>
        </w:rPr>
        <w:t>式中：</w:t>
      </w:r>
      <w:bookmarkEnd w:id="194"/>
    </w:p>
    <w:p w14:paraId="335A33CF">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95" w:name="_Toc31459"/>
      <w:r>
        <w:rPr>
          <w:rFonts w:hint="default" w:ascii="Times New Roman" w:hAnsi="Times New Roman" w:eastAsia="宋体" w:cs="Times New Roman"/>
          <w:smallCaps w:val="0"/>
          <w:color w:val="auto"/>
          <w:spacing w:val="0"/>
          <w:w w:val="100"/>
          <w:sz w:val="30"/>
          <w:szCs w:val="30"/>
          <w:highlight w:val="none"/>
          <w:lang w:val="en-US" w:eastAsia="zh-CN"/>
        </w:rPr>
        <w:t>K——按抗剪强度公式计算的抗滑稳定安全系数；</w:t>
      </w:r>
      <w:bookmarkEnd w:id="195"/>
    </w:p>
    <w:p w14:paraId="7E431665">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96" w:name="_Toc2657"/>
      <w:r>
        <w:rPr>
          <w:rFonts w:hint="default" w:ascii="Times New Roman" w:hAnsi="Times New Roman" w:eastAsia="宋体" w:cs="Times New Roman"/>
          <w:smallCaps w:val="0"/>
          <w:color w:val="auto"/>
          <w:spacing w:val="0"/>
          <w:w w:val="100"/>
          <w:sz w:val="30"/>
          <w:szCs w:val="30"/>
          <w:highlight w:val="none"/>
          <w:lang w:val="en-US" w:eastAsia="zh-CN"/>
        </w:rPr>
        <w:t>∑W——作用于坝体上全部荷载对滑动平面的法向分值，kN；</w:t>
      </w:r>
      <w:bookmarkEnd w:id="196"/>
    </w:p>
    <w:p w14:paraId="5EFB5CAC">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97" w:name="_Toc3208"/>
      <w:r>
        <w:rPr>
          <w:rFonts w:hint="default" w:ascii="Times New Roman" w:hAnsi="Times New Roman" w:eastAsia="宋体" w:cs="Times New Roman"/>
          <w:smallCaps w:val="0"/>
          <w:color w:val="auto"/>
          <w:spacing w:val="0"/>
          <w:w w:val="100"/>
          <w:sz w:val="30"/>
          <w:szCs w:val="30"/>
          <w:highlight w:val="none"/>
          <w:lang w:val="en-US" w:eastAsia="zh-CN"/>
        </w:rPr>
        <w:t>∑M——作用于坝体上全部荷载对滑动平面的切向分值，kN；</w:t>
      </w:r>
      <w:bookmarkEnd w:id="197"/>
    </w:p>
    <w:p w14:paraId="1198FA5C">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98" w:name="_Toc26459"/>
      <w:r>
        <w:rPr>
          <w:rFonts w:hint="default" w:ascii="Times New Roman" w:hAnsi="Times New Roman" w:eastAsia="宋体" w:cs="Times New Roman"/>
          <w:smallCaps w:val="0"/>
          <w:color w:val="auto"/>
          <w:spacing w:val="0"/>
          <w:w w:val="100"/>
          <w:sz w:val="30"/>
          <w:szCs w:val="30"/>
          <w:highlight w:val="none"/>
          <w:lang w:val="en-US" w:eastAsia="zh-CN"/>
        </w:rPr>
        <w:t>f——坝体砼与坝基接触面的抗剪摩擦系数；</w:t>
      </w:r>
      <w:bookmarkEnd w:id="198"/>
    </w:p>
    <w:p w14:paraId="773C61CB">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199" w:name="_Toc6525"/>
      <w:r>
        <w:rPr>
          <w:rFonts w:hint="default" w:ascii="Times New Roman" w:hAnsi="Times New Roman" w:eastAsia="宋体" w:cs="Times New Roman"/>
          <w:smallCaps w:val="0"/>
          <w:color w:val="auto"/>
          <w:spacing w:val="0"/>
          <w:w w:val="100"/>
          <w:sz w:val="30"/>
          <w:szCs w:val="30"/>
          <w:highlight w:val="none"/>
          <w:lang w:val="en-US" w:eastAsia="zh-CN"/>
        </w:rPr>
        <w:t>坝基应力和抗滑稳定计算成果见下表</w:t>
      </w:r>
      <w:bookmarkEnd w:id="199"/>
    </w:p>
    <w:p w14:paraId="1DBC1B5B">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p>
    <w:p w14:paraId="61EE11D6">
      <w:pPr>
        <w:pStyle w:val="73"/>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坝体稳定及基础应力计算成果表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1"/>
        <w:gridCol w:w="1469"/>
        <w:gridCol w:w="1228"/>
        <w:gridCol w:w="989"/>
        <w:gridCol w:w="1464"/>
        <w:gridCol w:w="753"/>
        <w:gridCol w:w="753"/>
        <w:gridCol w:w="997"/>
        <w:gridCol w:w="871"/>
      </w:tblGrid>
      <w:tr w14:paraId="6E7ED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exact"/>
          <w:jc w:val="center"/>
        </w:trPr>
        <w:tc>
          <w:tcPr>
            <w:tcW w:w="1197" w:type="pct"/>
            <w:gridSpan w:val="2"/>
            <w:vMerge w:val="restart"/>
            <w:tcBorders>
              <w:tl2br w:val="nil"/>
              <w:tr2bl w:val="nil"/>
            </w:tcBorders>
            <w:noWrap w:val="0"/>
            <w:vAlign w:val="center"/>
          </w:tcPr>
          <w:p w14:paraId="268A3C4B">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计算工况</w:t>
            </w:r>
          </w:p>
        </w:tc>
        <w:tc>
          <w:tcPr>
            <w:tcW w:w="662" w:type="pct"/>
            <w:vMerge w:val="restart"/>
            <w:tcBorders>
              <w:tl2br w:val="nil"/>
              <w:tr2bl w:val="nil"/>
            </w:tcBorders>
            <w:noWrap w:val="0"/>
            <w:vAlign w:val="center"/>
          </w:tcPr>
          <w:p w14:paraId="6C2F8E41">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计算抗滑</w:t>
            </w:r>
          </w:p>
          <w:p w14:paraId="0A924F82">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安全系数</w:t>
            </w:r>
          </w:p>
        </w:tc>
        <w:tc>
          <w:tcPr>
            <w:tcW w:w="533" w:type="pct"/>
            <w:vMerge w:val="restart"/>
            <w:tcBorders>
              <w:tl2br w:val="nil"/>
              <w:tr2bl w:val="nil"/>
            </w:tcBorders>
            <w:noWrap w:val="0"/>
            <w:vAlign w:val="center"/>
          </w:tcPr>
          <w:p w14:paraId="17D54634">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允许安</w:t>
            </w:r>
          </w:p>
          <w:p w14:paraId="5921BBE2">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全系数</w:t>
            </w:r>
          </w:p>
        </w:tc>
        <w:tc>
          <w:tcPr>
            <w:tcW w:w="789" w:type="pct"/>
            <w:vMerge w:val="restart"/>
            <w:tcBorders>
              <w:tl2br w:val="nil"/>
              <w:tr2bl w:val="nil"/>
            </w:tcBorders>
            <w:noWrap w:val="0"/>
            <w:vAlign w:val="center"/>
          </w:tcPr>
          <w:p w14:paraId="566CBA9F">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允许应力比</w:t>
            </w:r>
          </w:p>
        </w:tc>
        <w:tc>
          <w:tcPr>
            <w:tcW w:w="1349" w:type="pct"/>
            <w:gridSpan w:val="3"/>
            <w:tcBorders>
              <w:tl2br w:val="nil"/>
              <w:tr2bl w:val="nil"/>
            </w:tcBorders>
            <w:noWrap w:val="0"/>
            <w:vAlign w:val="center"/>
          </w:tcPr>
          <w:p w14:paraId="77E957E0">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基底应力（MPa）</w:t>
            </w:r>
          </w:p>
        </w:tc>
        <w:tc>
          <w:tcPr>
            <w:tcW w:w="469" w:type="pct"/>
            <w:vMerge w:val="restart"/>
            <w:tcBorders>
              <w:tl2br w:val="nil"/>
              <w:tr2bl w:val="nil"/>
            </w:tcBorders>
            <w:noWrap w:val="0"/>
            <w:vAlign w:val="center"/>
          </w:tcPr>
          <w:p w14:paraId="0F97B893">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备 注</w:t>
            </w:r>
          </w:p>
        </w:tc>
      </w:tr>
      <w:tr w14:paraId="7D89D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exact"/>
          <w:jc w:val="center"/>
        </w:trPr>
        <w:tc>
          <w:tcPr>
            <w:tcW w:w="1197" w:type="pct"/>
            <w:gridSpan w:val="2"/>
            <w:vMerge w:val="continue"/>
            <w:tcBorders>
              <w:tl2br w:val="nil"/>
              <w:tr2bl w:val="nil"/>
            </w:tcBorders>
            <w:noWrap w:val="0"/>
            <w:vAlign w:val="center"/>
          </w:tcPr>
          <w:p w14:paraId="2FF1591F">
            <w:pPr>
              <w:pStyle w:val="72"/>
              <w:bidi w:val="0"/>
              <w:rPr>
                <w:rFonts w:hint="default" w:ascii="Times New Roman" w:hAnsi="Times New Roman" w:cs="Times New Roman"/>
                <w:color w:val="auto"/>
                <w:highlight w:val="none"/>
                <w:lang w:val="en-US" w:eastAsia="zh-CN"/>
              </w:rPr>
            </w:pPr>
          </w:p>
        </w:tc>
        <w:tc>
          <w:tcPr>
            <w:tcW w:w="662" w:type="pct"/>
            <w:vMerge w:val="continue"/>
            <w:tcBorders>
              <w:tl2br w:val="nil"/>
              <w:tr2bl w:val="nil"/>
            </w:tcBorders>
            <w:noWrap w:val="0"/>
            <w:vAlign w:val="center"/>
          </w:tcPr>
          <w:p w14:paraId="5298EE07">
            <w:pPr>
              <w:pStyle w:val="72"/>
              <w:bidi w:val="0"/>
              <w:rPr>
                <w:rFonts w:hint="default" w:ascii="Times New Roman" w:hAnsi="Times New Roman" w:cs="Times New Roman"/>
                <w:color w:val="auto"/>
                <w:highlight w:val="none"/>
                <w:lang w:val="en-US" w:eastAsia="zh-CN"/>
              </w:rPr>
            </w:pPr>
          </w:p>
        </w:tc>
        <w:tc>
          <w:tcPr>
            <w:tcW w:w="533" w:type="pct"/>
            <w:vMerge w:val="continue"/>
            <w:tcBorders>
              <w:tl2br w:val="nil"/>
              <w:tr2bl w:val="nil"/>
            </w:tcBorders>
            <w:noWrap w:val="0"/>
            <w:vAlign w:val="center"/>
          </w:tcPr>
          <w:p w14:paraId="5D5D43EC">
            <w:pPr>
              <w:pStyle w:val="72"/>
              <w:bidi w:val="0"/>
              <w:rPr>
                <w:rFonts w:hint="default" w:ascii="Times New Roman" w:hAnsi="Times New Roman" w:cs="Times New Roman"/>
                <w:color w:val="auto"/>
                <w:highlight w:val="none"/>
                <w:lang w:val="en-US" w:eastAsia="zh-CN"/>
              </w:rPr>
            </w:pPr>
          </w:p>
        </w:tc>
        <w:tc>
          <w:tcPr>
            <w:tcW w:w="789" w:type="pct"/>
            <w:vMerge w:val="continue"/>
            <w:tcBorders>
              <w:tl2br w:val="nil"/>
              <w:tr2bl w:val="nil"/>
            </w:tcBorders>
            <w:noWrap w:val="0"/>
            <w:vAlign w:val="center"/>
          </w:tcPr>
          <w:p w14:paraId="79F5CC52">
            <w:pPr>
              <w:pStyle w:val="72"/>
              <w:bidi w:val="0"/>
              <w:rPr>
                <w:rFonts w:hint="default" w:ascii="Times New Roman" w:hAnsi="Times New Roman" w:cs="Times New Roman"/>
                <w:color w:val="auto"/>
                <w:highlight w:val="none"/>
                <w:lang w:val="en-US" w:eastAsia="zh-CN"/>
              </w:rPr>
            </w:pPr>
          </w:p>
        </w:tc>
        <w:tc>
          <w:tcPr>
            <w:tcW w:w="406" w:type="pct"/>
            <w:tcBorders>
              <w:tl2br w:val="nil"/>
              <w:tr2bl w:val="nil"/>
            </w:tcBorders>
            <w:noWrap w:val="0"/>
            <w:vAlign w:val="center"/>
          </w:tcPr>
          <w:p w14:paraId="533CFC9F">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上游</w:t>
            </w:r>
          </w:p>
        </w:tc>
        <w:tc>
          <w:tcPr>
            <w:tcW w:w="406" w:type="pct"/>
            <w:tcBorders>
              <w:tl2br w:val="nil"/>
              <w:tr2bl w:val="nil"/>
            </w:tcBorders>
            <w:noWrap w:val="0"/>
            <w:vAlign w:val="center"/>
          </w:tcPr>
          <w:p w14:paraId="22FE04F7">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下游</w:t>
            </w:r>
          </w:p>
        </w:tc>
        <w:tc>
          <w:tcPr>
            <w:tcW w:w="537" w:type="pct"/>
            <w:tcBorders>
              <w:tl2br w:val="nil"/>
              <w:tr2bl w:val="nil"/>
            </w:tcBorders>
            <w:noWrap w:val="0"/>
            <w:vAlign w:val="center"/>
          </w:tcPr>
          <w:p w14:paraId="32DB77AB">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应力比</w:t>
            </w:r>
          </w:p>
        </w:tc>
        <w:tc>
          <w:tcPr>
            <w:tcW w:w="469" w:type="pct"/>
            <w:vMerge w:val="continue"/>
            <w:tcBorders>
              <w:tl2br w:val="nil"/>
              <w:tr2bl w:val="nil"/>
            </w:tcBorders>
            <w:noWrap w:val="0"/>
            <w:vAlign w:val="center"/>
          </w:tcPr>
          <w:p w14:paraId="50B5C5E8">
            <w:pPr>
              <w:pStyle w:val="72"/>
              <w:bidi w:val="0"/>
              <w:rPr>
                <w:rFonts w:hint="default" w:ascii="Times New Roman" w:hAnsi="Times New Roman" w:cs="Times New Roman"/>
                <w:color w:val="auto"/>
                <w:highlight w:val="none"/>
                <w:lang w:val="en-US" w:eastAsia="zh-CN"/>
              </w:rPr>
            </w:pPr>
          </w:p>
        </w:tc>
      </w:tr>
      <w:tr w14:paraId="3E129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405" w:type="pct"/>
            <w:vMerge w:val="restart"/>
            <w:tcBorders>
              <w:tl2br w:val="nil"/>
              <w:tr2bl w:val="nil"/>
            </w:tcBorders>
            <w:noWrap w:val="0"/>
            <w:vAlign w:val="center"/>
          </w:tcPr>
          <w:p w14:paraId="7179CCA1">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基本</w:t>
            </w:r>
          </w:p>
          <w:p w14:paraId="1C614B90">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组合</w:t>
            </w:r>
          </w:p>
        </w:tc>
        <w:tc>
          <w:tcPr>
            <w:tcW w:w="791" w:type="pct"/>
            <w:tcBorders>
              <w:tl2br w:val="nil"/>
              <w:tr2bl w:val="nil"/>
            </w:tcBorders>
            <w:noWrap w:val="0"/>
            <w:vAlign w:val="center"/>
          </w:tcPr>
          <w:p w14:paraId="2F93FAB6">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正常水位</w:t>
            </w:r>
          </w:p>
        </w:tc>
        <w:tc>
          <w:tcPr>
            <w:tcW w:w="662" w:type="pct"/>
            <w:tcBorders>
              <w:tl2br w:val="nil"/>
              <w:tr2bl w:val="nil"/>
            </w:tcBorders>
            <w:noWrap w:val="0"/>
            <w:vAlign w:val="center"/>
          </w:tcPr>
          <w:p w14:paraId="28A07DF4">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1.52</w:t>
            </w:r>
          </w:p>
        </w:tc>
        <w:tc>
          <w:tcPr>
            <w:tcW w:w="533" w:type="pct"/>
            <w:tcBorders>
              <w:tl2br w:val="nil"/>
              <w:tr2bl w:val="nil"/>
            </w:tcBorders>
            <w:noWrap w:val="0"/>
            <w:vAlign w:val="center"/>
          </w:tcPr>
          <w:p w14:paraId="6DCE1525">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1.1</w:t>
            </w:r>
          </w:p>
        </w:tc>
        <w:tc>
          <w:tcPr>
            <w:tcW w:w="789" w:type="pct"/>
            <w:tcBorders>
              <w:tl2br w:val="nil"/>
              <w:tr2bl w:val="nil"/>
            </w:tcBorders>
            <w:noWrap w:val="0"/>
            <w:vAlign w:val="center"/>
          </w:tcPr>
          <w:p w14:paraId="4C85966F">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w:t>
            </w:r>
          </w:p>
        </w:tc>
        <w:tc>
          <w:tcPr>
            <w:tcW w:w="692" w:type="dxa"/>
            <w:tcBorders>
              <w:tl2br w:val="nil"/>
              <w:tr2bl w:val="nil"/>
            </w:tcBorders>
            <w:noWrap w:val="0"/>
            <w:vAlign w:val="bottom"/>
          </w:tcPr>
          <w:p w14:paraId="36BD650F">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0.16</w:t>
            </w:r>
          </w:p>
        </w:tc>
        <w:tc>
          <w:tcPr>
            <w:tcW w:w="692" w:type="dxa"/>
            <w:tcBorders>
              <w:tl2br w:val="nil"/>
              <w:tr2bl w:val="nil"/>
            </w:tcBorders>
            <w:noWrap w:val="0"/>
            <w:vAlign w:val="bottom"/>
          </w:tcPr>
          <w:p w14:paraId="0A8CB4BA">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0.29</w:t>
            </w:r>
          </w:p>
        </w:tc>
        <w:tc>
          <w:tcPr>
            <w:tcW w:w="915" w:type="dxa"/>
            <w:tcBorders>
              <w:tl2br w:val="nil"/>
              <w:tr2bl w:val="nil"/>
            </w:tcBorders>
            <w:noWrap w:val="0"/>
            <w:vAlign w:val="bottom"/>
          </w:tcPr>
          <w:p w14:paraId="58B1592C">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1.8 </w:t>
            </w:r>
          </w:p>
        </w:tc>
        <w:tc>
          <w:tcPr>
            <w:tcW w:w="469" w:type="pct"/>
            <w:vMerge w:val="restart"/>
            <w:tcBorders>
              <w:tl2br w:val="nil"/>
              <w:tr2bl w:val="nil"/>
            </w:tcBorders>
            <w:noWrap w:val="0"/>
            <w:vAlign w:val="center"/>
          </w:tcPr>
          <w:p w14:paraId="4D9A5B6C">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地基</w:t>
            </w:r>
          </w:p>
          <w:p w14:paraId="1E750A6D">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容许</w:t>
            </w:r>
          </w:p>
          <w:p w14:paraId="5C499CE4">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应力</w:t>
            </w:r>
          </w:p>
          <w:p w14:paraId="6FA40D51">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0.25</w:t>
            </w:r>
          </w:p>
          <w:p w14:paraId="51EB44C2">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Mpa</w:t>
            </w:r>
          </w:p>
        </w:tc>
      </w:tr>
      <w:tr w14:paraId="563F5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405" w:type="pct"/>
            <w:vMerge w:val="continue"/>
            <w:tcBorders>
              <w:tl2br w:val="nil"/>
              <w:tr2bl w:val="nil"/>
            </w:tcBorders>
            <w:noWrap w:val="0"/>
            <w:vAlign w:val="center"/>
          </w:tcPr>
          <w:p w14:paraId="5492022A">
            <w:pPr>
              <w:pStyle w:val="72"/>
              <w:bidi w:val="0"/>
              <w:rPr>
                <w:rFonts w:hint="default" w:ascii="Times New Roman" w:hAnsi="Times New Roman" w:cs="Times New Roman"/>
                <w:color w:val="auto"/>
                <w:highlight w:val="none"/>
                <w:lang w:val="en-US" w:eastAsia="zh-CN"/>
              </w:rPr>
            </w:pPr>
          </w:p>
        </w:tc>
        <w:tc>
          <w:tcPr>
            <w:tcW w:w="791" w:type="pct"/>
            <w:tcBorders>
              <w:tl2br w:val="nil"/>
              <w:tr2bl w:val="nil"/>
            </w:tcBorders>
            <w:noWrap w:val="0"/>
            <w:vAlign w:val="center"/>
          </w:tcPr>
          <w:p w14:paraId="09D07CEE">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设计洪水位</w:t>
            </w:r>
          </w:p>
        </w:tc>
        <w:tc>
          <w:tcPr>
            <w:tcW w:w="662" w:type="pct"/>
            <w:tcBorders>
              <w:tl2br w:val="nil"/>
              <w:tr2bl w:val="nil"/>
            </w:tcBorders>
            <w:noWrap w:val="0"/>
            <w:vAlign w:val="center"/>
          </w:tcPr>
          <w:p w14:paraId="20F6E2D8">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1.36</w:t>
            </w:r>
          </w:p>
        </w:tc>
        <w:tc>
          <w:tcPr>
            <w:tcW w:w="533" w:type="pct"/>
            <w:tcBorders>
              <w:tl2br w:val="nil"/>
              <w:tr2bl w:val="nil"/>
            </w:tcBorders>
            <w:noWrap w:val="0"/>
            <w:vAlign w:val="center"/>
          </w:tcPr>
          <w:p w14:paraId="7AA6DF9D">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1.1</w:t>
            </w:r>
          </w:p>
        </w:tc>
        <w:tc>
          <w:tcPr>
            <w:tcW w:w="789" w:type="pct"/>
            <w:tcBorders>
              <w:tl2br w:val="nil"/>
              <w:tr2bl w:val="nil"/>
            </w:tcBorders>
            <w:noWrap w:val="0"/>
            <w:vAlign w:val="center"/>
          </w:tcPr>
          <w:p w14:paraId="53095D5A">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w:t>
            </w:r>
          </w:p>
        </w:tc>
        <w:tc>
          <w:tcPr>
            <w:tcW w:w="692" w:type="dxa"/>
            <w:tcBorders>
              <w:tl2br w:val="nil"/>
              <w:tr2bl w:val="nil"/>
            </w:tcBorders>
            <w:noWrap w:val="0"/>
            <w:vAlign w:val="bottom"/>
          </w:tcPr>
          <w:p w14:paraId="4BDB97B6">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0.17</w:t>
            </w:r>
          </w:p>
        </w:tc>
        <w:tc>
          <w:tcPr>
            <w:tcW w:w="692" w:type="dxa"/>
            <w:tcBorders>
              <w:tl2br w:val="nil"/>
              <w:tr2bl w:val="nil"/>
            </w:tcBorders>
            <w:noWrap w:val="0"/>
            <w:vAlign w:val="bottom"/>
          </w:tcPr>
          <w:p w14:paraId="79E0977E">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0.26</w:t>
            </w:r>
          </w:p>
        </w:tc>
        <w:tc>
          <w:tcPr>
            <w:tcW w:w="915" w:type="dxa"/>
            <w:tcBorders>
              <w:tl2br w:val="nil"/>
              <w:tr2bl w:val="nil"/>
            </w:tcBorders>
            <w:noWrap w:val="0"/>
            <w:vAlign w:val="bottom"/>
          </w:tcPr>
          <w:p w14:paraId="028F8168">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1.5 </w:t>
            </w:r>
          </w:p>
        </w:tc>
        <w:tc>
          <w:tcPr>
            <w:tcW w:w="469" w:type="pct"/>
            <w:vMerge w:val="continue"/>
            <w:tcBorders>
              <w:tl2br w:val="nil"/>
              <w:tr2bl w:val="nil"/>
            </w:tcBorders>
            <w:noWrap w:val="0"/>
            <w:vAlign w:val="center"/>
          </w:tcPr>
          <w:p w14:paraId="563AAFD0">
            <w:pPr>
              <w:pStyle w:val="72"/>
              <w:bidi w:val="0"/>
              <w:rPr>
                <w:rFonts w:hint="default" w:ascii="Times New Roman" w:hAnsi="Times New Roman" w:cs="Times New Roman"/>
                <w:color w:val="auto"/>
                <w:highlight w:val="none"/>
              </w:rPr>
            </w:pPr>
          </w:p>
        </w:tc>
      </w:tr>
      <w:tr w14:paraId="189DE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405" w:type="pct"/>
            <w:vMerge w:val="continue"/>
            <w:tcBorders>
              <w:tl2br w:val="nil"/>
              <w:tr2bl w:val="nil"/>
            </w:tcBorders>
            <w:noWrap w:val="0"/>
            <w:vAlign w:val="center"/>
          </w:tcPr>
          <w:p w14:paraId="49B350AA">
            <w:pPr>
              <w:pStyle w:val="72"/>
              <w:bidi w:val="0"/>
              <w:rPr>
                <w:rFonts w:hint="default" w:ascii="Times New Roman" w:hAnsi="Times New Roman" w:cs="Times New Roman"/>
                <w:color w:val="auto"/>
                <w:highlight w:val="none"/>
                <w:lang w:val="en-US" w:eastAsia="zh-CN"/>
              </w:rPr>
            </w:pPr>
          </w:p>
        </w:tc>
        <w:tc>
          <w:tcPr>
            <w:tcW w:w="791" w:type="pct"/>
            <w:tcBorders>
              <w:tl2br w:val="nil"/>
              <w:tr2bl w:val="nil"/>
            </w:tcBorders>
            <w:noWrap w:val="0"/>
            <w:vAlign w:val="center"/>
          </w:tcPr>
          <w:p w14:paraId="3C097F55">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完建</w:t>
            </w:r>
          </w:p>
        </w:tc>
        <w:tc>
          <w:tcPr>
            <w:tcW w:w="662" w:type="pct"/>
            <w:tcBorders>
              <w:tl2br w:val="nil"/>
              <w:tr2bl w:val="nil"/>
            </w:tcBorders>
            <w:noWrap w:val="0"/>
            <w:vAlign w:val="center"/>
          </w:tcPr>
          <w:p w14:paraId="3B373CFE">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1.39</w:t>
            </w:r>
          </w:p>
        </w:tc>
        <w:tc>
          <w:tcPr>
            <w:tcW w:w="533" w:type="pct"/>
            <w:tcBorders>
              <w:tl2br w:val="nil"/>
              <w:tr2bl w:val="nil"/>
            </w:tcBorders>
            <w:noWrap w:val="0"/>
            <w:vAlign w:val="center"/>
          </w:tcPr>
          <w:p w14:paraId="76D0E970">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1.1</w:t>
            </w:r>
          </w:p>
        </w:tc>
        <w:tc>
          <w:tcPr>
            <w:tcW w:w="789" w:type="pct"/>
            <w:tcBorders>
              <w:tl2br w:val="nil"/>
              <w:tr2bl w:val="nil"/>
            </w:tcBorders>
            <w:noWrap w:val="0"/>
            <w:vAlign w:val="center"/>
          </w:tcPr>
          <w:p w14:paraId="4E4FD8B1">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w:t>
            </w:r>
          </w:p>
        </w:tc>
        <w:tc>
          <w:tcPr>
            <w:tcW w:w="692" w:type="dxa"/>
            <w:tcBorders>
              <w:tl2br w:val="nil"/>
              <w:tr2bl w:val="nil"/>
            </w:tcBorders>
            <w:noWrap w:val="0"/>
            <w:vAlign w:val="bottom"/>
          </w:tcPr>
          <w:p w14:paraId="423EA022">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0.21</w:t>
            </w:r>
          </w:p>
        </w:tc>
        <w:tc>
          <w:tcPr>
            <w:tcW w:w="692" w:type="dxa"/>
            <w:tcBorders>
              <w:tl2br w:val="nil"/>
              <w:tr2bl w:val="nil"/>
            </w:tcBorders>
            <w:noWrap w:val="0"/>
            <w:vAlign w:val="bottom"/>
          </w:tcPr>
          <w:p w14:paraId="5F2486CC">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0.28</w:t>
            </w:r>
          </w:p>
        </w:tc>
        <w:tc>
          <w:tcPr>
            <w:tcW w:w="915" w:type="dxa"/>
            <w:tcBorders>
              <w:tl2br w:val="nil"/>
              <w:tr2bl w:val="nil"/>
            </w:tcBorders>
            <w:noWrap w:val="0"/>
            <w:vAlign w:val="bottom"/>
          </w:tcPr>
          <w:p w14:paraId="0F739426">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1.3 </w:t>
            </w:r>
          </w:p>
        </w:tc>
        <w:tc>
          <w:tcPr>
            <w:tcW w:w="469" w:type="pct"/>
            <w:vMerge w:val="continue"/>
            <w:tcBorders>
              <w:tl2br w:val="nil"/>
              <w:tr2bl w:val="nil"/>
            </w:tcBorders>
            <w:noWrap w:val="0"/>
            <w:vAlign w:val="center"/>
          </w:tcPr>
          <w:p w14:paraId="33FBC8B8">
            <w:pPr>
              <w:pStyle w:val="72"/>
              <w:bidi w:val="0"/>
              <w:rPr>
                <w:rFonts w:hint="default" w:ascii="Times New Roman" w:hAnsi="Times New Roman" w:cs="Times New Roman"/>
                <w:color w:val="auto"/>
                <w:highlight w:val="none"/>
              </w:rPr>
            </w:pPr>
          </w:p>
        </w:tc>
      </w:tr>
      <w:tr w14:paraId="363DB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exact"/>
          <w:jc w:val="center"/>
        </w:trPr>
        <w:tc>
          <w:tcPr>
            <w:tcW w:w="405" w:type="pct"/>
            <w:tcBorders>
              <w:tl2br w:val="nil"/>
              <w:tr2bl w:val="nil"/>
            </w:tcBorders>
            <w:noWrap w:val="0"/>
            <w:vAlign w:val="center"/>
          </w:tcPr>
          <w:p w14:paraId="65C7BCC2">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特殊</w:t>
            </w:r>
          </w:p>
          <w:p w14:paraId="0D6CF082">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组合</w:t>
            </w:r>
          </w:p>
        </w:tc>
        <w:tc>
          <w:tcPr>
            <w:tcW w:w="791" w:type="pct"/>
            <w:tcBorders>
              <w:tl2br w:val="nil"/>
              <w:tr2bl w:val="nil"/>
            </w:tcBorders>
            <w:noWrap w:val="0"/>
            <w:vAlign w:val="center"/>
          </w:tcPr>
          <w:p w14:paraId="2DC49ABA">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校核洪水位</w:t>
            </w:r>
          </w:p>
        </w:tc>
        <w:tc>
          <w:tcPr>
            <w:tcW w:w="662" w:type="pct"/>
            <w:tcBorders>
              <w:tl2br w:val="nil"/>
              <w:tr2bl w:val="nil"/>
            </w:tcBorders>
            <w:noWrap w:val="0"/>
            <w:vAlign w:val="center"/>
          </w:tcPr>
          <w:p w14:paraId="2CC9FE6A">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1.25</w:t>
            </w:r>
          </w:p>
        </w:tc>
        <w:tc>
          <w:tcPr>
            <w:tcW w:w="533" w:type="pct"/>
            <w:tcBorders>
              <w:tl2br w:val="nil"/>
              <w:tr2bl w:val="nil"/>
            </w:tcBorders>
            <w:noWrap w:val="0"/>
            <w:vAlign w:val="center"/>
          </w:tcPr>
          <w:p w14:paraId="4EA83688">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1.05</w:t>
            </w:r>
          </w:p>
        </w:tc>
        <w:tc>
          <w:tcPr>
            <w:tcW w:w="789" w:type="pct"/>
            <w:tcBorders>
              <w:tl2br w:val="nil"/>
              <w:tr2bl w:val="nil"/>
            </w:tcBorders>
            <w:noWrap w:val="0"/>
            <w:vAlign w:val="center"/>
          </w:tcPr>
          <w:p w14:paraId="3777DED1">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w:t>
            </w:r>
          </w:p>
        </w:tc>
        <w:tc>
          <w:tcPr>
            <w:tcW w:w="692" w:type="dxa"/>
            <w:tcBorders>
              <w:tl2br w:val="nil"/>
              <w:tr2bl w:val="nil"/>
            </w:tcBorders>
            <w:noWrap w:val="0"/>
            <w:vAlign w:val="bottom"/>
          </w:tcPr>
          <w:p w14:paraId="209CB0C8">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0.19</w:t>
            </w:r>
          </w:p>
        </w:tc>
        <w:tc>
          <w:tcPr>
            <w:tcW w:w="692" w:type="dxa"/>
            <w:tcBorders>
              <w:tl2br w:val="nil"/>
              <w:tr2bl w:val="nil"/>
            </w:tcBorders>
            <w:noWrap w:val="0"/>
            <w:vAlign w:val="bottom"/>
          </w:tcPr>
          <w:p w14:paraId="623DA180">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0.25</w:t>
            </w:r>
          </w:p>
        </w:tc>
        <w:tc>
          <w:tcPr>
            <w:tcW w:w="915" w:type="dxa"/>
            <w:tcBorders>
              <w:tl2br w:val="nil"/>
              <w:tr2bl w:val="nil"/>
            </w:tcBorders>
            <w:noWrap w:val="0"/>
            <w:vAlign w:val="bottom"/>
          </w:tcPr>
          <w:p w14:paraId="7B67798F">
            <w:pPr>
              <w:pStyle w:val="7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1.3 </w:t>
            </w:r>
          </w:p>
        </w:tc>
        <w:tc>
          <w:tcPr>
            <w:tcW w:w="469" w:type="pct"/>
            <w:vMerge w:val="continue"/>
            <w:tcBorders>
              <w:tl2br w:val="nil"/>
              <w:tr2bl w:val="nil"/>
            </w:tcBorders>
            <w:noWrap w:val="0"/>
            <w:vAlign w:val="center"/>
          </w:tcPr>
          <w:p w14:paraId="59AF0BDA">
            <w:pPr>
              <w:pStyle w:val="72"/>
              <w:bidi w:val="0"/>
              <w:rPr>
                <w:rFonts w:hint="default" w:ascii="Times New Roman" w:hAnsi="Times New Roman" w:cs="Times New Roman"/>
                <w:color w:val="auto"/>
                <w:highlight w:val="none"/>
              </w:rPr>
            </w:pPr>
          </w:p>
        </w:tc>
      </w:tr>
    </w:tbl>
    <w:p w14:paraId="1C787AE0">
      <w:pPr>
        <w:keepNext w:val="0"/>
        <w:keepLines w:val="0"/>
        <w:pageBreakBefore w:val="0"/>
        <w:widowControl w:val="0"/>
        <w:kinsoku/>
        <w:wordWrap/>
        <w:overflowPunct/>
        <w:topLinePunct w:val="0"/>
        <w:autoSpaceDE w:val="0"/>
        <w:autoSpaceDN w:val="0"/>
        <w:bidi w:val="0"/>
        <w:spacing w:line="220" w:lineRule="auto"/>
        <w:jc w:val="center"/>
        <w:rPr>
          <w:rFonts w:hint="default" w:ascii="Times New Roman" w:hAnsi="Times New Roman" w:eastAsia="宋体" w:cs="Times New Roman"/>
          <w:b/>
          <w:bCs/>
          <w:snapToGrid w:val="0"/>
          <w:color w:val="auto"/>
          <w:spacing w:val="-5"/>
          <w:kern w:val="0"/>
          <w:sz w:val="24"/>
          <w:szCs w:val="24"/>
          <w:highlight w:val="none"/>
          <w:lang w:val="en-US" w:eastAsia="zh-CN" w:bidi="ar-SA"/>
        </w:rPr>
      </w:pPr>
      <w:bookmarkStart w:id="200" w:name="_Toc28590"/>
    </w:p>
    <w:bookmarkEnd w:id="200"/>
    <w:p w14:paraId="79BA7513">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从上表可以看出，在荷载基本组合情况下，按抗剪强度的计算公式计算的安全系数K均大于规定值1.20，在荷载特殊组合情况下，安全系数K均大于规定值1.05，抗滑稳定计算成果满足规范要求。基础最大压应力在0.22～0.27MPa之间，未超过基础的允许承载能力0.25MPa的1.2倍。在荷载基本组合情况下，基础上、下游最大最小应力比值均小于2.0；在荷载特殊组合情况下，基础上、下游最大最小应力比值均小于2.0。取水枢纽抗滑稳定及基底应力均满足规范要求。</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03"/>
        <w:gridCol w:w="1010"/>
        <w:gridCol w:w="1109"/>
        <w:gridCol w:w="3654"/>
        <w:gridCol w:w="1605"/>
      </w:tblGrid>
      <w:tr w14:paraId="41B2F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92BE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编号</w:t>
            </w:r>
          </w:p>
        </w:tc>
        <w:tc>
          <w:tcPr>
            <w:tcW w:w="1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A673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权属</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2183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宽度（m）</w:t>
            </w:r>
          </w:p>
        </w:tc>
        <w:tc>
          <w:tcPr>
            <w:tcW w:w="3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B9F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现状问题</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5FE9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整治措施</w:t>
            </w:r>
          </w:p>
        </w:tc>
      </w:tr>
      <w:tr w14:paraId="187A9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4D57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2026LSY001</w:t>
            </w:r>
          </w:p>
        </w:tc>
        <w:tc>
          <w:tcPr>
            <w:tcW w:w="1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F1D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霍古都村</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FC1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16.40</w:t>
            </w:r>
          </w:p>
        </w:tc>
        <w:tc>
          <w:tcPr>
            <w:tcW w:w="3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068A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无拦蓄水设施</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E4D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新建拦河坝</w:t>
            </w:r>
          </w:p>
        </w:tc>
      </w:tr>
      <w:tr w14:paraId="3F9CC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F78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kern w:val="0"/>
                <w:sz w:val="22"/>
                <w:szCs w:val="22"/>
                <w:highlight w:val="none"/>
                <w:u w:val="none"/>
                <w:lang w:val="en-US" w:eastAsia="zh-CN" w:bidi="ar"/>
              </w:rPr>
            </w:pPr>
            <w:r>
              <w:rPr>
                <w:rFonts w:hint="default" w:ascii="Times New Roman" w:hAnsi="Times New Roman" w:eastAsia="宋体" w:cs="Times New Roman"/>
                <w:b/>
                <w:bCs/>
                <w:i w:val="0"/>
                <w:iCs w:val="0"/>
                <w:color w:val="auto"/>
                <w:kern w:val="0"/>
                <w:sz w:val="22"/>
                <w:szCs w:val="22"/>
                <w:highlight w:val="none"/>
                <w:u w:val="none"/>
                <w:lang w:val="en-US" w:eastAsia="zh-CN" w:bidi="ar"/>
              </w:rPr>
              <w:t>小计</w:t>
            </w:r>
          </w:p>
        </w:tc>
        <w:tc>
          <w:tcPr>
            <w:tcW w:w="1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AEA7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kern w:val="0"/>
                <w:sz w:val="22"/>
                <w:szCs w:val="22"/>
                <w:highlight w:val="none"/>
                <w:u w:val="none"/>
                <w:lang w:val="en-US" w:eastAsia="zh-CN" w:bidi="ar"/>
              </w:rPr>
            </w:pPr>
            <w:r>
              <w:rPr>
                <w:rFonts w:hint="default" w:ascii="Times New Roman" w:hAnsi="Times New Roman" w:eastAsia="宋体" w:cs="Times New Roman"/>
                <w:b/>
                <w:bCs/>
                <w:i w:val="0"/>
                <w:iCs w:val="0"/>
                <w:color w:val="auto"/>
                <w:kern w:val="0"/>
                <w:sz w:val="22"/>
                <w:szCs w:val="22"/>
                <w:highlight w:val="none"/>
                <w:u w:val="none"/>
                <w:lang w:val="en-US" w:eastAsia="zh-CN" w:bidi="ar"/>
              </w:rPr>
              <w:t>1</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7B6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kern w:val="0"/>
                <w:sz w:val="22"/>
                <w:szCs w:val="22"/>
                <w:highlight w:val="none"/>
                <w:u w:val="none"/>
                <w:lang w:val="en-US" w:eastAsia="zh-CN" w:bidi="ar"/>
              </w:rPr>
            </w:pPr>
            <w:r>
              <w:rPr>
                <w:rFonts w:hint="default" w:ascii="Times New Roman" w:hAnsi="Times New Roman" w:eastAsia="宋体" w:cs="Times New Roman"/>
                <w:b/>
                <w:bCs/>
                <w:i w:val="0"/>
                <w:iCs w:val="0"/>
                <w:color w:val="auto"/>
                <w:kern w:val="0"/>
                <w:sz w:val="22"/>
                <w:szCs w:val="22"/>
                <w:highlight w:val="none"/>
                <w:u w:val="none"/>
                <w:lang w:val="en-US" w:eastAsia="zh-CN" w:bidi="ar"/>
              </w:rPr>
              <w:t>-</w:t>
            </w:r>
          </w:p>
        </w:tc>
        <w:tc>
          <w:tcPr>
            <w:tcW w:w="36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F386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kern w:val="0"/>
                <w:sz w:val="22"/>
                <w:szCs w:val="22"/>
                <w:highlight w:val="none"/>
                <w:u w:val="none"/>
                <w:lang w:val="en-US" w:eastAsia="zh-CN" w:bidi="ar"/>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E2E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auto"/>
                <w:kern w:val="0"/>
                <w:sz w:val="22"/>
                <w:szCs w:val="22"/>
                <w:highlight w:val="none"/>
                <w:u w:val="none"/>
                <w:lang w:val="en-US" w:eastAsia="zh-CN" w:bidi="ar"/>
              </w:rPr>
            </w:pPr>
          </w:p>
        </w:tc>
      </w:tr>
    </w:tbl>
    <w:p w14:paraId="47FA78BA">
      <w:pPr>
        <w:pStyle w:val="5"/>
        <w:spacing w:before="0" w:after="0" w:line="560" w:lineRule="exact"/>
        <w:outlineLvl w:val="3"/>
        <w:rPr>
          <w:rFonts w:hint="default" w:ascii="Times New Roman" w:hAnsi="Times New Roman" w:eastAsia="宋体" w:cs="Times New Roman"/>
          <w:smallCaps w:val="0"/>
          <w:color w:val="auto"/>
          <w:spacing w:val="0"/>
          <w:w w:val="100"/>
          <w:highlight w:val="none"/>
          <w:lang w:val="en-US" w:eastAsia="zh-CN"/>
        </w:rPr>
      </w:pPr>
      <w:r>
        <w:rPr>
          <w:rFonts w:hint="default" w:ascii="Times New Roman" w:hAnsi="Times New Roman" w:eastAsia="宋体" w:cs="Times New Roman"/>
          <w:smallCaps w:val="0"/>
          <w:color w:val="auto"/>
          <w:spacing w:val="0"/>
          <w:w w:val="100"/>
          <w:highlight w:val="none"/>
          <w:lang w:eastAsia="zh-CN"/>
        </w:rPr>
        <w:t>5.4.3.</w:t>
      </w:r>
      <w:r>
        <w:rPr>
          <w:rFonts w:hint="default" w:ascii="Times New Roman" w:hAnsi="Times New Roman" w:eastAsia="宋体" w:cs="Times New Roman"/>
          <w:smallCaps w:val="0"/>
          <w:color w:val="auto"/>
          <w:spacing w:val="0"/>
          <w:w w:val="100"/>
          <w:highlight w:val="none"/>
          <w:lang w:val="en-US" w:eastAsia="zh-CN"/>
        </w:rPr>
        <w:t>2</w:t>
      </w:r>
      <w:r>
        <w:rPr>
          <w:rFonts w:hint="default" w:ascii="Times New Roman" w:hAnsi="Times New Roman" w:eastAsia="宋体" w:cs="Times New Roman"/>
          <w:smallCaps w:val="0"/>
          <w:color w:val="auto"/>
          <w:spacing w:val="0"/>
          <w:w w:val="100"/>
          <w:highlight w:val="none"/>
          <w:lang w:eastAsia="zh-CN"/>
        </w:rPr>
        <w:t xml:space="preserve"> 蓄水池</w:t>
      </w:r>
      <w:bookmarkEnd w:id="183"/>
      <w:r>
        <w:rPr>
          <w:rFonts w:hint="default" w:ascii="Times New Roman" w:hAnsi="Times New Roman" w:eastAsia="宋体" w:cs="Times New Roman"/>
          <w:smallCaps w:val="0"/>
          <w:color w:val="auto"/>
          <w:spacing w:val="0"/>
          <w:w w:val="100"/>
          <w:highlight w:val="none"/>
          <w:lang w:val="en-US" w:eastAsia="zh-CN"/>
        </w:rPr>
        <w:t>工程</w:t>
      </w:r>
    </w:p>
    <w:p w14:paraId="220B298F">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旱地主要分布在丘坡之上，对于单片耕地面积小，发展集中提灌和渠灌有一定困难的，当地旱地灌溉以新建蓄水池为主。根据《四川省旱地整理工程技术规程》规定，旱地蓄水池保证每亩地有10m³左右的水量，</w:t>
      </w:r>
      <w:r>
        <w:rPr>
          <w:rFonts w:hint="eastAsia" w:ascii="Times New Roman" w:hAnsi="Times New Roman" w:eastAsia="宋体" w:cs="Times New Roman"/>
          <w:smallCaps w:val="0"/>
          <w:color w:val="auto"/>
          <w:spacing w:val="0"/>
          <w:w w:val="100"/>
          <w:sz w:val="30"/>
          <w:szCs w:val="30"/>
          <w:highlight w:val="none"/>
          <w:lang w:val="en-US" w:eastAsia="zh-CN"/>
        </w:rPr>
        <w:t>根据用水需求，设计蓄水池容积为300m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3</w:t>
      </w:r>
      <w:r>
        <w:rPr>
          <w:rFonts w:hint="default" w:ascii="Times New Roman" w:hAnsi="Times New Roman" w:eastAsia="宋体" w:cs="Times New Roman"/>
          <w:smallCaps w:val="0"/>
          <w:color w:val="auto"/>
          <w:spacing w:val="0"/>
          <w:w w:val="100"/>
          <w:sz w:val="30"/>
          <w:szCs w:val="30"/>
          <w:highlight w:val="none"/>
          <w:lang w:eastAsia="zh-CN"/>
        </w:rPr>
        <w:t>。</w:t>
      </w:r>
    </w:p>
    <w:p w14:paraId="39112387">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1.选址</w:t>
      </w:r>
    </w:p>
    <w:p w14:paraId="34E20643">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项目区旱地布在坡地，蓄水池选址在单片耕地面积小，发展集中提灌和渠灌有一定困难的区域</w:t>
      </w:r>
      <w:r>
        <w:rPr>
          <w:rFonts w:hint="eastAsia"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X=3501326.5007,Y=595842.996</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。根据农业生产要求和蓄水池的特点，蓄水池应修建在距污染源较远的地方，避开填方或易滑坡地段，</w:t>
      </w:r>
      <w:r>
        <w:rPr>
          <w:rFonts w:hint="eastAsia" w:ascii="Times New Roman" w:hAnsi="Times New Roman" w:eastAsia="宋体" w:cs="Times New Roman"/>
          <w:smallCaps w:val="0"/>
          <w:color w:val="auto"/>
          <w:spacing w:val="0"/>
          <w:w w:val="100"/>
          <w:sz w:val="30"/>
          <w:szCs w:val="30"/>
          <w:highlight w:val="none"/>
          <w:lang w:val="en-US" w:eastAsia="zh-CN"/>
        </w:rPr>
        <w:t>或</w:t>
      </w:r>
      <w:r>
        <w:rPr>
          <w:rFonts w:hint="default" w:ascii="Times New Roman" w:hAnsi="Times New Roman" w:eastAsia="宋体" w:cs="Times New Roman"/>
          <w:smallCaps w:val="0"/>
          <w:color w:val="auto"/>
          <w:spacing w:val="0"/>
          <w:w w:val="100"/>
          <w:sz w:val="30"/>
          <w:szCs w:val="30"/>
          <w:highlight w:val="none"/>
          <w:lang w:eastAsia="zh-CN"/>
        </w:rPr>
        <w:t>建在具有良好汇流条件的台地。通过现场踏勘并征求村民意见，本项目蓄水池选址的位置在</w:t>
      </w:r>
      <w:r>
        <w:rPr>
          <w:rFonts w:hint="default" w:ascii="Times New Roman" w:hAnsi="Times New Roman" w:eastAsia="宋体" w:cs="Times New Roman"/>
          <w:smallCaps w:val="0"/>
          <w:color w:val="auto"/>
          <w:spacing w:val="0"/>
          <w:w w:val="100"/>
          <w:sz w:val="30"/>
          <w:szCs w:val="30"/>
          <w:highlight w:val="none"/>
          <w:lang w:val="en-US" w:eastAsia="zh-CN"/>
        </w:rPr>
        <w:t>新建拦河坝下游，出露地层素填土、碎石土及基岩，素填土及碎石土层厚度薄，以基岩作为基础持力层。</w:t>
      </w:r>
    </w:p>
    <w:p w14:paraId="6D6C610D">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本项目</w:t>
      </w:r>
      <w:r>
        <w:rPr>
          <w:rFonts w:hint="default" w:ascii="Times New Roman" w:hAnsi="Times New Roman" w:eastAsia="宋体" w:cs="Times New Roman"/>
          <w:smallCaps w:val="0"/>
          <w:color w:val="auto"/>
          <w:spacing w:val="0"/>
          <w:w w:val="100"/>
          <w:sz w:val="30"/>
          <w:szCs w:val="30"/>
          <w:highlight w:val="none"/>
          <w:lang w:val="en-US" w:eastAsia="zh-CN"/>
        </w:rPr>
        <w:t>通过拦河坝将河道水引入蓄水池，能够保证蓄水池能够充分蓄水，再通过管道将水输送到灌溉区。蓄水池修建措施为池体防渗处理，以及配套沉砂池、引水渠、排水沟、梯步和护栏等设施。本次蓄水池采用地埋式，施工完成后复耕，不占用耕地林地。</w:t>
      </w:r>
    </w:p>
    <w:p w14:paraId="4128D98C">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2.蓄水池容量设计</w:t>
      </w:r>
    </w:p>
    <w:p w14:paraId="7A4B8D86">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vertAlign w:val="baseli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本项目通过拦河坝将河道水引入蓄水池，上游来水远大于项目区需水，蓄水池为调节构筑物，对应灌溉面积为2000亩，根据灌溉制度设计，最大轮灌组为第四天的轮灌组，其设计流量为0.0325m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3</w:t>
      </w:r>
      <w:r>
        <w:rPr>
          <w:rFonts w:hint="eastAsia" w:ascii="Times New Roman" w:hAnsi="Times New Roman" w:eastAsia="宋体" w:cs="Times New Roman"/>
          <w:smallCaps w:val="0"/>
          <w:color w:val="auto"/>
          <w:spacing w:val="0"/>
          <w:w w:val="100"/>
          <w:sz w:val="30"/>
          <w:szCs w:val="30"/>
          <w:highlight w:val="none"/>
          <w:lang w:val="en-US" w:eastAsia="zh-CN"/>
        </w:rPr>
        <w:t>/s，最大日需水量为1930.5m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3</w:t>
      </w:r>
      <w:r>
        <w:rPr>
          <w:rFonts w:hint="eastAsia" w:ascii="Times New Roman" w:hAnsi="Times New Roman" w:eastAsia="宋体" w:cs="Times New Roman"/>
          <w:smallCaps w:val="0"/>
          <w:color w:val="auto"/>
          <w:spacing w:val="0"/>
          <w:w w:val="100"/>
          <w:sz w:val="30"/>
          <w:szCs w:val="30"/>
          <w:highlight w:val="none"/>
          <w:vertAlign w:val="baseline"/>
          <w:lang w:val="en-US" w:eastAsia="zh-CN"/>
        </w:rPr>
        <w:t>，根据水池的调节作用，选用最大日需水量的15%为蓄水池的有效容积，故有效容积为289.58m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3</w:t>
      </w:r>
      <w:r>
        <w:rPr>
          <w:rFonts w:hint="eastAsia" w:ascii="Times New Roman" w:hAnsi="Times New Roman" w:eastAsia="宋体" w:cs="Times New Roman"/>
          <w:smallCaps w:val="0"/>
          <w:color w:val="auto"/>
          <w:spacing w:val="0"/>
          <w:w w:val="100"/>
          <w:sz w:val="30"/>
          <w:szCs w:val="30"/>
          <w:highlight w:val="none"/>
          <w:vertAlign w:val="baseline"/>
          <w:lang w:val="en-US" w:eastAsia="zh-CN"/>
        </w:rPr>
        <w:t>，故本次选用蓄水池容积为300m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3</w:t>
      </w:r>
      <w:r>
        <w:rPr>
          <w:rFonts w:hint="eastAsia" w:ascii="Times New Roman" w:hAnsi="Times New Roman" w:eastAsia="宋体" w:cs="Times New Roman"/>
          <w:smallCaps w:val="0"/>
          <w:color w:val="auto"/>
          <w:spacing w:val="0"/>
          <w:w w:val="100"/>
          <w:sz w:val="30"/>
          <w:szCs w:val="30"/>
          <w:highlight w:val="none"/>
          <w:vertAlign w:val="baseline"/>
          <w:lang w:val="en-US" w:eastAsia="zh-CN"/>
        </w:rPr>
        <w:t>。</w:t>
      </w:r>
    </w:p>
    <w:p w14:paraId="65DBB81E">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3.蓄水池结构设计</w:t>
      </w:r>
    </w:p>
    <w:p w14:paraId="4CC07ECC">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（1）</w:t>
      </w:r>
      <w:r>
        <w:rPr>
          <w:rFonts w:hint="default" w:ascii="Times New Roman" w:hAnsi="Times New Roman" w:eastAsia="宋体" w:cs="Times New Roman"/>
          <w:smallCaps w:val="0"/>
          <w:color w:val="auto"/>
          <w:spacing w:val="0"/>
          <w:w w:val="100"/>
          <w:sz w:val="30"/>
          <w:szCs w:val="30"/>
          <w:highlight w:val="none"/>
          <w:lang w:eastAsia="zh-CN"/>
        </w:rPr>
        <w:t>蓄水池</w:t>
      </w:r>
      <w:r>
        <w:rPr>
          <w:rFonts w:hint="eastAsia" w:ascii="Times New Roman" w:hAnsi="Times New Roman" w:eastAsia="宋体" w:cs="Times New Roman"/>
          <w:smallCaps w:val="0"/>
          <w:color w:val="auto"/>
          <w:spacing w:val="0"/>
          <w:w w:val="100"/>
          <w:sz w:val="30"/>
          <w:szCs w:val="30"/>
          <w:highlight w:val="none"/>
          <w:lang w:val="en-US" w:eastAsia="zh-CN"/>
        </w:rPr>
        <w:t>设计</w:t>
      </w:r>
    </w:p>
    <w:p w14:paraId="38147CA5">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蓄水池池形设计为圆形，</w:t>
      </w:r>
      <w:r>
        <w:rPr>
          <w:rFonts w:hint="default" w:ascii="Times New Roman" w:hAnsi="Times New Roman" w:eastAsia="宋体" w:cs="Times New Roman"/>
          <w:smallCaps w:val="0"/>
          <w:color w:val="auto"/>
          <w:spacing w:val="0"/>
          <w:w w:val="100"/>
          <w:sz w:val="30"/>
          <w:szCs w:val="30"/>
          <w:highlight w:val="none"/>
          <w:lang w:val="en-US" w:eastAsia="zh-CN"/>
        </w:rPr>
        <w:t>为</w:t>
      </w:r>
      <w:r>
        <w:rPr>
          <w:rFonts w:hint="eastAsia" w:ascii="Times New Roman" w:hAnsi="Times New Roman" w:eastAsia="宋体" w:cs="Times New Roman"/>
          <w:smallCaps w:val="0"/>
          <w:color w:val="auto"/>
          <w:spacing w:val="0"/>
          <w:w w:val="100"/>
          <w:sz w:val="30"/>
          <w:szCs w:val="30"/>
          <w:highlight w:val="none"/>
          <w:lang w:val="en-US" w:eastAsia="zh-CN"/>
        </w:rPr>
        <w:t>地埋式</w:t>
      </w:r>
      <w:r>
        <w:rPr>
          <w:rFonts w:hint="default" w:ascii="Times New Roman" w:hAnsi="Times New Roman" w:eastAsia="宋体" w:cs="Times New Roman"/>
          <w:smallCaps w:val="0"/>
          <w:color w:val="auto"/>
          <w:spacing w:val="0"/>
          <w:w w:val="100"/>
          <w:sz w:val="30"/>
          <w:szCs w:val="30"/>
          <w:highlight w:val="none"/>
          <w:lang w:val="en-US" w:eastAsia="zh-CN"/>
        </w:rPr>
        <w:t>钢筋混凝土结构，</w:t>
      </w:r>
      <w:r>
        <w:rPr>
          <w:rFonts w:hint="default" w:ascii="Times New Roman" w:hAnsi="Times New Roman" w:eastAsia="宋体" w:cs="Times New Roman"/>
          <w:smallCaps w:val="0"/>
          <w:color w:val="auto"/>
          <w:spacing w:val="0"/>
          <w:w w:val="100"/>
          <w:sz w:val="30"/>
          <w:szCs w:val="30"/>
          <w:highlight w:val="none"/>
          <w:lang w:eastAsia="zh-CN"/>
        </w:rPr>
        <w:t>设计内直径为</w:t>
      </w:r>
      <w:r>
        <w:rPr>
          <w:rFonts w:hint="default" w:ascii="Times New Roman" w:hAnsi="Times New Roman" w:eastAsia="宋体" w:cs="Times New Roman"/>
          <w:smallCaps w:val="0"/>
          <w:color w:val="auto"/>
          <w:spacing w:val="0"/>
          <w:w w:val="100"/>
          <w:sz w:val="30"/>
          <w:szCs w:val="30"/>
          <w:highlight w:val="none"/>
          <w:lang w:val="en-US" w:eastAsia="zh-CN"/>
        </w:rPr>
        <w:t>11.10</w:t>
      </w:r>
      <w:r>
        <w:rPr>
          <w:rFonts w:hint="default" w:ascii="Times New Roman" w:hAnsi="Times New Roman" w:eastAsia="宋体" w:cs="Times New Roman"/>
          <w:smallCaps w:val="0"/>
          <w:color w:val="auto"/>
          <w:spacing w:val="0"/>
          <w:w w:val="100"/>
          <w:sz w:val="30"/>
          <w:szCs w:val="30"/>
          <w:highlight w:val="none"/>
          <w:lang w:eastAsia="zh-CN"/>
        </w:rPr>
        <w:t>m，池深3.5m，有效蓄水深度3.0m</w:t>
      </w:r>
      <w:r>
        <w:rPr>
          <w:rFonts w:hint="eastAsia" w:ascii="Times New Roman" w:hAnsi="Times New Roman" w:eastAsia="宋体" w:cs="Times New Roman"/>
          <w:smallCaps w:val="0"/>
          <w:color w:val="auto"/>
          <w:spacing w:val="0"/>
          <w:w w:val="100"/>
          <w:sz w:val="30"/>
          <w:szCs w:val="30"/>
          <w:highlight w:val="none"/>
          <w:lang w:val="en-US" w:eastAsia="zh-CN"/>
        </w:rPr>
        <w:t>，池顶覆土深度后高程为3580.69m，池底高程为3576.51m</w:t>
      </w: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蓄水池池顶采用18cm厚</w:t>
      </w:r>
      <w:r>
        <w:rPr>
          <w:rFonts w:hint="default" w:ascii="Times New Roman" w:hAnsi="Times New Roman" w:eastAsia="宋体" w:cs="Times New Roman"/>
          <w:smallCaps w:val="0"/>
          <w:color w:val="auto"/>
          <w:spacing w:val="0"/>
          <w:w w:val="100"/>
          <w:sz w:val="30"/>
          <w:szCs w:val="30"/>
          <w:highlight w:val="none"/>
          <w:lang w:eastAsia="zh-CN"/>
        </w:rPr>
        <w:t>现浇C</w:t>
      </w:r>
      <w:r>
        <w:rPr>
          <w:rFonts w:hint="default" w:ascii="Times New Roman" w:hAnsi="Times New Roman" w:eastAsia="宋体" w:cs="Times New Roman"/>
          <w:smallCaps w:val="0"/>
          <w:color w:val="auto"/>
          <w:spacing w:val="0"/>
          <w:w w:val="100"/>
          <w:sz w:val="30"/>
          <w:szCs w:val="30"/>
          <w:highlight w:val="none"/>
          <w:lang w:val="en-US" w:eastAsia="zh-CN"/>
        </w:rPr>
        <w:t>30钢筋</w:t>
      </w:r>
      <w:r>
        <w:rPr>
          <w:rFonts w:hint="default" w:ascii="Times New Roman" w:hAnsi="Times New Roman" w:eastAsia="宋体" w:cs="Times New Roman"/>
          <w:smallCaps w:val="0"/>
          <w:color w:val="auto"/>
          <w:spacing w:val="0"/>
          <w:w w:val="100"/>
          <w:sz w:val="30"/>
          <w:szCs w:val="30"/>
          <w:highlight w:val="none"/>
          <w:lang w:eastAsia="zh-CN"/>
        </w:rPr>
        <w:t>砼，</w:t>
      </w:r>
      <w:r>
        <w:rPr>
          <w:rFonts w:hint="default" w:ascii="Times New Roman" w:hAnsi="Times New Roman" w:eastAsia="宋体" w:cs="Times New Roman"/>
          <w:smallCaps w:val="0"/>
          <w:color w:val="auto"/>
          <w:spacing w:val="0"/>
          <w:w w:val="100"/>
          <w:sz w:val="30"/>
          <w:szCs w:val="30"/>
          <w:highlight w:val="none"/>
          <w:lang w:val="en-US" w:eastAsia="zh-CN"/>
        </w:rPr>
        <w:t>设1个C30钢筋砼检修孔，设2根DN200通风管和2个</w:t>
      </w:r>
      <w:r>
        <w:rPr>
          <w:rFonts w:hint="default" w:ascii="Times New Roman" w:hAnsi="Times New Roman" w:eastAsia="仿宋_GB2312" w:cs="Times New Roman"/>
          <w:snapToGrid/>
          <w:color w:val="auto"/>
          <w:kern w:val="2"/>
          <w:sz w:val="30"/>
          <w:szCs w:val="30"/>
          <w:highlight w:val="none"/>
          <w:lang w:val="en-US" w:eastAsia="zh-CN"/>
        </w:rPr>
        <w:t>Ф1100</w:t>
      </w:r>
      <w:r>
        <w:rPr>
          <w:rFonts w:hint="default" w:ascii="Times New Roman" w:hAnsi="Times New Roman" w:eastAsia="宋体" w:cs="Times New Roman"/>
          <w:smallCaps w:val="0"/>
          <w:color w:val="auto"/>
          <w:spacing w:val="0"/>
          <w:w w:val="100"/>
          <w:sz w:val="30"/>
          <w:szCs w:val="30"/>
          <w:highlight w:val="none"/>
          <w:lang w:val="en-US" w:eastAsia="zh-CN"/>
        </w:rPr>
        <w:t>通风帽</w:t>
      </w:r>
      <w:r>
        <w:rPr>
          <w:rFonts w:hint="default" w:ascii="Times New Roman" w:hAnsi="Times New Roman" w:eastAsia="宋体" w:cs="Times New Roman"/>
          <w:smallCaps w:val="0"/>
          <w:color w:val="auto"/>
          <w:spacing w:val="0"/>
          <w:w w:val="100"/>
          <w:sz w:val="30"/>
          <w:szCs w:val="30"/>
          <w:highlight w:val="none"/>
          <w:lang w:eastAsia="zh-CN"/>
        </w:rPr>
        <w:t>；池底采用现浇C</w:t>
      </w:r>
      <w:r>
        <w:rPr>
          <w:rFonts w:hint="default" w:ascii="Times New Roman" w:hAnsi="Times New Roman" w:eastAsia="宋体" w:cs="Times New Roman"/>
          <w:smallCaps w:val="0"/>
          <w:color w:val="auto"/>
          <w:spacing w:val="0"/>
          <w:w w:val="100"/>
          <w:sz w:val="30"/>
          <w:szCs w:val="30"/>
          <w:highlight w:val="none"/>
          <w:lang w:val="en-US" w:eastAsia="zh-CN"/>
        </w:rPr>
        <w:t>30钢筋</w:t>
      </w:r>
      <w:r>
        <w:rPr>
          <w:rFonts w:hint="default" w:ascii="Times New Roman" w:hAnsi="Times New Roman" w:eastAsia="宋体" w:cs="Times New Roman"/>
          <w:smallCaps w:val="0"/>
          <w:color w:val="auto"/>
          <w:spacing w:val="0"/>
          <w:w w:val="100"/>
          <w:sz w:val="30"/>
          <w:szCs w:val="30"/>
          <w:highlight w:val="none"/>
          <w:lang w:eastAsia="zh-CN"/>
        </w:rPr>
        <w:t>砼，浇筑厚度</w:t>
      </w:r>
      <w:r>
        <w:rPr>
          <w:rFonts w:hint="default" w:ascii="Times New Roman" w:hAnsi="Times New Roman" w:eastAsia="宋体" w:cs="Times New Roman"/>
          <w:smallCaps w:val="0"/>
          <w:color w:val="auto"/>
          <w:spacing w:val="0"/>
          <w:w w:val="100"/>
          <w:sz w:val="30"/>
          <w:szCs w:val="30"/>
          <w:highlight w:val="none"/>
          <w:lang w:val="en-US" w:eastAsia="zh-CN"/>
        </w:rPr>
        <w:t>20</w:t>
      </w:r>
      <w:r>
        <w:rPr>
          <w:rFonts w:hint="default" w:ascii="Times New Roman" w:hAnsi="Times New Roman" w:eastAsia="宋体" w:cs="Times New Roman"/>
          <w:smallCaps w:val="0"/>
          <w:color w:val="auto"/>
          <w:spacing w:val="0"/>
          <w:w w:val="100"/>
          <w:sz w:val="30"/>
          <w:szCs w:val="30"/>
          <w:highlight w:val="none"/>
          <w:lang w:eastAsia="zh-CN"/>
        </w:rPr>
        <w:t>cm，</w:t>
      </w:r>
      <w:r>
        <w:rPr>
          <w:rFonts w:hint="default" w:ascii="Times New Roman" w:hAnsi="Times New Roman" w:eastAsia="宋体" w:cs="Times New Roman"/>
          <w:smallCaps w:val="0"/>
          <w:color w:val="auto"/>
          <w:spacing w:val="0"/>
          <w:w w:val="100"/>
          <w:sz w:val="30"/>
          <w:szCs w:val="30"/>
          <w:highlight w:val="none"/>
          <w:lang w:val="en-US" w:eastAsia="zh-CN"/>
        </w:rPr>
        <w:t>池底下设10cm厚C15砼垫层</w:t>
      </w:r>
      <w:r>
        <w:rPr>
          <w:rFonts w:hint="default" w:ascii="Times New Roman" w:hAnsi="Times New Roman" w:eastAsia="宋体" w:cs="Times New Roman"/>
          <w:smallCaps w:val="0"/>
          <w:color w:val="auto"/>
          <w:spacing w:val="0"/>
          <w:w w:val="100"/>
          <w:sz w:val="30"/>
          <w:szCs w:val="30"/>
          <w:highlight w:val="none"/>
          <w:lang w:eastAsia="zh-CN"/>
        </w:rPr>
        <w:t>；池墙采用</w:t>
      </w:r>
      <w:r>
        <w:rPr>
          <w:rFonts w:hint="default" w:ascii="Times New Roman" w:hAnsi="Times New Roman" w:eastAsia="宋体" w:cs="Times New Roman"/>
          <w:smallCaps w:val="0"/>
          <w:color w:val="auto"/>
          <w:spacing w:val="0"/>
          <w:w w:val="100"/>
          <w:sz w:val="30"/>
          <w:szCs w:val="30"/>
          <w:highlight w:val="none"/>
          <w:lang w:val="en-US" w:eastAsia="zh-CN"/>
        </w:rPr>
        <w:t>20cm厚</w:t>
      </w:r>
      <w:r>
        <w:rPr>
          <w:rFonts w:hint="default" w:ascii="Times New Roman" w:hAnsi="Times New Roman" w:eastAsia="宋体" w:cs="Times New Roman"/>
          <w:smallCaps w:val="0"/>
          <w:color w:val="auto"/>
          <w:spacing w:val="0"/>
          <w:w w:val="100"/>
          <w:sz w:val="30"/>
          <w:szCs w:val="30"/>
          <w:highlight w:val="none"/>
          <w:lang w:eastAsia="zh-CN"/>
        </w:rPr>
        <w:t>现浇C</w:t>
      </w:r>
      <w:r>
        <w:rPr>
          <w:rFonts w:hint="default" w:ascii="Times New Roman" w:hAnsi="Times New Roman" w:eastAsia="宋体" w:cs="Times New Roman"/>
          <w:smallCaps w:val="0"/>
          <w:color w:val="auto"/>
          <w:spacing w:val="0"/>
          <w:w w:val="100"/>
          <w:sz w:val="30"/>
          <w:szCs w:val="30"/>
          <w:highlight w:val="none"/>
          <w:lang w:val="en-US" w:eastAsia="zh-CN"/>
        </w:rPr>
        <w:t>30钢筋</w:t>
      </w:r>
      <w:r>
        <w:rPr>
          <w:rFonts w:hint="default" w:ascii="Times New Roman" w:hAnsi="Times New Roman" w:eastAsia="宋体" w:cs="Times New Roman"/>
          <w:smallCaps w:val="0"/>
          <w:color w:val="auto"/>
          <w:spacing w:val="0"/>
          <w:w w:val="100"/>
          <w:sz w:val="30"/>
          <w:szCs w:val="30"/>
          <w:highlight w:val="none"/>
          <w:lang w:eastAsia="zh-CN"/>
        </w:rPr>
        <w:t>砼。</w:t>
      </w:r>
      <w:r>
        <w:rPr>
          <w:rFonts w:hint="default" w:ascii="Times New Roman" w:hAnsi="Times New Roman" w:eastAsia="宋体" w:cs="Times New Roman"/>
          <w:smallCaps w:val="0"/>
          <w:color w:val="auto"/>
          <w:spacing w:val="0"/>
          <w:w w:val="100"/>
          <w:sz w:val="30"/>
          <w:szCs w:val="30"/>
          <w:highlight w:val="none"/>
          <w:lang w:val="en-US" w:eastAsia="zh-CN"/>
        </w:rPr>
        <w:t>蓄水池</w:t>
      </w:r>
      <w:r>
        <w:rPr>
          <w:rFonts w:hint="default" w:ascii="Times New Roman" w:hAnsi="Times New Roman" w:eastAsia="宋体" w:cs="Times New Roman"/>
          <w:smallCaps w:val="0"/>
          <w:color w:val="auto"/>
          <w:spacing w:val="0"/>
          <w:w w:val="100"/>
          <w:sz w:val="30"/>
          <w:szCs w:val="30"/>
          <w:highlight w:val="none"/>
          <w:lang w:eastAsia="zh-CN"/>
        </w:rPr>
        <w:t>设</w:t>
      </w:r>
      <w:r>
        <w:rPr>
          <w:rFonts w:hint="default" w:ascii="Times New Roman" w:hAnsi="Times New Roman" w:eastAsia="宋体" w:cs="Times New Roman"/>
          <w:smallCaps w:val="0"/>
          <w:color w:val="auto"/>
          <w:spacing w:val="0"/>
          <w:w w:val="100"/>
          <w:sz w:val="30"/>
          <w:szCs w:val="30"/>
          <w:highlight w:val="none"/>
          <w:lang w:val="en-US" w:eastAsia="zh-CN"/>
        </w:rPr>
        <w:t>检修钢梯</w:t>
      </w:r>
      <w:r>
        <w:rPr>
          <w:rFonts w:hint="eastAsia" w:ascii="Times New Roman" w:hAnsi="Times New Roman" w:eastAsia="宋体" w:cs="Times New Roman"/>
          <w:smallCaps w:val="0"/>
          <w:color w:val="auto"/>
          <w:spacing w:val="0"/>
          <w:w w:val="100"/>
          <w:sz w:val="30"/>
          <w:szCs w:val="30"/>
          <w:highlight w:val="none"/>
          <w:lang w:val="en-US" w:eastAsia="zh-CN"/>
        </w:rPr>
        <w:t>1套</w:t>
      </w: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蓄水池的地基承载力需≥120kPa。</w:t>
      </w:r>
    </w:p>
    <w:p w14:paraId="61ACBB50">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2）蓄水池结构验算</w:t>
      </w:r>
    </w:p>
    <w:p w14:paraId="598530A2">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1.基本参数</w:t>
      </w:r>
    </w:p>
    <w:p w14:paraId="005D4E85">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蓄水池类型：圆形钢筋混凝土蓄水池</w:t>
      </w:r>
    </w:p>
    <w:p w14:paraId="009E1BA9">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内直径：11.10m（半径 r=5.55m）</w:t>
      </w:r>
    </w:p>
    <w:p w14:paraId="3169CCBF">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池深：3.5m</w:t>
      </w:r>
    </w:p>
    <w:p w14:paraId="26E3C59D">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混凝土强度等级：C30</w:t>
      </w:r>
    </w:p>
    <w:p w14:paraId="05692D9F">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顶板覆土厚度：50cm</w:t>
      </w:r>
    </w:p>
    <w:p w14:paraId="5C43D9B6">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val="en-US" w:eastAsia="zh-CN"/>
        </w:rPr>
        <w:t>底板</w:t>
      </w:r>
    </w:p>
    <w:p w14:paraId="0C39815C">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底板设计厚度：200mm</w:t>
      </w:r>
    </w:p>
    <w:p w14:paraId="171A3B5F">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有效厚度h</w:t>
      </w:r>
      <w:r>
        <w:rPr>
          <w:rFonts w:hint="default" w:ascii="Times New Roman" w:hAnsi="Times New Roman" w:eastAsia="宋体" w:cs="Times New Roman"/>
          <w:smallCaps w:val="0"/>
          <w:color w:val="auto"/>
          <w:spacing w:val="0"/>
          <w:w w:val="100"/>
          <w:sz w:val="30"/>
          <w:szCs w:val="30"/>
          <w:highlight w:val="none"/>
          <w:vertAlign w:val="subscript"/>
          <w:lang w:val="en-US" w:eastAsia="zh-CN"/>
        </w:rPr>
        <w:t>0</w:t>
      </w:r>
      <w:r>
        <w:rPr>
          <w:rFonts w:hint="default" w:ascii="Times New Roman" w:hAnsi="Times New Roman" w:eastAsia="宋体" w:cs="Times New Roman"/>
          <w:smallCaps w:val="0"/>
          <w:color w:val="auto"/>
          <w:spacing w:val="0"/>
          <w:w w:val="100"/>
          <w:sz w:val="30"/>
          <w:szCs w:val="30"/>
          <w:highlight w:val="none"/>
          <w:lang w:val="en-US" w:eastAsia="zh-CN"/>
        </w:rPr>
        <w:t xml:space="preserve"> =200 - 40 = 160mm</w:t>
      </w:r>
    </w:p>
    <w:p w14:paraId="72AF27A0">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水的重度γ</w:t>
      </w:r>
      <w:r>
        <w:rPr>
          <w:rFonts w:hint="default" w:ascii="Times New Roman" w:hAnsi="Times New Roman" w:eastAsia="宋体" w:cs="Times New Roman"/>
          <w:smallCaps w:val="0"/>
          <w:color w:val="auto"/>
          <w:spacing w:val="0"/>
          <w:w w:val="100"/>
          <w:sz w:val="30"/>
          <w:szCs w:val="30"/>
          <w:highlight w:val="none"/>
          <w:vertAlign w:val="subscript"/>
          <w:lang w:val="en-US" w:eastAsia="zh-CN"/>
        </w:rPr>
        <w:t>ω</w:t>
      </w:r>
      <w:r>
        <w:rPr>
          <w:rFonts w:hint="default" w:ascii="Times New Roman" w:hAnsi="Times New Roman" w:eastAsia="宋体" w:cs="Times New Roman"/>
          <w:smallCaps w:val="0"/>
          <w:color w:val="auto"/>
          <w:spacing w:val="0"/>
          <w:w w:val="100"/>
          <w:sz w:val="30"/>
          <w:szCs w:val="30"/>
          <w:highlight w:val="none"/>
          <w:lang w:val="en-US" w:eastAsia="zh-CN"/>
        </w:rPr>
        <w:t xml:space="preserve"> = 10kN/m</w:t>
      </w:r>
      <w:r>
        <w:rPr>
          <w:rFonts w:hint="default" w:ascii="Times New Roman" w:hAnsi="Times New Roman" w:eastAsia="宋体" w:cs="Times New Roman"/>
          <w:smallCaps w:val="0"/>
          <w:color w:val="auto"/>
          <w:spacing w:val="0"/>
          <w:w w:val="100"/>
          <w:sz w:val="30"/>
          <w:szCs w:val="30"/>
          <w:highlight w:val="none"/>
          <w:vertAlign w:val="superscript"/>
          <w:lang w:val="en-US" w:eastAsia="zh-CN"/>
        </w:rPr>
        <w:t>3</w:t>
      </w:r>
    </w:p>
    <w:p w14:paraId="3ACBDA65">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C30 混凝土轴心抗拉强度设计值f</w:t>
      </w:r>
      <w:r>
        <w:rPr>
          <w:rFonts w:hint="default" w:ascii="Times New Roman" w:hAnsi="Times New Roman" w:eastAsia="宋体" w:cs="Times New Roman"/>
          <w:smallCaps w:val="0"/>
          <w:color w:val="auto"/>
          <w:spacing w:val="0"/>
          <w:w w:val="100"/>
          <w:sz w:val="30"/>
          <w:szCs w:val="30"/>
          <w:highlight w:val="none"/>
          <w:vertAlign w:val="subscript"/>
          <w:lang w:val="en-US" w:eastAsia="zh-CN"/>
        </w:rPr>
        <w:t>t</w:t>
      </w:r>
      <w:r>
        <w:rPr>
          <w:rFonts w:hint="default" w:ascii="Times New Roman" w:hAnsi="Times New Roman" w:eastAsia="宋体" w:cs="Times New Roman"/>
          <w:smallCaps w:val="0"/>
          <w:color w:val="auto"/>
          <w:spacing w:val="0"/>
          <w:w w:val="100"/>
          <w:sz w:val="30"/>
          <w:szCs w:val="30"/>
          <w:highlight w:val="none"/>
          <w:lang w:val="en-US" w:eastAsia="zh-CN"/>
        </w:rPr>
        <w:t xml:space="preserve"> = 1.43MPa</w:t>
      </w:r>
    </w:p>
    <w:p w14:paraId="6814C96C">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地基承载力特征值f</w:t>
      </w:r>
      <w:r>
        <w:rPr>
          <w:rFonts w:hint="default" w:ascii="Times New Roman" w:hAnsi="Times New Roman" w:eastAsia="宋体" w:cs="Times New Roman"/>
          <w:smallCaps w:val="0"/>
          <w:color w:val="auto"/>
          <w:spacing w:val="0"/>
          <w:w w:val="100"/>
          <w:sz w:val="30"/>
          <w:szCs w:val="30"/>
          <w:highlight w:val="none"/>
          <w:vertAlign w:val="subscript"/>
          <w:lang w:val="en-US" w:eastAsia="zh-CN"/>
        </w:rPr>
        <w:t>ak</w:t>
      </w:r>
      <w:r>
        <w:rPr>
          <w:rFonts w:hint="default" w:ascii="Times New Roman" w:hAnsi="Times New Roman" w:eastAsia="宋体" w:cs="Times New Roman"/>
          <w:smallCaps w:val="0"/>
          <w:color w:val="auto"/>
          <w:spacing w:val="0"/>
          <w:w w:val="100"/>
          <w:sz w:val="30"/>
          <w:szCs w:val="30"/>
          <w:highlight w:val="none"/>
          <w:lang w:val="en-US" w:eastAsia="zh-CN"/>
        </w:rPr>
        <w:t xml:space="preserve"> ≥120kPa</w:t>
      </w:r>
    </w:p>
    <w:p w14:paraId="1B845D68">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①</w:t>
      </w:r>
      <w:r>
        <w:rPr>
          <w:rFonts w:hint="default" w:ascii="Times New Roman" w:hAnsi="Times New Roman" w:eastAsia="宋体" w:cs="Times New Roman"/>
          <w:smallCaps w:val="0"/>
          <w:color w:val="auto"/>
          <w:spacing w:val="0"/>
          <w:w w:val="100"/>
          <w:sz w:val="30"/>
          <w:szCs w:val="30"/>
          <w:highlight w:val="none"/>
          <w:lang w:val="en-US" w:eastAsia="zh-CN"/>
        </w:rPr>
        <w:t>抗冲切验算</w:t>
      </w:r>
    </w:p>
    <w:p w14:paraId="20F774B9">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冲切力由池内水压力产生，冲切临界截面取距池壁h</w:t>
      </w:r>
      <w:r>
        <w:rPr>
          <w:rFonts w:hint="default" w:ascii="Times New Roman" w:hAnsi="Times New Roman" w:eastAsia="宋体" w:cs="Times New Roman"/>
          <w:smallCaps w:val="0"/>
          <w:color w:val="auto"/>
          <w:spacing w:val="0"/>
          <w:w w:val="100"/>
          <w:sz w:val="30"/>
          <w:szCs w:val="30"/>
          <w:highlight w:val="none"/>
          <w:vertAlign w:val="subscript"/>
          <w:lang w:val="en-US" w:eastAsia="zh-CN"/>
        </w:rPr>
        <w:t>0</w:t>
      </w:r>
      <w:r>
        <w:rPr>
          <w:rFonts w:hint="default" w:ascii="Times New Roman" w:hAnsi="Times New Roman" w:eastAsia="宋体" w:cs="Times New Roman"/>
          <w:smallCaps w:val="0"/>
          <w:color w:val="auto"/>
          <w:spacing w:val="0"/>
          <w:w w:val="100"/>
          <w:sz w:val="30"/>
          <w:szCs w:val="30"/>
          <w:highlight w:val="none"/>
          <w:lang w:val="en-US" w:eastAsia="zh-CN"/>
        </w:rPr>
        <w:t>，计算如下：</w:t>
      </w:r>
    </w:p>
    <w:p w14:paraId="0FB96519">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color w:val="auto"/>
          <w:spacing w:val="0"/>
          <w:w w:val="100"/>
          <w:sz w:val="30"/>
          <w:szCs w:val="30"/>
          <w:highlight w:val="none"/>
          <w:lang w:val="en-US" w:eastAsia="zh-CN"/>
        </w:rPr>
        <w:t>A</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val="en-US" w:eastAsia="zh-CN"/>
        </w:rPr>
        <w:t>冲切临界截面面积：A</w:t>
      </w:r>
      <w:r>
        <w:rPr>
          <w:rFonts w:hint="default" w:ascii="Times New Roman" w:hAnsi="Times New Roman" w:eastAsia="宋体" w:cs="Times New Roman"/>
          <w:smallCaps w:val="0"/>
          <w:color w:val="auto"/>
          <w:spacing w:val="0"/>
          <w:w w:val="100"/>
          <w:sz w:val="30"/>
          <w:szCs w:val="30"/>
          <w:highlight w:val="none"/>
          <w:vertAlign w:val="subscript"/>
          <w:lang w:val="en-US" w:eastAsia="zh-CN"/>
        </w:rPr>
        <w:t>l</w:t>
      </w:r>
      <w:r>
        <w:rPr>
          <w:rFonts w:hint="default" w:ascii="Times New Roman" w:hAnsi="Times New Roman" w:eastAsia="宋体" w:cs="Times New Roman"/>
          <w:smallCaps w:val="0"/>
          <w:color w:val="auto"/>
          <w:spacing w:val="0"/>
          <w:w w:val="100"/>
          <w:sz w:val="30"/>
          <w:szCs w:val="30"/>
          <w:highlight w:val="none"/>
          <w:lang w:val="en-US" w:eastAsia="zh-CN"/>
        </w:rPr>
        <w:t>=π［（r-h</w:t>
      </w:r>
      <w:r>
        <w:rPr>
          <w:rFonts w:hint="default" w:ascii="Times New Roman" w:hAnsi="Times New Roman" w:eastAsia="宋体" w:cs="Times New Roman"/>
          <w:smallCaps w:val="0"/>
          <w:color w:val="auto"/>
          <w:spacing w:val="0"/>
          <w:w w:val="100"/>
          <w:sz w:val="30"/>
          <w:szCs w:val="30"/>
          <w:highlight w:val="none"/>
          <w:vertAlign w:val="subscript"/>
          <w:lang w:val="en-US" w:eastAsia="zh-CN"/>
        </w:rPr>
        <w:t>0</w:t>
      </w: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vertAlign w:val="superscript"/>
          <w:lang w:val="en-US" w:eastAsia="zh-CN"/>
        </w:rPr>
        <w:t>2</w:t>
      </w:r>
      <w:r>
        <w:rPr>
          <w:rFonts w:hint="default" w:ascii="Times New Roman" w:hAnsi="Times New Roman" w:eastAsia="宋体" w:cs="Times New Roman"/>
          <w:smallCaps w:val="0"/>
          <w:color w:val="auto"/>
          <w:spacing w:val="0"/>
          <w:w w:val="100"/>
          <w:sz w:val="30"/>
          <w:szCs w:val="30"/>
          <w:highlight w:val="none"/>
          <w:lang w:val="en-US" w:eastAsia="zh-CN"/>
        </w:rPr>
        <w:t>-（r-2h</w:t>
      </w:r>
      <w:r>
        <w:rPr>
          <w:rFonts w:hint="default" w:ascii="Times New Roman" w:hAnsi="Times New Roman" w:eastAsia="宋体" w:cs="Times New Roman"/>
          <w:smallCaps w:val="0"/>
          <w:color w:val="auto"/>
          <w:spacing w:val="0"/>
          <w:w w:val="100"/>
          <w:sz w:val="30"/>
          <w:szCs w:val="30"/>
          <w:highlight w:val="none"/>
          <w:vertAlign w:val="subscript"/>
          <w:lang w:val="en-US" w:eastAsia="zh-CN"/>
        </w:rPr>
        <w:t>0</w:t>
      </w: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vertAlign w:val="superscript"/>
          <w:lang w:val="en-US" w:eastAsia="zh-CN"/>
        </w:rPr>
        <w:t>2</w:t>
      </w:r>
      <w:r>
        <w:rPr>
          <w:rFonts w:hint="default" w:ascii="Times New Roman" w:hAnsi="Times New Roman" w:eastAsia="宋体" w:cs="Times New Roman"/>
          <w:smallCaps w:val="0"/>
          <w:color w:val="auto"/>
          <w:spacing w:val="0"/>
          <w:w w:val="100"/>
          <w:sz w:val="30"/>
          <w:szCs w:val="30"/>
          <w:highlight w:val="none"/>
          <w:lang w:val="en-US" w:eastAsia="zh-CN"/>
        </w:rPr>
        <w:t>］=5.23m</w:t>
      </w:r>
      <w:r>
        <w:rPr>
          <w:rFonts w:hint="default" w:ascii="Times New Roman" w:hAnsi="Times New Roman" w:eastAsia="宋体" w:cs="Times New Roman"/>
          <w:smallCaps w:val="0"/>
          <w:color w:val="auto"/>
          <w:spacing w:val="0"/>
          <w:w w:val="100"/>
          <w:sz w:val="30"/>
          <w:szCs w:val="30"/>
          <w:highlight w:val="none"/>
          <w:vertAlign w:val="superscript"/>
          <w:lang w:val="en-US" w:eastAsia="zh-CN"/>
        </w:rPr>
        <w:t>2</w:t>
      </w:r>
    </w:p>
    <w:p w14:paraId="7DBC3B15">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color w:val="auto"/>
          <w:spacing w:val="0"/>
          <w:w w:val="100"/>
          <w:sz w:val="30"/>
          <w:szCs w:val="30"/>
          <w:highlight w:val="none"/>
          <w:lang w:val="en-US" w:eastAsia="zh-CN"/>
        </w:rPr>
        <w:t>B</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val="en-US" w:eastAsia="zh-CN"/>
        </w:rPr>
        <w:t>冲切力计算：F</w:t>
      </w:r>
      <w:r>
        <w:rPr>
          <w:rFonts w:hint="default" w:ascii="Times New Roman" w:hAnsi="Times New Roman" w:eastAsia="宋体" w:cs="Times New Roman"/>
          <w:smallCaps w:val="0"/>
          <w:color w:val="auto"/>
          <w:spacing w:val="0"/>
          <w:w w:val="100"/>
          <w:sz w:val="30"/>
          <w:szCs w:val="30"/>
          <w:highlight w:val="none"/>
          <w:vertAlign w:val="subscript"/>
          <w:lang w:val="en-US" w:eastAsia="zh-CN"/>
        </w:rPr>
        <w:t>l</w:t>
      </w:r>
      <w:r>
        <w:rPr>
          <w:rFonts w:hint="default" w:ascii="Times New Roman" w:hAnsi="Times New Roman" w:eastAsia="宋体" w:cs="Times New Roman"/>
          <w:smallCaps w:val="0"/>
          <w:color w:val="auto"/>
          <w:spacing w:val="0"/>
          <w:w w:val="100"/>
          <w:sz w:val="30"/>
          <w:szCs w:val="30"/>
          <w:highlight w:val="none"/>
          <w:lang w:val="en-US" w:eastAsia="zh-CN"/>
        </w:rPr>
        <w:t>=γ</w:t>
      </w:r>
      <w:r>
        <w:rPr>
          <w:rFonts w:hint="default" w:ascii="Times New Roman" w:hAnsi="Times New Roman" w:eastAsia="宋体" w:cs="Times New Roman"/>
          <w:smallCaps w:val="0"/>
          <w:color w:val="auto"/>
          <w:spacing w:val="0"/>
          <w:w w:val="100"/>
          <w:sz w:val="30"/>
          <w:szCs w:val="30"/>
          <w:highlight w:val="none"/>
          <w:vertAlign w:val="subscript"/>
          <w:lang w:val="en-US" w:eastAsia="zh-CN"/>
        </w:rPr>
        <w:t>ω</w:t>
      </w:r>
      <w:r>
        <w:rPr>
          <w:rFonts w:hint="default" w:ascii="Times New Roman" w:hAnsi="Times New Roman" w:eastAsia="宋体" w:cs="Times New Roman"/>
          <w:smallCaps w:val="0"/>
          <w:color w:val="auto"/>
          <w:spacing w:val="0"/>
          <w:w w:val="100"/>
          <w:sz w:val="30"/>
          <w:szCs w:val="30"/>
          <w:highlight w:val="none"/>
          <w:lang w:val="en-US" w:eastAsia="zh-CN"/>
        </w:rPr>
        <w:t>hA</w:t>
      </w:r>
      <w:r>
        <w:rPr>
          <w:rFonts w:hint="default" w:ascii="Times New Roman" w:hAnsi="Times New Roman" w:eastAsia="宋体" w:cs="Times New Roman"/>
          <w:smallCaps w:val="0"/>
          <w:color w:val="auto"/>
          <w:spacing w:val="0"/>
          <w:w w:val="100"/>
          <w:sz w:val="30"/>
          <w:szCs w:val="30"/>
          <w:highlight w:val="none"/>
          <w:vertAlign w:val="subscript"/>
          <w:lang w:val="en-US" w:eastAsia="zh-CN"/>
        </w:rPr>
        <w:t>l</w:t>
      </w:r>
      <w:r>
        <w:rPr>
          <w:rFonts w:hint="default" w:ascii="Times New Roman" w:hAnsi="Times New Roman" w:eastAsia="宋体" w:cs="Times New Roman"/>
          <w:smallCaps w:val="0"/>
          <w:color w:val="auto"/>
          <w:spacing w:val="0"/>
          <w:w w:val="100"/>
          <w:sz w:val="30"/>
          <w:szCs w:val="30"/>
          <w:highlight w:val="none"/>
          <w:lang w:val="en-US" w:eastAsia="zh-CN"/>
        </w:rPr>
        <w:t>=183kN</w:t>
      </w:r>
    </w:p>
    <w:p w14:paraId="76676E69">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color w:val="auto"/>
          <w:spacing w:val="0"/>
          <w:w w:val="100"/>
          <w:sz w:val="30"/>
          <w:szCs w:val="30"/>
          <w:highlight w:val="none"/>
          <w:lang w:val="en-US" w:eastAsia="zh-CN"/>
        </w:rPr>
        <w:t>C</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val="en-US" w:eastAsia="zh-CN"/>
        </w:rPr>
        <w:t>冲切临界截面周长:</w:t>
      </w:r>
      <w:r>
        <w:rPr>
          <w:rFonts w:hint="default" w:ascii="Times New Roman" w:hAnsi="Times New Roman" w:eastAsia="宋体" w:cs="Times New Roman"/>
          <w:smallCaps w:val="0"/>
          <w:color w:val="auto"/>
          <w:spacing w:val="0"/>
          <w:w w:val="100"/>
          <w:sz w:val="30"/>
          <w:szCs w:val="30"/>
          <w:highlight w:val="none"/>
          <w:vertAlign w:val="baseline"/>
          <w:lang w:val="en-US" w:eastAsia="zh-CN"/>
        </w:rPr>
        <w:t>u</w:t>
      </w:r>
      <w:r>
        <w:rPr>
          <w:rFonts w:hint="default" w:ascii="Times New Roman" w:hAnsi="Times New Roman" w:eastAsia="宋体" w:cs="Times New Roman"/>
          <w:smallCaps w:val="0"/>
          <w:color w:val="auto"/>
          <w:spacing w:val="0"/>
          <w:w w:val="100"/>
          <w:sz w:val="30"/>
          <w:szCs w:val="30"/>
          <w:highlight w:val="none"/>
          <w:vertAlign w:val="subscript"/>
          <w:lang w:val="en-US" w:eastAsia="zh-CN"/>
        </w:rPr>
        <w:t>m</w:t>
      </w:r>
      <w:r>
        <w:rPr>
          <w:rFonts w:hint="default" w:ascii="Times New Roman" w:hAnsi="Times New Roman" w:eastAsia="宋体" w:cs="Times New Roman"/>
          <w:smallCaps w:val="0"/>
          <w:color w:val="auto"/>
          <w:spacing w:val="0"/>
          <w:w w:val="100"/>
          <w:sz w:val="30"/>
          <w:szCs w:val="30"/>
          <w:highlight w:val="none"/>
          <w:vertAlign w:val="baseline"/>
          <w:lang w:val="en-US" w:eastAsia="zh-CN"/>
        </w:rPr>
        <w:t>=</w:t>
      </w:r>
      <w:r>
        <w:rPr>
          <w:rFonts w:hint="default" w:ascii="Times New Roman" w:hAnsi="Times New Roman" w:eastAsia="宋体" w:cs="Times New Roman"/>
          <w:smallCaps w:val="0"/>
          <w:color w:val="auto"/>
          <w:spacing w:val="0"/>
          <w:w w:val="100"/>
          <w:sz w:val="30"/>
          <w:szCs w:val="30"/>
          <w:highlight w:val="none"/>
          <w:lang w:val="en-US" w:eastAsia="zh-CN"/>
        </w:rPr>
        <w:t>π（r-h</w:t>
      </w:r>
      <w:r>
        <w:rPr>
          <w:rFonts w:hint="default" w:ascii="Times New Roman" w:hAnsi="Times New Roman" w:eastAsia="宋体" w:cs="Times New Roman"/>
          <w:smallCaps w:val="0"/>
          <w:color w:val="auto"/>
          <w:spacing w:val="0"/>
          <w:w w:val="100"/>
          <w:sz w:val="30"/>
          <w:szCs w:val="30"/>
          <w:highlight w:val="none"/>
          <w:vertAlign w:val="subscript"/>
          <w:lang w:val="en-US" w:eastAsia="zh-CN"/>
        </w:rPr>
        <w:t>0</w:t>
      </w: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=34.9m</w:t>
      </w:r>
    </w:p>
    <w:p w14:paraId="38337DCC">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vertAlign w:val="baseline"/>
          <w:lang w:val="en-US" w:eastAsia="zh-CN"/>
        </w:rPr>
      </w:pPr>
      <w:r>
        <w:rPr>
          <w:rFonts w:hint="eastAsia" w:ascii="Times New Roman" w:hAnsi="Times New Roman" w:eastAsia="宋体" w:cs="Times New Roman"/>
          <w:color w:val="auto"/>
          <w:spacing w:val="0"/>
          <w:w w:val="100"/>
          <w:sz w:val="30"/>
          <w:szCs w:val="30"/>
          <w:highlight w:val="none"/>
          <w:lang w:val="en-US" w:eastAsia="zh-CN"/>
        </w:rPr>
        <w:t>D.</w:t>
      </w:r>
      <w:r>
        <w:rPr>
          <w:rFonts w:hint="default" w:ascii="Times New Roman" w:hAnsi="Times New Roman" w:eastAsia="宋体" w:cs="Times New Roman"/>
          <w:smallCaps w:val="0"/>
          <w:color w:val="auto"/>
          <w:spacing w:val="0"/>
          <w:w w:val="100"/>
          <w:sz w:val="30"/>
          <w:szCs w:val="30"/>
          <w:highlight w:val="none"/>
          <w:lang w:val="en-US" w:eastAsia="zh-CN"/>
        </w:rPr>
        <w:t>抗冲切承载力计算：0.7β</w:t>
      </w:r>
      <w:r>
        <w:rPr>
          <w:rFonts w:hint="default" w:ascii="Times New Roman" w:hAnsi="Times New Roman" w:eastAsia="宋体" w:cs="Times New Roman"/>
          <w:smallCaps w:val="0"/>
          <w:color w:val="auto"/>
          <w:spacing w:val="0"/>
          <w:w w:val="100"/>
          <w:sz w:val="30"/>
          <w:szCs w:val="30"/>
          <w:highlight w:val="none"/>
          <w:vertAlign w:val="subscript"/>
          <w:lang w:val="en-US" w:eastAsia="zh-CN"/>
        </w:rPr>
        <w:t>hp</w:t>
      </w:r>
      <w:r>
        <w:rPr>
          <w:rFonts w:hint="default" w:ascii="Times New Roman" w:hAnsi="Times New Roman" w:eastAsia="宋体" w:cs="Times New Roman"/>
          <w:smallCaps w:val="0"/>
          <w:color w:val="auto"/>
          <w:spacing w:val="0"/>
          <w:w w:val="100"/>
          <w:sz w:val="30"/>
          <w:szCs w:val="30"/>
          <w:highlight w:val="none"/>
          <w:lang w:val="en-US" w:eastAsia="zh-CN"/>
        </w:rPr>
        <w:t>f</w:t>
      </w:r>
      <w:r>
        <w:rPr>
          <w:rFonts w:hint="default" w:ascii="Times New Roman" w:hAnsi="Times New Roman" w:eastAsia="宋体" w:cs="Times New Roman"/>
          <w:smallCaps w:val="0"/>
          <w:color w:val="auto"/>
          <w:spacing w:val="0"/>
          <w:w w:val="100"/>
          <w:sz w:val="30"/>
          <w:szCs w:val="30"/>
          <w:highlight w:val="none"/>
          <w:vertAlign w:val="subscript"/>
          <w:lang w:val="en-US" w:eastAsia="zh-CN"/>
        </w:rPr>
        <w:t>t</w:t>
      </w:r>
      <w:r>
        <w:rPr>
          <w:rFonts w:hint="default" w:ascii="Times New Roman" w:hAnsi="Times New Roman" w:eastAsia="宋体" w:cs="Times New Roman"/>
          <w:smallCaps w:val="0"/>
          <w:color w:val="auto"/>
          <w:spacing w:val="0"/>
          <w:w w:val="100"/>
          <w:sz w:val="30"/>
          <w:szCs w:val="30"/>
          <w:highlight w:val="none"/>
          <w:vertAlign w:val="baseline"/>
          <w:lang w:val="en-US" w:eastAsia="zh-CN"/>
        </w:rPr>
        <w:t>u</w:t>
      </w:r>
      <w:r>
        <w:rPr>
          <w:rFonts w:hint="default" w:ascii="Times New Roman" w:hAnsi="Times New Roman" w:eastAsia="宋体" w:cs="Times New Roman"/>
          <w:smallCaps w:val="0"/>
          <w:color w:val="auto"/>
          <w:spacing w:val="0"/>
          <w:w w:val="100"/>
          <w:sz w:val="30"/>
          <w:szCs w:val="30"/>
          <w:highlight w:val="none"/>
          <w:vertAlign w:val="subscript"/>
          <w:lang w:val="en-US" w:eastAsia="zh-CN"/>
        </w:rPr>
        <w:t>m</w:t>
      </w:r>
      <w:r>
        <w:rPr>
          <w:rFonts w:hint="default" w:ascii="Times New Roman" w:hAnsi="Times New Roman" w:eastAsia="宋体" w:cs="Times New Roman"/>
          <w:smallCaps w:val="0"/>
          <w:color w:val="auto"/>
          <w:spacing w:val="0"/>
          <w:w w:val="100"/>
          <w:sz w:val="30"/>
          <w:szCs w:val="30"/>
          <w:highlight w:val="none"/>
          <w:lang w:val="en-US" w:eastAsia="zh-CN"/>
        </w:rPr>
        <w:t>h</w:t>
      </w:r>
      <w:r>
        <w:rPr>
          <w:rFonts w:hint="default" w:ascii="Times New Roman" w:hAnsi="Times New Roman" w:eastAsia="宋体" w:cs="Times New Roman"/>
          <w:smallCaps w:val="0"/>
          <w:color w:val="auto"/>
          <w:spacing w:val="0"/>
          <w:w w:val="100"/>
          <w:sz w:val="30"/>
          <w:szCs w:val="30"/>
          <w:highlight w:val="none"/>
          <w:vertAlign w:val="subscript"/>
          <w:lang w:val="en-US" w:eastAsia="zh-CN"/>
        </w:rPr>
        <w:t>0</w:t>
      </w:r>
      <w:r>
        <w:rPr>
          <w:rFonts w:hint="default" w:ascii="Times New Roman" w:hAnsi="Times New Roman" w:eastAsia="宋体" w:cs="Times New Roman"/>
          <w:smallCaps w:val="0"/>
          <w:color w:val="auto"/>
          <w:spacing w:val="0"/>
          <w:w w:val="100"/>
          <w:sz w:val="30"/>
          <w:szCs w:val="30"/>
          <w:highlight w:val="none"/>
          <w:vertAlign w:val="baseline"/>
          <w:lang w:val="en-US" w:eastAsia="zh-CN"/>
        </w:rPr>
        <w:t>=</w:t>
      </w:r>
      <w:r>
        <w:rPr>
          <w:rFonts w:hint="default" w:ascii="Times New Roman" w:hAnsi="Times New Roman" w:eastAsia="宋体" w:cs="Times New Roman"/>
          <w:smallCaps w:val="0"/>
          <w:color w:val="auto"/>
          <w:spacing w:val="0"/>
          <w:w w:val="100"/>
          <w:sz w:val="30"/>
          <w:szCs w:val="30"/>
          <w:highlight w:val="none"/>
          <w:lang w:val="en-US" w:eastAsia="zh-CN"/>
        </w:rPr>
        <w:t>282kN</w:t>
      </w:r>
      <w:r>
        <w:rPr>
          <w:rFonts w:hint="eastAsia" w:ascii="Times New Roman" w:hAnsi="Times New Roman" w:eastAsia="宋体" w:cs="Times New Roman"/>
          <w:smallCaps w:val="0"/>
          <w:color w:val="auto"/>
          <w:spacing w:val="0"/>
          <w:w w:val="100"/>
          <w:sz w:val="30"/>
          <w:szCs w:val="30"/>
          <w:highlight w:val="none"/>
          <w:lang w:val="en-US" w:eastAsia="zh-CN"/>
        </w:rPr>
        <w:t>（冲切系数</w:t>
      </w:r>
      <w:r>
        <w:rPr>
          <w:rFonts w:hint="default" w:ascii="Times New Roman" w:hAnsi="Times New Roman" w:eastAsia="宋体" w:cs="Times New Roman"/>
          <w:smallCaps w:val="0"/>
          <w:color w:val="auto"/>
          <w:spacing w:val="0"/>
          <w:w w:val="100"/>
          <w:sz w:val="30"/>
          <w:szCs w:val="30"/>
          <w:highlight w:val="none"/>
          <w:lang w:val="en-US" w:eastAsia="zh-CN"/>
        </w:rPr>
        <w:t>β</w:t>
      </w:r>
      <w:r>
        <w:rPr>
          <w:rFonts w:hint="default" w:ascii="Times New Roman" w:hAnsi="Times New Roman" w:eastAsia="宋体" w:cs="Times New Roman"/>
          <w:smallCaps w:val="0"/>
          <w:color w:val="auto"/>
          <w:spacing w:val="0"/>
          <w:w w:val="100"/>
          <w:sz w:val="30"/>
          <w:szCs w:val="30"/>
          <w:highlight w:val="none"/>
          <w:vertAlign w:val="subscript"/>
          <w:lang w:val="en-US" w:eastAsia="zh-CN"/>
        </w:rPr>
        <w:t>hp</w:t>
      </w:r>
      <w:r>
        <w:rPr>
          <w:rFonts w:hint="eastAsia" w:ascii="Times New Roman" w:hAnsi="Times New Roman" w:eastAsia="宋体" w:cs="Times New Roman"/>
          <w:smallCaps w:val="0"/>
          <w:color w:val="auto"/>
          <w:spacing w:val="0"/>
          <w:w w:val="100"/>
          <w:sz w:val="30"/>
          <w:szCs w:val="30"/>
          <w:highlight w:val="none"/>
          <w:vertAlign w:val="baseline"/>
          <w:lang w:val="en-US" w:eastAsia="zh-CN"/>
        </w:rPr>
        <w:t>取为1.0）</w:t>
      </w:r>
    </w:p>
    <w:p w14:paraId="01CF4BF0">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故</w:t>
      </w:r>
      <w:r>
        <w:rPr>
          <w:rFonts w:hint="eastAsia" w:ascii="Times New Roman" w:hAnsi="Times New Roman" w:eastAsia="宋体" w:cs="Times New Roman"/>
          <w:smallCaps w:val="0"/>
          <w:color w:val="auto"/>
          <w:spacing w:val="0"/>
          <w:w w:val="100"/>
          <w:sz w:val="30"/>
          <w:szCs w:val="30"/>
          <w:highlight w:val="none"/>
          <w:lang w:val="en-US" w:eastAsia="zh-CN"/>
        </w:rPr>
        <w:t>根据计算结果，</w:t>
      </w:r>
      <w:r>
        <w:rPr>
          <w:rFonts w:hint="default" w:ascii="Times New Roman" w:hAnsi="Times New Roman" w:eastAsia="宋体" w:cs="Times New Roman"/>
          <w:smallCaps w:val="0"/>
          <w:color w:val="auto"/>
          <w:spacing w:val="0"/>
          <w:w w:val="100"/>
          <w:sz w:val="30"/>
          <w:szCs w:val="30"/>
          <w:highlight w:val="none"/>
          <w:lang w:val="en-US" w:eastAsia="zh-CN"/>
        </w:rPr>
        <w:t>282kN＞183kN，满足抗冲切要求</w:t>
      </w:r>
      <w:r>
        <w:rPr>
          <w:rFonts w:hint="eastAsia" w:ascii="Times New Roman" w:hAnsi="Times New Roman" w:eastAsia="宋体" w:cs="Times New Roman"/>
          <w:smallCaps w:val="0"/>
          <w:color w:val="auto"/>
          <w:spacing w:val="0"/>
          <w:w w:val="100"/>
          <w:sz w:val="30"/>
          <w:szCs w:val="30"/>
          <w:highlight w:val="none"/>
          <w:lang w:val="en-US" w:eastAsia="zh-CN"/>
        </w:rPr>
        <w:t>。</w:t>
      </w:r>
    </w:p>
    <w:p w14:paraId="4A11FD1A">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②抗浮验算</w:t>
      </w:r>
    </w:p>
    <w:p w14:paraId="08137D56">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抗浮安全系数</w:t>
      </w:r>
      <w:r>
        <w:rPr>
          <w:rFonts w:hint="eastAsia" w:ascii="Times New Roman" w:hAnsi="Times New Roman" w:eastAsia="宋体" w:cs="Times New Roman"/>
          <w:smallCaps w:val="0"/>
          <w:color w:val="auto"/>
          <w:spacing w:val="0"/>
          <w:w w:val="100"/>
          <w:sz w:val="30"/>
          <w:szCs w:val="30"/>
          <w:highlight w:val="none"/>
          <w:lang w:val="en-US" w:eastAsia="zh-CN"/>
        </w:rPr>
        <w:t>K</w:t>
      </w:r>
      <w:r>
        <w:rPr>
          <w:rFonts w:hint="eastAsia" w:ascii="Times New Roman" w:hAnsi="Times New Roman" w:eastAsia="宋体" w:cs="Times New Roman"/>
          <w:smallCaps w:val="0"/>
          <w:color w:val="auto"/>
          <w:spacing w:val="0"/>
          <w:w w:val="100"/>
          <w:sz w:val="30"/>
          <w:szCs w:val="30"/>
          <w:highlight w:val="none"/>
          <w:vertAlign w:val="subscript"/>
          <w:lang w:val="en-US" w:eastAsia="zh-CN"/>
        </w:rPr>
        <w:t>f</w:t>
      </w:r>
      <w:r>
        <w:rPr>
          <w:rFonts w:hint="default" w:ascii="Times New Roman" w:hAnsi="Times New Roman" w:eastAsia="宋体" w:cs="Times New Roman"/>
          <w:smallCaps w:val="0"/>
          <w:color w:val="auto"/>
          <w:spacing w:val="0"/>
          <w:w w:val="100"/>
          <w:sz w:val="30"/>
          <w:szCs w:val="30"/>
          <w:highlight w:val="none"/>
          <w:lang w:val="en-US" w:eastAsia="zh-CN"/>
        </w:rPr>
        <w:t xml:space="preserve"> ≥</w:t>
      </w:r>
      <w:r>
        <w:rPr>
          <w:rFonts w:hint="eastAsia" w:ascii="Times New Roman" w:hAnsi="Times New Roman" w:eastAsia="宋体" w:cs="Times New Roman"/>
          <w:smallCaps w:val="0"/>
          <w:color w:val="auto"/>
          <w:spacing w:val="0"/>
          <w:w w:val="100"/>
          <w:sz w:val="30"/>
          <w:szCs w:val="30"/>
          <w:highlight w:val="none"/>
          <w:lang w:val="en-US" w:eastAsia="zh-CN"/>
        </w:rPr>
        <w:t>1.05，计算如下：</w:t>
      </w:r>
    </w:p>
    <w:p w14:paraId="5A1FCEA2">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color w:val="auto"/>
          <w:spacing w:val="0"/>
          <w:w w:val="100"/>
          <w:sz w:val="30"/>
          <w:szCs w:val="30"/>
          <w:highlight w:val="none"/>
          <w:lang w:val="en-US" w:eastAsia="zh-CN"/>
        </w:rPr>
        <w:t>A</w:t>
      </w:r>
      <w:r>
        <w:rPr>
          <w:rFonts w:hint="eastAsia" w:ascii="Times New Roman" w:hAnsi="Times New Roman" w:eastAsia="宋体" w:cs="Times New Roman"/>
          <w:smallCaps w:val="0"/>
          <w:color w:val="auto"/>
          <w:spacing w:val="0"/>
          <w:w w:val="100"/>
          <w:sz w:val="30"/>
          <w:szCs w:val="30"/>
          <w:highlight w:val="none"/>
          <w:lang w:val="en-US" w:eastAsia="zh-CN"/>
        </w:rPr>
        <w:t>.底板自重+池壁自重+顶板自重+覆土重量G：G=3601</w:t>
      </w:r>
      <w:r>
        <w:rPr>
          <w:rFonts w:hint="default" w:ascii="Times New Roman" w:hAnsi="Times New Roman" w:eastAsia="宋体" w:cs="Times New Roman"/>
          <w:smallCaps w:val="0"/>
          <w:color w:val="auto"/>
          <w:spacing w:val="0"/>
          <w:w w:val="100"/>
          <w:sz w:val="30"/>
          <w:szCs w:val="30"/>
          <w:highlight w:val="none"/>
          <w:lang w:val="en-US" w:eastAsia="zh-CN"/>
        </w:rPr>
        <w:t>kN</w:t>
      </w:r>
    </w:p>
    <w:p w14:paraId="21FFD93E">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color w:val="auto"/>
          <w:spacing w:val="0"/>
          <w:w w:val="100"/>
          <w:sz w:val="30"/>
          <w:szCs w:val="30"/>
          <w:highlight w:val="none"/>
          <w:lang w:val="en-US" w:eastAsia="zh-CN"/>
        </w:rPr>
        <w:t>B</w:t>
      </w:r>
      <w:r>
        <w:rPr>
          <w:rFonts w:hint="eastAsia" w:ascii="Times New Roman" w:hAnsi="Times New Roman" w:eastAsia="宋体" w:cs="Times New Roman"/>
          <w:smallCaps w:val="0"/>
          <w:color w:val="auto"/>
          <w:spacing w:val="0"/>
          <w:w w:val="100"/>
          <w:sz w:val="30"/>
          <w:szCs w:val="30"/>
          <w:highlight w:val="none"/>
          <w:lang w:val="en-US" w:eastAsia="zh-CN"/>
        </w:rPr>
        <w:t>.地下水浮力F：</w:t>
      </w:r>
      <w:r>
        <w:rPr>
          <w:rFonts w:hint="default" w:ascii="Times New Roman" w:hAnsi="Times New Roman" w:eastAsia="宋体" w:cs="Times New Roman"/>
          <w:smallCaps w:val="0"/>
          <w:color w:val="auto"/>
          <w:spacing w:val="0"/>
          <w:w w:val="100"/>
          <w:sz w:val="30"/>
          <w:szCs w:val="30"/>
          <w:highlight w:val="none"/>
          <w:lang w:val="en-US" w:eastAsia="zh-CN"/>
        </w:rPr>
        <w:t>F=γ</w:t>
      </w:r>
      <w:r>
        <w:rPr>
          <w:rFonts w:hint="default" w:ascii="Times New Roman" w:hAnsi="Times New Roman" w:eastAsia="宋体" w:cs="Times New Roman"/>
          <w:smallCaps w:val="0"/>
          <w:color w:val="auto"/>
          <w:spacing w:val="0"/>
          <w:w w:val="100"/>
          <w:sz w:val="30"/>
          <w:szCs w:val="30"/>
          <w:highlight w:val="none"/>
          <w:vertAlign w:val="subscript"/>
          <w:lang w:val="en-US" w:eastAsia="zh-CN"/>
        </w:rPr>
        <w:t>ω</w:t>
      </w:r>
      <w:r>
        <w:rPr>
          <w:rFonts w:hint="eastAsia" w:ascii="Times New Roman" w:hAnsi="Times New Roman" w:eastAsia="宋体" w:cs="Times New Roman"/>
          <w:smallCaps w:val="0"/>
          <w:color w:val="auto"/>
          <w:spacing w:val="0"/>
          <w:w w:val="100"/>
          <w:sz w:val="30"/>
          <w:szCs w:val="30"/>
          <w:highlight w:val="none"/>
          <w:lang w:val="en-US" w:eastAsia="zh-CN"/>
        </w:rPr>
        <w:t>V=3380</w:t>
      </w:r>
      <w:r>
        <w:rPr>
          <w:rFonts w:hint="default" w:ascii="Times New Roman" w:hAnsi="Times New Roman" w:eastAsia="宋体" w:cs="Times New Roman"/>
          <w:smallCaps w:val="0"/>
          <w:color w:val="auto"/>
          <w:spacing w:val="0"/>
          <w:w w:val="100"/>
          <w:sz w:val="30"/>
          <w:szCs w:val="30"/>
          <w:highlight w:val="none"/>
          <w:lang w:val="en-US" w:eastAsia="zh-CN"/>
        </w:rPr>
        <w:t>kN</w:t>
      </w:r>
    </w:p>
    <w:p w14:paraId="5103FDF5">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color w:val="auto"/>
          <w:spacing w:val="0"/>
          <w:w w:val="100"/>
          <w:sz w:val="30"/>
          <w:szCs w:val="30"/>
          <w:highlight w:val="none"/>
          <w:lang w:val="en-US" w:eastAsia="zh-CN"/>
        </w:rPr>
        <w:t>C</w:t>
      </w:r>
      <w:r>
        <w:rPr>
          <w:rFonts w:hint="eastAsia" w:ascii="Times New Roman" w:hAnsi="Times New Roman" w:eastAsia="宋体" w:cs="Times New Roman"/>
          <w:smallCaps w:val="0"/>
          <w:color w:val="auto"/>
          <w:spacing w:val="0"/>
          <w:w w:val="100"/>
          <w:sz w:val="30"/>
          <w:szCs w:val="30"/>
          <w:highlight w:val="none"/>
          <w:lang w:val="en-US" w:eastAsia="zh-CN"/>
        </w:rPr>
        <w:t>.抗浮安全系数演算：K</w:t>
      </w:r>
      <w:r>
        <w:rPr>
          <w:rFonts w:hint="eastAsia" w:ascii="Times New Roman" w:hAnsi="Times New Roman" w:eastAsia="宋体" w:cs="Times New Roman"/>
          <w:smallCaps w:val="0"/>
          <w:color w:val="auto"/>
          <w:spacing w:val="0"/>
          <w:w w:val="100"/>
          <w:sz w:val="30"/>
          <w:szCs w:val="30"/>
          <w:highlight w:val="none"/>
          <w:vertAlign w:val="subscript"/>
          <w:lang w:val="en-US" w:eastAsia="zh-CN"/>
        </w:rPr>
        <w:t>f</w:t>
      </w:r>
      <w:r>
        <w:rPr>
          <w:rFonts w:hint="eastAsia" w:ascii="Times New Roman" w:hAnsi="Times New Roman" w:eastAsia="宋体" w:cs="Times New Roman"/>
          <w:smallCaps w:val="0"/>
          <w:color w:val="auto"/>
          <w:spacing w:val="0"/>
          <w:w w:val="100"/>
          <w:sz w:val="30"/>
          <w:szCs w:val="30"/>
          <w:highlight w:val="none"/>
          <w:vertAlign w:val="baseli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G/</w:t>
      </w:r>
      <w:r>
        <w:rPr>
          <w:rFonts w:hint="default" w:ascii="Times New Roman" w:hAnsi="Times New Roman" w:eastAsia="宋体" w:cs="Times New Roman"/>
          <w:smallCaps w:val="0"/>
          <w:color w:val="auto"/>
          <w:spacing w:val="0"/>
          <w:w w:val="100"/>
          <w:sz w:val="30"/>
          <w:szCs w:val="30"/>
          <w:highlight w:val="none"/>
          <w:lang w:val="en-US" w:eastAsia="zh-CN"/>
        </w:rPr>
        <w:t>F</w:t>
      </w:r>
      <w:r>
        <w:rPr>
          <w:rFonts w:hint="eastAsia" w:ascii="Times New Roman" w:hAnsi="Times New Roman" w:eastAsia="宋体" w:cs="Times New Roman"/>
          <w:smallCaps w:val="0"/>
          <w:color w:val="auto"/>
          <w:spacing w:val="0"/>
          <w:w w:val="100"/>
          <w:sz w:val="30"/>
          <w:szCs w:val="30"/>
          <w:highlight w:val="none"/>
          <w:lang w:val="en-US" w:eastAsia="zh-CN"/>
        </w:rPr>
        <w:t>=1.06</w:t>
      </w:r>
      <w:r>
        <w:rPr>
          <w:rFonts w:hint="default" w:ascii="Times New Roman" w:hAnsi="Times New Roman" w:eastAsia="宋体" w:cs="Times New Roman"/>
          <w:smallCaps w:val="0"/>
          <w:color w:val="auto"/>
          <w:spacing w:val="0"/>
          <w:w w:val="100"/>
          <w:sz w:val="30"/>
          <w:szCs w:val="30"/>
          <w:highlight w:val="no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1.05</w:t>
      </w:r>
    </w:p>
    <w:p w14:paraId="5F67796D">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根据以上计算结果，蓄水池底板</w:t>
      </w:r>
      <w:r>
        <w:rPr>
          <w:rFonts w:hint="default" w:ascii="Times New Roman" w:hAnsi="Times New Roman" w:eastAsia="宋体" w:cs="Times New Roman"/>
          <w:smallCaps w:val="0"/>
          <w:color w:val="auto"/>
          <w:spacing w:val="0"/>
          <w:w w:val="100"/>
          <w:sz w:val="30"/>
          <w:szCs w:val="30"/>
          <w:highlight w:val="none"/>
          <w:lang w:val="en-US" w:eastAsia="zh-CN"/>
        </w:rPr>
        <w:t>满足抗浮要求。</w:t>
      </w:r>
    </w:p>
    <w:p w14:paraId="67E6F5DD">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3.池壁</w:t>
      </w:r>
    </w:p>
    <w:p w14:paraId="7E1FE173">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池壁</w:t>
      </w:r>
      <w:r>
        <w:rPr>
          <w:rFonts w:hint="default" w:ascii="Times New Roman" w:hAnsi="Times New Roman" w:eastAsia="宋体" w:cs="Times New Roman"/>
          <w:smallCaps w:val="0"/>
          <w:color w:val="auto"/>
          <w:spacing w:val="0"/>
          <w:w w:val="100"/>
          <w:sz w:val="30"/>
          <w:szCs w:val="30"/>
          <w:highlight w:val="none"/>
          <w:lang w:val="en-US" w:eastAsia="zh-CN"/>
        </w:rPr>
        <w:t>设计厚度：200mm</w:t>
      </w:r>
    </w:p>
    <w:p w14:paraId="73124D68">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C30 混凝土轴心抗拉强度设计值f</w:t>
      </w:r>
      <w:r>
        <w:rPr>
          <w:rFonts w:hint="default" w:ascii="Times New Roman" w:hAnsi="Times New Roman" w:eastAsia="宋体" w:cs="Times New Roman"/>
          <w:smallCaps w:val="0"/>
          <w:color w:val="auto"/>
          <w:spacing w:val="0"/>
          <w:w w:val="100"/>
          <w:sz w:val="30"/>
          <w:szCs w:val="30"/>
          <w:highlight w:val="none"/>
          <w:vertAlign w:val="subscript"/>
          <w:lang w:val="en-US" w:eastAsia="zh-CN"/>
        </w:rPr>
        <w:t>t</w:t>
      </w:r>
      <w:r>
        <w:rPr>
          <w:rFonts w:hint="default" w:ascii="Times New Roman" w:hAnsi="Times New Roman" w:eastAsia="宋体" w:cs="Times New Roman"/>
          <w:smallCaps w:val="0"/>
          <w:color w:val="auto"/>
          <w:spacing w:val="0"/>
          <w:w w:val="100"/>
          <w:sz w:val="30"/>
          <w:szCs w:val="30"/>
          <w:highlight w:val="none"/>
          <w:lang w:val="en-US" w:eastAsia="zh-CN"/>
        </w:rPr>
        <w:t xml:space="preserve"> = 1.43MPa</w:t>
      </w:r>
    </w:p>
    <w:p w14:paraId="08A49026">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有效</w:t>
      </w:r>
      <w:r>
        <w:rPr>
          <w:rFonts w:hint="eastAsia" w:ascii="Times New Roman" w:hAnsi="Times New Roman" w:eastAsia="宋体" w:cs="Times New Roman"/>
          <w:smallCaps w:val="0"/>
          <w:color w:val="auto"/>
          <w:spacing w:val="0"/>
          <w:w w:val="100"/>
          <w:sz w:val="30"/>
          <w:szCs w:val="30"/>
          <w:highlight w:val="none"/>
          <w:lang w:val="en-US" w:eastAsia="zh-CN"/>
        </w:rPr>
        <w:t>水深h</w:t>
      </w:r>
      <w:r>
        <w:rPr>
          <w:rFonts w:hint="default" w:ascii="Times New Roman" w:hAnsi="Times New Roman" w:eastAsia="宋体" w:cs="Times New Roman"/>
          <w:smallCaps w:val="0"/>
          <w:color w:val="auto"/>
          <w:spacing w:val="0"/>
          <w:w w:val="100"/>
          <w:sz w:val="30"/>
          <w:szCs w:val="30"/>
          <w:highlight w:val="no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3.5</w:t>
      </w:r>
      <w:r>
        <w:rPr>
          <w:rFonts w:hint="default" w:ascii="Times New Roman" w:hAnsi="Times New Roman" w:eastAsia="宋体" w:cs="Times New Roman"/>
          <w:smallCaps w:val="0"/>
          <w:color w:val="auto"/>
          <w:spacing w:val="0"/>
          <w:w w:val="100"/>
          <w:sz w:val="30"/>
          <w:szCs w:val="30"/>
          <w:highlight w:val="none"/>
          <w:lang w:val="en-US" w:eastAsia="zh-CN"/>
        </w:rPr>
        <w:t>m</w:t>
      </w:r>
    </w:p>
    <w:p w14:paraId="63F486C9">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①环向拉力验算</w:t>
      </w:r>
    </w:p>
    <w:p w14:paraId="0507CA4F">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A.环向拉力公式：</w:t>
      </w:r>
      <w:r>
        <w:rPr>
          <w:rFonts w:hint="default" w:ascii="Times New Roman" w:hAnsi="Times New Roman" w:eastAsia="宋体" w:cs="Times New Roman"/>
          <w:smallCaps w:val="0"/>
          <w:color w:val="auto"/>
          <w:spacing w:val="0"/>
          <w:w w:val="100"/>
          <w:sz w:val="30"/>
          <w:szCs w:val="30"/>
          <w:highlight w:val="none"/>
          <w:lang w:val="en-US" w:eastAsia="zh-CN"/>
        </w:rPr>
        <w:t>N</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val="en-US" w:eastAsia="zh-CN"/>
        </w:rPr>
        <w:t>γ</w:t>
      </w:r>
      <w:r>
        <w:rPr>
          <w:rFonts w:hint="default" w:ascii="Times New Roman" w:hAnsi="Times New Roman" w:eastAsia="宋体" w:cs="Times New Roman"/>
          <w:smallCaps w:val="0"/>
          <w:color w:val="auto"/>
          <w:spacing w:val="0"/>
          <w:w w:val="100"/>
          <w:sz w:val="30"/>
          <w:szCs w:val="30"/>
          <w:highlight w:val="none"/>
          <w:vertAlign w:val="subscript"/>
          <w:lang w:val="en-US" w:eastAsia="zh-CN"/>
        </w:rPr>
        <w:t>ω</w:t>
      </w:r>
      <w:r>
        <w:rPr>
          <w:rFonts w:hint="default" w:ascii="Times New Roman" w:hAnsi="Times New Roman" w:eastAsia="宋体" w:cs="Times New Roman"/>
          <w:smallCaps w:val="0"/>
          <w:color w:val="auto"/>
          <w:spacing w:val="0"/>
          <w:w w:val="100"/>
          <w:sz w:val="30"/>
          <w:szCs w:val="30"/>
          <w:highlight w:val="none"/>
          <w:lang w:val="en-US" w:eastAsia="zh-CN"/>
        </w:rPr>
        <w:t>h</w:t>
      </w:r>
      <w:r>
        <w:rPr>
          <w:rFonts w:hint="eastAsia" w:ascii="Times New Roman" w:hAnsi="Times New Roman" w:eastAsia="宋体" w:cs="Times New Roman"/>
          <w:smallCaps w:val="0"/>
          <w:color w:val="auto"/>
          <w:spacing w:val="0"/>
          <w:w w:val="100"/>
          <w:sz w:val="30"/>
          <w:szCs w:val="30"/>
          <w:highlight w:val="none"/>
          <w:lang w:val="en-US" w:eastAsia="zh-CN"/>
        </w:rPr>
        <w:t>D/2=194.25</w:t>
      </w:r>
      <w:r>
        <w:rPr>
          <w:rFonts w:hint="default" w:ascii="Times New Roman" w:hAnsi="Times New Roman" w:eastAsia="宋体" w:cs="Times New Roman"/>
          <w:smallCaps w:val="0"/>
          <w:color w:val="auto"/>
          <w:spacing w:val="0"/>
          <w:w w:val="100"/>
          <w:sz w:val="30"/>
          <w:szCs w:val="30"/>
          <w:highlight w:val="none"/>
          <w:lang w:val="en-US" w:eastAsia="zh-CN"/>
        </w:rPr>
        <w:t>kN</w:t>
      </w:r>
      <w:r>
        <w:rPr>
          <w:rFonts w:hint="eastAsia" w:ascii="Times New Roman" w:hAnsi="Times New Roman" w:eastAsia="宋体" w:cs="Times New Roman"/>
          <w:smallCaps w:val="0"/>
          <w:color w:val="auto"/>
          <w:spacing w:val="0"/>
          <w:w w:val="100"/>
          <w:sz w:val="30"/>
          <w:szCs w:val="30"/>
          <w:highlight w:val="none"/>
          <w:lang w:val="en-US" w:eastAsia="zh-CN"/>
        </w:rPr>
        <w:t>/m</w:t>
      </w:r>
    </w:p>
    <w:p w14:paraId="4F7E4D1B">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B.池壁抗拉承载力：h</w:t>
      </w:r>
      <w:r>
        <w:rPr>
          <w:rFonts w:hint="default" w:ascii="Times New Roman" w:hAnsi="Times New Roman" w:eastAsia="宋体" w:cs="Times New Roman"/>
          <w:smallCaps w:val="0"/>
          <w:color w:val="auto"/>
          <w:spacing w:val="0"/>
          <w:w w:val="100"/>
          <w:sz w:val="30"/>
          <w:szCs w:val="30"/>
          <w:highlight w:val="none"/>
          <w:lang w:val="en-US" w:eastAsia="zh-CN"/>
        </w:rPr>
        <w:t>f</w:t>
      </w:r>
      <w:r>
        <w:rPr>
          <w:rFonts w:hint="default" w:ascii="Times New Roman" w:hAnsi="Times New Roman" w:eastAsia="宋体" w:cs="Times New Roman"/>
          <w:smallCaps w:val="0"/>
          <w:color w:val="auto"/>
          <w:spacing w:val="0"/>
          <w:w w:val="100"/>
          <w:sz w:val="30"/>
          <w:szCs w:val="30"/>
          <w:highlight w:val="none"/>
          <w:vertAlign w:val="subscript"/>
          <w:lang w:val="en-US" w:eastAsia="zh-CN"/>
        </w:rPr>
        <w:t>t</w:t>
      </w:r>
      <w:r>
        <w:rPr>
          <w:rFonts w:hint="eastAsia" w:ascii="Times New Roman" w:hAnsi="Times New Roman" w:eastAsia="宋体" w:cs="Times New Roman"/>
          <w:smallCaps w:val="0"/>
          <w:color w:val="auto"/>
          <w:spacing w:val="0"/>
          <w:w w:val="100"/>
          <w:sz w:val="30"/>
          <w:szCs w:val="30"/>
          <w:highlight w:val="none"/>
          <w:vertAlign w:val="baseline"/>
          <w:lang w:val="en-US" w:eastAsia="zh-CN"/>
        </w:rPr>
        <w:t>=286</w:t>
      </w:r>
      <w:r>
        <w:rPr>
          <w:rFonts w:hint="default" w:ascii="Times New Roman" w:hAnsi="Times New Roman" w:eastAsia="宋体" w:cs="Times New Roman"/>
          <w:smallCaps w:val="0"/>
          <w:color w:val="auto"/>
          <w:spacing w:val="0"/>
          <w:w w:val="100"/>
          <w:sz w:val="30"/>
          <w:szCs w:val="30"/>
          <w:highlight w:val="none"/>
          <w:lang w:val="en-US" w:eastAsia="zh-CN"/>
        </w:rPr>
        <w:t>kN</w:t>
      </w:r>
      <w:r>
        <w:rPr>
          <w:rFonts w:hint="eastAsia" w:ascii="Times New Roman" w:hAnsi="Times New Roman" w:eastAsia="宋体" w:cs="Times New Roman"/>
          <w:smallCaps w:val="0"/>
          <w:color w:val="auto"/>
          <w:spacing w:val="0"/>
          <w:w w:val="100"/>
          <w:sz w:val="30"/>
          <w:szCs w:val="30"/>
          <w:highlight w:val="none"/>
          <w:lang w:val="en-US" w:eastAsia="zh-CN"/>
        </w:rPr>
        <w:t>/m</w:t>
      </w:r>
    </w:p>
    <w:p w14:paraId="36AEF75C">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故</w:t>
      </w:r>
      <w:r>
        <w:rPr>
          <w:rFonts w:hint="eastAsia" w:ascii="Times New Roman" w:hAnsi="Times New Roman" w:eastAsia="宋体" w:cs="Times New Roman"/>
          <w:smallCaps w:val="0"/>
          <w:color w:val="auto"/>
          <w:spacing w:val="0"/>
          <w:w w:val="100"/>
          <w:sz w:val="30"/>
          <w:szCs w:val="30"/>
          <w:highlight w:val="none"/>
          <w:lang w:val="en-US" w:eastAsia="zh-CN"/>
        </w:rPr>
        <w:t>根据计算结果，</w:t>
      </w:r>
      <w:r>
        <w:rPr>
          <w:rFonts w:hint="eastAsia" w:ascii="Times New Roman" w:hAnsi="Times New Roman" w:eastAsia="宋体" w:cs="Times New Roman"/>
          <w:smallCaps w:val="0"/>
          <w:color w:val="auto"/>
          <w:spacing w:val="0"/>
          <w:w w:val="100"/>
          <w:sz w:val="30"/>
          <w:szCs w:val="30"/>
          <w:highlight w:val="none"/>
          <w:vertAlign w:val="baseline"/>
          <w:lang w:val="en-US" w:eastAsia="zh-CN"/>
        </w:rPr>
        <w:t>286</w:t>
      </w:r>
      <w:r>
        <w:rPr>
          <w:rFonts w:hint="default" w:ascii="Times New Roman" w:hAnsi="Times New Roman" w:eastAsia="宋体" w:cs="Times New Roman"/>
          <w:smallCaps w:val="0"/>
          <w:color w:val="auto"/>
          <w:spacing w:val="0"/>
          <w:w w:val="100"/>
          <w:sz w:val="30"/>
          <w:szCs w:val="30"/>
          <w:highlight w:val="none"/>
          <w:lang w:val="en-US" w:eastAsia="zh-CN"/>
        </w:rPr>
        <w:t>kN</w:t>
      </w:r>
      <w:r>
        <w:rPr>
          <w:rFonts w:hint="eastAsia" w:ascii="Times New Roman" w:hAnsi="Times New Roman" w:eastAsia="宋体" w:cs="Times New Roman"/>
          <w:smallCaps w:val="0"/>
          <w:color w:val="auto"/>
          <w:spacing w:val="0"/>
          <w:w w:val="100"/>
          <w:sz w:val="30"/>
          <w:szCs w:val="30"/>
          <w:highlight w:val="none"/>
          <w:lang w:val="en-US" w:eastAsia="zh-CN"/>
        </w:rPr>
        <w:t>/m</w:t>
      </w:r>
      <w:r>
        <w:rPr>
          <w:rFonts w:hint="default" w:ascii="Times New Roman" w:hAnsi="Times New Roman" w:eastAsia="宋体" w:cs="Times New Roman"/>
          <w:smallCaps w:val="0"/>
          <w:color w:val="auto"/>
          <w:spacing w:val="0"/>
          <w:w w:val="100"/>
          <w:sz w:val="30"/>
          <w:szCs w:val="30"/>
          <w:highlight w:val="no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194.25</w:t>
      </w:r>
      <w:r>
        <w:rPr>
          <w:rFonts w:hint="default" w:ascii="Times New Roman" w:hAnsi="Times New Roman" w:eastAsia="宋体" w:cs="Times New Roman"/>
          <w:smallCaps w:val="0"/>
          <w:color w:val="auto"/>
          <w:spacing w:val="0"/>
          <w:w w:val="100"/>
          <w:sz w:val="30"/>
          <w:szCs w:val="30"/>
          <w:highlight w:val="none"/>
          <w:lang w:val="en-US" w:eastAsia="zh-CN"/>
        </w:rPr>
        <w:t>kN</w:t>
      </w:r>
      <w:r>
        <w:rPr>
          <w:rFonts w:hint="eastAsia" w:ascii="Times New Roman" w:hAnsi="Times New Roman" w:eastAsia="宋体" w:cs="Times New Roman"/>
          <w:smallCaps w:val="0"/>
          <w:color w:val="auto"/>
          <w:spacing w:val="0"/>
          <w:w w:val="100"/>
          <w:sz w:val="30"/>
          <w:szCs w:val="30"/>
          <w:highlight w:val="none"/>
          <w:lang w:val="en-US" w:eastAsia="zh-CN"/>
        </w:rPr>
        <w:t>/m</w:t>
      </w:r>
      <w:r>
        <w:rPr>
          <w:rFonts w:hint="default" w:ascii="Times New Roman" w:hAnsi="Times New Roman" w:eastAsia="宋体" w:cs="Times New Roman"/>
          <w:smallCaps w:val="0"/>
          <w:color w:val="auto"/>
          <w:spacing w:val="0"/>
          <w:w w:val="100"/>
          <w:sz w:val="30"/>
          <w:szCs w:val="30"/>
          <w:highlight w:val="none"/>
          <w:lang w:val="en-US" w:eastAsia="zh-CN"/>
        </w:rPr>
        <w:t>，满足环向拉力要求</w:t>
      </w:r>
      <w:r>
        <w:rPr>
          <w:rFonts w:hint="eastAsia" w:ascii="Times New Roman" w:hAnsi="Times New Roman" w:eastAsia="宋体" w:cs="Times New Roman"/>
          <w:smallCaps w:val="0"/>
          <w:color w:val="auto"/>
          <w:spacing w:val="0"/>
          <w:w w:val="100"/>
          <w:sz w:val="30"/>
          <w:szCs w:val="30"/>
          <w:highlight w:val="none"/>
          <w:lang w:val="en-US" w:eastAsia="zh-CN"/>
        </w:rPr>
        <w:t>。</w:t>
      </w:r>
    </w:p>
    <w:p w14:paraId="78650103">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②竖向抗弯验算</w:t>
      </w:r>
    </w:p>
    <w:p w14:paraId="274BA386">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池壁竖向弯矩由外侧土压力与内侧水压力共同作用，200mm 厚度配合双层钢筋配筋，可满足竖向抗弯及抗裂要求（裂缝宽度≤0.2mm）。</w:t>
      </w:r>
    </w:p>
    <w:p w14:paraId="17A01117">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4.顶板</w:t>
      </w:r>
    </w:p>
    <w:p w14:paraId="71C7BF0F">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顶板</w:t>
      </w:r>
      <w:r>
        <w:rPr>
          <w:rFonts w:hint="default" w:ascii="Times New Roman" w:hAnsi="Times New Roman" w:eastAsia="宋体" w:cs="Times New Roman"/>
          <w:smallCaps w:val="0"/>
          <w:color w:val="auto"/>
          <w:spacing w:val="0"/>
          <w:w w:val="100"/>
          <w:sz w:val="30"/>
          <w:szCs w:val="30"/>
          <w:highlight w:val="none"/>
          <w:lang w:val="en-US" w:eastAsia="zh-CN"/>
        </w:rPr>
        <w:t>设计厚度：</w:t>
      </w:r>
      <w:r>
        <w:rPr>
          <w:rFonts w:hint="eastAsia" w:ascii="Times New Roman" w:hAnsi="Times New Roman" w:eastAsia="宋体" w:cs="Times New Roman"/>
          <w:smallCaps w:val="0"/>
          <w:color w:val="auto"/>
          <w:spacing w:val="0"/>
          <w:w w:val="100"/>
          <w:sz w:val="30"/>
          <w:szCs w:val="30"/>
          <w:highlight w:val="none"/>
          <w:lang w:val="en-US" w:eastAsia="zh-CN"/>
        </w:rPr>
        <w:t>18</w:t>
      </w:r>
      <w:r>
        <w:rPr>
          <w:rFonts w:hint="default" w:ascii="Times New Roman" w:hAnsi="Times New Roman" w:eastAsia="宋体" w:cs="Times New Roman"/>
          <w:smallCaps w:val="0"/>
          <w:color w:val="auto"/>
          <w:spacing w:val="0"/>
          <w:w w:val="100"/>
          <w:sz w:val="30"/>
          <w:szCs w:val="30"/>
          <w:highlight w:val="none"/>
          <w:lang w:val="en-US" w:eastAsia="zh-CN"/>
        </w:rPr>
        <w:t>0mm</w:t>
      </w:r>
    </w:p>
    <w:p w14:paraId="2BBBC6E4">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有效厚度h</w:t>
      </w:r>
      <w:r>
        <w:rPr>
          <w:rFonts w:hint="default" w:ascii="Times New Roman" w:hAnsi="Times New Roman" w:eastAsia="宋体" w:cs="Times New Roman"/>
          <w:smallCaps w:val="0"/>
          <w:color w:val="auto"/>
          <w:spacing w:val="0"/>
          <w:w w:val="100"/>
          <w:sz w:val="30"/>
          <w:szCs w:val="30"/>
          <w:highlight w:val="none"/>
          <w:vertAlign w:val="subscript"/>
          <w:lang w:val="en-US" w:eastAsia="zh-CN"/>
        </w:rPr>
        <w:t>0</w:t>
      </w:r>
      <w:r>
        <w:rPr>
          <w:rFonts w:hint="default" w:ascii="Times New Roman" w:hAnsi="Times New Roman" w:eastAsia="宋体" w:cs="Times New Roman"/>
          <w:smallCaps w:val="0"/>
          <w:color w:val="auto"/>
          <w:spacing w:val="0"/>
          <w:w w:val="100"/>
          <w:sz w:val="30"/>
          <w:szCs w:val="30"/>
          <w:highlight w:val="none"/>
          <w:lang w:val="en-US" w:eastAsia="zh-CN"/>
        </w:rPr>
        <w:t xml:space="preserve"> =</w:t>
      </w:r>
      <w:r>
        <w:rPr>
          <w:rFonts w:hint="eastAsia" w:ascii="Times New Roman" w:hAnsi="Times New Roman" w:eastAsia="宋体" w:cs="Times New Roman"/>
          <w:smallCaps w:val="0"/>
          <w:color w:val="auto"/>
          <w:spacing w:val="0"/>
          <w:w w:val="100"/>
          <w:sz w:val="30"/>
          <w:szCs w:val="30"/>
          <w:highlight w:val="none"/>
          <w:lang w:val="en-US" w:eastAsia="zh-CN"/>
        </w:rPr>
        <w:t>180</w:t>
      </w:r>
      <w:r>
        <w:rPr>
          <w:rFonts w:hint="default" w:ascii="Times New Roman" w:hAnsi="Times New Roman" w:eastAsia="宋体" w:cs="Times New Roman"/>
          <w:smallCaps w:val="0"/>
          <w:color w:val="auto"/>
          <w:spacing w:val="0"/>
          <w:w w:val="100"/>
          <w:sz w:val="30"/>
          <w:szCs w:val="30"/>
          <w:highlight w:val="none"/>
          <w:lang w:val="en-US" w:eastAsia="zh-CN"/>
        </w:rPr>
        <w:t xml:space="preserve"> - </w:t>
      </w:r>
      <w:r>
        <w:rPr>
          <w:rFonts w:hint="eastAsia" w:ascii="Times New Roman" w:hAnsi="Times New Roman" w:eastAsia="宋体" w:cs="Times New Roman"/>
          <w:smallCaps w:val="0"/>
          <w:color w:val="auto"/>
          <w:spacing w:val="0"/>
          <w:w w:val="100"/>
          <w:sz w:val="30"/>
          <w:szCs w:val="30"/>
          <w:highlight w:val="none"/>
          <w:lang w:val="en-US" w:eastAsia="zh-CN"/>
        </w:rPr>
        <w:t>3</w:t>
      </w:r>
      <w:r>
        <w:rPr>
          <w:rFonts w:hint="default" w:ascii="Times New Roman" w:hAnsi="Times New Roman" w:eastAsia="宋体" w:cs="Times New Roman"/>
          <w:smallCaps w:val="0"/>
          <w:color w:val="auto"/>
          <w:spacing w:val="0"/>
          <w:w w:val="100"/>
          <w:sz w:val="30"/>
          <w:szCs w:val="30"/>
          <w:highlight w:val="none"/>
          <w:lang w:val="en-US" w:eastAsia="zh-CN"/>
        </w:rPr>
        <w:t>0 = 1</w:t>
      </w:r>
      <w:r>
        <w:rPr>
          <w:rFonts w:hint="eastAsia"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val="en-US" w:eastAsia="zh-CN"/>
        </w:rPr>
        <w:t>0mm</w:t>
      </w:r>
    </w:p>
    <w:p w14:paraId="2D731573">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覆土荷载</w:t>
      </w:r>
      <w:r>
        <w:rPr>
          <w:rFonts w:hint="eastAsia" w:ascii="Times New Roman" w:hAnsi="Times New Roman" w:eastAsia="宋体" w:cs="Times New Roman"/>
          <w:smallCaps w:val="0"/>
          <w:color w:val="auto"/>
          <w:spacing w:val="0"/>
          <w:w w:val="100"/>
          <w:sz w:val="30"/>
          <w:szCs w:val="30"/>
          <w:highlight w:val="none"/>
          <w:lang w:val="en-US" w:eastAsia="zh-CN"/>
        </w:rPr>
        <w:t>q</w:t>
      </w:r>
      <w:r>
        <w:rPr>
          <w:rFonts w:hint="eastAsia" w:ascii="Times New Roman" w:hAnsi="Times New Roman" w:eastAsia="宋体" w:cs="Times New Roman"/>
          <w:smallCaps w:val="0"/>
          <w:color w:val="auto"/>
          <w:spacing w:val="0"/>
          <w:w w:val="100"/>
          <w:sz w:val="30"/>
          <w:szCs w:val="30"/>
          <w:highlight w:val="none"/>
          <w:vertAlign w:val="subscript"/>
          <w:lang w:val="en-US" w:eastAsia="zh-CN"/>
        </w:rPr>
        <w:t>1</w:t>
      </w:r>
      <w:r>
        <w:rPr>
          <w:rFonts w:hint="eastAsia" w:ascii="Times New Roman" w:hAnsi="Times New Roman" w:eastAsia="宋体" w:cs="Times New Roman"/>
          <w:smallCaps w:val="0"/>
          <w:color w:val="auto"/>
          <w:spacing w:val="0"/>
          <w:w w:val="100"/>
          <w:sz w:val="30"/>
          <w:szCs w:val="30"/>
          <w:highlight w:val="none"/>
          <w:lang w:val="en-US" w:eastAsia="zh-CN"/>
        </w:rPr>
        <w:t>=9</w:t>
      </w:r>
      <w:r>
        <w:rPr>
          <w:rFonts w:hint="default" w:ascii="Times New Roman" w:hAnsi="Times New Roman" w:eastAsia="宋体" w:cs="Times New Roman"/>
          <w:smallCaps w:val="0"/>
          <w:color w:val="auto"/>
          <w:spacing w:val="0"/>
          <w:w w:val="100"/>
          <w:sz w:val="30"/>
          <w:szCs w:val="30"/>
          <w:highlight w:val="none"/>
          <w:lang w:val="en-US" w:eastAsia="zh-CN"/>
        </w:rPr>
        <w:t>kN</w:t>
      </w:r>
      <w:r>
        <w:rPr>
          <w:rFonts w:hint="eastAsia" w:ascii="Times New Roman" w:hAnsi="Times New Roman" w:eastAsia="宋体" w:cs="Times New Roman"/>
          <w:smallCaps w:val="0"/>
          <w:color w:val="auto"/>
          <w:spacing w:val="0"/>
          <w:w w:val="100"/>
          <w:sz w:val="30"/>
          <w:szCs w:val="30"/>
          <w:highlight w:val="none"/>
          <w:lang w:val="en-US" w:eastAsia="zh-CN"/>
        </w:rPr>
        <w:t>/m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2</w:t>
      </w:r>
      <w:r>
        <w:rPr>
          <w:rFonts w:hint="eastAsia" w:ascii="Times New Roman" w:hAnsi="Times New Roman" w:eastAsia="宋体" w:cs="Times New Roman"/>
          <w:smallCaps w:val="0"/>
          <w:color w:val="auto"/>
          <w:spacing w:val="0"/>
          <w:w w:val="100"/>
          <w:sz w:val="30"/>
          <w:szCs w:val="30"/>
          <w:highlight w:val="none"/>
          <w:vertAlign w:val="baseline"/>
          <w:lang w:val="en-US" w:eastAsia="zh-CN"/>
        </w:rPr>
        <w:t>（覆土重度为</w:t>
      </w:r>
      <w:r>
        <w:rPr>
          <w:rFonts w:hint="eastAsia" w:ascii="Times New Roman" w:hAnsi="Times New Roman" w:eastAsia="宋体" w:cs="Times New Roman"/>
          <w:smallCaps w:val="0"/>
          <w:color w:val="auto"/>
          <w:spacing w:val="0"/>
          <w:w w:val="100"/>
          <w:sz w:val="30"/>
          <w:szCs w:val="30"/>
          <w:highlight w:val="none"/>
          <w:lang w:val="en-US" w:eastAsia="zh-CN"/>
        </w:rPr>
        <w:t>18</w:t>
      </w:r>
      <w:r>
        <w:rPr>
          <w:rFonts w:hint="default" w:ascii="Times New Roman" w:hAnsi="Times New Roman" w:eastAsia="宋体" w:cs="Times New Roman"/>
          <w:smallCaps w:val="0"/>
          <w:color w:val="auto"/>
          <w:spacing w:val="0"/>
          <w:w w:val="100"/>
          <w:sz w:val="30"/>
          <w:szCs w:val="30"/>
          <w:highlight w:val="none"/>
          <w:lang w:val="en-US" w:eastAsia="zh-CN"/>
        </w:rPr>
        <w:t>kN</w:t>
      </w:r>
      <w:r>
        <w:rPr>
          <w:rFonts w:hint="eastAsia" w:ascii="Times New Roman" w:hAnsi="Times New Roman" w:eastAsia="宋体" w:cs="Times New Roman"/>
          <w:smallCaps w:val="0"/>
          <w:color w:val="auto"/>
          <w:spacing w:val="0"/>
          <w:w w:val="100"/>
          <w:sz w:val="30"/>
          <w:szCs w:val="30"/>
          <w:highlight w:val="none"/>
          <w:lang w:val="en-US" w:eastAsia="zh-CN"/>
        </w:rPr>
        <w:t>/m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2</w:t>
      </w:r>
      <w:r>
        <w:rPr>
          <w:rFonts w:hint="eastAsia" w:ascii="Times New Roman" w:hAnsi="Times New Roman" w:eastAsia="宋体" w:cs="Times New Roman"/>
          <w:smallCaps w:val="0"/>
          <w:color w:val="auto"/>
          <w:spacing w:val="0"/>
          <w:w w:val="100"/>
          <w:sz w:val="30"/>
          <w:szCs w:val="30"/>
          <w:highlight w:val="none"/>
          <w:vertAlign w:val="baseline"/>
          <w:lang w:val="en-US" w:eastAsia="zh-CN"/>
        </w:rPr>
        <w:t>）</w:t>
      </w:r>
    </w:p>
    <w:p w14:paraId="2C4774E3">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vertAlign w:val="superscript"/>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活</w:t>
      </w:r>
      <w:r>
        <w:rPr>
          <w:rFonts w:hint="default" w:ascii="Times New Roman" w:hAnsi="Times New Roman" w:eastAsia="宋体" w:cs="Times New Roman"/>
          <w:smallCaps w:val="0"/>
          <w:color w:val="auto"/>
          <w:spacing w:val="0"/>
          <w:w w:val="100"/>
          <w:sz w:val="30"/>
          <w:szCs w:val="30"/>
          <w:highlight w:val="none"/>
          <w:lang w:val="en-US" w:eastAsia="zh-CN"/>
        </w:rPr>
        <w:t>荷载</w:t>
      </w:r>
      <w:r>
        <w:rPr>
          <w:rFonts w:hint="eastAsia" w:ascii="Times New Roman" w:hAnsi="Times New Roman" w:eastAsia="宋体" w:cs="Times New Roman"/>
          <w:smallCaps w:val="0"/>
          <w:color w:val="auto"/>
          <w:spacing w:val="0"/>
          <w:w w:val="100"/>
          <w:sz w:val="30"/>
          <w:szCs w:val="30"/>
          <w:highlight w:val="none"/>
          <w:lang w:val="en-US" w:eastAsia="zh-CN"/>
        </w:rPr>
        <w:t>q</w:t>
      </w:r>
      <w:r>
        <w:rPr>
          <w:rFonts w:hint="eastAsia" w:ascii="Times New Roman" w:hAnsi="Times New Roman" w:eastAsia="宋体" w:cs="Times New Roman"/>
          <w:smallCaps w:val="0"/>
          <w:color w:val="auto"/>
          <w:spacing w:val="0"/>
          <w:w w:val="100"/>
          <w:sz w:val="30"/>
          <w:szCs w:val="30"/>
          <w:highlight w:val="none"/>
          <w:vertAlign w:val="subscript"/>
          <w:lang w:val="en-US" w:eastAsia="zh-CN"/>
        </w:rPr>
        <w:t>2</w:t>
      </w:r>
      <w:r>
        <w:rPr>
          <w:rFonts w:hint="eastAsia"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val="en-US" w:eastAsia="zh-CN"/>
        </w:rPr>
        <w:t>kN</w:t>
      </w:r>
      <w:r>
        <w:rPr>
          <w:rFonts w:hint="eastAsia" w:ascii="Times New Roman" w:hAnsi="Times New Roman" w:eastAsia="宋体" w:cs="Times New Roman"/>
          <w:smallCaps w:val="0"/>
          <w:color w:val="auto"/>
          <w:spacing w:val="0"/>
          <w:w w:val="100"/>
          <w:sz w:val="30"/>
          <w:szCs w:val="30"/>
          <w:highlight w:val="none"/>
          <w:lang w:val="en-US" w:eastAsia="zh-CN"/>
        </w:rPr>
        <w:t>/m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2</w:t>
      </w:r>
    </w:p>
    <w:p w14:paraId="6523EF06">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vertAlign w:val="superscript"/>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顶板自重q</w:t>
      </w:r>
      <w:r>
        <w:rPr>
          <w:rFonts w:hint="eastAsia" w:ascii="Times New Roman" w:hAnsi="Times New Roman" w:eastAsia="宋体" w:cs="Times New Roman"/>
          <w:smallCaps w:val="0"/>
          <w:color w:val="auto"/>
          <w:spacing w:val="0"/>
          <w:w w:val="100"/>
          <w:sz w:val="30"/>
          <w:szCs w:val="30"/>
          <w:highlight w:val="none"/>
          <w:vertAlign w:val="subscript"/>
          <w:lang w:val="en-US" w:eastAsia="zh-CN"/>
        </w:rPr>
        <w:t>3</w:t>
      </w:r>
      <w:r>
        <w:rPr>
          <w:rFonts w:hint="eastAsia" w:ascii="Times New Roman" w:hAnsi="Times New Roman" w:eastAsia="宋体" w:cs="Times New Roman"/>
          <w:smallCaps w:val="0"/>
          <w:color w:val="auto"/>
          <w:spacing w:val="0"/>
          <w:w w:val="100"/>
          <w:sz w:val="30"/>
          <w:szCs w:val="30"/>
          <w:highlight w:val="none"/>
          <w:lang w:val="en-US" w:eastAsia="zh-CN"/>
        </w:rPr>
        <w:t>=4.32</w:t>
      </w:r>
      <w:r>
        <w:rPr>
          <w:rFonts w:hint="default" w:ascii="Times New Roman" w:hAnsi="Times New Roman" w:eastAsia="宋体" w:cs="Times New Roman"/>
          <w:smallCaps w:val="0"/>
          <w:color w:val="auto"/>
          <w:spacing w:val="0"/>
          <w:w w:val="100"/>
          <w:sz w:val="30"/>
          <w:szCs w:val="30"/>
          <w:highlight w:val="none"/>
          <w:lang w:val="en-US" w:eastAsia="zh-CN"/>
        </w:rPr>
        <w:t>kN</w:t>
      </w:r>
      <w:r>
        <w:rPr>
          <w:rFonts w:hint="eastAsia" w:ascii="Times New Roman" w:hAnsi="Times New Roman" w:eastAsia="宋体" w:cs="Times New Roman"/>
          <w:smallCaps w:val="0"/>
          <w:color w:val="auto"/>
          <w:spacing w:val="0"/>
          <w:w w:val="100"/>
          <w:sz w:val="30"/>
          <w:szCs w:val="30"/>
          <w:highlight w:val="none"/>
          <w:lang w:val="en-US" w:eastAsia="zh-CN"/>
        </w:rPr>
        <w:t>/m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2</w:t>
      </w:r>
      <w:r>
        <w:rPr>
          <w:rFonts w:hint="eastAsia" w:ascii="Times New Roman" w:hAnsi="Times New Roman" w:eastAsia="宋体" w:cs="Times New Roman"/>
          <w:smallCaps w:val="0"/>
          <w:color w:val="auto"/>
          <w:spacing w:val="0"/>
          <w:w w:val="100"/>
          <w:sz w:val="30"/>
          <w:szCs w:val="30"/>
          <w:highlight w:val="none"/>
          <w:vertAlign w:val="baseline"/>
          <w:lang w:val="en-US" w:eastAsia="zh-CN"/>
        </w:rPr>
        <w:t>（混凝土重度 24</w:t>
      </w:r>
      <w:r>
        <w:rPr>
          <w:rFonts w:hint="default" w:ascii="Times New Roman" w:hAnsi="Times New Roman" w:eastAsia="宋体" w:cs="Times New Roman"/>
          <w:smallCaps w:val="0"/>
          <w:color w:val="auto"/>
          <w:spacing w:val="0"/>
          <w:w w:val="100"/>
          <w:sz w:val="30"/>
          <w:szCs w:val="30"/>
          <w:highlight w:val="none"/>
          <w:vertAlign w:val="baseline"/>
          <w:lang w:val="en-US" w:eastAsia="zh-CN"/>
        </w:rPr>
        <w:t>kN</w:t>
      </w:r>
      <w:r>
        <w:rPr>
          <w:rFonts w:hint="eastAsia" w:ascii="Times New Roman" w:hAnsi="Times New Roman" w:eastAsia="宋体" w:cs="Times New Roman"/>
          <w:smallCaps w:val="0"/>
          <w:color w:val="auto"/>
          <w:spacing w:val="0"/>
          <w:w w:val="100"/>
          <w:sz w:val="30"/>
          <w:szCs w:val="30"/>
          <w:highlight w:val="none"/>
          <w:lang w:val="en-US" w:eastAsia="zh-CN"/>
        </w:rPr>
        <w:t>/m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2</w:t>
      </w:r>
      <w:r>
        <w:rPr>
          <w:rFonts w:hint="eastAsia" w:ascii="Times New Roman" w:hAnsi="Times New Roman" w:eastAsia="宋体" w:cs="Times New Roman"/>
          <w:smallCaps w:val="0"/>
          <w:color w:val="auto"/>
          <w:spacing w:val="0"/>
          <w:w w:val="100"/>
          <w:sz w:val="30"/>
          <w:szCs w:val="30"/>
          <w:highlight w:val="none"/>
          <w:vertAlign w:val="baseline"/>
          <w:lang w:val="en-US" w:eastAsia="zh-CN"/>
        </w:rPr>
        <w:t>）</w:t>
      </w:r>
    </w:p>
    <w:p w14:paraId="348BD799">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vertAlign w:val="superscript"/>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①总荷载（基本组合）q：q=q</w:t>
      </w:r>
      <w:r>
        <w:rPr>
          <w:rFonts w:hint="eastAsia" w:ascii="Times New Roman" w:hAnsi="Times New Roman" w:eastAsia="宋体" w:cs="Times New Roman"/>
          <w:smallCaps w:val="0"/>
          <w:color w:val="auto"/>
          <w:spacing w:val="0"/>
          <w:w w:val="100"/>
          <w:sz w:val="30"/>
          <w:szCs w:val="30"/>
          <w:highlight w:val="none"/>
          <w:vertAlign w:val="subscript"/>
          <w:lang w:val="en-US" w:eastAsia="zh-CN"/>
        </w:rPr>
        <w:t>1</w:t>
      </w:r>
      <w:r>
        <w:rPr>
          <w:rFonts w:hint="eastAsia" w:ascii="Times New Roman" w:hAnsi="Times New Roman" w:eastAsia="宋体" w:cs="Times New Roman"/>
          <w:smallCaps w:val="0"/>
          <w:color w:val="auto"/>
          <w:spacing w:val="0"/>
          <w:w w:val="100"/>
          <w:sz w:val="30"/>
          <w:szCs w:val="30"/>
          <w:highlight w:val="none"/>
          <w:vertAlign w:val="baseli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q</w:t>
      </w:r>
      <w:r>
        <w:rPr>
          <w:rFonts w:hint="eastAsia" w:ascii="Times New Roman" w:hAnsi="Times New Roman" w:eastAsia="宋体" w:cs="Times New Roman"/>
          <w:smallCaps w:val="0"/>
          <w:color w:val="auto"/>
          <w:spacing w:val="0"/>
          <w:w w:val="100"/>
          <w:sz w:val="30"/>
          <w:szCs w:val="30"/>
          <w:highlight w:val="none"/>
          <w:vertAlign w:val="subscript"/>
          <w:lang w:val="en-US" w:eastAsia="zh-CN"/>
        </w:rPr>
        <w:t>2</w:t>
      </w:r>
      <w:r>
        <w:rPr>
          <w:rFonts w:hint="eastAsia" w:ascii="Times New Roman" w:hAnsi="Times New Roman" w:eastAsia="宋体" w:cs="Times New Roman"/>
          <w:smallCaps w:val="0"/>
          <w:color w:val="auto"/>
          <w:spacing w:val="0"/>
          <w:w w:val="100"/>
          <w:sz w:val="30"/>
          <w:szCs w:val="30"/>
          <w:highlight w:val="none"/>
          <w:vertAlign w:val="baseli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q</w:t>
      </w:r>
      <w:r>
        <w:rPr>
          <w:rFonts w:hint="eastAsia" w:ascii="Times New Roman" w:hAnsi="Times New Roman" w:eastAsia="宋体" w:cs="Times New Roman"/>
          <w:smallCaps w:val="0"/>
          <w:color w:val="auto"/>
          <w:spacing w:val="0"/>
          <w:w w:val="100"/>
          <w:sz w:val="30"/>
          <w:szCs w:val="30"/>
          <w:highlight w:val="none"/>
          <w:vertAlign w:val="subscript"/>
          <w:lang w:val="en-US" w:eastAsia="zh-CN"/>
        </w:rPr>
        <w:t>3</w:t>
      </w:r>
      <w:r>
        <w:rPr>
          <w:rFonts w:hint="eastAsia" w:ascii="Times New Roman" w:hAnsi="Times New Roman" w:eastAsia="宋体" w:cs="Times New Roman"/>
          <w:smallCaps w:val="0"/>
          <w:color w:val="auto"/>
          <w:spacing w:val="0"/>
          <w:w w:val="100"/>
          <w:sz w:val="30"/>
          <w:szCs w:val="30"/>
          <w:highlight w:val="none"/>
          <w:vertAlign w:val="baseli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15.32</w:t>
      </w:r>
      <w:r>
        <w:rPr>
          <w:rFonts w:hint="default" w:ascii="Times New Roman" w:hAnsi="Times New Roman" w:eastAsia="宋体" w:cs="Times New Roman"/>
          <w:smallCaps w:val="0"/>
          <w:color w:val="auto"/>
          <w:spacing w:val="0"/>
          <w:w w:val="100"/>
          <w:sz w:val="30"/>
          <w:szCs w:val="30"/>
          <w:highlight w:val="none"/>
          <w:lang w:val="en-US" w:eastAsia="zh-CN"/>
        </w:rPr>
        <w:t>kN</w:t>
      </w:r>
      <w:r>
        <w:rPr>
          <w:rFonts w:hint="eastAsia" w:ascii="Times New Roman" w:hAnsi="Times New Roman" w:eastAsia="宋体" w:cs="Times New Roman"/>
          <w:smallCaps w:val="0"/>
          <w:color w:val="auto"/>
          <w:spacing w:val="0"/>
          <w:w w:val="100"/>
          <w:sz w:val="30"/>
          <w:szCs w:val="30"/>
          <w:highlight w:val="none"/>
          <w:lang w:val="en-US" w:eastAsia="zh-CN"/>
        </w:rPr>
        <w:t>/m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2</w:t>
      </w:r>
    </w:p>
    <w:p w14:paraId="37863108">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②双向板抗弯验算</w:t>
      </w:r>
    </w:p>
    <w:p w14:paraId="3CE9ABF3">
      <w:pPr>
        <w:kinsoku/>
        <w:spacing w:before="43" w:line="375" w:lineRule="auto"/>
        <w:ind w:left="41" w:firstLine="600"/>
        <w:jc w:val="both"/>
        <w:rPr>
          <w:rFonts w:hint="eastAsia" w:ascii="Times New Roman" w:hAnsi="Times New Roman" w:eastAsia="宋体" w:cs="Times New Roman"/>
          <w:smallCaps w:val="0"/>
          <w:color w:val="auto"/>
          <w:spacing w:val="0"/>
          <w:w w:val="100"/>
          <w:sz w:val="30"/>
          <w:szCs w:val="30"/>
          <w:highlight w:val="none"/>
          <w:vertAlign w:val="baseli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圆形顶板按双向板（径向 + 环向）计算最大弯矩，公式如下：</w:t>
      </w:r>
      <w:r>
        <w:rPr>
          <w:rFonts w:hint="eastAsia" w:ascii="Times New Roman" w:hAnsi="Times New Roman" w:eastAsia="宋体" w:cs="Times New Roman"/>
          <w:smallCaps w:val="0"/>
          <w:color w:val="auto"/>
          <w:spacing w:val="0"/>
          <w:w w:val="100"/>
          <w:sz w:val="30"/>
          <w:szCs w:val="30"/>
          <w:highlight w:val="none"/>
          <w:lang w:val="en-US" w:eastAsia="zh-CN"/>
        </w:rPr>
        <w:t>M</w:t>
      </w:r>
      <w:r>
        <w:rPr>
          <w:rFonts w:hint="eastAsia" w:ascii="Times New Roman" w:hAnsi="Times New Roman" w:eastAsia="宋体" w:cs="Times New Roman"/>
          <w:smallCaps w:val="0"/>
          <w:color w:val="auto"/>
          <w:spacing w:val="0"/>
          <w:w w:val="100"/>
          <w:sz w:val="30"/>
          <w:szCs w:val="30"/>
          <w:highlight w:val="none"/>
          <w:vertAlign w:val="subscript"/>
          <w:lang w:val="en-US" w:eastAsia="zh-CN"/>
        </w:rPr>
        <w:t>max</w:t>
      </w:r>
      <w:r>
        <w:rPr>
          <w:rFonts w:hint="eastAsia" w:ascii="Times New Roman" w:hAnsi="Times New Roman" w:eastAsia="宋体" w:cs="Times New Roman"/>
          <w:smallCaps w:val="0"/>
          <w:color w:val="auto"/>
          <w:spacing w:val="0"/>
          <w:w w:val="100"/>
          <w:sz w:val="30"/>
          <w:szCs w:val="30"/>
          <w:highlight w:val="none"/>
          <w:lang w:val="en-US" w:eastAsia="zh-CN"/>
        </w:rPr>
        <w:t>=qr</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2</w:t>
      </w:r>
      <w:r>
        <w:rPr>
          <w:rFonts w:hint="eastAsia" w:ascii="Times New Roman" w:hAnsi="Times New Roman" w:eastAsia="宋体" w:cs="Times New Roman"/>
          <w:smallCaps w:val="0"/>
          <w:color w:val="auto"/>
          <w:spacing w:val="0"/>
          <w:w w:val="100"/>
          <w:sz w:val="30"/>
          <w:szCs w:val="30"/>
          <w:highlight w:val="none"/>
          <w:vertAlign w:val="baseline"/>
          <w:lang w:val="en-US" w:eastAsia="zh-CN"/>
        </w:rPr>
        <w:t>/16</w:t>
      </w:r>
    </w:p>
    <w:p w14:paraId="2EBA9DB6">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vertAlign w:val="baseline"/>
          <w:lang w:val="en-US" w:eastAsia="zh-CN"/>
        </w:rPr>
      </w:pPr>
      <w:r>
        <w:rPr>
          <w:rFonts w:hint="default" w:ascii="Times New Roman" w:hAnsi="Times New Roman" w:eastAsia="宋体" w:cs="Times New Roman"/>
          <w:smallCaps w:val="0"/>
          <w:color w:val="auto"/>
          <w:spacing w:val="0"/>
          <w:w w:val="100"/>
          <w:sz w:val="30"/>
          <w:szCs w:val="30"/>
          <w:highlight w:val="none"/>
          <w:vertAlign w:val="baseline"/>
          <w:lang w:val="en-US" w:eastAsia="zh-CN"/>
        </w:rPr>
        <w:t>C30 混凝土配双层双向钢筋，150mm 有效厚度的抗弯承载力可满足要求，满足抗弯及抗裂要求。</w:t>
      </w:r>
    </w:p>
    <w:p w14:paraId="56971A01">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新建蓄水池工程量表5.</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3</w:t>
      </w:r>
      <w:r>
        <w:rPr>
          <w:rFonts w:hint="default" w:ascii="Times New Roman" w:hAnsi="Times New Roman" w:eastAsia="宋体" w:cs="Times New Roman"/>
          <w:smallCaps w:val="0"/>
          <w:color w:val="auto"/>
          <w:spacing w:val="0"/>
          <w:w w:val="100"/>
          <w:sz w:val="30"/>
          <w:szCs w:val="30"/>
          <w:highlight w:val="none"/>
          <w:lang w:eastAsia="zh-CN"/>
        </w:rPr>
        <w:t>-1</w:t>
      </w:r>
    </w:p>
    <w:p w14:paraId="24E795B1">
      <w:pPr>
        <w:kinsoku/>
        <w:spacing w:before="43" w:line="375" w:lineRule="auto"/>
        <w:ind w:left="41" w:firstLine="600"/>
        <w:jc w:val="center"/>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表5.</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3</w:t>
      </w:r>
      <w:r>
        <w:rPr>
          <w:rFonts w:hint="default" w:ascii="Times New Roman" w:hAnsi="Times New Roman" w:eastAsia="宋体" w:cs="Times New Roman"/>
          <w:smallCaps w:val="0"/>
          <w:color w:val="auto"/>
          <w:spacing w:val="0"/>
          <w:w w:val="100"/>
          <w:sz w:val="30"/>
          <w:szCs w:val="30"/>
          <w:highlight w:val="none"/>
          <w:lang w:eastAsia="zh-CN"/>
        </w:rPr>
        <w:t>-1</w:t>
      </w:r>
      <w:r>
        <w:rPr>
          <w:rFonts w:hint="default" w:ascii="Times New Roman" w:hAnsi="Times New Roman" w:eastAsia="宋体" w:cs="Times New Roman"/>
          <w:smallCaps w:val="0"/>
          <w:color w:val="auto"/>
          <w:spacing w:val="0"/>
          <w:w w:val="100"/>
          <w:sz w:val="30"/>
          <w:szCs w:val="30"/>
          <w:highlight w:val="none"/>
          <w:lang w:val="en-US" w:eastAsia="zh-CN"/>
        </w:rPr>
        <w:t xml:space="preserve">       蓄水池工程量表</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62"/>
        <w:gridCol w:w="1818"/>
        <w:gridCol w:w="1621"/>
        <w:gridCol w:w="1621"/>
        <w:gridCol w:w="2289"/>
        <w:gridCol w:w="966"/>
      </w:tblGrid>
      <w:tr w14:paraId="3803D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F429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编号</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983C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名称</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E336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规格</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98C3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材料</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D2D5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单位</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349A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数量</w:t>
            </w:r>
          </w:p>
        </w:tc>
      </w:tr>
      <w:tr w14:paraId="7D365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AAD7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2273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检修孔</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A8CC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F78E1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钢筋混凝土</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3A7F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个</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D606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 </w:t>
            </w:r>
          </w:p>
        </w:tc>
      </w:tr>
      <w:tr w14:paraId="6C53D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AF92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9587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通风帽</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E1A4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φ1100</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DD61F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62B5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个</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60FB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2 </w:t>
            </w:r>
          </w:p>
        </w:tc>
      </w:tr>
      <w:tr w14:paraId="75748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9100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3</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DE65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通风管</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6B64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DN200</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79E4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钢筋混凝土</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0F3F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根</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12E4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2 </w:t>
            </w:r>
          </w:p>
        </w:tc>
      </w:tr>
      <w:tr w14:paraId="458DC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87A4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4</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D1B3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集水坑</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34CD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B型</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B504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2560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个</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2753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 </w:t>
            </w:r>
          </w:p>
        </w:tc>
      </w:tr>
      <w:tr w14:paraId="1C58F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91B8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5</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4E0F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钢梯</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A1B0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9B4E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88EFF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套</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61B46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 </w:t>
            </w:r>
          </w:p>
        </w:tc>
      </w:tr>
      <w:tr w14:paraId="4D9CB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3689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6</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33B0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液位仪</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5A66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41A5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F786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套</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F090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 </w:t>
            </w:r>
          </w:p>
        </w:tc>
      </w:tr>
      <w:tr w14:paraId="17E41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7744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7</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9FDE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水管吊架</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D93B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E305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Q235B</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04F9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副</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0A8D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 </w:t>
            </w:r>
          </w:p>
        </w:tc>
      </w:tr>
      <w:tr w14:paraId="0D92A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E8E4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8</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D558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异径管</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601ED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DN300×450</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0C84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Q235B</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58F45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个</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32E7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 </w:t>
            </w:r>
          </w:p>
        </w:tc>
      </w:tr>
      <w:tr w14:paraId="327DD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EA4A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9</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613B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防水套管</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2008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DN300</w:t>
            </w:r>
            <w:r>
              <w:rPr>
                <w:rFonts w:hint="eastAsia" w:ascii="Times New Roman" w:hAnsi="Times New Roman" w:eastAsia="宋体" w:cs="Times New Roman"/>
                <w:i w:val="0"/>
                <w:iCs w:val="0"/>
                <w:snapToGrid w:val="0"/>
                <w:color w:val="auto"/>
                <w:kern w:val="0"/>
                <w:sz w:val="24"/>
                <w:szCs w:val="24"/>
                <w:highlight w:val="none"/>
                <w:u w:val="none"/>
                <w:lang w:val="en-US" w:eastAsia="zh-CN" w:bidi="ar"/>
              </w:rPr>
              <w:t>，</w:t>
            </w:r>
            <w:r>
              <w:rPr>
                <w:rFonts w:hint="default" w:ascii="Times New Roman" w:hAnsi="Times New Roman" w:eastAsia="宋体" w:cs="Times New Roman"/>
                <w:i w:val="0"/>
                <w:iCs w:val="0"/>
                <w:snapToGrid w:val="0"/>
                <w:color w:val="auto"/>
                <w:kern w:val="0"/>
                <w:sz w:val="24"/>
                <w:szCs w:val="24"/>
                <w:highlight w:val="none"/>
                <w:u w:val="none"/>
                <w:lang w:val="en-US" w:eastAsia="zh-CN" w:bidi="ar"/>
              </w:rPr>
              <w:t>L=300</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849A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Q235B</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C97E0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个</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FC56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2 </w:t>
            </w:r>
          </w:p>
        </w:tc>
      </w:tr>
      <w:tr w14:paraId="3B5F7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6840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10</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9E9B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防水套管</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3BFA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DN250</w:t>
            </w:r>
            <w:r>
              <w:rPr>
                <w:rFonts w:hint="eastAsia" w:ascii="Times New Roman" w:hAnsi="Times New Roman" w:eastAsia="宋体" w:cs="Times New Roman"/>
                <w:i w:val="0"/>
                <w:iCs w:val="0"/>
                <w:snapToGrid w:val="0"/>
                <w:color w:val="auto"/>
                <w:kern w:val="0"/>
                <w:sz w:val="24"/>
                <w:szCs w:val="24"/>
                <w:highlight w:val="none"/>
                <w:u w:val="none"/>
                <w:lang w:val="en-US" w:eastAsia="zh-CN" w:bidi="ar"/>
              </w:rPr>
              <w:t>，</w:t>
            </w:r>
            <w:r>
              <w:rPr>
                <w:rFonts w:hint="default" w:ascii="Times New Roman" w:hAnsi="Times New Roman" w:eastAsia="宋体" w:cs="Times New Roman"/>
                <w:i w:val="0"/>
                <w:iCs w:val="0"/>
                <w:snapToGrid w:val="0"/>
                <w:color w:val="auto"/>
                <w:kern w:val="0"/>
                <w:sz w:val="24"/>
                <w:szCs w:val="24"/>
                <w:highlight w:val="none"/>
                <w:u w:val="none"/>
                <w:lang w:val="en-US" w:eastAsia="zh-CN" w:bidi="ar"/>
              </w:rPr>
              <w:t>L=h₃</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4F53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Q235B</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15A9A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个</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ED7E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 </w:t>
            </w:r>
          </w:p>
        </w:tc>
      </w:tr>
      <w:tr w14:paraId="0324A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4AFE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11</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67FF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防水套管</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AA2B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DN150</w:t>
            </w:r>
            <w:r>
              <w:rPr>
                <w:rFonts w:hint="eastAsia" w:ascii="Times New Roman" w:hAnsi="Times New Roman" w:eastAsia="宋体" w:cs="Times New Roman"/>
                <w:i w:val="0"/>
                <w:iCs w:val="0"/>
                <w:snapToGrid w:val="0"/>
                <w:color w:val="auto"/>
                <w:kern w:val="0"/>
                <w:sz w:val="24"/>
                <w:szCs w:val="24"/>
                <w:highlight w:val="none"/>
                <w:u w:val="none"/>
                <w:lang w:val="en-US" w:eastAsia="zh-CN" w:bidi="ar"/>
              </w:rPr>
              <w:t>，</w:t>
            </w:r>
            <w:r>
              <w:rPr>
                <w:rFonts w:hint="default" w:ascii="Times New Roman" w:hAnsi="Times New Roman" w:eastAsia="宋体" w:cs="Times New Roman"/>
                <w:i w:val="0"/>
                <w:iCs w:val="0"/>
                <w:snapToGrid w:val="0"/>
                <w:color w:val="auto"/>
                <w:kern w:val="0"/>
                <w:sz w:val="24"/>
                <w:szCs w:val="24"/>
                <w:highlight w:val="none"/>
                <w:u w:val="none"/>
                <w:lang w:val="en-US" w:eastAsia="zh-CN" w:bidi="ar"/>
              </w:rPr>
              <w:t>L=h₃</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3AF2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Q235B</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8CF3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个</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F2D1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 </w:t>
            </w:r>
          </w:p>
        </w:tc>
      </w:tr>
      <w:tr w14:paraId="65C64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6688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12</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6E0C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钢制弯头</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03B4D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DN300×90°</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84CF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Q235B</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8E44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个</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39F6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 </w:t>
            </w:r>
          </w:p>
        </w:tc>
      </w:tr>
      <w:tr w14:paraId="21983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3D5FF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13</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C1F5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钢制弯头</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8DC1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DN250×90°</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7403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Q235B</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6FEA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个</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0672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 </w:t>
            </w:r>
          </w:p>
        </w:tc>
      </w:tr>
      <w:tr w14:paraId="15E21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7EC5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14</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ED9C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钢管</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6140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DN150</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72FC4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Q235B</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FC84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Ⅲ</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8B27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r>
      <w:tr w14:paraId="5F2BE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A3EE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15</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0E30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钢管</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592F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DN250</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88DB3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Q235B</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8CC5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血</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B352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r>
      <w:tr w14:paraId="72CF5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008C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16</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EDB0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钢管</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AA2A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DN300</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0444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Q235B</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86ED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m</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6AD9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r>
      <w:tr w14:paraId="47192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3944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17</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A3DA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溢水井</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F913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B653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2249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座</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CA417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 </w:t>
            </w:r>
          </w:p>
        </w:tc>
      </w:tr>
      <w:tr w14:paraId="426F3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EF04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18</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E2AA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C15砼垫层</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2CDE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FC43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A606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m³</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23AD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11.7</w:t>
            </w:r>
          </w:p>
        </w:tc>
      </w:tr>
      <w:tr w14:paraId="326A1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12AC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19</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5C4BC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C30砼池身</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2AF9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6C06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54A1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m³</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3810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71.7</w:t>
            </w:r>
          </w:p>
        </w:tc>
      </w:tr>
      <w:tr w14:paraId="50690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C399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20 </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EAB5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HPB300钢筋</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9731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3D5C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CC9F7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kg</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4787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139 </w:t>
            </w:r>
          </w:p>
        </w:tc>
      </w:tr>
      <w:tr w14:paraId="05091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633BB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21 </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A4AD6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HRB400钢筋</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10AF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62A1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w:t>
            </w:r>
          </w:p>
        </w:tc>
        <w:tc>
          <w:tcPr>
            <w:tcW w:w="1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9654A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kg</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382F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8425 </w:t>
            </w:r>
          </w:p>
        </w:tc>
      </w:tr>
    </w:tbl>
    <w:p w14:paraId="76773D2F">
      <w:pPr>
        <w:pStyle w:val="4"/>
        <w:spacing w:before="0" w:after="0" w:line="560" w:lineRule="exact"/>
        <w:outlineLvl w:val="3"/>
        <w:rPr>
          <w:rFonts w:hint="default" w:ascii="Times New Roman" w:hAnsi="Times New Roman" w:eastAsia="宋体" w:cs="Times New Roman"/>
          <w:smallCaps w:val="0"/>
          <w:color w:val="auto"/>
          <w:spacing w:val="0"/>
          <w:w w:val="100"/>
          <w:highlight w:val="none"/>
          <w:lang w:eastAsia="zh-CN"/>
        </w:rPr>
      </w:pPr>
      <w:bookmarkStart w:id="201" w:name="_Toc25350"/>
      <w:bookmarkStart w:id="202" w:name="_Toc21581"/>
      <w:bookmarkStart w:id="203" w:name="_Toc107"/>
      <w:r>
        <w:rPr>
          <w:rFonts w:hint="default" w:ascii="Times New Roman" w:hAnsi="Times New Roman" w:eastAsia="宋体" w:cs="Times New Roman"/>
          <w:smallCaps w:val="0"/>
          <w:color w:val="auto"/>
          <w:spacing w:val="0"/>
          <w:w w:val="100"/>
          <w:highlight w:val="none"/>
          <w:lang w:eastAsia="zh-CN"/>
        </w:rPr>
        <w:t>5.4.3.</w:t>
      </w:r>
      <w:r>
        <w:rPr>
          <w:rFonts w:hint="default" w:ascii="Times New Roman" w:hAnsi="Times New Roman" w:cs="Times New Roman"/>
          <w:smallCaps w:val="0"/>
          <w:color w:val="auto"/>
          <w:spacing w:val="0"/>
          <w:w w:val="100"/>
          <w:highlight w:val="none"/>
          <w:lang w:val="en-US" w:eastAsia="zh-CN"/>
        </w:rPr>
        <w:t>3</w:t>
      </w:r>
      <w:r>
        <w:rPr>
          <w:rFonts w:hint="default" w:ascii="Times New Roman" w:hAnsi="Times New Roman" w:eastAsia="宋体" w:cs="Times New Roman"/>
          <w:smallCaps w:val="0"/>
          <w:color w:val="auto"/>
          <w:spacing w:val="0"/>
          <w:w w:val="100"/>
          <w:highlight w:val="none"/>
          <w:lang w:eastAsia="zh-CN"/>
        </w:rPr>
        <w:t xml:space="preserve"> 渠道工程设计</w:t>
      </w:r>
      <w:bookmarkEnd w:id="201"/>
      <w:bookmarkEnd w:id="202"/>
      <w:bookmarkEnd w:id="203"/>
    </w:p>
    <w:p w14:paraId="1FD54E4A">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204" w:name="_Toc10173"/>
      <w:bookmarkStart w:id="205" w:name="_Toc21435"/>
      <w:r>
        <w:rPr>
          <w:rFonts w:hint="default" w:ascii="Times New Roman" w:hAnsi="Times New Roman" w:eastAsia="宋体" w:cs="Times New Roman"/>
          <w:smallCaps w:val="0"/>
          <w:color w:val="auto"/>
          <w:spacing w:val="0"/>
          <w:w w:val="100"/>
          <w:sz w:val="30"/>
          <w:szCs w:val="30"/>
          <w:highlight w:val="none"/>
          <w:lang w:val="en-US" w:eastAsia="zh-CN"/>
        </w:rPr>
        <w:t>（一</w:t>
      </w:r>
      <w:bookmarkStart w:id="206" w:name="（一）渠道建设任务"/>
      <w:bookmarkEnd w:id="206"/>
      <w:r>
        <w:rPr>
          <w:rFonts w:hint="default" w:ascii="Times New Roman" w:hAnsi="Times New Roman" w:eastAsia="宋体" w:cs="Times New Roman"/>
          <w:smallCaps w:val="0"/>
          <w:color w:val="auto"/>
          <w:spacing w:val="0"/>
          <w:w w:val="100"/>
          <w:sz w:val="30"/>
          <w:szCs w:val="30"/>
          <w:highlight w:val="none"/>
          <w:lang w:val="en-US" w:eastAsia="zh-CN"/>
        </w:rPr>
        <w:t>）渠道建设任务</w:t>
      </w:r>
      <w:bookmarkEnd w:id="204"/>
      <w:bookmarkEnd w:id="205"/>
    </w:p>
    <w:p w14:paraId="0BF1255A">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本次高标准农田渠道工程建设任务主要包括排水渠道，改善田间灌排条件的渠道。渠道工程按照省农业农村厅下发的实施方案编制提纲（以下简称《提纲》）进行统一规范编号，为便于单体工程区分和统一规范性要求。项目纳入建设任务的排水渠道均为农渠（沟）两级固定渠道，主要通过衬砌的方式提高防渗、输（排）水过流能力，减少耕地占用；生态排洪沟以土沟疏浚，生态整治手段为主。</w:t>
      </w:r>
    </w:p>
    <w:p w14:paraId="181173F0">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207" w:name="_Toc13864"/>
      <w:bookmarkStart w:id="208" w:name="_Toc716"/>
      <w:r>
        <w:rPr>
          <w:rFonts w:hint="default" w:ascii="Times New Roman" w:hAnsi="Times New Roman" w:eastAsia="宋体" w:cs="Times New Roman"/>
          <w:smallCaps w:val="0"/>
          <w:color w:val="auto"/>
          <w:spacing w:val="0"/>
          <w:w w:val="100"/>
          <w:sz w:val="30"/>
          <w:szCs w:val="30"/>
          <w:highlight w:val="none"/>
          <w:lang w:val="en-US" w:eastAsia="zh-CN"/>
        </w:rPr>
        <w:t>（二</w:t>
      </w:r>
      <w:bookmarkStart w:id="209" w:name="（二）灌水工程设计"/>
      <w:bookmarkEnd w:id="209"/>
      <w:r>
        <w:rPr>
          <w:rFonts w:hint="default" w:ascii="Times New Roman" w:hAnsi="Times New Roman" w:eastAsia="宋体" w:cs="Times New Roman"/>
          <w:smallCaps w:val="0"/>
          <w:color w:val="auto"/>
          <w:spacing w:val="0"/>
          <w:w w:val="100"/>
          <w:sz w:val="30"/>
          <w:szCs w:val="30"/>
          <w:highlight w:val="none"/>
          <w:lang w:val="en-US" w:eastAsia="zh-CN"/>
        </w:rPr>
        <w:t>）灌排水工程设计</w:t>
      </w:r>
      <w:bookmarkEnd w:id="207"/>
      <w:bookmarkEnd w:id="208"/>
    </w:p>
    <w:p w14:paraId="7271B677">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（1）设计原则</w:t>
      </w:r>
    </w:p>
    <w:p w14:paraId="49C0D31E">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1</w:t>
      </w:r>
      <w:r>
        <w:rPr>
          <w:rFonts w:hint="default" w:ascii="Times New Roman" w:hAnsi="Times New Roman" w:eastAsia="宋体" w:cs="Times New Roman"/>
          <w:smallCaps w:val="0"/>
          <w:color w:val="auto"/>
          <w:spacing w:val="0"/>
          <w:w w:val="100"/>
          <w:sz w:val="30"/>
          <w:szCs w:val="30"/>
          <w:highlight w:val="none"/>
          <w:lang w:val="en-US" w:eastAsia="zh-CN"/>
        </w:rPr>
        <w:t>）项目改造中低产田，建设高标准农田，按照高标准农田建设要求，结合项目区域水资源平衡分析，灌溉保证率确定为 75%。</w:t>
      </w:r>
    </w:p>
    <w:p w14:paraId="13B21A5D">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val="en-US" w:eastAsia="zh-CN"/>
        </w:rPr>
        <w:t>布置灌溉渠时，应充分利用和改造原有的水利设施，紧密结合地形，尽可能避开岗丘、洼地、池塘等，尽量使沟渠的比降与地面相近似，以减少工程量。</w:t>
      </w:r>
    </w:p>
    <w:p w14:paraId="5CA7AD16">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3）灌溉渠选线应尽量少占或不占耕地。</w:t>
      </w:r>
    </w:p>
    <w:p w14:paraId="17AEBA0D">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4）灌溉渠布置应考虑上下级渠系协调配套，上下级渠道应垂直相交，但根据地形、地势条件，允许有一定的偏角（约20～30°）。</w:t>
      </w:r>
    </w:p>
    <w:p w14:paraId="47CC3C51">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210" w:name="_Toc5181"/>
      <w:bookmarkStart w:id="211" w:name="_Toc23654"/>
      <w:r>
        <w:rPr>
          <w:rFonts w:hint="default" w:ascii="Times New Roman" w:hAnsi="Times New Roman" w:eastAsia="宋体" w:cs="Times New Roman"/>
          <w:smallCaps w:val="0"/>
          <w:color w:val="auto"/>
          <w:spacing w:val="0"/>
          <w:w w:val="100"/>
          <w:sz w:val="30"/>
          <w:szCs w:val="30"/>
          <w:highlight w:val="none"/>
          <w:lang w:val="en-US" w:eastAsia="zh-CN"/>
        </w:rPr>
        <w:t>（2）灌溉渠道纵断面设计</w:t>
      </w:r>
      <w:bookmarkEnd w:id="210"/>
      <w:bookmarkEnd w:id="211"/>
    </w:p>
    <w:p w14:paraId="18B484C6">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渠道纵断面设计包括确定设计水位线、渠底线、渠顶线，以及尽可能确定分水口渠系建筑物的位置。</w:t>
      </w:r>
    </w:p>
    <w:p w14:paraId="5349E038">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各级渠道在分水时具有足够水位高程。各级渠道进口的设计水位，应从水源引水高程自上而下和从灌区最远处控制点高程自下而上推求，并计入沿程损失和各建筑物的局部损失，反复调整确定。</w:t>
      </w:r>
    </w:p>
    <w:p w14:paraId="300CC8A5">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各级渠道设计水位要求相互衔接。一般末级灌溉渠道的水位应高出灌溉范围。</w:t>
      </w:r>
    </w:p>
    <w:p w14:paraId="60793F18">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bookmarkStart w:id="212" w:name="_Toc20467"/>
      <w:bookmarkStart w:id="213" w:name="_Toc32668"/>
      <w:r>
        <w:rPr>
          <w:rFonts w:hint="default" w:ascii="Times New Roman" w:hAnsi="Times New Roman" w:eastAsia="宋体" w:cs="Times New Roman"/>
          <w:smallCaps w:val="0"/>
          <w:color w:val="auto"/>
          <w:spacing w:val="0"/>
          <w:w w:val="100"/>
          <w:sz w:val="30"/>
          <w:szCs w:val="30"/>
          <w:highlight w:val="none"/>
          <w:lang w:val="en-US" w:eastAsia="zh-CN"/>
        </w:rPr>
        <w:t>（3）渠道断面水力计算</w:t>
      </w:r>
      <w:bookmarkEnd w:id="212"/>
      <w:bookmarkEnd w:id="213"/>
    </w:p>
    <w:p w14:paraId="3C253744">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zh-CN" w:eastAsia="zh-CN"/>
        </w:rPr>
        <w:t>1）</w:t>
      </w:r>
      <w:r>
        <w:rPr>
          <w:rFonts w:hint="default" w:ascii="Times New Roman" w:hAnsi="Times New Roman" w:eastAsia="宋体" w:cs="Times New Roman"/>
          <w:smallCaps w:val="0"/>
          <w:color w:val="auto"/>
          <w:spacing w:val="0"/>
          <w:w w:val="100"/>
          <w:sz w:val="30"/>
          <w:szCs w:val="30"/>
          <w:highlight w:val="none"/>
          <w:lang w:val="en-US" w:eastAsia="zh-CN"/>
        </w:rPr>
        <w:t>渠道工作制度：本项目属于小型水利设施，农渠按轮灌方式、斗渠按续灌方式进行设计。</w:t>
      </w:r>
    </w:p>
    <w:p w14:paraId="21258A10">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2）渠道设计流量</w:t>
      </w:r>
    </w:p>
    <w:p w14:paraId="0F914743">
      <w:pPr>
        <w:pStyle w:val="7"/>
        <w:spacing w:before="239"/>
        <w:ind w:left="701"/>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轮灌渠道设计流量计算公式如下：</w:t>
      </w:r>
    </w:p>
    <w:p w14:paraId="69008CA3">
      <w:pPr>
        <w:pStyle w:val="7"/>
        <w:spacing w:before="240"/>
        <w:ind w:left="2346" w:right="1902"/>
        <w:jc w:val="cente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Qn= Nqs An/ηn</w:t>
      </w:r>
    </w:p>
    <w:p w14:paraId="51B7E574">
      <w:pPr>
        <w:pStyle w:val="7"/>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p>
    <w:p w14:paraId="33B9F0DE">
      <w:pPr>
        <w:pStyle w:val="7"/>
        <w:spacing w:before="67"/>
        <w:ind w:left="701"/>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其中：qs=am/86400·T</w:t>
      </w:r>
    </w:p>
    <w:p w14:paraId="62D223A5">
      <w:pPr>
        <w:pStyle w:val="7"/>
        <w:spacing w:before="240"/>
        <w:ind w:left="701"/>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式中：</w:t>
      </w:r>
    </w:p>
    <w:p w14:paraId="7FB80AFA">
      <w:pPr>
        <w:pStyle w:val="7"/>
        <w:spacing w:before="100" w:line="357" w:lineRule="auto"/>
        <w:ind w:left="1301" w:right="3653"/>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Qn—轮灌渠道设计流量</w:t>
      </w:r>
      <w:r>
        <w:rPr>
          <w:rFonts w:hint="eastAsia" w:ascii="Times New Roman" w:hAnsi="Times New Roman" w:eastAsia="宋体" w:cs="Times New Roman"/>
          <w:b w:val="0"/>
          <w:bCs w:val="0"/>
          <w:smallCaps w:val="0"/>
          <w:snapToGrid w:val="0"/>
          <w:color w:val="auto"/>
          <w:spacing w:val="0"/>
          <w:w w:val="100"/>
          <w:kern w:val="0"/>
          <w:sz w:val="30"/>
          <w:szCs w:val="30"/>
          <w:highlight w:val="none"/>
          <w:lang w:val="en-US" w:eastAsia="zh-CN" w:bidi="ar-SA"/>
        </w:rPr>
        <w:t>（</w:t>
      </w: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m</w:t>
      </w:r>
      <w:r>
        <w:rPr>
          <w:rFonts w:hint="default" w:ascii="Times New Roman" w:hAnsi="Times New Roman" w:eastAsia="宋体" w:cs="Times New Roman"/>
          <w:b w:val="0"/>
          <w:bCs w:val="0"/>
          <w:smallCaps w:val="0"/>
          <w:snapToGrid w:val="0"/>
          <w:color w:val="auto"/>
          <w:spacing w:val="0"/>
          <w:w w:val="100"/>
          <w:kern w:val="0"/>
          <w:sz w:val="30"/>
          <w:szCs w:val="30"/>
          <w:highlight w:val="none"/>
          <w:vertAlign w:val="superscript"/>
          <w:lang w:val="en-US" w:eastAsia="zh-CN" w:bidi="ar-SA"/>
        </w:rPr>
        <w:t>3</w:t>
      </w: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/s</w:t>
      </w:r>
      <w:r>
        <w:rPr>
          <w:rFonts w:hint="eastAsia" w:ascii="Times New Roman" w:hAnsi="Times New Roman" w:eastAsia="宋体" w:cs="Times New Roman"/>
          <w:b w:val="0"/>
          <w:bCs w:val="0"/>
          <w:smallCaps w:val="0"/>
          <w:snapToGrid w:val="0"/>
          <w:color w:val="auto"/>
          <w:spacing w:val="0"/>
          <w:w w:val="100"/>
          <w:kern w:val="0"/>
          <w:sz w:val="30"/>
          <w:szCs w:val="30"/>
          <w:highlight w:val="none"/>
          <w:lang w:val="en-US" w:eastAsia="zh-CN" w:bidi="ar-SA"/>
        </w:rPr>
        <w:t>）</w:t>
      </w: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 N—该渠轮灌组数；</w:t>
      </w:r>
    </w:p>
    <w:p w14:paraId="7F0BC084">
      <w:pPr>
        <w:pStyle w:val="7"/>
        <w:spacing w:line="362" w:lineRule="auto"/>
        <w:ind w:left="1301" w:right="3653"/>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qs—设计灌水率（m</w:t>
      </w:r>
      <w:r>
        <w:rPr>
          <w:rFonts w:hint="default" w:ascii="Times New Roman" w:hAnsi="Times New Roman" w:eastAsia="宋体" w:cs="Times New Roman"/>
          <w:b w:val="0"/>
          <w:bCs w:val="0"/>
          <w:smallCaps w:val="0"/>
          <w:snapToGrid w:val="0"/>
          <w:color w:val="auto"/>
          <w:spacing w:val="0"/>
          <w:w w:val="100"/>
          <w:kern w:val="0"/>
          <w:sz w:val="30"/>
          <w:szCs w:val="30"/>
          <w:highlight w:val="none"/>
          <w:vertAlign w:val="superscript"/>
          <w:lang w:val="en-US" w:eastAsia="zh-CN" w:bidi="ar-SA"/>
        </w:rPr>
        <w:t>3</w:t>
      </w: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/s.亩）； An—轮灌平均灌溉面积（亩）； ηn—灌溉水利用系数，取0.7； T—灌水周期，取 3～5d；</w:t>
      </w:r>
    </w:p>
    <w:p w14:paraId="3308A0A7">
      <w:pPr>
        <w:pStyle w:val="7"/>
        <w:ind w:left="1301"/>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a—其值为水稻灌溉面积与灌区灌溉面积之比，取 0.15；</w:t>
      </w:r>
    </w:p>
    <w:p w14:paraId="50D4C90E">
      <w:pPr>
        <w:kinsoku/>
        <w:spacing w:before="43" w:line="375" w:lineRule="auto"/>
        <w:ind w:left="41" w:firstLine="600"/>
        <w:jc w:val="both"/>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m—最大一次净灌水定额，一般取 60-80 m</w:t>
      </w:r>
      <w:r>
        <w:rPr>
          <w:rFonts w:hint="default" w:ascii="Times New Roman" w:hAnsi="Times New Roman" w:eastAsia="宋体" w:cs="Times New Roman"/>
          <w:b w:val="0"/>
          <w:bCs w:val="0"/>
          <w:smallCaps w:val="0"/>
          <w:snapToGrid w:val="0"/>
          <w:color w:val="auto"/>
          <w:spacing w:val="0"/>
          <w:w w:val="100"/>
          <w:kern w:val="0"/>
          <w:sz w:val="30"/>
          <w:szCs w:val="30"/>
          <w:highlight w:val="none"/>
          <w:vertAlign w:val="superscript"/>
          <w:lang w:val="en-US" w:eastAsia="zh-CN" w:bidi="ar-SA"/>
        </w:rPr>
        <w:t>3</w:t>
      </w: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/亩；</w:t>
      </w:r>
    </w:p>
    <w:p w14:paraId="3823BB4D">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701"/>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续灌渠道设计流量计算公式如下：</w:t>
      </w:r>
    </w:p>
    <w:p w14:paraId="2B437F99">
      <w:pPr>
        <w:pStyle w:val="7"/>
        <w:keepNext w:val="0"/>
        <w:keepLines w:val="0"/>
        <w:pageBreakBefore w:val="0"/>
        <w:widowControl/>
        <w:kinsoku w:val="0"/>
        <w:wordWrap/>
        <w:overflowPunct/>
        <w:topLinePunct w:val="0"/>
        <w:autoSpaceDE w:val="0"/>
        <w:autoSpaceDN w:val="0"/>
        <w:bidi w:val="0"/>
        <w:adjustRightInd w:val="0"/>
        <w:snapToGrid w:val="0"/>
        <w:spacing w:before="240" w:line="560" w:lineRule="exact"/>
        <w:ind w:left="2346" w:right="1900"/>
        <w:jc w:val="center"/>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Qx= Jqs Ax/η系</w:t>
      </w:r>
    </w:p>
    <w:p w14:paraId="71660002">
      <w:pPr>
        <w:pStyle w:val="7"/>
        <w:keepNext w:val="0"/>
        <w:keepLines w:val="0"/>
        <w:pageBreakBefore w:val="0"/>
        <w:widowControl/>
        <w:kinsoku w:val="0"/>
        <w:wordWrap/>
        <w:overflowPunct/>
        <w:topLinePunct w:val="0"/>
        <w:autoSpaceDE w:val="0"/>
        <w:autoSpaceDN w:val="0"/>
        <w:bidi w:val="0"/>
        <w:adjustRightInd w:val="0"/>
        <w:snapToGrid w:val="0"/>
        <w:spacing w:before="240" w:line="560" w:lineRule="exact"/>
        <w:ind w:left="701"/>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式中：</w:t>
      </w:r>
    </w:p>
    <w:p w14:paraId="30F1E1C8">
      <w:pPr>
        <w:pStyle w:val="7"/>
        <w:keepNext w:val="0"/>
        <w:keepLines w:val="0"/>
        <w:pageBreakBefore w:val="0"/>
        <w:widowControl/>
        <w:kinsoku w:val="0"/>
        <w:wordWrap/>
        <w:overflowPunct/>
        <w:topLinePunct w:val="0"/>
        <w:autoSpaceDE w:val="0"/>
        <w:autoSpaceDN w:val="0"/>
        <w:bidi w:val="0"/>
        <w:adjustRightInd w:val="0"/>
        <w:snapToGrid w:val="0"/>
        <w:spacing w:before="98" w:line="560" w:lineRule="exact"/>
        <w:ind w:left="1301"/>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Qx—续灌渠道设计流量（m</w:t>
      </w:r>
      <w:r>
        <w:rPr>
          <w:rFonts w:hint="default" w:ascii="Times New Roman" w:hAnsi="Times New Roman" w:eastAsia="宋体" w:cs="Times New Roman"/>
          <w:b w:val="0"/>
          <w:bCs w:val="0"/>
          <w:smallCaps w:val="0"/>
          <w:snapToGrid w:val="0"/>
          <w:color w:val="auto"/>
          <w:spacing w:val="0"/>
          <w:w w:val="100"/>
          <w:kern w:val="0"/>
          <w:sz w:val="30"/>
          <w:szCs w:val="30"/>
          <w:highlight w:val="none"/>
          <w:vertAlign w:val="superscript"/>
          <w:lang w:val="en-US" w:eastAsia="zh-CN" w:bidi="ar-SA"/>
        </w:rPr>
        <w:t>3</w:t>
      </w: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/s）；</w:t>
      </w:r>
    </w:p>
    <w:p w14:paraId="17C3817C">
      <w:pPr>
        <w:pStyle w:val="7"/>
        <w:keepNext w:val="0"/>
        <w:keepLines w:val="0"/>
        <w:pageBreakBefore w:val="0"/>
        <w:widowControl/>
        <w:kinsoku w:val="0"/>
        <w:wordWrap/>
        <w:overflowPunct/>
        <w:topLinePunct w:val="0"/>
        <w:autoSpaceDE w:val="0"/>
        <w:autoSpaceDN w:val="0"/>
        <w:bidi w:val="0"/>
        <w:adjustRightInd w:val="0"/>
        <w:snapToGrid w:val="0"/>
        <w:spacing w:before="201" w:line="560" w:lineRule="exact"/>
        <w:ind w:left="1301" w:right="2966"/>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J—加大流量系数（宜取 1.30~1.35）； Ax—该渠道灌溉面积（hm</w:t>
      </w:r>
      <w:r>
        <w:rPr>
          <w:rFonts w:hint="default" w:ascii="Times New Roman" w:hAnsi="Times New Roman" w:eastAsia="宋体" w:cs="Times New Roman"/>
          <w:b w:val="0"/>
          <w:bCs w:val="0"/>
          <w:smallCaps w:val="0"/>
          <w:snapToGrid w:val="0"/>
          <w:color w:val="auto"/>
          <w:spacing w:val="0"/>
          <w:w w:val="100"/>
          <w:kern w:val="0"/>
          <w:sz w:val="30"/>
          <w:szCs w:val="30"/>
          <w:highlight w:val="none"/>
          <w:vertAlign w:val="superscript"/>
          <w:lang w:val="en-US" w:eastAsia="zh-CN" w:bidi="ar-SA"/>
        </w:rPr>
        <w:t>2</w:t>
      </w: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w:t>
      </w:r>
    </w:p>
    <w:p w14:paraId="3FEB6598">
      <w:pPr>
        <w:pStyle w:val="7"/>
        <w:keepNext w:val="0"/>
        <w:keepLines w:val="0"/>
        <w:pageBreakBefore w:val="0"/>
        <w:widowControl/>
        <w:kinsoku w:val="0"/>
        <w:wordWrap/>
        <w:overflowPunct/>
        <w:topLinePunct w:val="0"/>
        <w:autoSpaceDE w:val="0"/>
        <w:autoSpaceDN w:val="0"/>
        <w:bidi w:val="0"/>
        <w:adjustRightInd w:val="0"/>
        <w:snapToGrid w:val="0"/>
        <w:spacing w:before="116" w:line="560" w:lineRule="exact"/>
        <w:ind w:left="701"/>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灌水断面各水力要素计算：</w:t>
      </w:r>
    </w:p>
    <w:p w14:paraId="6E0E73DA">
      <w:pPr>
        <w:keepNext w:val="0"/>
        <w:keepLines w:val="0"/>
        <w:pageBreakBefore w:val="0"/>
        <w:widowControl/>
        <w:kinsoku w:val="0"/>
        <w:wordWrap/>
        <w:overflowPunct/>
        <w:topLinePunct w:val="0"/>
        <w:autoSpaceDE w:val="0"/>
        <w:autoSpaceDN w:val="0"/>
        <w:bidi w:val="0"/>
        <w:adjustRightInd w:val="0"/>
        <w:snapToGrid w:val="0"/>
        <w:spacing w:before="239" w:line="560" w:lineRule="exact"/>
        <w:ind w:left="2346" w:right="1902"/>
        <w:jc w:val="center"/>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 xml:space="preserve">Q </w:t>
      </w:r>
      <w:r>
        <w:rPr>
          <w:rFonts w:hint="default" w:ascii="Times New Roman" w:hAnsi="Times New Roman" w:eastAsia="宋体" w:cs="Times New Roman"/>
          <w:b w:val="0"/>
          <w:bCs w:val="0"/>
          <w:smallCaps w:val="0"/>
          <w:snapToGrid w:val="0"/>
          <w:color w:val="auto"/>
          <w:spacing w:val="0"/>
          <w:w w:val="100"/>
          <w:kern w:val="0"/>
          <w:sz w:val="30"/>
          <w:szCs w:val="30"/>
          <w:highlight w:val="none"/>
          <w:vertAlign w:val="subscript"/>
          <w:lang w:val="en-US" w:eastAsia="zh-CN" w:bidi="ar-SA"/>
        </w:rPr>
        <w:t>计算</w:t>
      </w: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=ωC（Ri）</w:t>
      </w:r>
      <w:r>
        <w:rPr>
          <w:rFonts w:hint="default" w:ascii="Times New Roman" w:hAnsi="Times New Roman" w:eastAsia="宋体" w:cs="Times New Roman"/>
          <w:b w:val="0"/>
          <w:bCs w:val="0"/>
          <w:smallCaps w:val="0"/>
          <w:snapToGrid w:val="0"/>
          <w:color w:val="auto"/>
          <w:spacing w:val="0"/>
          <w:w w:val="100"/>
          <w:kern w:val="0"/>
          <w:sz w:val="30"/>
          <w:szCs w:val="30"/>
          <w:highlight w:val="none"/>
          <w:vertAlign w:val="superscript"/>
          <w:lang w:val="en-US" w:eastAsia="zh-CN" w:bidi="ar-SA"/>
        </w:rPr>
        <w:t>1/2</w:t>
      </w:r>
    </w:p>
    <w:p w14:paraId="133F6964">
      <w:pPr>
        <w:keepNext w:val="0"/>
        <w:keepLines w:val="0"/>
        <w:pageBreakBefore w:val="0"/>
        <w:widowControl/>
        <w:kinsoku w:val="0"/>
        <w:wordWrap/>
        <w:overflowPunct/>
        <w:topLinePunct w:val="0"/>
        <w:autoSpaceDE w:val="0"/>
        <w:autoSpaceDN w:val="0"/>
        <w:bidi w:val="0"/>
        <w:adjustRightInd w:val="0"/>
        <w:snapToGrid w:val="0"/>
        <w:spacing w:before="128" w:line="560" w:lineRule="exact"/>
        <w:ind w:left="2336" w:right="1941"/>
        <w:jc w:val="center"/>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mc:AlternateContent>
          <mc:Choice Requires="wps">
            <w:drawing>
              <wp:anchor distT="0" distB="0" distL="114300" distR="114300" simplePos="0" relativeHeight="251665408" behindDoc="1" locked="0" layoutInCell="1" allowOverlap="1">
                <wp:simplePos x="0" y="0"/>
                <wp:positionH relativeFrom="page">
                  <wp:posOffset>4688205</wp:posOffset>
                </wp:positionH>
                <wp:positionV relativeFrom="paragraph">
                  <wp:posOffset>280035</wp:posOffset>
                </wp:positionV>
                <wp:extent cx="98425" cy="0"/>
                <wp:effectExtent l="0" t="4445" r="6350" b="5080"/>
                <wp:wrapNone/>
                <wp:docPr id="119" name="直接连接符 119"/>
                <wp:cNvGraphicFramePr/>
                <a:graphic xmlns:a="http://schemas.openxmlformats.org/drawingml/2006/main">
                  <a:graphicData uri="http://schemas.microsoft.com/office/word/2010/wordprocessingShape">
                    <wps:wsp>
                      <wps:cNvCnPr/>
                      <wps:spPr>
                        <a:xfrm>
                          <a:off x="0" y="0"/>
                          <a:ext cx="98425" cy="0"/>
                        </a:xfrm>
                        <a:prstGeom prst="line">
                          <a:avLst/>
                        </a:prstGeom>
                        <a:ln w="6337"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69.15pt;margin-top:22.05pt;height:0pt;width:7.75pt;mso-position-horizontal-relative:page;z-index:-251651072;mso-width-relative:page;mso-height-relative:page;" filled="f" stroked="t" coordsize="21600,21600" o:gfxdata="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QwXj/WAAAACQEAAA8AAAAAAAAAAQAgAAAAIgAAAGRycy9kb3ducmV2Lnht&#10;bFBLAQIUABQAAAAIAIdO4kC3PiFH+wEAAPQDAAAOAAAAAAAAAAEAIAAAACUBAABkcnMvZTJvRG9j&#10;LnhtbFBLBQYAAAAABgAGAFkBAACSBQAAAAA=&#10;">
                <v:fill on="f" focussize="0,0"/>
                <v:stroke weight="0.498976377952756pt" color="#000000" joinstyle="round"/>
                <v:imagedata o:title=""/>
                <o:lock v:ext="edit" aspectratio="f"/>
              </v:line>
            </w:pict>
          </mc:Fallback>
        </mc:AlternateContent>
      </w: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 xml:space="preserve">其中：R=ω/X，C= n </w:t>
      </w:r>
      <w:r>
        <w:rPr>
          <w:rFonts w:hint="default" w:ascii="Times New Roman" w:hAnsi="Times New Roman" w:eastAsia="宋体" w:cs="Times New Roman"/>
          <w:b w:val="0"/>
          <w:bCs w:val="0"/>
          <w:smallCaps w:val="0"/>
          <w:snapToGrid w:val="0"/>
          <w:color w:val="auto"/>
          <w:spacing w:val="0"/>
          <w:w w:val="100"/>
          <w:kern w:val="0"/>
          <w:sz w:val="30"/>
          <w:szCs w:val="30"/>
          <w:highlight w:val="none"/>
          <w:vertAlign w:val="superscript"/>
          <w:lang w:val="en-US" w:eastAsia="zh-CN" w:bidi="ar-SA"/>
        </w:rPr>
        <w:t>-1</w:t>
      </w: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R</w:t>
      </w:r>
      <w:r>
        <w:rPr>
          <w:rFonts w:hint="default" w:ascii="Times New Roman" w:hAnsi="Times New Roman" w:eastAsia="宋体" w:cs="Times New Roman"/>
          <w:b w:val="0"/>
          <w:bCs w:val="0"/>
          <w:smallCaps w:val="0"/>
          <w:snapToGrid w:val="0"/>
          <w:color w:val="auto"/>
          <w:spacing w:val="0"/>
          <w:w w:val="100"/>
          <w:kern w:val="0"/>
          <w:sz w:val="30"/>
          <w:szCs w:val="30"/>
          <w:highlight w:val="none"/>
          <w:vertAlign w:val="superscript"/>
          <w:lang w:val="en-US" w:eastAsia="zh-CN" w:bidi="ar-SA"/>
        </w:rPr>
        <w:t>1/ 6</w:t>
      </w:r>
    </w:p>
    <w:p w14:paraId="1229FC6E">
      <w:pPr>
        <w:pStyle w:val="7"/>
        <w:keepNext w:val="0"/>
        <w:keepLines w:val="0"/>
        <w:pageBreakBefore w:val="0"/>
        <w:widowControl/>
        <w:kinsoku w:val="0"/>
        <w:wordWrap/>
        <w:overflowPunct/>
        <w:topLinePunct w:val="0"/>
        <w:autoSpaceDE w:val="0"/>
        <w:autoSpaceDN w:val="0"/>
        <w:bidi w:val="0"/>
        <w:adjustRightInd w:val="0"/>
        <w:snapToGrid w:val="0"/>
        <w:spacing w:before="123" w:line="560" w:lineRule="exact"/>
        <w:ind w:left="701"/>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对梯形、矩形断面：ω=（B+MH）H</w:t>
      </w:r>
    </w:p>
    <w:p w14:paraId="4AFB9D94">
      <w:pPr>
        <w:pStyle w:val="7"/>
        <w:keepNext w:val="0"/>
        <w:keepLines w:val="0"/>
        <w:pageBreakBefore w:val="0"/>
        <w:widowControl/>
        <w:kinsoku w:val="0"/>
        <w:wordWrap/>
        <w:overflowPunct/>
        <w:topLinePunct w:val="0"/>
        <w:autoSpaceDE w:val="0"/>
        <w:autoSpaceDN w:val="0"/>
        <w:bidi w:val="0"/>
        <w:adjustRightInd w:val="0"/>
        <w:snapToGrid w:val="0"/>
        <w:spacing w:before="39" w:line="560" w:lineRule="exact"/>
        <w:ind w:left="2346" w:right="1900"/>
        <w:jc w:val="center"/>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M=（A-B）/2H（矩形断面M=0）</w:t>
      </w:r>
    </w:p>
    <w:p w14:paraId="338C3D44">
      <w:pPr>
        <w:pStyle w:val="7"/>
        <w:keepNext w:val="0"/>
        <w:keepLines w:val="0"/>
        <w:pageBreakBefore w:val="0"/>
        <w:widowControl/>
        <w:kinsoku w:val="0"/>
        <w:wordWrap/>
        <w:overflowPunct/>
        <w:topLinePunct w:val="0"/>
        <w:autoSpaceDE w:val="0"/>
        <w:autoSpaceDN w:val="0"/>
        <w:bidi w:val="0"/>
        <w:adjustRightInd w:val="0"/>
        <w:snapToGrid w:val="0"/>
        <w:spacing w:before="239" w:line="560" w:lineRule="exact"/>
        <w:ind w:left="701"/>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式中：</w:t>
      </w:r>
    </w:p>
    <w:p w14:paraId="52968909">
      <w:pPr>
        <w:pStyle w:val="7"/>
        <w:spacing w:before="240" w:line="388" w:lineRule="auto"/>
        <w:ind w:left="1301" w:right="4887"/>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ω—水流断面（m</w:t>
      </w:r>
      <w:r>
        <w:rPr>
          <w:rFonts w:hint="default" w:ascii="Times New Roman" w:hAnsi="Times New Roman" w:eastAsia="宋体" w:cs="Times New Roman"/>
          <w:b w:val="0"/>
          <w:bCs w:val="0"/>
          <w:smallCaps w:val="0"/>
          <w:snapToGrid w:val="0"/>
          <w:color w:val="auto"/>
          <w:spacing w:val="0"/>
          <w:w w:val="100"/>
          <w:kern w:val="0"/>
          <w:sz w:val="30"/>
          <w:szCs w:val="30"/>
          <w:highlight w:val="none"/>
          <w:vertAlign w:val="superscript"/>
          <w:lang w:val="en-US" w:eastAsia="zh-CN" w:bidi="ar-SA"/>
        </w:rPr>
        <w:t>2</w:t>
      </w: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 X—湿周（m）；</w:t>
      </w:r>
    </w:p>
    <w:p w14:paraId="71330F8D">
      <w:pPr>
        <w:pStyle w:val="7"/>
        <w:spacing w:before="3" w:line="388" w:lineRule="auto"/>
        <w:ind w:left="1301" w:right="5195"/>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A—沟口宽（m）； B—沟底宽（m）； H—设计水深（m）； i—渠道比降；</w:t>
      </w:r>
    </w:p>
    <w:p w14:paraId="05C1CA27">
      <w:pPr>
        <w:pStyle w:val="7"/>
        <w:keepNext w:val="0"/>
        <w:keepLines w:val="0"/>
        <w:pageBreakBefore w:val="0"/>
        <w:widowControl/>
        <w:wordWrap/>
        <w:overflowPunct/>
        <w:topLinePunct w:val="0"/>
        <w:autoSpaceDE w:val="0"/>
        <w:autoSpaceDN w:val="0"/>
        <w:bidi w:val="0"/>
        <w:adjustRightInd w:val="0"/>
        <w:snapToGrid w:val="0"/>
        <w:spacing w:before="5" w:line="360" w:lineRule="auto"/>
        <w:ind w:left="1301" w:right="4312"/>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R—渠道的水力半径（m）； M—边坡系数；</w:t>
      </w:r>
    </w:p>
    <w:p w14:paraId="5CE56C34">
      <w:pPr>
        <w:pStyle w:val="7"/>
        <w:keepNext w:val="0"/>
        <w:keepLines w:val="0"/>
        <w:pageBreakBefore w:val="0"/>
        <w:widowControl/>
        <w:wordWrap/>
        <w:overflowPunct/>
        <w:topLinePunct w:val="0"/>
        <w:autoSpaceDE w:val="0"/>
        <w:autoSpaceDN w:val="0"/>
        <w:bidi w:val="0"/>
        <w:adjustRightInd w:val="0"/>
        <w:snapToGrid w:val="0"/>
        <w:spacing w:before="2" w:line="360" w:lineRule="auto"/>
        <w:ind w:left="1301"/>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C—谢才系数；</w:t>
      </w:r>
    </w:p>
    <w:p w14:paraId="575E58D1">
      <w:pPr>
        <w:keepNext w:val="0"/>
        <w:keepLines w:val="0"/>
        <w:pageBreakBefore w:val="0"/>
        <w:widowControl/>
        <w:wordWrap/>
        <w:overflowPunct/>
        <w:topLinePunct w:val="0"/>
        <w:autoSpaceDE w:val="0"/>
        <w:autoSpaceDN w:val="0"/>
        <w:bidi w:val="0"/>
        <w:adjustRightInd w:val="0"/>
        <w:snapToGrid w:val="0"/>
        <w:spacing w:line="360" w:lineRule="auto"/>
        <w:ind w:firstLine="1200" w:firstLineChars="400"/>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n—渠床糙率，渠道糙率为 0.015。</w:t>
      </w:r>
    </w:p>
    <w:p w14:paraId="45457192">
      <w:pPr>
        <w:keepNext w:val="0"/>
        <w:keepLines w:val="0"/>
        <w:pageBreakBefore w:val="0"/>
        <w:widowControl/>
        <w:kinsoku/>
        <w:wordWrap/>
        <w:overflowPunct/>
        <w:topLinePunct w:val="0"/>
        <w:autoSpaceDE w:val="0"/>
        <w:autoSpaceDN w:val="0"/>
        <w:bidi w:val="0"/>
        <w:adjustRightInd w:val="0"/>
        <w:snapToGrid w:val="0"/>
        <w:spacing w:before="43" w:line="360" w:lineRule="auto"/>
        <w:ind w:left="41" w:firstLine="600"/>
        <w:jc w:val="both"/>
        <w:textAlignment w:val="baseline"/>
        <w:rPr>
          <w:rFonts w:hint="default" w:ascii="Times New Roman" w:hAnsi="Times New Roman" w:eastAsia="宋体" w:cs="Times New Roman"/>
          <w:smallCaps w:val="0"/>
          <w:color w:val="auto"/>
          <w:spacing w:val="0"/>
          <w:w w:val="100"/>
          <w:sz w:val="30"/>
          <w:szCs w:val="30"/>
          <w:highlight w:val="none"/>
          <w:lang w:val="en-US" w:eastAsia="zh-CN"/>
        </w:rPr>
      </w:pPr>
      <w:bookmarkStart w:id="214" w:name="_Toc10468"/>
      <w:bookmarkStart w:id="215" w:name="_Toc29912"/>
      <w:r>
        <w:rPr>
          <w:rFonts w:hint="default" w:ascii="Times New Roman" w:hAnsi="Times New Roman" w:eastAsia="宋体" w:cs="Times New Roman"/>
          <w:smallCaps w:val="0"/>
          <w:color w:val="auto"/>
          <w:spacing w:val="0"/>
          <w:w w:val="100"/>
          <w:sz w:val="30"/>
          <w:szCs w:val="30"/>
          <w:highlight w:val="none"/>
          <w:lang w:val="en-US" w:eastAsia="zh-CN"/>
        </w:rPr>
        <w:t>（4）防渗材料及断面结构与尺寸</w:t>
      </w:r>
      <w:bookmarkEnd w:id="214"/>
      <w:bookmarkEnd w:id="215"/>
    </w:p>
    <w:p w14:paraId="2D36826C">
      <w:pPr>
        <w:keepNext w:val="0"/>
        <w:keepLines w:val="0"/>
        <w:pageBreakBefore w:val="0"/>
        <w:widowControl/>
        <w:kinsoku/>
        <w:wordWrap/>
        <w:overflowPunct/>
        <w:topLinePunct w:val="0"/>
        <w:autoSpaceDE w:val="0"/>
        <w:autoSpaceDN w:val="0"/>
        <w:bidi w:val="0"/>
        <w:adjustRightInd w:val="0"/>
        <w:snapToGrid w:val="0"/>
        <w:spacing w:before="43" w:line="360" w:lineRule="auto"/>
        <w:ind w:left="41" w:firstLine="600"/>
        <w:jc w:val="both"/>
        <w:textAlignment w:val="baseline"/>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项目区渠道工程渠型设计采用矩形结构型式，其中，矩形渠道采用C25现浇渠为结构主材。根据渠道水力计算结果，排水渠道规格为</w:t>
      </w:r>
      <w:r>
        <w:rPr>
          <w:rFonts w:hint="eastAsia" w:ascii="Times New Roman" w:hAnsi="Times New Roman" w:eastAsia="宋体" w:cs="Times New Roman"/>
          <w:smallCaps w:val="0"/>
          <w:color w:val="auto"/>
          <w:spacing w:val="0"/>
          <w:w w:val="100"/>
          <w:sz w:val="30"/>
          <w:szCs w:val="30"/>
          <w:highlight w:val="none"/>
          <w:lang w:val="en-US" w:eastAsia="zh-CN"/>
        </w:rPr>
        <w:t>30cm×30cm、50cm×50cm、80cm×80cm、100cm×100cm、150cm×150cm</w:t>
      </w:r>
      <w:r>
        <w:rPr>
          <w:rFonts w:hint="default" w:ascii="Times New Roman" w:hAnsi="Times New Roman" w:eastAsia="宋体" w:cs="Times New Roman"/>
          <w:smallCaps w:val="0"/>
          <w:color w:val="auto"/>
          <w:spacing w:val="0"/>
          <w:w w:val="100"/>
          <w:sz w:val="30"/>
          <w:szCs w:val="30"/>
          <w:highlight w:val="none"/>
          <w:lang w:val="en-US" w:eastAsia="zh-CN"/>
        </w:rPr>
        <w:t>。基本做法如下：</w:t>
      </w:r>
    </w:p>
    <w:p w14:paraId="50F167AC">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1）渠道土石方开挖。保证渠道地基的完整性，按设计的断面尺寸、边坡以及渠底设计高程进行开挖，开挖前按开挖边坡线进行放线，达到开挖要求后，对渠底素土进行夯实，力求做到不欠挖和超挖，渠槽部分石方开挖采用人工开槽成渠的方法施工，渠底及渠墙采用粘土夯实。</w:t>
      </w:r>
    </w:p>
    <w:p w14:paraId="1D230B83">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2）渠道衬砌</w:t>
      </w:r>
      <w:r>
        <w:rPr>
          <w:rFonts w:hint="eastAsia" w:ascii="Times New Roman" w:hAnsi="Times New Roman" w:eastAsia="宋体" w:cs="Times New Roman"/>
          <w:smallCaps w:val="0"/>
          <w:color w:val="auto"/>
          <w:spacing w:val="0"/>
          <w:w w:val="100"/>
          <w:sz w:val="30"/>
          <w:szCs w:val="30"/>
          <w:highlight w:val="none"/>
          <w:lang w:val="en-US" w:eastAsia="zh-CN"/>
        </w:rPr>
        <w:t>：沟渠渠身采用20cm厚</w:t>
      </w:r>
      <w:r>
        <w:rPr>
          <w:rFonts w:hint="default" w:ascii="Times New Roman" w:hAnsi="Times New Roman" w:eastAsia="宋体" w:cs="Times New Roman"/>
          <w:smallCaps w:val="0"/>
          <w:color w:val="auto"/>
          <w:spacing w:val="0"/>
          <w:w w:val="100"/>
          <w:sz w:val="30"/>
          <w:szCs w:val="30"/>
          <w:highlight w:val="none"/>
          <w:lang w:val="en-US" w:eastAsia="zh-CN"/>
        </w:rPr>
        <w:t>现浇C25</w:t>
      </w:r>
      <w:r>
        <w:rPr>
          <w:rFonts w:hint="eastAsia" w:ascii="Times New Roman" w:hAnsi="Times New Roman" w:eastAsia="宋体" w:cs="Times New Roman"/>
          <w:smallCaps w:val="0"/>
          <w:color w:val="auto"/>
          <w:spacing w:val="0"/>
          <w:w w:val="100"/>
          <w:sz w:val="30"/>
          <w:szCs w:val="30"/>
          <w:highlight w:val="none"/>
          <w:lang w:val="en-US" w:eastAsia="zh-CN"/>
        </w:rPr>
        <w:t>砼；渠道底板采用10cm厚现浇C25砼</w:t>
      </w:r>
      <w:r>
        <w:rPr>
          <w:rFonts w:hint="default" w:ascii="Times New Roman" w:hAnsi="Times New Roman" w:eastAsia="宋体" w:cs="Times New Roman"/>
          <w:smallCaps w:val="0"/>
          <w:color w:val="auto"/>
          <w:spacing w:val="0"/>
          <w:w w:val="100"/>
          <w:sz w:val="30"/>
          <w:szCs w:val="30"/>
          <w:highlight w:val="no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沿渠道纵向每5m设一道伸缩缝，缝宽2cm，采用沥青板伸缩缝。</w:t>
      </w:r>
    </w:p>
    <w:p w14:paraId="0AAC3746">
      <w:pPr>
        <w:kinsoku/>
        <w:spacing w:before="43" w:line="375" w:lineRule="auto"/>
        <w:ind w:left="41" w:firstLine="600"/>
        <w:jc w:val="both"/>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color w:val="auto"/>
          <w:spacing w:val="0"/>
          <w:w w:val="100"/>
          <w:sz w:val="30"/>
          <w:szCs w:val="30"/>
          <w:highlight w:val="none"/>
          <w:lang w:val="en-US" w:eastAsia="zh-CN"/>
        </w:rPr>
        <w:t>3）土方回填：当</w:t>
      </w:r>
      <w:r>
        <w:rPr>
          <w:rFonts w:hint="eastAsia" w:ascii="Times New Roman" w:hAnsi="Times New Roman" w:eastAsia="宋体" w:cs="Times New Roman"/>
          <w:smallCaps w:val="0"/>
          <w:color w:val="auto"/>
          <w:spacing w:val="0"/>
          <w:w w:val="100"/>
          <w:sz w:val="30"/>
          <w:szCs w:val="30"/>
          <w:highlight w:val="none"/>
          <w:lang w:val="en-US" w:eastAsia="zh-CN"/>
        </w:rPr>
        <w:t>现浇砼</w:t>
      </w:r>
      <w:r>
        <w:rPr>
          <w:rFonts w:hint="default" w:ascii="Times New Roman" w:hAnsi="Times New Roman" w:eastAsia="宋体" w:cs="Times New Roman"/>
          <w:smallCaps w:val="0"/>
          <w:color w:val="auto"/>
          <w:spacing w:val="0"/>
          <w:w w:val="100"/>
          <w:sz w:val="30"/>
          <w:szCs w:val="30"/>
          <w:highlight w:val="none"/>
          <w:lang w:val="en-US" w:eastAsia="zh-CN"/>
        </w:rPr>
        <w:t>强度达到设计强度时，渠两侧方可分层回填压实，分层厚度应小于25cm，人工夯实，两侧回填应同步进行。对于填方渠段和超挖部分填方，要求土料粒径均匀，含水量适度，首先清除杂物，分层夯压密实，层厚不大于20</w:t>
      </w: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cm。</w:t>
      </w:r>
    </w:p>
    <w:p w14:paraId="40724150">
      <w:pPr>
        <w:pStyle w:val="37"/>
        <w:numPr>
          <w:ilvl w:val="0"/>
          <w:numId w:val="0"/>
        </w:numPr>
        <w:tabs>
          <w:tab w:val="left" w:pos="1152"/>
        </w:tabs>
        <w:kinsoku w:val="0"/>
        <w:autoSpaceDE w:val="0"/>
        <w:autoSpaceDN w:val="0"/>
        <w:adjustRightInd w:val="0"/>
        <w:snapToGrid w:val="0"/>
        <w:spacing w:before="4" w:line="620" w:lineRule="atLeast"/>
        <w:ind w:right="193" w:rightChars="0" w:firstLine="900" w:firstLineChars="300"/>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渠道水力计算结果见下表5.4.3-2。</w:t>
      </w:r>
    </w:p>
    <w:p w14:paraId="2565C725">
      <w:pPr>
        <w:pStyle w:val="37"/>
        <w:numPr>
          <w:ilvl w:val="0"/>
          <w:numId w:val="0"/>
        </w:numPr>
        <w:tabs>
          <w:tab w:val="left" w:pos="1152"/>
        </w:tabs>
        <w:kinsoku w:val="0"/>
        <w:autoSpaceDE w:val="0"/>
        <w:autoSpaceDN w:val="0"/>
        <w:adjustRightInd w:val="0"/>
        <w:snapToGrid w:val="0"/>
        <w:spacing w:before="4" w:line="620" w:lineRule="atLeast"/>
        <w:ind w:right="193" w:rightChars="0" w:firstLine="900" w:firstLineChars="300"/>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p>
    <w:p w14:paraId="05730737">
      <w:pPr>
        <w:pStyle w:val="37"/>
        <w:numPr>
          <w:ilvl w:val="0"/>
          <w:numId w:val="0"/>
        </w:numPr>
        <w:tabs>
          <w:tab w:val="left" w:pos="1152"/>
        </w:tabs>
        <w:kinsoku w:val="0"/>
        <w:autoSpaceDE w:val="0"/>
        <w:autoSpaceDN w:val="0"/>
        <w:adjustRightInd w:val="0"/>
        <w:snapToGrid w:val="0"/>
        <w:spacing w:before="4" w:line="620" w:lineRule="atLeast"/>
        <w:ind w:right="193" w:rightChars="0" w:firstLine="900" w:firstLineChars="300"/>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sectPr>
          <w:headerReference r:id="rId18" w:type="default"/>
          <w:footerReference r:id="rId19" w:type="default"/>
          <w:type w:val="nextColumn"/>
          <w:pgSz w:w="11900" w:h="16840"/>
          <w:pgMar w:top="1134" w:right="1418" w:bottom="1134" w:left="1417" w:header="862" w:footer="993" w:gutter="0"/>
          <w:pgBorders>
            <w:top w:val="none" w:sz="0" w:space="0"/>
            <w:left w:val="none" w:sz="0" w:space="0"/>
            <w:bottom w:val="none" w:sz="0" w:space="0"/>
            <w:right w:val="none" w:sz="0" w:space="0"/>
          </w:pgBorders>
          <w:pgNumType w:fmt="numberInDash"/>
          <w:cols w:space="720" w:num="1"/>
        </w:sectPr>
      </w:pPr>
    </w:p>
    <w:p w14:paraId="21FB39F3">
      <w:pPr>
        <w:pStyle w:val="37"/>
        <w:numPr>
          <w:ilvl w:val="0"/>
          <w:numId w:val="0"/>
        </w:numPr>
        <w:tabs>
          <w:tab w:val="left" w:pos="1152"/>
        </w:tabs>
        <w:kinsoku w:val="0"/>
        <w:autoSpaceDE w:val="0"/>
        <w:autoSpaceDN w:val="0"/>
        <w:adjustRightInd w:val="0"/>
        <w:snapToGrid w:val="0"/>
        <w:spacing w:before="4" w:line="620" w:lineRule="atLeast"/>
        <w:ind w:right="193" w:rightChars="0"/>
        <w:jc w:val="center"/>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t>渠道水力计算结果</w:t>
      </w:r>
      <w:r>
        <w:rPr>
          <w:rFonts w:hint="eastAsia" w:ascii="Times New Roman" w:hAnsi="Times New Roman" w:eastAsia="宋体" w:cs="Times New Roman"/>
          <w:b w:val="0"/>
          <w:bCs w:val="0"/>
          <w:smallCaps w:val="0"/>
          <w:snapToGrid w:val="0"/>
          <w:color w:val="auto"/>
          <w:spacing w:val="0"/>
          <w:w w:val="100"/>
          <w:kern w:val="0"/>
          <w:sz w:val="30"/>
          <w:szCs w:val="30"/>
          <w:highlight w:val="none"/>
          <w:lang w:val="en-US" w:eastAsia="zh-CN" w:bidi="ar-SA"/>
        </w:rPr>
        <w:t>表</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6"/>
        <w:gridCol w:w="858"/>
        <w:gridCol w:w="456"/>
        <w:gridCol w:w="657"/>
        <w:gridCol w:w="497"/>
        <w:gridCol w:w="497"/>
        <w:gridCol w:w="497"/>
        <w:gridCol w:w="498"/>
        <w:gridCol w:w="498"/>
        <w:gridCol w:w="498"/>
        <w:gridCol w:w="498"/>
        <w:gridCol w:w="498"/>
        <w:gridCol w:w="578"/>
        <w:gridCol w:w="498"/>
        <w:gridCol w:w="578"/>
        <w:gridCol w:w="578"/>
        <w:gridCol w:w="498"/>
        <w:gridCol w:w="498"/>
        <w:gridCol w:w="498"/>
        <w:gridCol w:w="498"/>
        <w:gridCol w:w="498"/>
        <w:gridCol w:w="498"/>
        <w:gridCol w:w="578"/>
        <w:gridCol w:w="498"/>
        <w:gridCol w:w="556"/>
        <w:gridCol w:w="498"/>
        <w:gridCol w:w="498"/>
      </w:tblGrid>
      <w:tr w14:paraId="53FED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blHeader/>
        </w:trPr>
        <w:tc>
          <w:tcPr>
            <w:tcW w:w="12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66485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渠道编号</w:t>
            </w:r>
          </w:p>
        </w:tc>
        <w:tc>
          <w:tcPr>
            <w:tcW w:w="8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42037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所在村（社区）</w:t>
            </w:r>
          </w:p>
        </w:tc>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72565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渠道长L</w:t>
            </w:r>
          </w:p>
        </w:tc>
        <w:tc>
          <w:tcPr>
            <w:tcW w:w="6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B76EA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控灌面积</w:t>
            </w:r>
          </w:p>
        </w:tc>
        <w:tc>
          <w:tcPr>
            <w:tcW w:w="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21F0A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设计灌溉流量</w:t>
            </w:r>
          </w:p>
        </w:tc>
        <w:tc>
          <w:tcPr>
            <w:tcW w:w="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23A30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设计排涝流量</w:t>
            </w:r>
          </w:p>
        </w:tc>
        <w:tc>
          <w:tcPr>
            <w:tcW w:w="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EF506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渠道设计流量</w:t>
            </w:r>
          </w:p>
        </w:tc>
        <w:tc>
          <w:tcPr>
            <w:tcW w:w="498" w:type="dxa"/>
            <w:vMerge w:val="restart"/>
            <w:tcBorders>
              <w:top w:val="single" w:color="000000" w:sz="4" w:space="0"/>
              <w:left w:val="single" w:color="000000" w:sz="4" w:space="0"/>
              <w:right w:val="single" w:color="000000" w:sz="4" w:space="0"/>
            </w:tcBorders>
            <w:shd w:val="clear" w:color="auto" w:fill="auto"/>
            <w:vAlign w:val="center"/>
          </w:tcPr>
          <w:p w14:paraId="3C20F7E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下口宽b</w:t>
            </w:r>
          </w:p>
        </w:tc>
        <w:tc>
          <w:tcPr>
            <w:tcW w:w="498" w:type="dxa"/>
            <w:vMerge w:val="restart"/>
            <w:tcBorders>
              <w:top w:val="single" w:color="000000" w:sz="4" w:space="0"/>
              <w:left w:val="single" w:color="000000" w:sz="4" w:space="0"/>
              <w:right w:val="single" w:color="000000" w:sz="4" w:space="0"/>
            </w:tcBorders>
            <w:shd w:val="clear" w:color="auto" w:fill="auto"/>
            <w:vAlign w:val="center"/>
          </w:tcPr>
          <w:p w14:paraId="4060666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水深h</w:t>
            </w:r>
          </w:p>
        </w:tc>
        <w:tc>
          <w:tcPr>
            <w:tcW w:w="498" w:type="dxa"/>
            <w:vMerge w:val="restart"/>
            <w:tcBorders>
              <w:top w:val="single" w:color="000000" w:sz="4" w:space="0"/>
              <w:left w:val="single" w:color="000000" w:sz="4" w:space="0"/>
              <w:right w:val="single" w:color="000000" w:sz="4" w:space="0"/>
            </w:tcBorders>
            <w:shd w:val="clear" w:color="auto" w:fill="auto"/>
            <w:vAlign w:val="center"/>
          </w:tcPr>
          <w:p w14:paraId="784D2A1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过水断面A</w:t>
            </w:r>
          </w:p>
        </w:tc>
        <w:tc>
          <w:tcPr>
            <w:tcW w:w="498" w:type="dxa"/>
            <w:vMerge w:val="restart"/>
            <w:tcBorders>
              <w:top w:val="single" w:color="000000" w:sz="4" w:space="0"/>
              <w:left w:val="single" w:color="000000" w:sz="4" w:space="0"/>
              <w:right w:val="single" w:color="000000" w:sz="4" w:space="0"/>
            </w:tcBorders>
            <w:shd w:val="clear" w:color="auto" w:fill="auto"/>
            <w:vAlign w:val="center"/>
          </w:tcPr>
          <w:p w14:paraId="701B0F9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湿周X</w:t>
            </w:r>
          </w:p>
        </w:tc>
        <w:tc>
          <w:tcPr>
            <w:tcW w:w="498" w:type="dxa"/>
            <w:vMerge w:val="restart"/>
            <w:tcBorders>
              <w:top w:val="single" w:color="000000" w:sz="4" w:space="0"/>
              <w:left w:val="single" w:color="000000" w:sz="4" w:space="0"/>
              <w:right w:val="single" w:color="000000" w:sz="4" w:space="0"/>
            </w:tcBorders>
            <w:shd w:val="clear" w:color="auto" w:fill="auto"/>
            <w:vAlign w:val="center"/>
          </w:tcPr>
          <w:p w14:paraId="0DDA258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水力半径R</w:t>
            </w:r>
          </w:p>
        </w:tc>
        <w:tc>
          <w:tcPr>
            <w:tcW w:w="578" w:type="dxa"/>
            <w:vMerge w:val="restart"/>
            <w:tcBorders>
              <w:top w:val="single" w:color="000000" w:sz="4" w:space="0"/>
              <w:left w:val="single" w:color="000000" w:sz="4" w:space="0"/>
              <w:right w:val="single" w:color="000000" w:sz="4" w:space="0"/>
            </w:tcBorders>
            <w:shd w:val="clear" w:color="auto" w:fill="auto"/>
            <w:vAlign w:val="center"/>
          </w:tcPr>
          <w:p w14:paraId="3D4BA36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谢才系数C</w:t>
            </w:r>
          </w:p>
        </w:tc>
        <w:tc>
          <w:tcPr>
            <w:tcW w:w="498" w:type="dxa"/>
            <w:vMerge w:val="restart"/>
            <w:tcBorders>
              <w:top w:val="single" w:color="000000" w:sz="4" w:space="0"/>
              <w:left w:val="single" w:color="000000" w:sz="4" w:space="0"/>
              <w:right w:val="single" w:color="000000" w:sz="4" w:space="0"/>
            </w:tcBorders>
            <w:shd w:val="clear" w:color="auto" w:fill="auto"/>
            <w:vAlign w:val="center"/>
          </w:tcPr>
          <w:p w14:paraId="126435E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流速</w:t>
            </w:r>
          </w:p>
        </w:tc>
        <w:tc>
          <w:tcPr>
            <w:tcW w:w="578" w:type="dxa"/>
            <w:vMerge w:val="restart"/>
            <w:tcBorders>
              <w:top w:val="single" w:color="000000" w:sz="4" w:space="0"/>
              <w:left w:val="single" w:color="000000" w:sz="4" w:space="0"/>
              <w:right w:val="single" w:color="000000" w:sz="4" w:space="0"/>
            </w:tcBorders>
            <w:shd w:val="clear" w:color="auto" w:fill="auto"/>
            <w:vAlign w:val="center"/>
          </w:tcPr>
          <w:p w14:paraId="342B2B9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底坡比降i</w:t>
            </w:r>
          </w:p>
        </w:tc>
        <w:tc>
          <w:tcPr>
            <w:tcW w:w="578" w:type="dxa"/>
            <w:vMerge w:val="restart"/>
            <w:tcBorders>
              <w:top w:val="single" w:color="000000" w:sz="4" w:space="0"/>
              <w:left w:val="single" w:color="000000" w:sz="4" w:space="0"/>
              <w:right w:val="single" w:color="000000" w:sz="4" w:space="0"/>
            </w:tcBorders>
            <w:shd w:val="clear" w:color="auto" w:fill="auto"/>
            <w:vAlign w:val="center"/>
          </w:tcPr>
          <w:p w14:paraId="335C46B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糙  率n</w:t>
            </w:r>
          </w:p>
        </w:tc>
        <w:tc>
          <w:tcPr>
            <w:tcW w:w="498" w:type="dxa"/>
            <w:vMerge w:val="restart"/>
            <w:tcBorders>
              <w:top w:val="single" w:color="000000" w:sz="4" w:space="0"/>
              <w:left w:val="single" w:color="000000" w:sz="4" w:space="0"/>
              <w:right w:val="single" w:color="000000" w:sz="4" w:space="0"/>
            </w:tcBorders>
            <w:shd w:val="clear" w:color="auto" w:fill="auto"/>
            <w:vAlign w:val="center"/>
          </w:tcPr>
          <w:p w14:paraId="3765F78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边坡系数m</w:t>
            </w:r>
          </w:p>
        </w:tc>
        <w:tc>
          <w:tcPr>
            <w:tcW w:w="498" w:type="dxa"/>
            <w:vMerge w:val="restart"/>
            <w:tcBorders>
              <w:top w:val="single" w:color="000000" w:sz="4" w:space="0"/>
              <w:left w:val="single" w:color="000000" w:sz="4" w:space="0"/>
              <w:right w:val="single" w:color="000000" w:sz="4" w:space="0"/>
            </w:tcBorders>
            <w:shd w:val="clear" w:color="auto" w:fill="auto"/>
            <w:vAlign w:val="center"/>
          </w:tcPr>
          <w:p w14:paraId="378DF5D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计算流量Q1</w:t>
            </w:r>
          </w:p>
        </w:tc>
        <w:tc>
          <w:tcPr>
            <w:tcW w:w="498" w:type="dxa"/>
            <w:vMerge w:val="restart"/>
            <w:tcBorders>
              <w:top w:val="single" w:color="000000" w:sz="4" w:space="0"/>
              <w:left w:val="single" w:color="000000" w:sz="4" w:space="0"/>
              <w:right w:val="single" w:color="000000" w:sz="4" w:space="0"/>
            </w:tcBorders>
            <w:shd w:val="clear" w:color="auto" w:fill="auto"/>
            <w:vAlign w:val="center"/>
          </w:tcPr>
          <w:p w14:paraId="3079F85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渠道</w:t>
            </w:r>
            <w:r>
              <w:rPr>
                <w:rFonts w:hint="default" w:ascii="Times New Roman" w:hAnsi="Times New Roman" w:eastAsia="宋体" w:cs="Times New Roman"/>
                <w:i w:val="0"/>
                <w:iCs w:val="0"/>
                <w:snapToGrid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snapToGrid w:val="0"/>
                <w:color w:val="auto"/>
                <w:kern w:val="0"/>
                <w:sz w:val="20"/>
                <w:szCs w:val="20"/>
                <w:highlight w:val="none"/>
                <w:u w:val="none"/>
                <w:lang w:val="en-US" w:eastAsia="zh-CN" w:bidi="ar"/>
              </w:rPr>
              <w:t>安全超高</w:t>
            </w:r>
          </w:p>
        </w:tc>
        <w:tc>
          <w:tcPr>
            <w:tcW w:w="498" w:type="dxa"/>
            <w:vMerge w:val="restart"/>
            <w:tcBorders>
              <w:top w:val="single" w:color="000000" w:sz="4" w:space="0"/>
              <w:left w:val="single" w:color="000000" w:sz="4" w:space="0"/>
              <w:right w:val="single" w:color="000000" w:sz="4" w:space="0"/>
            </w:tcBorders>
            <w:shd w:val="clear" w:color="auto" w:fill="auto"/>
            <w:vAlign w:val="center"/>
          </w:tcPr>
          <w:p w14:paraId="485AD4C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渠高</w:t>
            </w:r>
          </w:p>
        </w:tc>
        <w:tc>
          <w:tcPr>
            <w:tcW w:w="362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26B40C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设计断面尺寸</w:t>
            </w:r>
          </w:p>
        </w:tc>
      </w:tr>
      <w:tr w14:paraId="3F482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blHeader/>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D0C43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8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FFE69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50214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6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DB6D9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CDEE8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E2270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9818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vMerge w:val="continue"/>
            <w:tcBorders>
              <w:left w:val="single" w:color="000000" w:sz="4" w:space="0"/>
              <w:bottom w:val="single" w:color="000000" w:sz="4" w:space="0"/>
              <w:right w:val="single" w:color="000000" w:sz="4" w:space="0"/>
            </w:tcBorders>
            <w:shd w:val="clear" w:color="auto" w:fill="auto"/>
            <w:vAlign w:val="center"/>
          </w:tcPr>
          <w:p w14:paraId="23E6C04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vMerge w:val="continue"/>
            <w:tcBorders>
              <w:left w:val="single" w:color="000000" w:sz="4" w:space="0"/>
              <w:bottom w:val="single" w:color="000000" w:sz="4" w:space="0"/>
              <w:right w:val="single" w:color="000000" w:sz="4" w:space="0"/>
            </w:tcBorders>
            <w:shd w:val="clear" w:color="auto" w:fill="auto"/>
            <w:vAlign w:val="center"/>
          </w:tcPr>
          <w:p w14:paraId="4F04B30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vMerge w:val="continue"/>
            <w:tcBorders>
              <w:left w:val="single" w:color="000000" w:sz="4" w:space="0"/>
              <w:bottom w:val="single" w:color="000000" w:sz="4" w:space="0"/>
              <w:right w:val="single" w:color="000000" w:sz="4" w:space="0"/>
            </w:tcBorders>
            <w:shd w:val="clear" w:color="auto" w:fill="auto"/>
            <w:vAlign w:val="center"/>
          </w:tcPr>
          <w:p w14:paraId="7172B2A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vMerge w:val="continue"/>
            <w:tcBorders>
              <w:left w:val="single" w:color="000000" w:sz="4" w:space="0"/>
              <w:bottom w:val="single" w:color="000000" w:sz="4" w:space="0"/>
              <w:right w:val="single" w:color="000000" w:sz="4" w:space="0"/>
            </w:tcBorders>
            <w:shd w:val="clear" w:color="auto" w:fill="auto"/>
            <w:vAlign w:val="center"/>
          </w:tcPr>
          <w:p w14:paraId="064A0EE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vMerge w:val="continue"/>
            <w:tcBorders>
              <w:left w:val="single" w:color="000000" w:sz="4" w:space="0"/>
              <w:bottom w:val="single" w:color="000000" w:sz="4" w:space="0"/>
              <w:right w:val="single" w:color="000000" w:sz="4" w:space="0"/>
            </w:tcBorders>
            <w:shd w:val="clear" w:color="auto" w:fill="auto"/>
            <w:vAlign w:val="center"/>
          </w:tcPr>
          <w:p w14:paraId="15A5B13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578" w:type="dxa"/>
            <w:vMerge w:val="continue"/>
            <w:tcBorders>
              <w:left w:val="single" w:color="000000" w:sz="4" w:space="0"/>
              <w:right w:val="single" w:color="000000" w:sz="4" w:space="0"/>
            </w:tcBorders>
            <w:shd w:val="clear" w:color="auto" w:fill="auto"/>
            <w:vAlign w:val="center"/>
          </w:tcPr>
          <w:p w14:paraId="32EFF58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vMerge w:val="continue"/>
            <w:tcBorders>
              <w:left w:val="single" w:color="000000" w:sz="4" w:space="0"/>
              <w:bottom w:val="single" w:color="000000" w:sz="4" w:space="0"/>
              <w:right w:val="single" w:color="000000" w:sz="4" w:space="0"/>
            </w:tcBorders>
            <w:shd w:val="clear" w:color="auto" w:fill="auto"/>
            <w:vAlign w:val="center"/>
          </w:tcPr>
          <w:p w14:paraId="658F23C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578" w:type="dxa"/>
            <w:vMerge w:val="continue"/>
            <w:tcBorders>
              <w:left w:val="single" w:color="000000" w:sz="4" w:space="0"/>
              <w:right w:val="single" w:color="000000" w:sz="4" w:space="0"/>
            </w:tcBorders>
            <w:shd w:val="clear" w:color="auto" w:fill="auto"/>
            <w:vAlign w:val="center"/>
          </w:tcPr>
          <w:p w14:paraId="2C65CFF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578" w:type="dxa"/>
            <w:vMerge w:val="continue"/>
            <w:tcBorders>
              <w:left w:val="single" w:color="000000" w:sz="4" w:space="0"/>
              <w:right w:val="single" w:color="000000" w:sz="4" w:space="0"/>
            </w:tcBorders>
            <w:shd w:val="clear" w:color="auto" w:fill="auto"/>
            <w:vAlign w:val="center"/>
          </w:tcPr>
          <w:p w14:paraId="27DBCFF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vMerge w:val="continue"/>
            <w:tcBorders>
              <w:left w:val="single" w:color="000000" w:sz="4" w:space="0"/>
              <w:right w:val="single" w:color="000000" w:sz="4" w:space="0"/>
            </w:tcBorders>
            <w:shd w:val="clear" w:color="auto" w:fill="auto"/>
            <w:vAlign w:val="center"/>
          </w:tcPr>
          <w:p w14:paraId="385E79B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vMerge w:val="continue"/>
            <w:tcBorders>
              <w:left w:val="single" w:color="000000" w:sz="4" w:space="0"/>
              <w:bottom w:val="single" w:color="000000" w:sz="4" w:space="0"/>
              <w:right w:val="single" w:color="000000" w:sz="4" w:space="0"/>
            </w:tcBorders>
            <w:shd w:val="clear" w:color="auto" w:fill="auto"/>
            <w:vAlign w:val="center"/>
          </w:tcPr>
          <w:p w14:paraId="014DFA8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vMerge w:val="continue"/>
            <w:tcBorders>
              <w:left w:val="single" w:color="000000" w:sz="4" w:space="0"/>
              <w:bottom w:val="single" w:color="000000" w:sz="4" w:space="0"/>
              <w:right w:val="single" w:color="000000" w:sz="4" w:space="0"/>
            </w:tcBorders>
            <w:shd w:val="clear" w:color="auto" w:fill="auto"/>
            <w:vAlign w:val="center"/>
          </w:tcPr>
          <w:p w14:paraId="6E7C8F2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vMerge w:val="continue"/>
            <w:tcBorders>
              <w:left w:val="single" w:color="000000" w:sz="4" w:space="0"/>
              <w:bottom w:val="single" w:color="000000" w:sz="4" w:space="0"/>
              <w:right w:val="single" w:color="000000" w:sz="4" w:space="0"/>
            </w:tcBorders>
            <w:shd w:val="clear" w:color="auto" w:fill="auto"/>
            <w:vAlign w:val="center"/>
          </w:tcPr>
          <w:p w14:paraId="061F07F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4EA3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设计底宽B</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57C6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设计渠高H</w:t>
            </w:r>
          </w:p>
        </w:tc>
        <w:tc>
          <w:tcPr>
            <w:tcW w:w="5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E2E94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设计比降i</w:t>
            </w:r>
          </w:p>
        </w:tc>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329F3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边坡系数m</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A4BA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流速v</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E22D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渠道设计流量</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B78E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过流能力</w:t>
            </w:r>
          </w:p>
        </w:tc>
      </w:tr>
      <w:tr w14:paraId="0FBA3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7" w:hRule="atLeast"/>
          <w:tblHeader/>
        </w:trPr>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4BA49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8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22A5B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719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A68B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亩</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CB2E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m³/s</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D5B0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m³/s</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7C0A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m³/s</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34C0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0BE8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w:t>
            </w:r>
          </w:p>
        </w:tc>
        <w:tc>
          <w:tcPr>
            <w:tcW w:w="498" w:type="dxa"/>
            <w:tcBorders>
              <w:top w:val="single" w:color="000000" w:sz="4" w:space="0"/>
              <w:left w:val="single" w:color="000000" w:sz="4" w:space="0"/>
              <w:right w:val="single" w:color="000000" w:sz="4" w:space="0"/>
            </w:tcBorders>
            <w:shd w:val="clear" w:color="auto" w:fill="auto"/>
            <w:vAlign w:val="center"/>
          </w:tcPr>
          <w:p w14:paraId="1AA4811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w:t>
            </w:r>
          </w:p>
        </w:tc>
        <w:tc>
          <w:tcPr>
            <w:tcW w:w="498" w:type="dxa"/>
            <w:tcBorders>
              <w:top w:val="single" w:color="000000" w:sz="4" w:space="0"/>
              <w:left w:val="single" w:color="000000" w:sz="4" w:space="0"/>
              <w:right w:val="single" w:color="000000" w:sz="4" w:space="0"/>
            </w:tcBorders>
            <w:shd w:val="clear" w:color="auto" w:fill="auto"/>
            <w:vAlign w:val="center"/>
          </w:tcPr>
          <w:p w14:paraId="60215E9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w:t>
            </w:r>
          </w:p>
        </w:tc>
        <w:tc>
          <w:tcPr>
            <w:tcW w:w="498" w:type="dxa"/>
            <w:tcBorders>
              <w:top w:val="single" w:color="000000" w:sz="4" w:space="0"/>
              <w:left w:val="single" w:color="000000" w:sz="4" w:space="0"/>
              <w:right w:val="single" w:color="000000" w:sz="4" w:space="0"/>
            </w:tcBorders>
            <w:shd w:val="clear" w:color="auto" w:fill="auto"/>
            <w:vAlign w:val="center"/>
          </w:tcPr>
          <w:p w14:paraId="62B0DD0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w:t>
            </w:r>
          </w:p>
        </w:tc>
        <w:tc>
          <w:tcPr>
            <w:tcW w:w="578" w:type="dxa"/>
            <w:vMerge w:val="continue"/>
            <w:tcBorders>
              <w:left w:val="single" w:color="000000" w:sz="4" w:space="0"/>
              <w:right w:val="single" w:color="000000" w:sz="4" w:space="0"/>
            </w:tcBorders>
            <w:shd w:val="clear" w:color="auto" w:fill="auto"/>
            <w:vAlign w:val="center"/>
          </w:tcPr>
          <w:p w14:paraId="4C9AB08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tcBorders>
              <w:top w:val="single" w:color="000000" w:sz="4" w:space="0"/>
              <w:left w:val="single" w:color="000000" w:sz="4" w:space="0"/>
              <w:right w:val="single" w:color="000000" w:sz="4" w:space="0"/>
            </w:tcBorders>
            <w:shd w:val="clear" w:color="auto" w:fill="auto"/>
            <w:vAlign w:val="center"/>
          </w:tcPr>
          <w:p w14:paraId="29E0D15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m/s</w:t>
            </w:r>
          </w:p>
        </w:tc>
        <w:tc>
          <w:tcPr>
            <w:tcW w:w="578" w:type="dxa"/>
            <w:vMerge w:val="continue"/>
            <w:tcBorders>
              <w:left w:val="single" w:color="000000" w:sz="4" w:space="0"/>
              <w:bottom w:val="single" w:color="000000" w:sz="4" w:space="0"/>
              <w:right w:val="single" w:color="000000" w:sz="4" w:space="0"/>
            </w:tcBorders>
            <w:shd w:val="clear" w:color="auto" w:fill="auto"/>
            <w:vAlign w:val="center"/>
          </w:tcPr>
          <w:p w14:paraId="109DDA2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578" w:type="dxa"/>
            <w:vMerge w:val="continue"/>
            <w:tcBorders>
              <w:left w:val="single" w:color="000000" w:sz="4" w:space="0"/>
              <w:bottom w:val="single" w:color="000000" w:sz="4" w:space="0"/>
              <w:right w:val="single" w:color="000000" w:sz="4" w:space="0"/>
            </w:tcBorders>
            <w:shd w:val="clear" w:color="auto" w:fill="auto"/>
            <w:vAlign w:val="center"/>
          </w:tcPr>
          <w:p w14:paraId="4EFC963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vMerge w:val="continue"/>
            <w:tcBorders>
              <w:left w:val="single" w:color="000000" w:sz="4" w:space="0"/>
              <w:bottom w:val="single" w:color="000000" w:sz="4" w:space="0"/>
              <w:right w:val="single" w:color="000000" w:sz="4" w:space="0"/>
            </w:tcBorders>
            <w:shd w:val="clear" w:color="auto" w:fill="auto"/>
            <w:vAlign w:val="center"/>
          </w:tcPr>
          <w:p w14:paraId="7BDB674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tcBorders>
              <w:top w:val="single" w:color="000000" w:sz="4" w:space="0"/>
              <w:left w:val="single" w:color="000000" w:sz="4" w:space="0"/>
              <w:right w:val="single" w:color="000000" w:sz="4" w:space="0"/>
            </w:tcBorders>
            <w:shd w:val="clear" w:color="auto" w:fill="auto"/>
            <w:vAlign w:val="center"/>
          </w:tcPr>
          <w:p w14:paraId="5B8D9B2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m³/s</w:t>
            </w:r>
          </w:p>
        </w:tc>
        <w:tc>
          <w:tcPr>
            <w:tcW w:w="498" w:type="dxa"/>
            <w:tcBorders>
              <w:top w:val="single" w:color="000000" w:sz="4" w:space="0"/>
              <w:left w:val="single" w:color="000000" w:sz="4" w:space="0"/>
              <w:right w:val="single" w:color="000000" w:sz="4" w:space="0"/>
            </w:tcBorders>
            <w:shd w:val="clear" w:color="auto" w:fill="auto"/>
            <w:vAlign w:val="center"/>
          </w:tcPr>
          <w:p w14:paraId="6FC34F8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eastAsia" w:ascii="Times New Roman" w:hAnsi="Times New Roman" w:eastAsia="宋体" w:cs="Times New Roman"/>
                <w:i w:val="0"/>
                <w:iCs w:val="0"/>
                <w:snapToGrid w:val="0"/>
                <w:color w:val="auto"/>
                <w:kern w:val="0"/>
                <w:sz w:val="20"/>
                <w:szCs w:val="20"/>
                <w:highlight w:val="none"/>
                <w:u w:val="none"/>
                <w:lang w:val="en-US" w:eastAsia="zh-CN" w:bidi="ar"/>
              </w:rPr>
              <w:t>（</w:t>
            </w:r>
            <w:r>
              <w:rPr>
                <w:rFonts w:hint="default" w:ascii="Times New Roman" w:hAnsi="Times New Roman" w:eastAsia="宋体" w:cs="Times New Roman"/>
                <w:i w:val="0"/>
                <w:iCs w:val="0"/>
                <w:snapToGrid w:val="0"/>
                <w:color w:val="auto"/>
                <w:kern w:val="0"/>
                <w:sz w:val="20"/>
                <w:szCs w:val="20"/>
                <w:highlight w:val="none"/>
                <w:u w:val="none"/>
                <w:lang w:val="en-US" w:eastAsia="zh-CN" w:bidi="ar"/>
              </w:rPr>
              <w:t>m</w:t>
            </w:r>
            <w:r>
              <w:rPr>
                <w:rFonts w:hint="eastAsia" w:ascii="Times New Roman" w:hAnsi="Times New Roman" w:eastAsia="宋体" w:cs="Times New Roman"/>
                <w:i w:val="0"/>
                <w:iCs w:val="0"/>
                <w:snapToGrid w:val="0"/>
                <w:color w:val="auto"/>
                <w:kern w:val="0"/>
                <w:sz w:val="20"/>
                <w:szCs w:val="20"/>
                <w:highlight w:val="none"/>
                <w:u w:val="none"/>
                <w:lang w:val="en-US" w:eastAsia="zh-CN" w:bidi="ar"/>
              </w:rPr>
              <w:t>）</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C998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eastAsia" w:ascii="Times New Roman" w:hAnsi="Times New Roman" w:eastAsia="宋体" w:cs="Times New Roman"/>
                <w:i w:val="0"/>
                <w:iCs w:val="0"/>
                <w:snapToGrid w:val="0"/>
                <w:color w:val="auto"/>
                <w:kern w:val="0"/>
                <w:sz w:val="20"/>
                <w:szCs w:val="20"/>
                <w:highlight w:val="none"/>
                <w:u w:val="none"/>
                <w:lang w:val="en-US" w:eastAsia="zh-CN" w:bidi="ar"/>
              </w:rPr>
              <w:t>（</w:t>
            </w:r>
            <w:r>
              <w:rPr>
                <w:rFonts w:hint="default" w:ascii="Times New Roman" w:hAnsi="Times New Roman" w:eastAsia="宋体" w:cs="Times New Roman"/>
                <w:i w:val="0"/>
                <w:iCs w:val="0"/>
                <w:snapToGrid w:val="0"/>
                <w:color w:val="auto"/>
                <w:kern w:val="0"/>
                <w:sz w:val="20"/>
                <w:szCs w:val="20"/>
                <w:highlight w:val="none"/>
                <w:u w:val="none"/>
                <w:lang w:val="en-US" w:eastAsia="zh-CN" w:bidi="ar"/>
              </w:rPr>
              <w:t>m</w:t>
            </w:r>
            <w:r>
              <w:rPr>
                <w:rFonts w:hint="eastAsia" w:ascii="Times New Roman" w:hAnsi="Times New Roman" w:eastAsia="宋体" w:cs="Times New Roman"/>
                <w:i w:val="0"/>
                <w:iCs w:val="0"/>
                <w:snapToGrid w:val="0"/>
                <w:color w:val="auto"/>
                <w:kern w:val="0"/>
                <w:sz w:val="20"/>
                <w:szCs w:val="20"/>
                <w:highlight w:val="none"/>
                <w:u w:val="none"/>
                <w:lang w:val="en-US" w:eastAsia="zh-CN" w:bidi="ar"/>
              </w:rPr>
              <w:t>）</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BD43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80B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w:t>
            </w:r>
          </w:p>
        </w:tc>
        <w:tc>
          <w:tcPr>
            <w:tcW w:w="5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A6094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CB42E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759F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eastAsia" w:ascii="Times New Roman" w:hAnsi="Times New Roman" w:eastAsia="宋体" w:cs="Times New Roman"/>
                <w:i w:val="0"/>
                <w:iCs w:val="0"/>
                <w:snapToGrid w:val="0"/>
                <w:color w:val="auto"/>
                <w:kern w:val="0"/>
                <w:sz w:val="20"/>
                <w:szCs w:val="20"/>
                <w:highlight w:val="none"/>
                <w:u w:val="none"/>
                <w:lang w:val="en-US" w:eastAsia="zh-CN" w:bidi="ar"/>
              </w:rPr>
              <w:t>（</w:t>
            </w:r>
            <w:r>
              <w:rPr>
                <w:rFonts w:hint="default" w:ascii="Times New Roman" w:hAnsi="Times New Roman" w:eastAsia="宋体" w:cs="Times New Roman"/>
                <w:i w:val="0"/>
                <w:iCs w:val="0"/>
                <w:snapToGrid w:val="0"/>
                <w:color w:val="auto"/>
                <w:kern w:val="0"/>
                <w:sz w:val="20"/>
                <w:szCs w:val="20"/>
                <w:highlight w:val="none"/>
                <w:u w:val="none"/>
                <w:lang w:val="en-US" w:eastAsia="zh-CN" w:bidi="ar"/>
              </w:rPr>
              <w:t>m/s</w:t>
            </w:r>
            <w:r>
              <w:rPr>
                <w:rFonts w:hint="eastAsia" w:ascii="Times New Roman" w:hAnsi="Times New Roman" w:eastAsia="宋体" w:cs="Times New Roman"/>
                <w:i w:val="0"/>
                <w:iCs w:val="0"/>
                <w:snapToGrid w:val="0"/>
                <w:color w:val="auto"/>
                <w:kern w:val="0"/>
                <w:sz w:val="20"/>
                <w:szCs w:val="20"/>
                <w:highlight w:val="none"/>
                <w:u w:val="none"/>
                <w:lang w:val="en-US" w:eastAsia="zh-CN" w:bidi="ar"/>
              </w:rPr>
              <w:t>）</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15D5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m³/s</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BCD5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m³/s</w:t>
            </w:r>
          </w:p>
        </w:tc>
      </w:tr>
      <w:tr w14:paraId="2C66A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AA2D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整治2026Q001</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108F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也伦达村</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781F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629</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B835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387.00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B96F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0.51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9AC6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0.85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781F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0.85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858F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1.00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83BC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0.67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936F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0.76</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9754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2.37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E5F5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0.32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24A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55.17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5F45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1.40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26FC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0.002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8AB2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0.015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49FD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0.20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F56A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1.06</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D524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0.33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FD31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1.00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6C9A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1.00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9885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1.00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ED4C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0.002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5B22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0.20 </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558F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1.40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2B1D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0.85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3BF2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1.93 </w:t>
            </w:r>
          </w:p>
        </w:tc>
      </w:tr>
      <w:tr w14:paraId="3CC1A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5D99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整治2026Q002</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3982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也伦达村</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61DA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607</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198B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215.00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6D58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0.08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9D92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0.10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0D81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0.10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7AA2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0.50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DA53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0.28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7087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0.14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338C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1.06</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AF87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0.13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624C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47.58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696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0.77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C6DD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0.002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B4DE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0.015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BF06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4583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0.11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2407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0.22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5298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0.50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9841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0.50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92D0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0.50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8E6F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0.002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C5FF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787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0.77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6674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0.10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F0E0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0.23 </w:t>
            </w:r>
          </w:p>
        </w:tc>
      </w:tr>
      <w:tr w14:paraId="556FF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C670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整治2026Q003</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C712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日安村</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E341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602</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CDF8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451.00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36EE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2.50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E4FD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2.50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2E56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2.50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0A5F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1.50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48BC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1.03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CD1C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1.76</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93C0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3.60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36C8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0.49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E239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59.15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26B1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1.85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DD38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0.002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97C6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0.015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377B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0.20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22EE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3.25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1A27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0.47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9243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1.50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9A8E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1.50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D8A3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1.50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C2C9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0.002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69D1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0.20 </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677E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1.85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26FC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2.50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A8C2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5.68 </w:t>
            </w:r>
          </w:p>
        </w:tc>
      </w:tr>
      <w:tr w14:paraId="3521E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8A4D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整治2026Q004</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4530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日安村</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98DE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611</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BAB8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246.00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1D10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0.37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B2EC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0.47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D49B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0.47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A4EB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0.80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4CB9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0.45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1A3B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0.80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89E3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1.72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5D1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0.47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A9F8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58.69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CF82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1.79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25AA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0.002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51A8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0.015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03B1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0.20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D15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1.43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7519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0.35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B662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0.80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8F9B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0.80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018E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0.80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83F3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0.002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BE2A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0.20 </w:t>
            </w: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0AAA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1.79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EBB6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0.47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F367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1.06</w:t>
            </w:r>
          </w:p>
        </w:tc>
      </w:tr>
      <w:tr w14:paraId="4FCF4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3BB6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整治2026Q005</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09DC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卡呷村</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8DF4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316</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A664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70.00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900D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0.02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D004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0.03 </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26B3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0.03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520E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0.30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08D0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0.10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D0CB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0.03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25AE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0.50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2127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0.06</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20E6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41.71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4164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0.46</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1EE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0.002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0C030">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0.015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A07F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9B5F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0.01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BF74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0.20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0B59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0.30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7EA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0.30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1E19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0.30 </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B98B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0.002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7554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p>
        </w:tc>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C109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0.46</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914D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 xml:space="preserve">0.03 </w:t>
            </w:r>
          </w:p>
        </w:tc>
        <w:tc>
          <w:tcPr>
            <w:tcW w:w="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4178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0"/>
                <w:szCs w:val="20"/>
                <w:highlight w:val="none"/>
                <w:u w:val="none"/>
                <w:lang w:val="en-US" w:eastAsia="zh-CN" w:bidi="ar"/>
              </w:rPr>
            </w:pPr>
            <w:r>
              <w:rPr>
                <w:rFonts w:hint="default" w:ascii="Times New Roman" w:hAnsi="Times New Roman" w:eastAsia="宋体" w:cs="Times New Roman"/>
                <w:i w:val="0"/>
                <w:iCs w:val="0"/>
                <w:snapToGrid w:val="0"/>
                <w:color w:val="auto"/>
                <w:kern w:val="0"/>
                <w:sz w:val="20"/>
                <w:szCs w:val="20"/>
                <w:highlight w:val="none"/>
                <w:u w:val="none"/>
                <w:lang w:val="en-US" w:eastAsia="zh-CN" w:bidi="ar"/>
              </w:rPr>
              <w:t>0.06</w:t>
            </w:r>
          </w:p>
        </w:tc>
      </w:tr>
    </w:tbl>
    <w:p w14:paraId="15018A59">
      <w:pPr>
        <w:pStyle w:val="37"/>
        <w:numPr>
          <w:ilvl w:val="0"/>
          <w:numId w:val="0"/>
        </w:numPr>
        <w:tabs>
          <w:tab w:val="left" w:pos="1152"/>
        </w:tabs>
        <w:kinsoku w:val="0"/>
        <w:autoSpaceDE w:val="0"/>
        <w:autoSpaceDN w:val="0"/>
        <w:adjustRightInd w:val="0"/>
        <w:snapToGrid w:val="0"/>
        <w:spacing w:before="4" w:line="620" w:lineRule="atLeast"/>
        <w:ind w:right="193" w:rightChars="0"/>
        <w:textAlignment w:val="baseline"/>
        <w:rPr>
          <w:rFonts w:hint="default" w:ascii="Times New Roman" w:hAnsi="Times New Roman" w:eastAsia="宋体" w:cs="Times New Roman"/>
          <w:b w:val="0"/>
          <w:bCs w:val="0"/>
          <w:smallCaps w:val="0"/>
          <w:snapToGrid w:val="0"/>
          <w:color w:val="auto"/>
          <w:spacing w:val="0"/>
          <w:w w:val="100"/>
          <w:kern w:val="0"/>
          <w:sz w:val="30"/>
          <w:szCs w:val="30"/>
          <w:highlight w:val="none"/>
          <w:lang w:val="en-US" w:eastAsia="zh-CN" w:bidi="ar-SA"/>
        </w:rPr>
        <w:sectPr>
          <w:pgSz w:w="16840" w:h="11900" w:orient="landscape"/>
          <w:pgMar w:top="1020" w:right="1020" w:bottom="1020" w:left="1020" w:header="862" w:footer="993" w:gutter="0"/>
          <w:pgBorders>
            <w:top w:val="none" w:sz="0" w:space="0"/>
            <w:left w:val="none" w:sz="0" w:space="0"/>
            <w:bottom w:val="none" w:sz="0" w:space="0"/>
            <w:right w:val="none" w:sz="0" w:space="0"/>
          </w:pgBorders>
          <w:pgNumType w:fmt="numberInDash"/>
          <w:cols w:space="720" w:num="1"/>
        </w:sectPr>
      </w:pPr>
    </w:p>
    <w:p w14:paraId="4D2B3131">
      <w:pPr>
        <w:kinsoku/>
        <w:jc w:val="center"/>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表5.4.3-</w:t>
      </w:r>
      <w:r>
        <w:rPr>
          <w:rFonts w:hint="default" w:ascii="Times New Roman" w:hAnsi="Times New Roman" w:eastAsia="宋体" w:cs="Times New Roman"/>
          <w:smallCaps w:val="0"/>
          <w:color w:val="auto"/>
          <w:spacing w:val="0"/>
          <w:w w:val="100"/>
          <w:sz w:val="28"/>
          <w:szCs w:val="28"/>
          <w:highlight w:val="none"/>
          <w:lang w:val="en-US" w:eastAsia="zh-CN"/>
        </w:rPr>
        <w:t>3</w:t>
      </w:r>
      <w:r>
        <w:rPr>
          <w:rFonts w:hint="default" w:ascii="Times New Roman" w:hAnsi="Times New Roman" w:eastAsia="宋体" w:cs="Times New Roman"/>
          <w:smallCaps w:val="0"/>
          <w:color w:val="auto"/>
          <w:spacing w:val="0"/>
          <w:w w:val="100"/>
          <w:sz w:val="24"/>
          <w:highlight w:val="none"/>
        </w:rPr>
        <w:t xml:space="preserve">   </w:t>
      </w:r>
      <w:r>
        <w:rPr>
          <w:rFonts w:hint="default" w:ascii="Times New Roman" w:hAnsi="Times New Roman" w:eastAsia="宋体" w:cs="Times New Roman"/>
          <w:smallCaps w:val="0"/>
          <w:color w:val="auto"/>
          <w:spacing w:val="0"/>
          <w:w w:val="100"/>
          <w:sz w:val="28"/>
          <w:szCs w:val="28"/>
          <w:highlight w:val="none"/>
          <w:lang w:eastAsia="zh-CN"/>
        </w:rPr>
        <w:t>整治</w:t>
      </w:r>
      <w:r>
        <w:rPr>
          <w:rFonts w:hint="default" w:ascii="Times New Roman" w:hAnsi="Times New Roman" w:eastAsia="宋体" w:cs="Times New Roman"/>
          <w:smallCaps w:val="0"/>
          <w:color w:val="auto"/>
          <w:spacing w:val="0"/>
          <w:w w:val="100"/>
          <w:sz w:val="28"/>
          <w:szCs w:val="28"/>
          <w:highlight w:val="none"/>
          <w:lang w:val="en-US" w:eastAsia="zh-CN"/>
        </w:rPr>
        <w:t>排水</w:t>
      </w:r>
      <w:r>
        <w:rPr>
          <w:rFonts w:hint="default" w:ascii="Times New Roman" w:hAnsi="Times New Roman" w:eastAsia="宋体" w:cs="Times New Roman"/>
          <w:smallCaps w:val="0"/>
          <w:color w:val="auto"/>
          <w:spacing w:val="0"/>
          <w:w w:val="100"/>
          <w:sz w:val="28"/>
          <w:szCs w:val="28"/>
          <w:highlight w:val="none"/>
          <w:lang w:eastAsia="zh-CN"/>
        </w:rPr>
        <w:t>渠工程量汇总表</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03"/>
        <w:gridCol w:w="1512"/>
        <w:gridCol w:w="2143"/>
        <w:gridCol w:w="1203"/>
        <w:gridCol w:w="1620"/>
        <w:gridCol w:w="1596"/>
      </w:tblGrid>
      <w:tr w14:paraId="0495A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6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361C96">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bookmarkStart w:id="216" w:name="_Toc21599"/>
            <w:r>
              <w:rPr>
                <w:rFonts w:hint="default" w:ascii="Times New Roman" w:hAnsi="Times New Roman" w:eastAsia="宋体" w:cs="Times New Roman"/>
                <w:i w:val="0"/>
                <w:iCs w:val="0"/>
                <w:snapToGrid w:val="0"/>
                <w:color w:val="auto"/>
                <w:kern w:val="0"/>
                <w:sz w:val="22"/>
                <w:szCs w:val="22"/>
                <w:highlight w:val="none"/>
                <w:u w:val="none"/>
                <w:lang w:val="en-US" w:eastAsia="zh-CN" w:bidi="ar"/>
              </w:rPr>
              <w:t>权属</w:t>
            </w:r>
          </w:p>
        </w:tc>
        <w:tc>
          <w:tcPr>
            <w:tcW w:w="11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97850F">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snapToGrid w:val="0"/>
                <w:color w:val="auto"/>
                <w:kern w:val="0"/>
                <w:sz w:val="22"/>
                <w:szCs w:val="22"/>
                <w:highlight w:val="none"/>
                <w:u w:val="none"/>
                <w:lang w:val="en-US" w:eastAsia="zh-CN" w:bidi="ar"/>
              </w:rPr>
              <w:t>编号</w:t>
            </w:r>
          </w:p>
        </w:tc>
        <w:tc>
          <w:tcPr>
            <w:tcW w:w="6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2B4872">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snapToGrid w:val="0"/>
                <w:color w:val="auto"/>
                <w:kern w:val="0"/>
                <w:sz w:val="22"/>
                <w:szCs w:val="22"/>
                <w:highlight w:val="none"/>
                <w:u w:val="none"/>
                <w:lang w:val="en-US" w:eastAsia="zh-CN" w:bidi="ar"/>
              </w:rPr>
              <w:t>材质</w:t>
            </w:r>
          </w:p>
        </w:tc>
        <w:tc>
          <w:tcPr>
            <w:tcW w:w="8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75ABA7">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snapToGrid w:val="0"/>
                <w:color w:val="auto"/>
                <w:kern w:val="0"/>
                <w:sz w:val="22"/>
                <w:szCs w:val="22"/>
                <w:highlight w:val="none"/>
                <w:u w:val="none"/>
                <w:lang w:val="en-US" w:eastAsia="zh-CN" w:bidi="ar"/>
              </w:rPr>
              <w:t>规格（m）</w:t>
            </w:r>
          </w:p>
        </w:tc>
        <w:tc>
          <w:tcPr>
            <w:tcW w:w="8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67E1E3">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snapToGrid w:val="0"/>
                <w:color w:val="auto"/>
                <w:kern w:val="0"/>
                <w:sz w:val="22"/>
                <w:szCs w:val="22"/>
                <w:highlight w:val="none"/>
                <w:u w:val="none"/>
                <w:lang w:val="en-US" w:eastAsia="zh-CN" w:bidi="ar"/>
              </w:rPr>
              <w:t>长度（m）</w:t>
            </w:r>
          </w:p>
        </w:tc>
      </w:tr>
      <w:tr w14:paraId="33DF6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6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03C218">
            <w:pPr>
              <w:jc w:val="center"/>
              <w:rPr>
                <w:rFonts w:hint="default" w:ascii="Times New Roman" w:hAnsi="Times New Roman" w:eastAsia="宋体" w:cs="Times New Roman"/>
                <w:i w:val="0"/>
                <w:iCs w:val="0"/>
                <w:color w:val="auto"/>
                <w:sz w:val="22"/>
                <w:szCs w:val="22"/>
                <w:highlight w:val="none"/>
                <w:u w:val="none"/>
              </w:rPr>
            </w:pPr>
          </w:p>
        </w:tc>
        <w:tc>
          <w:tcPr>
            <w:tcW w:w="11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99CFA0">
            <w:pPr>
              <w:jc w:val="center"/>
              <w:rPr>
                <w:rFonts w:hint="default" w:ascii="Times New Roman" w:hAnsi="Times New Roman" w:eastAsia="宋体" w:cs="Times New Roman"/>
                <w:i w:val="0"/>
                <w:iCs w:val="0"/>
                <w:color w:val="auto"/>
                <w:sz w:val="22"/>
                <w:szCs w:val="22"/>
                <w:highlight w:val="none"/>
                <w:u w:val="none"/>
              </w:rPr>
            </w:pPr>
          </w:p>
        </w:tc>
        <w:tc>
          <w:tcPr>
            <w:tcW w:w="6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42A3A9">
            <w:pPr>
              <w:jc w:val="center"/>
              <w:rPr>
                <w:rFonts w:hint="default" w:ascii="Times New Roman" w:hAnsi="Times New Roman" w:eastAsia="宋体" w:cs="Times New Roman"/>
                <w:i w:val="0"/>
                <w:iCs w:val="0"/>
                <w:color w:val="auto"/>
                <w:sz w:val="22"/>
                <w:szCs w:val="22"/>
                <w:highlight w:val="none"/>
                <w:u w:val="none"/>
              </w:rPr>
            </w:pPr>
          </w:p>
        </w:tc>
        <w:tc>
          <w:tcPr>
            <w:tcW w:w="8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F89DD4">
            <w:pPr>
              <w:jc w:val="center"/>
              <w:rPr>
                <w:rFonts w:hint="default" w:ascii="Times New Roman" w:hAnsi="Times New Roman" w:eastAsia="宋体" w:cs="Times New Roman"/>
                <w:i w:val="0"/>
                <w:iCs w:val="0"/>
                <w:color w:val="auto"/>
                <w:sz w:val="22"/>
                <w:szCs w:val="22"/>
                <w:highlight w:val="none"/>
                <w:u w:val="none"/>
              </w:rPr>
            </w:pPr>
          </w:p>
        </w:tc>
        <w:tc>
          <w:tcPr>
            <w:tcW w:w="8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F454D4">
            <w:pPr>
              <w:jc w:val="center"/>
              <w:rPr>
                <w:rFonts w:hint="default" w:ascii="Times New Roman" w:hAnsi="Times New Roman" w:eastAsia="宋体" w:cs="Times New Roman"/>
                <w:i w:val="0"/>
                <w:iCs w:val="0"/>
                <w:color w:val="auto"/>
                <w:sz w:val="22"/>
                <w:szCs w:val="22"/>
                <w:highlight w:val="none"/>
                <w:u w:val="none"/>
              </w:rPr>
            </w:pPr>
          </w:p>
        </w:tc>
      </w:tr>
      <w:tr w14:paraId="2AAD0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659F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甘孜镇</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B4B1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也伦达村</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91BB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整治2026Q001</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3F8F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现浇砼</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EC9D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1.0*1.0</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ED64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629</w:t>
            </w:r>
          </w:p>
        </w:tc>
      </w:tr>
      <w:tr w14:paraId="5DA0C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EDEF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甘孜镇</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E3C2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也伦达村</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4E6E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整治2026Q002</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CAF8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现浇砼</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C1537">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0.5*0.5</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CDB4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607</w:t>
            </w:r>
          </w:p>
        </w:tc>
      </w:tr>
      <w:tr w14:paraId="4221C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8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D10E6">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highlight w:val="none"/>
                <w:u w:val="none"/>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小计</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9DA44">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highlight w:val="none"/>
                <w:u w:val="none"/>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1236</w:t>
            </w:r>
          </w:p>
        </w:tc>
      </w:tr>
      <w:tr w14:paraId="31B62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B4CD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甘孜镇</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0D1C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日安村</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F9D6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整治2026Q003</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8FA1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现浇砼</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91F6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1.5*1.5</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050E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602</w:t>
            </w:r>
          </w:p>
        </w:tc>
      </w:tr>
      <w:tr w14:paraId="48EC0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4BA9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甘孜镇</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B61A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日安村</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CDD6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整治2026Q004</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51D9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现浇砼</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F089B">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0.8*0.8</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5167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611</w:t>
            </w:r>
          </w:p>
        </w:tc>
      </w:tr>
      <w:tr w14:paraId="21FB4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8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64E0C">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highlight w:val="none"/>
                <w:u w:val="none"/>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小计</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57CD8">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highlight w:val="none"/>
                <w:u w:val="none"/>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1213</w:t>
            </w:r>
          </w:p>
        </w:tc>
      </w:tr>
      <w:tr w14:paraId="5A0E0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6A68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拖坝乡</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3C4C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卡呷村</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A817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整治2026Q005</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47D04">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现浇砼</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33063">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0.3*0.3</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1459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316</w:t>
            </w:r>
          </w:p>
        </w:tc>
      </w:tr>
      <w:tr w14:paraId="703F4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139"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C5E5B">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highlight w:val="none"/>
                <w:u w:val="none"/>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小计</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63D02">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highlight w:val="none"/>
                <w:u w:val="none"/>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316</w:t>
            </w:r>
          </w:p>
        </w:tc>
      </w:tr>
      <w:tr w14:paraId="06420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139"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15F12">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highlight w:val="none"/>
                <w:u w:val="none"/>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合计</w:t>
            </w:r>
          </w:p>
        </w:tc>
        <w:tc>
          <w:tcPr>
            <w:tcW w:w="8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ABB6A">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highlight w:val="none"/>
                <w:u w:val="none"/>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2765</w:t>
            </w:r>
          </w:p>
        </w:tc>
      </w:tr>
    </w:tbl>
    <w:p w14:paraId="700336E9">
      <w:pPr>
        <w:pStyle w:val="4"/>
        <w:keepNext w:val="0"/>
        <w:keepLines w:val="0"/>
        <w:pageBreakBefore w:val="0"/>
        <w:kinsoku/>
        <w:wordWrap/>
        <w:overflowPunct/>
        <w:topLinePunct w:val="0"/>
        <w:bidi w:val="0"/>
        <w:adjustRightInd w:val="0"/>
        <w:snapToGrid w:val="0"/>
        <w:spacing w:before="0" w:after="0" w:line="560" w:lineRule="exact"/>
        <w:ind w:left="0"/>
        <w:outlineLvl w:val="3"/>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highlight w:val="none"/>
          <w:lang w:eastAsia="zh-CN"/>
        </w:rPr>
        <w:t>5.4.3.</w:t>
      </w:r>
      <w:r>
        <w:rPr>
          <w:rFonts w:hint="default" w:ascii="Times New Roman" w:hAnsi="Times New Roman" w:cs="Times New Roman"/>
          <w:smallCaps w:val="0"/>
          <w:color w:val="auto"/>
          <w:spacing w:val="0"/>
          <w:w w:val="100"/>
          <w:highlight w:val="none"/>
          <w:lang w:val="en-US" w:eastAsia="zh-CN"/>
        </w:rPr>
        <w:t>4</w:t>
      </w:r>
      <w:r>
        <w:rPr>
          <w:rFonts w:hint="default" w:ascii="Times New Roman" w:hAnsi="Times New Roman" w:eastAsia="宋体" w:cs="Times New Roman"/>
          <w:smallCaps w:val="0"/>
          <w:color w:val="auto"/>
          <w:spacing w:val="0"/>
          <w:w w:val="100"/>
          <w:highlight w:val="none"/>
          <w:lang w:eastAsia="zh-CN"/>
        </w:rPr>
        <w:t xml:space="preserve"> </w:t>
      </w:r>
      <w:r>
        <w:rPr>
          <w:rFonts w:hint="default" w:ascii="Times New Roman" w:hAnsi="Times New Roman" w:cs="Times New Roman"/>
          <w:smallCaps w:val="0"/>
          <w:color w:val="auto"/>
          <w:spacing w:val="0"/>
          <w:w w:val="100"/>
          <w:highlight w:val="none"/>
          <w:lang w:val="en-US" w:eastAsia="zh-CN"/>
        </w:rPr>
        <w:t>高效节水灌溉工程</w:t>
      </w:r>
    </w:p>
    <w:p w14:paraId="52D90DD7">
      <w:pPr>
        <w:keepNext w:val="0"/>
        <w:keepLines w:val="0"/>
        <w:pageBreakBefore w:val="0"/>
        <w:kinsoku/>
        <w:wordWrap/>
        <w:overflowPunct/>
        <w:topLinePunct w:val="0"/>
        <w:bidi w:val="0"/>
        <w:adjustRightInd w:val="0"/>
        <w:snapToGrid w:val="0"/>
        <w:spacing w:line="560" w:lineRule="exact"/>
        <w:ind w:left="0"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本次高效节水灌溉总面积为</w:t>
      </w:r>
      <w:r>
        <w:rPr>
          <w:rFonts w:hint="default" w:ascii="Times New Roman" w:hAnsi="Times New Roman" w:eastAsia="宋体" w:cs="Times New Roman"/>
          <w:smallCaps w:val="0"/>
          <w:color w:val="auto"/>
          <w:spacing w:val="0"/>
          <w:w w:val="100"/>
          <w:sz w:val="30"/>
          <w:szCs w:val="30"/>
          <w:highlight w:val="none"/>
          <w:lang w:val="en-US" w:eastAsia="zh-CN"/>
        </w:rPr>
        <w:t>2000</w:t>
      </w:r>
      <w:r>
        <w:rPr>
          <w:rFonts w:hint="default" w:ascii="Times New Roman" w:hAnsi="Times New Roman" w:eastAsia="宋体" w:cs="Times New Roman"/>
          <w:smallCaps w:val="0"/>
          <w:color w:val="auto"/>
          <w:spacing w:val="0"/>
          <w:w w:val="100"/>
          <w:sz w:val="30"/>
          <w:szCs w:val="30"/>
          <w:highlight w:val="none"/>
          <w:lang w:eastAsia="zh-CN"/>
        </w:rPr>
        <w:t>亩，工程布置于</w:t>
      </w:r>
      <w:r>
        <w:rPr>
          <w:rFonts w:hint="default" w:ascii="Times New Roman" w:hAnsi="Times New Roman" w:eastAsia="宋体" w:cs="Times New Roman"/>
          <w:smallCaps w:val="0"/>
          <w:color w:val="auto"/>
          <w:spacing w:val="0"/>
          <w:w w:val="100"/>
          <w:sz w:val="30"/>
          <w:szCs w:val="30"/>
          <w:highlight w:val="none"/>
          <w:lang w:val="en-US" w:eastAsia="zh-CN"/>
        </w:rPr>
        <w:t>甘孜镇霍古都村</w:t>
      </w:r>
      <w:r>
        <w:rPr>
          <w:rFonts w:hint="eastAsia" w:ascii="Times New Roman" w:hAnsi="Times New Roman" w:eastAsia="宋体" w:cs="Times New Roman"/>
          <w:smallCaps w:val="0"/>
          <w:color w:val="auto"/>
          <w:spacing w:val="0"/>
          <w:w w:val="100"/>
          <w:sz w:val="30"/>
          <w:szCs w:val="30"/>
          <w:highlight w:val="none"/>
          <w:lang w:val="en-US" w:eastAsia="zh-CN"/>
        </w:rPr>
        <w:t>(项目区图斑面积为1592亩，村上强烈建议将</w:t>
      </w:r>
      <w:r>
        <w:rPr>
          <w:rFonts w:hint="default" w:ascii="Times New Roman" w:hAnsi="Times New Roman" w:eastAsia="宋体" w:cs="Times New Roman"/>
          <w:smallCaps w:val="0"/>
          <w:color w:val="auto"/>
          <w:spacing w:val="0"/>
          <w:w w:val="100"/>
          <w:sz w:val="30"/>
          <w:szCs w:val="30"/>
          <w:highlight w:val="none"/>
          <w:lang w:val="en-US" w:eastAsia="zh-CN"/>
        </w:rPr>
        <w:t>霍古都村</w:t>
      </w:r>
      <w:r>
        <w:rPr>
          <w:rFonts w:hint="eastAsia" w:ascii="Times New Roman" w:hAnsi="Times New Roman" w:eastAsia="宋体" w:cs="Times New Roman"/>
          <w:smallCaps w:val="0"/>
          <w:color w:val="auto"/>
          <w:spacing w:val="0"/>
          <w:w w:val="100"/>
          <w:sz w:val="30"/>
          <w:szCs w:val="30"/>
          <w:highlight w:val="none"/>
          <w:lang w:val="en-US" w:eastAsia="zh-CN"/>
        </w:rPr>
        <w:t>600余亩纳入本次高效节水设计范围，在征求到业主同意后，将其纳入本次高效节水设计范围)</w:t>
      </w:r>
      <w:r>
        <w:rPr>
          <w:rFonts w:hint="default" w:ascii="Times New Roman" w:hAnsi="Times New Roman" w:eastAsia="宋体" w:cs="Times New Roman"/>
          <w:smallCaps w:val="0"/>
          <w:color w:val="auto"/>
          <w:spacing w:val="0"/>
          <w:w w:val="100"/>
          <w:sz w:val="30"/>
          <w:szCs w:val="30"/>
          <w:highlight w:val="none"/>
          <w:lang w:val="en-US" w:eastAsia="zh-CN"/>
        </w:rPr>
        <w:t>，灌溉作物主</w:t>
      </w:r>
      <w:r>
        <w:rPr>
          <w:rFonts w:hint="eastAsia" w:ascii="Times New Roman" w:hAnsi="Times New Roman" w:eastAsia="宋体" w:cs="Times New Roman"/>
          <w:smallCaps w:val="0"/>
          <w:color w:val="auto"/>
          <w:spacing w:val="0"/>
          <w:w w:val="100"/>
          <w:sz w:val="30"/>
          <w:szCs w:val="30"/>
          <w:highlight w:val="none"/>
          <w:lang w:val="en-US" w:eastAsia="zh-CN"/>
        </w:rPr>
        <w:t>要为</w:t>
      </w:r>
      <w:r>
        <w:rPr>
          <w:rFonts w:hint="default" w:ascii="Times New Roman" w:hAnsi="Times New Roman" w:eastAsia="宋体" w:cs="Times New Roman"/>
          <w:smallCaps w:val="0"/>
          <w:color w:val="auto"/>
          <w:spacing w:val="0"/>
          <w:w w:val="100"/>
          <w:sz w:val="30"/>
          <w:szCs w:val="30"/>
          <w:highlight w:val="none"/>
          <w:lang w:val="en-US" w:eastAsia="zh-CN"/>
        </w:rPr>
        <w:t>青稞。</w:t>
      </w:r>
      <w:r>
        <w:rPr>
          <w:rFonts w:hint="eastAsia" w:ascii="Times New Roman" w:hAnsi="Times New Roman" w:eastAsia="宋体" w:cs="Times New Roman"/>
          <w:smallCaps w:val="0"/>
          <w:color w:val="auto"/>
          <w:spacing w:val="0"/>
          <w:w w:val="100"/>
          <w:sz w:val="30"/>
          <w:szCs w:val="30"/>
          <w:highlight w:val="none"/>
          <w:lang w:val="en-US" w:eastAsia="zh-CN"/>
        </w:rPr>
        <w:t>在</w:t>
      </w:r>
      <w:r>
        <w:rPr>
          <w:rFonts w:hint="default" w:ascii="Times New Roman" w:hAnsi="Times New Roman" w:eastAsia="宋体" w:cs="Times New Roman"/>
          <w:smallCaps w:val="0"/>
          <w:color w:val="auto"/>
          <w:spacing w:val="0"/>
          <w:w w:val="100"/>
          <w:sz w:val="30"/>
          <w:szCs w:val="30"/>
          <w:highlight w:val="none"/>
          <w:lang w:val="en-US" w:eastAsia="zh-CN"/>
        </w:rPr>
        <w:t>霍古都村</w:t>
      </w:r>
      <w:r>
        <w:rPr>
          <w:rFonts w:hint="eastAsia" w:ascii="Times New Roman" w:hAnsi="Times New Roman" w:eastAsia="宋体" w:cs="Times New Roman"/>
          <w:smallCaps w:val="0"/>
          <w:color w:val="auto"/>
          <w:spacing w:val="0"/>
          <w:w w:val="100"/>
          <w:sz w:val="30"/>
          <w:szCs w:val="30"/>
          <w:highlight w:val="none"/>
          <w:lang w:val="en-US" w:eastAsia="zh-CN"/>
        </w:rPr>
        <w:t>果拉顶上游三百米处日利瓦晓沟</w:t>
      </w:r>
      <w:r>
        <w:rPr>
          <w:rFonts w:hint="default" w:ascii="Times New Roman" w:hAnsi="Times New Roman" w:eastAsia="宋体" w:cs="Times New Roman"/>
          <w:smallCaps w:val="0"/>
          <w:color w:val="auto"/>
          <w:spacing w:val="0"/>
          <w:w w:val="100"/>
          <w:sz w:val="30"/>
          <w:szCs w:val="30"/>
          <w:highlight w:val="none"/>
          <w:lang w:val="en-US" w:eastAsia="zh-CN"/>
        </w:rPr>
        <w:t>修建</w:t>
      </w:r>
      <w:r>
        <w:rPr>
          <w:rFonts w:hint="eastAsia" w:ascii="Times New Roman" w:hAnsi="Times New Roman" w:eastAsia="宋体" w:cs="Times New Roman"/>
          <w:smallCaps w:val="0"/>
          <w:color w:val="auto"/>
          <w:spacing w:val="0"/>
          <w:w w:val="100"/>
          <w:sz w:val="30"/>
          <w:szCs w:val="30"/>
          <w:highlight w:val="none"/>
          <w:lang w:val="en-US" w:eastAsia="zh-CN"/>
        </w:rPr>
        <w:t>拦河坝</w:t>
      </w:r>
      <w:r>
        <w:rPr>
          <w:rFonts w:hint="default" w:ascii="Times New Roman" w:hAnsi="Times New Roman" w:eastAsia="宋体" w:cs="Times New Roman"/>
          <w:smallCaps w:val="0"/>
          <w:color w:val="auto"/>
          <w:spacing w:val="0"/>
          <w:w w:val="100"/>
          <w:sz w:val="30"/>
          <w:szCs w:val="30"/>
          <w:highlight w:val="none"/>
          <w:lang w:val="en-US" w:eastAsia="zh-CN"/>
        </w:rPr>
        <w:t>取水，</w:t>
      </w:r>
      <w:r>
        <w:rPr>
          <w:rFonts w:hint="eastAsia" w:ascii="Times New Roman" w:hAnsi="Times New Roman" w:eastAsia="宋体" w:cs="Times New Roman"/>
          <w:smallCaps w:val="0"/>
          <w:color w:val="auto"/>
          <w:spacing w:val="0"/>
          <w:w w:val="100"/>
          <w:sz w:val="30"/>
          <w:szCs w:val="30"/>
          <w:highlight w:val="none"/>
          <w:lang w:val="en-US" w:eastAsia="zh-CN"/>
        </w:rPr>
        <w:t>根据4.1.4设计水平年分析中的可供水量分析，拦河坝坝址处年来水量（P=75%）</w:t>
      </w:r>
      <w:r>
        <w:rPr>
          <w:rFonts w:hint="eastAsia" w:ascii="Times New Roman" w:hAnsi="Times New Roman" w:eastAsia="宋体" w:cs="Times New Roman"/>
          <w:smallCaps w:val="0"/>
          <w:color w:val="auto"/>
          <w:spacing w:val="0"/>
          <w:w w:val="100"/>
          <w:sz w:val="30"/>
          <w:szCs w:val="30"/>
          <w:highlight w:val="none"/>
          <w:vertAlign w:val="baseline"/>
          <w:lang w:val="en-US" w:eastAsia="zh-CN"/>
        </w:rPr>
        <w:t>为259.15万m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3</w:t>
      </w:r>
      <w:r>
        <w:rPr>
          <w:rFonts w:hint="eastAsia" w:ascii="Times New Roman" w:hAnsi="Times New Roman" w:eastAsia="宋体" w:cs="Times New Roman"/>
          <w:smallCaps w:val="0"/>
          <w:color w:val="auto"/>
          <w:spacing w:val="0"/>
          <w:w w:val="100"/>
          <w:sz w:val="30"/>
          <w:szCs w:val="30"/>
          <w:highlight w:val="none"/>
          <w:vertAlign w:val="baseline"/>
          <w:lang w:val="en-US" w:eastAsia="zh-CN"/>
        </w:rPr>
        <w:t>，本次设计供水量为35.56万m</w:t>
      </w:r>
      <w:r>
        <w:rPr>
          <w:rFonts w:hint="eastAsia" w:ascii="Times New Roman" w:hAnsi="Times New Roman" w:eastAsia="宋体" w:cs="Times New Roman"/>
          <w:smallCaps w:val="0"/>
          <w:color w:val="auto"/>
          <w:spacing w:val="0"/>
          <w:w w:val="100"/>
          <w:sz w:val="30"/>
          <w:szCs w:val="30"/>
          <w:highlight w:val="none"/>
          <w:vertAlign w:val="superscript"/>
          <w:lang w:val="en-US" w:eastAsia="zh-CN"/>
        </w:rPr>
        <w:t>3</w:t>
      </w:r>
      <w:r>
        <w:rPr>
          <w:rFonts w:hint="eastAsia" w:ascii="Times New Roman" w:hAnsi="Times New Roman" w:eastAsia="宋体" w:cs="Times New Roman"/>
          <w:smallCaps w:val="0"/>
          <w:color w:val="auto"/>
          <w:spacing w:val="0"/>
          <w:w w:val="100"/>
          <w:sz w:val="30"/>
          <w:szCs w:val="30"/>
          <w:highlight w:val="none"/>
          <w:vertAlign w:val="baseline"/>
          <w:lang w:val="en-US" w:eastAsia="zh-CN"/>
        </w:rPr>
        <w:t>，来水量满足灌溉需求</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val="en-US" w:eastAsia="zh-CN"/>
        </w:rPr>
        <w:t>通过地势</w:t>
      </w:r>
      <w:r>
        <w:rPr>
          <w:rFonts w:hint="default" w:ascii="Times New Roman" w:hAnsi="Times New Roman" w:eastAsia="宋体" w:cs="Times New Roman"/>
          <w:smallCaps w:val="0"/>
          <w:color w:val="auto"/>
          <w:spacing w:val="0"/>
          <w:w w:val="100"/>
          <w:sz w:val="30"/>
          <w:szCs w:val="30"/>
          <w:highlight w:val="none"/>
          <w:lang w:eastAsia="zh-CN"/>
        </w:rPr>
        <w:t>相对高差采用PE管道低压自流输水</w:t>
      </w:r>
      <w:r>
        <w:rPr>
          <w:rFonts w:hint="default" w:ascii="Times New Roman" w:hAnsi="Times New Roman" w:eastAsia="宋体" w:cs="Times New Roman"/>
          <w:smallCaps w:val="0"/>
          <w:color w:val="auto"/>
          <w:spacing w:val="0"/>
          <w:w w:val="100"/>
          <w:sz w:val="30"/>
          <w:szCs w:val="30"/>
          <w:highlight w:val="none"/>
          <w:lang w:val="en-US" w:eastAsia="zh-CN"/>
        </w:rPr>
        <w:t>管灌的</w:t>
      </w:r>
      <w:r>
        <w:rPr>
          <w:rFonts w:hint="default" w:ascii="Times New Roman" w:hAnsi="Times New Roman" w:eastAsia="宋体" w:cs="Times New Roman"/>
          <w:smallCaps w:val="0"/>
          <w:color w:val="auto"/>
          <w:spacing w:val="0"/>
          <w:w w:val="100"/>
          <w:sz w:val="30"/>
          <w:szCs w:val="30"/>
          <w:highlight w:val="none"/>
          <w:lang w:eastAsia="zh-CN"/>
        </w:rPr>
        <w:t>灌溉方式。</w:t>
      </w:r>
    </w:p>
    <w:p w14:paraId="0946126B">
      <w:pPr>
        <w:keepNext w:val="0"/>
        <w:keepLines w:val="0"/>
        <w:pageBreakBefore w:val="0"/>
        <w:kinsoku/>
        <w:wordWrap/>
        <w:overflowPunct/>
        <w:topLinePunct w:val="0"/>
        <w:bidi w:val="0"/>
        <w:adjustRightInd w:val="0"/>
        <w:snapToGrid w:val="0"/>
        <w:spacing w:line="560" w:lineRule="exact"/>
        <w:ind w:left="0"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灌溉模式为：</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霍古都村山溪沟</w:t>
      </w:r>
      <w:r>
        <w:rPr>
          <w:rFonts w:hint="default" w:ascii="Times New Roman" w:hAnsi="Times New Roman" w:eastAsia="宋体" w:cs="Times New Roman"/>
          <w:smallCaps w:val="0"/>
          <w:color w:val="auto"/>
          <w:spacing w:val="0"/>
          <w:w w:val="100"/>
          <w:sz w:val="30"/>
          <w:szCs w:val="30"/>
          <w:highlight w:val="none"/>
          <w:lang w:eastAsia="zh-CN"/>
        </w:rPr>
        <w:t>——新建PE输水管——</w:t>
      </w:r>
      <w:r>
        <w:rPr>
          <w:rFonts w:hint="default" w:ascii="Times New Roman" w:hAnsi="Times New Roman" w:eastAsia="宋体" w:cs="Times New Roman"/>
          <w:smallCaps w:val="0"/>
          <w:color w:val="auto"/>
          <w:spacing w:val="0"/>
          <w:w w:val="100"/>
          <w:sz w:val="30"/>
          <w:szCs w:val="30"/>
          <w:highlight w:val="none"/>
          <w:lang w:val="en-US" w:eastAsia="zh-CN"/>
        </w:rPr>
        <w:t>新建300方蓄水池</w:t>
      </w:r>
      <w:r>
        <w:rPr>
          <w:rFonts w:hint="default" w:ascii="Times New Roman" w:hAnsi="Times New Roman" w:eastAsia="宋体" w:cs="Times New Roman"/>
          <w:smallCaps w:val="0"/>
          <w:color w:val="auto"/>
          <w:spacing w:val="0"/>
          <w:w w:val="100"/>
          <w:sz w:val="30"/>
          <w:szCs w:val="30"/>
          <w:highlight w:val="none"/>
          <w:lang w:eastAsia="zh-CN"/>
        </w:rPr>
        <w:t>——新建PE配水干管——新建PE配水支管——给水栓——</w:t>
      </w:r>
      <w:r>
        <w:rPr>
          <w:rFonts w:hint="default" w:ascii="Times New Roman" w:hAnsi="Times New Roman" w:eastAsia="宋体" w:cs="Times New Roman"/>
          <w:smallCaps w:val="0"/>
          <w:color w:val="auto"/>
          <w:spacing w:val="0"/>
          <w:w w:val="100"/>
          <w:sz w:val="30"/>
          <w:szCs w:val="30"/>
          <w:highlight w:val="none"/>
          <w:lang w:val="en-US" w:eastAsia="zh-CN"/>
        </w:rPr>
        <w:t>青稞</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w:t>
      </w:r>
    </w:p>
    <w:p w14:paraId="3C85B742">
      <w:pPr>
        <w:keepNext w:val="0"/>
        <w:keepLines w:val="0"/>
        <w:pageBreakBefore w:val="0"/>
        <w:kinsoku/>
        <w:wordWrap/>
        <w:overflowPunct/>
        <w:topLinePunct w:val="0"/>
        <w:bidi w:val="0"/>
        <w:adjustRightInd w:val="0"/>
        <w:snapToGrid w:val="0"/>
        <w:spacing w:line="560" w:lineRule="exact"/>
        <w:ind w:left="0"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本次高效节水</w:t>
      </w:r>
      <w:r>
        <w:rPr>
          <w:rFonts w:hint="eastAsia" w:ascii="Times New Roman" w:hAnsi="Times New Roman" w:eastAsia="宋体" w:cs="Times New Roman"/>
          <w:smallCaps w:val="0"/>
          <w:color w:val="auto"/>
          <w:spacing w:val="0"/>
          <w:w w:val="100"/>
          <w:sz w:val="30"/>
          <w:szCs w:val="30"/>
          <w:highlight w:val="none"/>
          <w:lang w:val="en-US" w:eastAsia="zh-CN"/>
        </w:rPr>
        <w:t>根据《农田低压管道输水灌溉工程技术规范4.2.1》，本次</w:t>
      </w:r>
      <w:r>
        <w:rPr>
          <w:rFonts w:hint="eastAsia" w:ascii="Times New Roman" w:hAnsi="Times New Roman" w:eastAsia="宋体" w:cs="Times New Roman"/>
          <w:smallCaps w:val="0"/>
          <w:color w:val="auto"/>
          <w:spacing w:val="0"/>
          <w:w w:val="100"/>
          <w:sz w:val="30"/>
          <w:szCs w:val="30"/>
          <w:highlight w:val="none"/>
          <w:lang w:eastAsia="zh-CN"/>
        </w:rPr>
        <w:t>灌溉</w:t>
      </w:r>
      <w:r>
        <w:rPr>
          <w:rFonts w:hint="default" w:ascii="Times New Roman" w:hAnsi="Times New Roman" w:eastAsia="宋体" w:cs="Times New Roman"/>
          <w:smallCaps w:val="0"/>
          <w:color w:val="auto"/>
          <w:spacing w:val="0"/>
          <w:w w:val="100"/>
          <w:sz w:val="30"/>
          <w:szCs w:val="30"/>
          <w:highlight w:val="none"/>
          <w:lang w:eastAsia="zh-CN"/>
        </w:rPr>
        <w:t>设计保证率</w:t>
      </w:r>
      <w:r>
        <w:rPr>
          <w:rFonts w:hint="eastAsia" w:ascii="Times New Roman" w:hAnsi="Times New Roman" w:eastAsia="宋体" w:cs="Times New Roman"/>
          <w:smallCaps w:val="0"/>
          <w:color w:val="auto"/>
          <w:spacing w:val="0"/>
          <w:w w:val="100"/>
          <w:sz w:val="30"/>
          <w:szCs w:val="30"/>
          <w:highlight w:val="none"/>
          <w:lang w:val="en-US" w:eastAsia="zh-CN"/>
        </w:rPr>
        <w:t>75</w:t>
      </w:r>
      <w:r>
        <w:rPr>
          <w:rFonts w:hint="default" w:ascii="Times New Roman" w:hAnsi="Times New Roman" w:eastAsia="宋体" w:cs="Times New Roman"/>
          <w:smallCaps w:val="0"/>
          <w:color w:val="auto"/>
          <w:spacing w:val="0"/>
          <w:w w:val="100"/>
          <w:sz w:val="30"/>
          <w:szCs w:val="30"/>
          <w:highlight w:val="none"/>
          <w:lang w:eastAsia="zh-CN"/>
        </w:rPr>
        <w:t>%，管道系统水利用系数0.95，</w:t>
      </w:r>
      <w:r>
        <w:rPr>
          <w:rFonts w:hint="default" w:ascii="Times New Roman" w:hAnsi="Times New Roman" w:eastAsia="宋体" w:cs="Times New Roman"/>
          <w:smallCaps w:val="0"/>
          <w:color w:val="auto"/>
          <w:spacing w:val="0"/>
          <w:w w:val="100"/>
          <w:sz w:val="30"/>
          <w:szCs w:val="30"/>
          <w:highlight w:val="none"/>
          <w:lang w:val="en-US" w:eastAsia="zh-CN"/>
        </w:rPr>
        <w:t>田间水利用系数0.95，</w:t>
      </w:r>
      <w:r>
        <w:rPr>
          <w:rFonts w:hint="default" w:ascii="Times New Roman" w:hAnsi="Times New Roman" w:eastAsia="宋体" w:cs="Times New Roman"/>
          <w:smallCaps w:val="0"/>
          <w:color w:val="auto"/>
          <w:spacing w:val="0"/>
          <w:w w:val="100"/>
          <w:sz w:val="30"/>
          <w:szCs w:val="30"/>
          <w:highlight w:val="none"/>
          <w:lang w:eastAsia="zh-CN"/>
        </w:rPr>
        <w:t>适宜土壤含水量上、下限取田间持水量的85%和</w:t>
      </w:r>
      <w:r>
        <w:rPr>
          <w:rFonts w:hint="default" w:ascii="Times New Roman" w:hAnsi="Times New Roman" w:eastAsia="宋体" w:cs="Times New Roman"/>
          <w:smallCaps w:val="0"/>
          <w:color w:val="auto"/>
          <w:spacing w:val="0"/>
          <w:w w:val="100"/>
          <w:sz w:val="30"/>
          <w:szCs w:val="30"/>
          <w:highlight w:val="none"/>
          <w:lang w:val="en-US" w:eastAsia="zh-CN"/>
        </w:rPr>
        <w:t>65</w:t>
      </w:r>
      <w:r>
        <w:rPr>
          <w:rFonts w:hint="default" w:ascii="Times New Roman" w:hAnsi="Times New Roman" w:eastAsia="宋体" w:cs="Times New Roman"/>
          <w:smallCaps w:val="0"/>
          <w:color w:val="auto"/>
          <w:spacing w:val="0"/>
          <w:w w:val="100"/>
          <w:sz w:val="30"/>
          <w:szCs w:val="30"/>
          <w:highlight w:val="none"/>
          <w:lang w:eastAsia="zh-CN"/>
        </w:rPr>
        <w:t>%；田间持水量2</w:t>
      </w: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w:t>
      </w:r>
    </w:p>
    <w:p w14:paraId="35DA5659">
      <w:pPr>
        <w:keepNext w:val="0"/>
        <w:keepLines w:val="0"/>
        <w:pageBreakBefore w:val="0"/>
        <w:kinsoku/>
        <w:wordWrap/>
        <w:overflowPunct/>
        <w:topLinePunct w:val="0"/>
        <w:bidi w:val="0"/>
        <w:adjustRightInd w:val="0"/>
        <w:snapToGrid w:val="0"/>
        <w:spacing w:line="560" w:lineRule="exact"/>
        <w:ind w:left="0"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灌水器选择根据《管道输水灌溉工程技术规范》（GBT 20203-2017）要求。根据项目区现场实际情况，本工程的节水灌溉方式为管灌方式，根据现场栽培调查分析，每</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亩预留给水栓。根据土壤类型和种植作物种类，支管设计间距为</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0m，支管上各接口间距为</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0m。</w:t>
      </w:r>
    </w:p>
    <w:p w14:paraId="5820FFC5">
      <w:pPr>
        <w:keepNext w:val="0"/>
        <w:keepLines w:val="0"/>
        <w:pageBreakBefore w:val="0"/>
        <w:kinsoku/>
        <w:wordWrap/>
        <w:overflowPunct/>
        <w:topLinePunct w:val="0"/>
        <w:bidi w:val="0"/>
        <w:adjustRightInd w:val="0"/>
        <w:snapToGrid w:val="0"/>
        <w:spacing w:line="560" w:lineRule="exact"/>
        <w:ind w:left="0"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给水栓型号采用ZB-</w:t>
      </w:r>
      <w:r>
        <w:rPr>
          <w:rFonts w:hint="default" w:ascii="Times New Roman" w:hAnsi="Times New Roman" w:eastAsia="宋体" w:cs="Times New Roman"/>
          <w:smallCaps w:val="0"/>
          <w:color w:val="auto"/>
          <w:spacing w:val="0"/>
          <w:w w:val="100"/>
          <w:sz w:val="30"/>
          <w:szCs w:val="30"/>
          <w:highlight w:val="none"/>
          <w:lang w:val="en-US" w:eastAsia="zh-CN"/>
        </w:rPr>
        <w:t>63</w:t>
      </w:r>
      <w:r>
        <w:rPr>
          <w:rFonts w:hint="default" w:ascii="Times New Roman" w:hAnsi="Times New Roman" w:eastAsia="宋体" w:cs="Times New Roman"/>
          <w:smallCaps w:val="0"/>
          <w:color w:val="auto"/>
          <w:spacing w:val="0"/>
          <w:w w:val="100"/>
          <w:sz w:val="30"/>
          <w:szCs w:val="30"/>
          <w:highlight w:val="none"/>
          <w:lang w:eastAsia="zh-CN"/>
        </w:rPr>
        <w:t>，给水栓进出口管径均为</w:t>
      </w:r>
      <w:r>
        <w:rPr>
          <w:rFonts w:hint="default" w:ascii="Times New Roman" w:hAnsi="Times New Roman" w:eastAsia="宋体" w:cs="Times New Roman"/>
          <w:smallCaps w:val="0"/>
          <w:color w:val="auto"/>
          <w:spacing w:val="0"/>
          <w:w w:val="100"/>
          <w:sz w:val="30"/>
          <w:szCs w:val="30"/>
          <w:highlight w:val="none"/>
          <w:lang w:val="en-US" w:eastAsia="zh-CN"/>
        </w:rPr>
        <w:t>63</w:t>
      </w:r>
      <w:r>
        <w:rPr>
          <w:rFonts w:hint="default" w:ascii="Times New Roman" w:hAnsi="Times New Roman" w:eastAsia="宋体" w:cs="Times New Roman"/>
          <w:smallCaps w:val="0"/>
          <w:color w:val="auto"/>
          <w:spacing w:val="0"/>
          <w:w w:val="100"/>
          <w:sz w:val="30"/>
          <w:szCs w:val="30"/>
          <w:highlight w:val="none"/>
          <w:lang w:eastAsia="zh-CN"/>
        </w:rPr>
        <w:t>mm，适宜流量15~</w:t>
      </w:r>
      <w:r>
        <w:rPr>
          <w:rFonts w:hint="default" w:ascii="Times New Roman" w:hAnsi="Times New Roman" w:eastAsia="宋体" w:cs="Times New Roman"/>
          <w:smallCaps w:val="0"/>
          <w:color w:val="auto"/>
          <w:spacing w:val="0"/>
          <w:w w:val="100"/>
          <w:sz w:val="30"/>
          <w:szCs w:val="30"/>
          <w:highlight w:val="none"/>
          <w:lang w:val="en-US" w:eastAsia="zh-CN"/>
        </w:rPr>
        <w:t>3</w:t>
      </w:r>
      <w:r>
        <w:rPr>
          <w:rFonts w:hint="default" w:ascii="Times New Roman" w:hAnsi="Times New Roman" w:eastAsia="宋体" w:cs="Times New Roman"/>
          <w:smallCaps w:val="0"/>
          <w:color w:val="auto"/>
          <w:spacing w:val="0"/>
          <w:w w:val="100"/>
          <w:sz w:val="30"/>
          <w:szCs w:val="30"/>
          <w:highlight w:val="none"/>
          <w:lang w:eastAsia="zh-CN"/>
        </w:rPr>
        <w:t>0m</w:t>
      </w:r>
      <w:r>
        <w:rPr>
          <w:rFonts w:hint="default" w:ascii="Times New Roman" w:hAnsi="Times New Roman" w:eastAsia="宋体" w:cs="Times New Roman"/>
          <w:smallCaps w:val="0"/>
          <w:color w:val="auto"/>
          <w:spacing w:val="0"/>
          <w:w w:val="100"/>
          <w:sz w:val="30"/>
          <w:szCs w:val="30"/>
          <w:highlight w:val="none"/>
          <w:vertAlign w:val="superscript"/>
          <w:lang w:eastAsia="zh-CN"/>
        </w:rPr>
        <w:t>3</w:t>
      </w:r>
      <w:r>
        <w:rPr>
          <w:rFonts w:hint="default" w:ascii="Times New Roman" w:hAnsi="Times New Roman" w:eastAsia="宋体" w:cs="Times New Roman"/>
          <w:smallCaps w:val="0"/>
          <w:color w:val="auto"/>
          <w:spacing w:val="0"/>
          <w:w w:val="100"/>
          <w:sz w:val="30"/>
          <w:szCs w:val="30"/>
          <w:highlight w:val="none"/>
          <w:lang w:eastAsia="zh-CN"/>
        </w:rPr>
        <w:t>/h，给水栓材质采用PVC。</w:t>
      </w:r>
    </w:p>
    <w:p w14:paraId="166734E3">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b/>
          <w:bCs/>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b/>
          <w:bCs/>
          <w:smallCaps w:val="0"/>
          <w:snapToGrid w:val="0"/>
          <w:color w:val="auto"/>
          <w:spacing w:val="0"/>
          <w:w w:val="100"/>
          <w:kern w:val="0"/>
          <w:sz w:val="30"/>
          <w:szCs w:val="30"/>
          <w:highlight w:val="none"/>
          <w:lang w:val="en-US" w:eastAsia="zh-CN" w:bidi="ar-SA"/>
        </w:rPr>
        <w:t>（一）灌溉制度参数</w:t>
      </w:r>
    </w:p>
    <w:p w14:paraId="3413DBF7">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（1）灌溉定额分析计算</w:t>
      </w:r>
    </w:p>
    <w:p w14:paraId="32A67378">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最大净灌水定额，计算公式为：</w:t>
      </w:r>
    </w:p>
    <w:p w14:paraId="79B2DBCF">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object>
          <v:shape id="_x0000_i1035" o:spt="75" type="#_x0000_t75" style="height:18pt;width:113pt;" o:ole="t" filled="f" o:preferrelative="t" stroked="f" coordsize="21600,21600">
            <v:path/>
            <v:fill on="f" focussize="0,0"/>
            <v:stroke on="f"/>
            <v:imagedata r:id="rId65" o:title=""/>
            <o:lock v:ext="edit" aspectratio="t"/>
            <w10:wrap type="none"/>
            <w10:anchorlock/>
          </v:shape>
          <o:OLEObject Type="Embed" ProgID="Equation.3" ShapeID="_x0000_i1035" DrawAspect="Content" ObjectID="_1468075733" r:id="rId64">
            <o:LockedField>false</o:LockedField>
          </o:OLEObject>
        </w:object>
      </w:r>
    </w:p>
    <w:p w14:paraId="301667ED">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式中：</w:t>
      </w:r>
    </w:p>
    <w:p w14:paraId="7635A763">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object>
          <v:shape id="_x0000_i1036" o:spt="75" type="#_x0000_t75" style="height:18pt;width:16pt;" o:ole="t" filled="f" o:preferrelative="t" stroked="f" coordsize="21600,21600">
            <v:path/>
            <v:fill on="f" focussize="0,0"/>
            <v:stroke on="f"/>
            <v:imagedata r:id="rId67" o:title=""/>
            <o:lock v:ext="edit" grouping="f" rotation="f" text="f" aspectratio="t"/>
            <w10:wrap type="none"/>
            <w10:anchorlock/>
          </v:shape>
          <o:OLEObject Type="Embed" ProgID="Equation.3" ShapeID="_x0000_i1036" DrawAspect="Content" ObjectID="_1468075734" r:id="rId66">
            <o:LockedField>false</o:LockedField>
          </o:OLEObject>
        </w:objec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——最大灌水定额（mm，m</w:t>
      </w:r>
      <w:r>
        <w:rPr>
          <w:rFonts w:hint="default" w:ascii="Times New Roman" w:hAnsi="Times New Roman" w:eastAsia="宋体" w:cs="Times New Roman"/>
          <w:smallCaps w:val="0"/>
          <w:snapToGrid w:val="0"/>
          <w:color w:val="auto"/>
          <w:spacing w:val="0"/>
          <w:w w:val="100"/>
          <w:kern w:val="0"/>
          <w:sz w:val="30"/>
          <w:szCs w:val="30"/>
          <w:highlight w:val="none"/>
          <w:vertAlign w:val="superscript"/>
          <w:lang w:val="en-US" w:eastAsia="zh-CN" w:bidi="ar-SA"/>
        </w:rPr>
        <w:t>3</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/亩）；</w:t>
      </w:r>
    </w:p>
    <w:p w14:paraId="24DE8759">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object>
          <v:shape id="_x0000_i1037" o:spt="75" type="#_x0000_t75" style="height:13.95pt;width:10pt;" o:ole="t" filled="f" o:preferrelative="t" stroked="f" coordsize="21600,21600">
            <v:path/>
            <v:fill on="f" focussize="0,0"/>
            <v:stroke on="f"/>
            <v:imagedata r:id="rId69" o:title=""/>
            <o:lock v:ext="edit" grouping="f" rotation="f" text="f" aspectratio="t"/>
            <w10:wrap type="none"/>
            <w10:anchorlock/>
          </v:shape>
          <o:OLEObject Type="Embed" ProgID="Equation.3" ShapeID="_x0000_i1037" DrawAspect="Content" ObjectID="_1468075735" r:id="rId68">
            <o:LockedField>false</o:LockedField>
          </o:OLEObject>
        </w:objec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——计划湿润层深度（cm），根据调查以及作物特性，灌区设计计划土壤湿润层深度Z=</w:t>
      </w:r>
      <w:r>
        <w:rPr>
          <w:rFonts w:hint="default" w:ascii="Times New Roman" w:hAnsi="Times New Roman" w:cs="Times New Roman"/>
          <w:smallCaps w:val="0"/>
          <w:snapToGrid w:val="0"/>
          <w:color w:val="auto"/>
          <w:spacing w:val="0"/>
          <w:w w:val="100"/>
          <w:kern w:val="0"/>
          <w:sz w:val="30"/>
          <w:szCs w:val="30"/>
          <w:highlight w:val="none"/>
          <w:lang w:val="en-US" w:eastAsia="zh-CN" w:bidi="ar-SA"/>
        </w:rPr>
        <w:t>3</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0cm；</w:t>
      </w:r>
    </w:p>
    <w:p w14:paraId="1EDC3D79">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object>
          <v:shape id="_x0000_i1038" o:spt="75" type="#_x0000_t75" style="height:17pt;width:13pt;" o:ole="t" filled="f" o:preferrelative="t" stroked="f" coordsize="21600,21600">
            <v:path/>
            <v:fill on="f" focussize="0,0"/>
            <v:stroke on="f"/>
            <v:imagedata r:id="rId71" o:title=""/>
            <o:lock v:ext="edit" grouping="f" rotation="f" text="f" aspectratio="t"/>
            <w10:wrap type="none"/>
            <w10:anchorlock/>
          </v:shape>
          <o:OLEObject Type="Embed" ProgID="Equation.3" ShapeID="_x0000_i1038" DrawAspect="Content" ObjectID="_1468075736" r:id="rId70">
            <o:LockedField>false</o:LockedField>
          </o:OLEObject>
        </w:objec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——适宜土壤含水量上限（重量百分比），85；</w:t>
      </w:r>
    </w:p>
    <w:p w14:paraId="570B80C3">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object>
          <v:shape id="_x0000_i1039" o:spt="75" type="#_x0000_t75" style="height:17pt;width:15pt;" o:ole="t" filled="f" o:preferrelative="t" stroked="f" coordsize="21600,21600">
            <v:path/>
            <v:fill on="f" focussize="0,0"/>
            <v:stroke on="f"/>
            <v:imagedata r:id="rId73" o:title=""/>
            <o:lock v:ext="edit" grouping="f" rotation="f" text="f" aspectratio="t"/>
            <w10:wrap type="none"/>
            <w10:anchorlock/>
          </v:shape>
          <o:OLEObject Type="Embed" ProgID="Equation.3" ShapeID="_x0000_i1039" DrawAspect="Content" ObjectID="_1468075737" r:id="rId72">
            <o:LockedField>false</o:LockedField>
          </o:OLEObject>
        </w:objec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——适宜土壤含水量下限（重量百分比），</w:t>
      </w:r>
      <w:r>
        <w:rPr>
          <w:rFonts w:hint="default" w:ascii="Times New Roman" w:hAnsi="Times New Roman" w:cs="Times New Roman"/>
          <w:smallCaps w:val="0"/>
          <w:snapToGrid w:val="0"/>
          <w:color w:val="auto"/>
          <w:spacing w:val="0"/>
          <w:w w:val="100"/>
          <w:kern w:val="0"/>
          <w:sz w:val="30"/>
          <w:szCs w:val="30"/>
          <w:highlight w:val="none"/>
          <w:lang w:val="en-US" w:eastAsia="zh-CN" w:bidi="ar-SA"/>
        </w:rPr>
        <w:t>65</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w:t>
      </w:r>
    </w:p>
    <w:p w14:paraId="2562CB57">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object>
          <v:shape id="_x0000_i1040" o:spt="75" type="#_x0000_t75" style="height:13pt;width:10pt;" o:ole="t" filled="f" o:preferrelative="t" stroked="f" coordsize="21600,21600">
            <v:path/>
            <v:fill on="f" focussize="0,0"/>
            <v:stroke on="f"/>
            <v:imagedata r:id="rId75" o:title=""/>
            <o:lock v:ext="edit" grouping="f" rotation="f" text="f" aspectratio="t"/>
            <w10:wrap type="none"/>
            <w10:anchorlock/>
          </v:shape>
          <o:OLEObject Type="Embed" ProgID="Equation.3" ShapeID="_x0000_i1040" DrawAspect="Content" ObjectID="_1468075738" r:id="rId74">
            <o:LockedField>false</o:LockedField>
          </o:OLEObject>
        </w:objec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——土壤容重（g/cm</w:t>
      </w:r>
      <w:r>
        <w:rPr>
          <w:rFonts w:hint="default" w:ascii="Times New Roman" w:hAnsi="Times New Roman" w:eastAsia="宋体" w:cs="Times New Roman"/>
          <w:smallCaps w:val="0"/>
          <w:snapToGrid w:val="0"/>
          <w:color w:val="auto"/>
          <w:spacing w:val="0"/>
          <w:w w:val="100"/>
          <w:kern w:val="0"/>
          <w:sz w:val="30"/>
          <w:szCs w:val="30"/>
          <w:highlight w:val="none"/>
          <w:vertAlign w:val="superscript"/>
          <w:lang w:val="en-US" w:eastAsia="zh-CN" w:bidi="ar-SA"/>
        </w:rPr>
        <w:t>3</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），1.</w:t>
      </w:r>
      <w:r>
        <w:rPr>
          <w:rFonts w:hint="default" w:ascii="Times New Roman" w:hAnsi="Times New Roman" w:cs="Times New Roman"/>
          <w:smallCaps w:val="0"/>
          <w:snapToGrid w:val="0"/>
          <w:color w:val="auto"/>
          <w:spacing w:val="0"/>
          <w:w w:val="100"/>
          <w:kern w:val="0"/>
          <w:sz w:val="30"/>
          <w:szCs w:val="30"/>
          <w:highlight w:val="none"/>
          <w:lang w:val="en-US" w:eastAsia="zh-CN" w:bidi="ar-SA"/>
        </w:rPr>
        <w:t>3</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w:t>
      </w:r>
    </w:p>
    <w:p w14:paraId="23C646D1">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计算可知：17.</w:t>
      </w:r>
      <w:r>
        <w:rPr>
          <w:rFonts w:hint="default" w:ascii="Times New Roman" w:hAnsi="Times New Roman" w:cs="Times New Roman"/>
          <w:smallCaps w:val="0"/>
          <w:snapToGrid w:val="0"/>
          <w:color w:val="auto"/>
          <w:spacing w:val="0"/>
          <w:w w:val="100"/>
          <w:kern w:val="0"/>
          <w:sz w:val="30"/>
          <w:szCs w:val="30"/>
          <w:highlight w:val="none"/>
          <w:lang w:val="en-US" w:eastAsia="zh-CN" w:bidi="ar-SA"/>
        </w:rPr>
        <w:t>16</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mm（11.</w:t>
      </w:r>
      <w:r>
        <w:rPr>
          <w:rFonts w:hint="default" w:ascii="Times New Roman" w:hAnsi="Times New Roman" w:cs="Times New Roman"/>
          <w:smallCaps w:val="0"/>
          <w:snapToGrid w:val="0"/>
          <w:color w:val="auto"/>
          <w:spacing w:val="0"/>
          <w:w w:val="100"/>
          <w:kern w:val="0"/>
          <w:sz w:val="30"/>
          <w:szCs w:val="30"/>
          <w:highlight w:val="none"/>
          <w:lang w:val="en-US" w:eastAsia="zh-CN" w:bidi="ar-SA"/>
        </w:rPr>
        <w:t>45</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m</w:t>
      </w:r>
      <w:r>
        <w:rPr>
          <w:rFonts w:hint="default" w:ascii="Times New Roman" w:hAnsi="Times New Roman" w:eastAsia="宋体" w:cs="Times New Roman"/>
          <w:smallCaps w:val="0"/>
          <w:snapToGrid w:val="0"/>
          <w:color w:val="auto"/>
          <w:spacing w:val="0"/>
          <w:w w:val="100"/>
          <w:kern w:val="0"/>
          <w:sz w:val="30"/>
          <w:szCs w:val="30"/>
          <w:highlight w:val="none"/>
          <w:vertAlign w:val="superscript"/>
          <w:lang w:val="en-US" w:eastAsia="zh-CN" w:bidi="ar-SA"/>
        </w:rPr>
        <w:t>3</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 xml:space="preserve">/亩） </w:t>
      </w:r>
    </w:p>
    <w:p w14:paraId="2CF2F82B">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（2）灌水周期分析计算</w:t>
      </w:r>
    </w:p>
    <w:p w14:paraId="08388C1F">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 xml:space="preserve">灌水周期也称轮灌期，是指两次灌水之间的间隔时间。灌水周期采用下式计算： </w:t>
      </w:r>
    </w:p>
    <w:p w14:paraId="6F38B0B6">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T 设≤T 算=mmax/Ea</w:t>
      </w:r>
    </w:p>
    <w:p w14:paraId="4A8175B6">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T≤Tmax</w:t>
      </w:r>
    </w:p>
    <w:p w14:paraId="0C3905E7">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 xml:space="preserve">式中： </w:t>
      </w:r>
    </w:p>
    <w:p w14:paraId="4FDE17ED">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T 设—设计灌水周期（d）；</w:t>
      </w:r>
    </w:p>
    <w:p w14:paraId="05DA79F8">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T 算—计算灌水周期（d）；</w:t>
      </w:r>
    </w:p>
    <w:p w14:paraId="7E5CC394">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T—设计灌水周期（d）；</w:t>
      </w:r>
    </w:p>
    <w:p w14:paraId="19949098">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Ea—作物耗水强度，作物需水高峰期日平均需水量（mm/d），</w:t>
      </w:r>
    </w:p>
    <w:p w14:paraId="59F4316B">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由于本区内无实测资料，根据当地气象条件、作物类型，作物耗水高峰期日耗水强度，查取作物管灌耗水强度为4mm/d~7mm/d，本工程设计补充灌溉强度Ic =Ia=4mm/d；</w:t>
      </w:r>
    </w:p>
    <w:p w14:paraId="72B471E4">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 xml:space="preserve">因此灌水周期为： </w:t>
      </w:r>
    </w:p>
    <w:p w14:paraId="12684D52">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T 算=17.</w:t>
      </w:r>
      <w:r>
        <w:rPr>
          <w:rFonts w:hint="default" w:ascii="Times New Roman" w:hAnsi="Times New Roman" w:cs="Times New Roman"/>
          <w:smallCaps w:val="0"/>
          <w:snapToGrid w:val="0"/>
          <w:color w:val="auto"/>
          <w:spacing w:val="0"/>
          <w:w w:val="100"/>
          <w:kern w:val="0"/>
          <w:sz w:val="30"/>
          <w:szCs w:val="30"/>
          <w:highlight w:val="none"/>
          <w:lang w:val="en-US" w:eastAsia="zh-CN" w:bidi="ar-SA"/>
        </w:rPr>
        <w:t>16</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/4=4.</w:t>
      </w:r>
      <w:r>
        <w:rPr>
          <w:rFonts w:hint="default" w:ascii="Times New Roman" w:hAnsi="Times New Roman" w:cs="Times New Roman"/>
          <w:smallCaps w:val="0"/>
          <w:snapToGrid w:val="0"/>
          <w:color w:val="auto"/>
          <w:spacing w:val="0"/>
          <w:w w:val="100"/>
          <w:kern w:val="0"/>
          <w:sz w:val="30"/>
          <w:szCs w:val="30"/>
          <w:highlight w:val="none"/>
          <w:lang w:val="en-US" w:eastAsia="zh-CN" w:bidi="ar-SA"/>
        </w:rPr>
        <w:t>29</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d，</w:t>
      </w:r>
    </w:p>
    <w:p w14:paraId="23E13160">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 xml:space="preserve">取设计灌水周期为 4d。 </w:t>
      </w:r>
    </w:p>
    <w:p w14:paraId="71CB2246">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（三）工作参数</w:t>
      </w:r>
    </w:p>
    <w:p w14:paraId="4E7875CF">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固定管道式农作物设计日灌水时间取值12</w:t>
      </w:r>
      <w:r>
        <w:rPr>
          <w:rFonts w:hint="eastAsia" w:cs="Times New Roman"/>
          <w:smallCaps w:val="0"/>
          <w:snapToGrid w:val="0"/>
          <w:color w:val="auto"/>
          <w:spacing w:val="0"/>
          <w:w w:val="100"/>
          <w:kern w:val="0"/>
          <w:sz w:val="30"/>
          <w:szCs w:val="30"/>
          <w:highlight w:val="none"/>
          <w:lang w:val="en-US" w:eastAsia="zh-CN" w:bidi="ar-SA"/>
        </w:rPr>
        <w:t>～</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20h，本项目取值16.5h，</w:t>
      </w:r>
    </w:p>
    <w:p w14:paraId="1D74A748">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w:t>
      </w:r>
      <w:r>
        <w:rPr>
          <w:rFonts w:hint="default" w:ascii="Times New Roman" w:hAnsi="Times New Roman" w:cs="Times New Roman"/>
          <w:smallCaps w:val="0"/>
          <w:snapToGrid w:val="0"/>
          <w:color w:val="auto"/>
          <w:spacing w:val="0"/>
          <w:w w:val="100"/>
          <w:kern w:val="0"/>
          <w:sz w:val="30"/>
          <w:szCs w:val="30"/>
          <w:highlight w:val="none"/>
          <w:lang w:val="en-US" w:eastAsia="zh-CN" w:bidi="ar-SA"/>
        </w:rPr>
        <w:t>四</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）管道设计流量</w:t>
      </w:r>
    </w:p>
    <w:p w14:paraId="0978AEA5">
      <w:pPr>
        <w:kinsoku/>
        <w:jc w:val="center"/>
        <w:rPr>
          <w:rFonts w:hint="default" w:ascii="Times New Roman" w:hAnsi="Times New Roman" w:eastAsia="宋体" w:cs="Times New Roman"/>
          <w:b/>
          <w:bCs/>
          <w:smallCaps w:val="0"/>
          <w:color w:val="auto"/>
          <w:spacing w:val="0"/>
          <w:w w:val="100"/>
          <w:sz w:val="28"/>
          <w:szCs w:val="28"/>
          <w:highlight w:val="none"/>
          <w:lang w:eastAsia="zh-CN"/>
        </w:rPr>
      </w:pPr>
      <w:r>
        <w:rPr>
          <w:rFonts w:hint="default" w:ascii="Times New Roman" w:hAnsi="Times New Roman" w:eastAsia="宋体" w:cs="Times New Roman"/>
          <w:b/>
          <w:bCs/>
          <w:smallCaps w:val="0"/>
          <w:color w:val="auto"/>
          <w:spacing w:val="0"/>
          <w:w w:val="100"/>
          <w:sz w:val="28"/>
          <w:szCs w:val="28"/>
          <w:highlight w:val="none"/>
          <w:lang w:eastAsia="zh-CN"/>
        </w:rPr>
        <w:t>表5.4.3-</w:t>
      </w:r>
      <w:r>
        <w:rPr>
          <w:rFonts w:hint="default" w:ascii="Times New Roman" w:hAnsi="Times New Roman" w:eastAsia="宋体" w:cs="Times New Roman"/>
          <w:b/>
          <w:bCs/>
          <w:smallCaps w:val="0"/>
          <w:color w:val="auto"/>
          <w:spacing w:val="0"/>
          <w:w w:val="100"/>
          <w:sz w:val="28"/>
          <w:szCs w:val="28"/>
          <w:highlight w:val="none"/>
          <w:lang w:val="en-US" w:eastAsia="zh-CN"/>
        </w:rPr>
        <w:t>4</w:t>
      </w:r>
      <w:r>
        <w:rPr>
          <w:rFonts w:hint="default" w:ascii="Times New Roman" w:hAnsi="Times New Roman" w:eastAsia="宋体" w:cs="Times New Roman"/>
          <w:b/>
          <w:bCs/>
          <w:smallCaps w:val="0"/>
          <w:color w:val="auto"/>
          <w:spacing w:val="0"/>
          <w:w w:val="100"/>
          <w:sz w:val="28"/>
          <w:szCs w:val="28"/>
          <w:highlight w:val="none"/>
        </w:rPr>
        <w:t xml:space="preserve">   地块灌溉运行方案表</w:t>
      </w:r>
    </w:p>
    <w:tbl>
      <w:tblPr>
        <w:tblStyle w:val="18"/>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233"/>
        <w:gridCol w:w="1234"/>
        <w:gridCol w:w="2729"/>
        <w:gridCol w:w="1184"/>
        <w:gridCol w:w="1518"/>
        <w:gridCol w:w="1377"/>
      </w:tblGrid>
      <w:tr w14:paraId="0D6FF7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10" w:hRule="atLeast"/>
          <w:tblHeader/>
        </w:trPr>
        <w:tc>
          <w:tcPr>
            <w:tcW w:w="665" w:type="pct"/>
            <w:tcBorders>
              <w:tl2br w:val="nil"/>
              <w:tr2bl w:val="nil"/>
            </w:tcBorders>
            <w:shd w:val="clear" w:color="auto" w:fill="auto"/>
            <w:vAlign w:val="center"/>
          </w:tcPr>
          <w:p w14:paraId="18717466">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轮灌顺序</w:t>
            </w:r>
          </w:p>
        </w:tc>
        <w:tc>
          <w:tcPr>
            <w:tcW w:w="665" w:type="pct"/>
            <w:tcBorders>
              <w:tl2br w:val="nil"/>
              <w:tr2bl w:val="nil"/>
            </w:tcBorders>
            <w:shd w:val="clear" w:color="auto" w:fill="auto"/>
            <w:noWrap/>
            <w:vAlign w:val="center"/>
          </w:tcPr>
          <w:p w14:paraId="7D30C996">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轮灌组</w:t>
            </w:r>
          </w:p>
        </w:tc>
        <w:tc>
          <w:tcPr>
            <w:tcW w:w="1471" w:type="pct"/>
            <w:tcBorders>
              <w:tl2br w:val="nil"/>
              <w:tr2bl w:val="nil"/>
            </w:tcBorders>
            <w:shd w:val="clear" w:color="auto" w:fill="auto"/>
            <w:noWrap/>
            <w:vAlign w:val="center"/>
          </w:tcPr>
          <w:p w14:paraId="1679394B">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支管名称</w:t>
            </w:r>
          </w:p>
        </w:tc>
        <w:tc>
          <w:tcPr>
            <w:tcW w:w="638" w:type="pct"/>
            <w:tcBorders>
              <w:tl2br w:val="nil"/>
              <w:tr2bl w:val="nil"/>
            </w:tcBorders>
            <w:shd w:val="clear" w:color="auto" w:fill="auto"/>
            <w:vAlign w:val="center"/>
          </w:tcPr>
          <w:p w14:paraId="02B9EF45">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快速取水阀个数</w:t>
            </w:r>
          </w:p>
        </w:tc>
        <w:tc>
          <w:tcPr>
            <w:tcW w:w="818" w:type="pct"/>
            <w:tcBorders>
              <w:tl2br w:val="nil"/>
              <w:tr2bl w:val="nil"/>
            </w:tcBorders>
            <w:shd w:val="clear" w:color="auto" w:fill="auto"/>
            <w:vAlign w:val="center"/>
          </w:tcPr>
          <w:p w14:paraId="059B06C6">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灌溉面积（亩）</w:t>
            </w:r>
          </w:p>
        </w:tc>
        <w:tc>
          <w:tcPr>
            <w:tcW w:w="742" w:type="pct"/>
            <w:tcBorders>
              <w:tl2br w:val="nil"/>
              <w:tr2bl w:val="nil"/>
            </w:tcBorders>
            <w:shd w:val="clear" w:color="auto" w:fill="auto"/>
            <w:vAlign w:val="center"/>
          </w:tcPr>
          <w:p w14:paraId="20ED4757">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设计流量（m</w:t>
            </w:r>
            <w:r>
              <w:rPr>
                <w:rFonts w:hint="default" w:ascii="Times New Roman" w:hAnsi="Times New Roman" w:eastAsia="宋体" w:cs="Times New Roman"/>
                <w:b w:val="0"/>
                <w:bCs w:val="0"/>
                <w:i w:val="0"/>
                <w:iCs w:val="0"/>
                <w:snapToGrid w:val="0"/>
                <w:color w:val="auto"/>
                <w:kern w:val="0"/>
                <w:sz w:val="24"/>
                <w:szCs w:val="24"/>
                <w:highlight w:val="none"/>
                <w:u w:val="none"/>
                <w:vertAlign w:val="superscript"/>
                <w:lang w:val="en-US" w:eastAsia="zh-CN" w:bidi="ar"/>
              </w:rPr>
              <w:t>3</w:t>
            </w: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/s）</w:t>
            </w:r>
          </w:p>
        </w:tc>
      </w:tr>
      <w:tr w14:paraId="27ED33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90" w:hRule="atLeast"/>
        </w:trPr>
        <w:tc>
          <w:tcPr>
            <w:tcW w:w="665" w:type="pct"/>
            <w:vMerge w:val="restart"/>
            <w:tcBorders>
              <w:tl2br w:val="nil"/>
              <w:tr2bl w:val="nil"/>
            </w:tcBorders>
            <w:shd w:val="clear" w:color="auto" w:fill="auto"/>
            <w:noWrap/>
            <w:vAlign w:val="center"/>
          </w:tcPr>
          <w:p w14:paraId="1E48A30F">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第一天</w:t>
            </w:r>
          </w:p>
        </w:tc>
        <w:tc>
          <w:tcPr>
            <w:tcW w:w="665" w:type="pct"/>
            <w:tcBorders>
              <w:tl2br w:val="nil"/>
              <w:tr2bl w:val="nil"/>
            </w:tcBorders>
            <w:shd w:val="clear" w:color="auto" w:fill="auto"/>
            <w:noWrap/>
            <w:vAlign w:val="center"/>
          </w:tcPr>
          <w:p w14:paraId="03D82F1B">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第1组</w:t>
            </w:r>
          </w:p>
        </w:tc>
        <w:tc>
          <w:tcPr>
            <w:tcW w:w="1471" w:type="pct"/>
            <w:tcBorders>
              <w:tl2br w:val="nil"/>
              <w:tr2bl w:val="nil"/>
            </w:tcBorders>
            <w:shd w:val="clear" w:color="auto" w:fill="auto"/>
            <w:vAlign w:val="center"/>
          </w:tcPr>
          <w:p w14:paraId="0301BB1B">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ZG001、ZG002、ZG003、ZG005、ZG006、ZG007、ZG019、ZG020、ZG021</w:t>
            </w:r>
          </w:p>
        </w:tc>
        <w:tc>
          <w:tcPr>
            <w:tcW w:w="638" w:type="pct"/>
            <w:tcBorders>
              <w:tl2br w:val="nil"/>
              <w:tr2bl w:val="nil"/>
            </w:tcBorders>
            <w:shd w:val="clear" w:color="auto" w:fill="auto"/>
            <w:vAlign w:val="center"/>
          </w:tcPr>
          <w:p w14:paraId="0C133122">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33</w:t>
            </w:r>
          </w:p>
        </w:tc>
        <w:tc>
          <w:tcPr>
            <w:tcW w:w="818" w:type="pct"/>
            <w:tcBorders>
              <w:tl2br w:val="nil"/>
              <w:tr2bl w:val="nil"/>
            </w:tcBorders>
            <w:shd w:val="clear" w:color="auto" w:fill="auto"/>
            <w:noWrap/>
            <w:vAlign w:val="center"/>
          </w:tcPr>
          <w:p w14:paraId="1A8C46D2">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167.09 </w:t>
            </w:r>
          </w:p>
        </w:tc>
        <w:tc>
          <w:tcPr>
            <w:tcW w:w="742" w:type="pct"/>
            <w:tcBorders>
              <w:tl2br w:val="nil"/>
              <w:tr2bl w:val="nil"/>
            </w:tcBorders>
            <w:shd w:val="clear" w:color="auto" w:fill="auto"/>
            <w:vAlign w:val="center"/>
          </w:tcPr>
          <w:p w14:paraId="3C369A59">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0.00895 </w:t>
            </w:r>
          </w:p>
        </w:tc>
      </w:tr>
      <w:tr w14:paraId="6C9B96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80" w:hRule="atLeast"/>
        </w:trPr>
        <w:tc>
          <w:tcPr>
            <w:tcW w:w="665" w:type="pct"/>
            <w:vMerge w:val="continue"/>
            <w:tcBorders>
              <w:tl2br w:val="nil"/>
              <w:tr2bl w:val="nil"/>
            </w:tcBorders>
            <w:shd w:val="clear" w:color="auto" w:fill="auto"/>
            <w:noWrap/>
            <w:vAlign w:val="center"/>
          </w:tcPr>
          <w:p w14:paraId="3C8BF4A6">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p>
        </w:tc>
        <w:tc>
          <w:tcPr>
            <w:tcW w:w="665" w:type="pct"/>
            <w:tcBorders>
              <w:tl2br w:val="nil"/>
              <w:tr2bl w:val="nil"/>
            </w:tcBorders>
            <w:shd w:val="clear" w:color="auto" w:fill="auto"/>
            <w:noWrap/>
            <w:vAlign w:val="center"/>
          </w:tcPr>
          <w:p w14:paraId="0F7AEA7C">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第2组</w:t>
            </w:r>
          </w:p>
        </w:tc>
        <w:tc>
          <w:tcPr>
            <w:tcW w:w="1471" w:type="pct"/>
            <w:tcBorders>
              <w:tl2br w:val="nil"/>
              <w:tr2bl w:val="nil"/>
            </w:tcBorders>
            <w:shd w:val="clear" w:color="auto" w:fill="auto"/>
            <w:vAlign w:val="center"/>
          </w:tcPr>
          <w:p w14:paraId="1662CA7B">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ZG011、ZG012、ZG015、ZG016、ZG017、ZG018</w:t>
            </w:r>
          </w:p>
        </w:tc>
        <w:tc>
          <w:tcPr>
            <w:tcW w:w="638" w:type="pct"/>
            <w:tcBorders>
              <w:tl2br w:val="nil"/>
              <w:tr2bl w:val="nil"/>
            </w:tcBorders>
            <w:shd w:val="clear" w:color="auto" w:fill="auto"/>
            <w:vAlign w:val="center"/>
          </w:tcPr>
          <w:p w14:paraId="59F3F3B4">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30</w:t>
            </w:r>
          </w:p>
        </w:tc>
        <w:tc>
          <w:tcPr>
            <w:tcW w:w="818" w:type="pct"/>
            <w:tcBorders>
              <w:tl2br w:val="nil"/>
              <w:tr2bl w:val="nil"/>
            </w:tcBorders>
            <w:shd w:val="clear" w:color="auto" w:fill="auto"/>
            <w:noWrap/>
            <w:vAlign w:val="center"/>
          </w:tcPr>
          <w:p w14:paraId="5FBD73F6">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151.90 </w:t>
            </w:r>
          </w:p>
        </w:tc>
        <w:tc>
          <w:tcPr>
            <w:tcW w:w="742" w:type="pct"/>
            <w:tcBorders>
              <w:tl2br w:val="nil"/>
              <w:tr2bl w:val="nil"/>
            </w:tcBorders>
            <w:shd w:val="clear" w:color="auto" w:fill="auto"/>
            <w:vAlign w:val="center"/>
          </w:tcPr>
          <w:p w14:paraId="661EE27A">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0.00813 </w:t>
            </w:r>
          </w:p>
        </w:tc>
      </w:tr>
      <w:tr w14:paraId="0018F9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5" w:hRule="atLeast"/>
        </w:trPr>
        <w:tc>
          <w:tcPr>
            <w:tcW w:w="665" w:type="pct"/>
            <w:vMerge w:val="continue"/>
            <w:tcBorders>
              <w:tl2br w:val="nil"/>
              <w:tr2bl w:val="nil"/>
            </w:tcBorders>
            <w:shd w:val="clear" w:color="auto" w:fill="auto"/>
            <w:noWrap/>
            <w:vAlign w:val="center"/>
          </w:tcPr>
          <w:p w14:paraId="5A234A44">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p>
        </w:tc>
        <w:tc>
          <w:tcPr>
            <w:tcW w:w="665" w:type="pct"/>
            <w:tcBorders>
              <w:tl2br w:val="nil"/>
              <w:tr2bl w:val="nil"/>
            </w:tcBorders>
            <w:shd w:val="clear" w:color="auto" w:fill="auto"/>
            <w:noWrap/>
            <w:vAlign w:val="center"/>
          </w:tcPr>
          <w:p w14:paraId="5A873E73">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第3组</w:t>
            </w:r>
          </w:p>
        </w:tc>
        <w:tc>
          <w:tcPr>
            <w:tcW w:w="1471" w:type="pct"/>
            <w:tcBorders>
              <w:tl2br w:val="nil"/>
              <w:tr2bl w:val="nil"/>
            </w:tcBorders>
            <w:shd w:val="clear" w:color="auto" w:fill="auto"/>
            <w:vAlign w:val="center"/>
          </w:tcPr>
          <w:p w14:paraId="0365B068">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ZG004、ZG008、ZG009、ZG010</w:t>
            </w:r>
          </w:p>
        </w:tc>
        <w:tc>
          <w:tcPr>
            <w:tcW w:w="638" w:type="pct"/>
            <w:tcBorders>
              <w:tl2br w:val="nil"/>
              <w:tr2bl w:val="nil"/>
            </w:tcBorders>
            <w:shd w:val="clear" w:color="auto" w:fill="auto"/>
            <w:vAlign w:val="center"/>
          </w:tcPr>
          <w:p w14:paraId="355DD1D3">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28</w:t>
            </w:r>
          </w:p>
        </w:tc>
        <w:tc>
          <w:tcPr>
            <w:tcW w:w="818" w:type="pct"/>
            <w:tcBorders>
              <w:tl2br w:val="nil"/>
              <w:tr2bl w:val="nil"/>
            </w:tcBorders>
            <w:shd w:val="clear" w:color="auto" w:fill="auto"/>
            <w:noWrap/>
            <w:vAlign w:val="center"/>
          </w:tcPr>
          <w:p w14:paraId="5E283F55">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141.77 </w:t>
            </w:r>
          </w:p>
        </w:tc>
        <w:tc>
          <w:tcPr>
            <w:tcW w:w="742" w:type="pct"/>
            <w:tcBorders>
              <w:tl2br w:val="nil"/>
              <w:tr2bl w:val="nil"/>
            </w:tcBorders>
            <w:shd w:val="clear" w:color="auto" w:fill="auto"/>
            <w:vAlign w:val="center"/>
          </w:tcPr>
          <w:p w14:paraId="067C3382">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0.00759 </w:t>
            </w:r>
          </w:p>
        </w:tc>
      </w:tr>
      <w:tr w14:paraId="4FA553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90" w:hRule="atLeast"/>
        </w:trPr>
        <w:tc>
          <w:tcPr>
            <w:tcW w:w="665" w:type="pct"/>
            <w:vMerge w:val="restart"/>
            <w:tcBorders>
              <w:tl2br w:val="nil"/>
              <w:tr2bl w:val="nil"/>
            </w:tcBorders>
            <w:shd w:val="clear" w:color="auto" w:fill="auto"/>
            <w:noWrap/>
            <w:vAlign w:val="center"/>
          </w:tcPr>
          <w:p w14:paraId="2949862C">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第二天</w:t>
            </w:r>
          </w:p>
        </w:tc>
        <w:tc>
          <w:tcPr>
            <w:tcW w:w="665" w:type="pct"/>
            <w:tcBorders>
              <w:tl2br w:val="nil"/>
              <w:tr2bl w:val="nil"/>
            </w:tcBorders>
            <w:shd w:val="clear" w:color="auto" w:fill="auto"/>
            <w:noWrap/>
            <w:vAlign w:val="center"/>
          </w:tcPr>
          <w:p w14:paraId="12F9CF9C">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第4组</w:t>
            </w:r>
          </w:p>
        </w:tc>
        <w:tc>
          <w:tcPr>
            <w:tcW w:w="1471" w:type="pct"/>
            <w:tcBorders>
              <w:tl2br w:val="nil"/>
              <w:tr2bl w:val="nil"/>
            </w:tcBorders>
            <w:shd w:val="clear" w:color="auto" w:fill="auto"/>
            <w:vAlign w:val="center"/>
          </w:tcPr>
          <w:p w14:paraId="1F4FBE3F">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ZG025、ZG013、ZG026、ZG014、ZG027</w:t>
            </w:r>
          </w:p>
        </w:tc>
        <w:tc>
          <w:tcPr>
            <w:tcW w:w="638" w:type="pct"/>
            <w:tcBorders>
              <w:tl2br w:val="nil"/>
              <w:tr2bl w:val="nil"/>
            </w:tcBorders>
            <w:shd w:val="clear" w:color="auto" w:fill="auto"/>
            <w:vAlign w:val="center"/>
          </w:tcPr>
          <w:p w14:paraId="2A54F5C6">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26</w:t>
            </w:r>
          </w:p>
        </w:tc>
        <w:tc>
          <w:tcPr>
            <w:tcW w:w="818" w:type="pct"/>
            <w:tcBorders>
              <w:tl2br w:val="nil"/>
              <w:tr2bl w:val="nil"/>
            </w:tcBorders>
            <w:shd w:val="clear" w:color="auto" w:fill="auto"/>
            <w:noWrap/>
            <w:vAlign w:val="center"/>
          </w:tcPr>
          <w:p w14:paraId="57BE02C3">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131.65 </w:t>
            </w:r>
          </w:p>
        </w:tc>
        <w:tc>
          <w:tcPr>
            <w:tcW w:w="742" w:type="pct"/>
            <w:tcBorders>
              <w:tl2br w:val="nil"/>
              <w:tr2bl w:val="nil"/>
            </w:tcBorders>
            <w:shd w:val="clear" w:color="auto" w:fill="auto"/>
            <w:vAlign w:val="center"/>
          </w:tcPr>
          <w:p w14:paraId="223C6565">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0.00705 </w:t>
            </w:r>
          </w:p>
        </w:tc>
      </w:tr>
      <w:tr w14:paraId="6C35D4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5" w:hRule="atLeast"/>
        </w:trPr>
        <w:tc>
          <w:tcPr>
            <w:tcW w:w="665" w:type="pct"/>
            <w:vMerge w:val="continue"/>
            <w:tcBorders>
              <w:tl2br w:val="nil"/>
              <w:tr2bl w:val="nil"/>
            </w:tcBorders>
            <w:shd w:val="clear" w:color="auto" w:fill="auto"/>
            <w:noWrap/>
            <w:vAlign w:val="center"/>
          </w:tcPr>
          <w:p w14:paraId="5CABDF35">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p>
        </w:tc>
        <w:tc>
          <w:tcPr>
            <w:tcW w:w="665" w:type="pct"/>
            <w:tcBorders>
              <w:tl2br w:val="nil"/>
              <w:tr2bl w:val="nil"/>
            </w:tcBorders>
            <w:shd w:val="clear" w:color="auto" w:fill="auto"/>
            <w:noWrap/>
            <w:vAlign w:val="center"/>
          </w:tcPr>
          <w:p w14:paraId="0ED14D60">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第5组</w:t>
            </w:r>
          </w:p>
        </w:tc>
        <w:tc>
          <w:tcPr>
            <w:tcW w:w="1471" w:type="pct"/>
            <w:tcBorders>
              <w:tl2br w:val="nil"/>
              <w:tr2bl w:val="nil"/>
            </w:tcBorders>
            <w:shd w:val="clear" w:color="auto" w:fill="auto"/>
            <w:vAlign w:val="center"/>
          </w:tcPr>
          <w:p w14:paraId="5F509E0E">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ZG028、ZG033、ZG029、ZG034、ZG030</w:t>
            </w:r>
          </w:p>
        </w:tc>
        <w:tc>
          <w:tcPr>
            <w:tcW w:w="638" w:type="pct"/>
            <w:tcBorders>
              <w:tl2br w:val="nil"/>
              <w:tr2bl w:val="nil"/>
            </w:tcBorders>
            <w:shd w:val="clear" w:color="auto" w:fill="auto"/>
            <w:vAlign w:val="center"/>
          </w:tcPr>
          <w:p w14:paraId="21E7F68D">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29</w:t>
            </w:r>
          </w:p>
        </w:tc>
        <w:tc>
          <w:tcPr>
            <w:tcW w:w="818" w:type="pct"/>
            <w:tcBorders>
              <w:tl2br w:val="nil"/>
              <w:tr2bl w:val="nil"/>
            </w:tcBorders>
            <w:shd w:val="clear" w:color="auto" w:fill="auto"/>
            <w:noWrap/>
            <w:vAlign w:val="center"/>
          </w:tcPr>
          <w:p w14:paraId="52448BA8">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146.84 </w:t>
            </w:r>
          </w:p>
        </w:tc>
        <w:tc>
          <w:tcPr>
            <w:tcW w:w="742" w:type="pct"/>
            <w:tcBorders>
              <w:tl2br w:val="nil"/>
              <w:tr2bl w:val="nil"/>
            </w:tcBorders>
            <w:shd w:val="clear" w:color="auto" w:fill="auto"/>
            <w:vAlign w:val="center"/>
          </w:tcPr>
          <w:p w14:paraId="7CF4B2E8">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0.00786 </w:t>
            </w:r>
          </w:p>
        </w:tc>
      </w:tr>
      <w:tr w14:paraId="11E6DA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5" w:hRule="atLeast"/>
        </w:trPr>
        <w:tc>
          <w:tcPr>
            <w:tcW w:w="665" w:type="pct"/>
            <w:vMerge w:val="continue"/>
            <w:tcBorders>
              <w:tl2br w:val="nil"/>
              <w:tr2bl w:val="nil"/>
            </w:tcBorders>
            <w:shd w:val="clear" w:color="auto" w:fill="auto"/>
            <w:noWrap/>
            <w:vAlign w:val="center"/>
          </w:tcPr>
          <w:p w14:paraId="62DD3654">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p>
        </w:tc>
        <w:tc>
          <w:tcPr>
            <w:tcW w:w="665" w:type="pct"/>
            <w:tcBorders>
              <w:tl2br w:val="nil"/>
              <w:tr2bl w:val="nil"/>
            </w:tcBorders>
            <w:shd w:val="clear" w:color="auto" w:fill="auto"/>
            <w:noWrap/>
            <w:vAlign w:val="center"/>
          </w:tcPr>
          <w:p w14:paraId="79DEC1E9">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第6组</w:t>
            </w:r>
          </w:p>
        </w:tc>
        <w:tc>
          <w:tcPr>
            <w:tcW w:w="1471" w:type="pct"/>
            <w:tcBorders>
              <w:tl2br w:val="nil"/>
              <w:tr2bl w:val="nil"/>
            </w:tcBorders>
            <w:shd w:val="clear" w:color="auto" w:fill="auto"/>
            <w:vAlign w:val="center"/>
          </w:tcPr>
          <w:p w14:paraId="680ED7D6">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ZG038、ZG035、ZG039、ZG040、ZG043、ZG044</w:t>
            </w:r>
          </w:p>
        </w:tc>
        <w:tc>
          <w:tcPr>
            <w:tcW w:w="638" w:type="pct"/>
            <w:tcBorders>
              <w:tl2br w:val="nil"/>
              <w:tr2bl w:val="nil"/>
            </w:tcBorders>
            <w:shd w:val="clear" w:color="auto" w:fill="auto"/>
            <w:vAlign w:val="center"/>
          </w:tcPr>
          <w:p w14:paraId="79E11D71">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28</w:t>
            </w:r>
          </w:p>
        </w:tc>
        <w:tc>
          <w:tcPr>
            <w:tcW w:w="818" w:type="pct"/>
            <w:tcBorders>
              <w:tl2br w:val="nil"/>
              <w:tr2bl w:val="nil"/>
            </w:tcBorders>
            <w:shd w:val="clear" w:color="auto" w:fill="auto"/>
            <w:noWrap/>
            <w:vAlign w:val="center"/>
          </w:tcPr>
          <w:p w14:paraId="466B5444">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141.77 </w:t>
            </w:r>
          </w:p>
        </w:tc>
        <w:tc>
          <w:tcPr>
            <w:tcW w:w="742" w:type="pct"/>
            <w:tcBorders>
              <w:tl2br w:val="nil"/>
              <w:tr2bl w:val="nil"/>
            </w:tcBorders>
            <w:shd w:val="clear" w:color="auto" w:fill="auto"/>
            <w:vAlign w:val="center"/>
          </w:tcPr>
          <w:p w14:paraId="57B6DF7E">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0.00759 </w:t>
            </w:r>
          </w:p>
        </w:tc>
      </w:tr>
      <w:tr w14:paraId="75573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90" w:hRule="atLeast"/>
        </w:trPr>
        <w:tc>
          <w:tcPr>
            <w:tcW w:w="665" w:type="pct"/>
            <w:vMerge w:val="restart"/>
            <w:tcBorders>
              <w:tl2br w:val="nil"/>
              <w:tr2bl w:val="nil"/>
            </w:tcBorders>
            <w:shd w:val="clear" w:color="auto" w:fill="auto"/>
            <w:noWrap/>
            <w:vAlign w:val="center"/>
          </w:tcPr>
          <w:p w14:paraId="72A09D32">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第三天</w:t>
            </w:r>
          </w:p>
        </w:tc>
        <w:tc>
          <w:tcPr>
            <w:tcW w:w="665" w:type="pct"/>
            <w:tcBorders>
              <w:tl2br w:val="nil"/>
              <w:tr2bl w:val="nil"/>
            </w:tcBorders>
            <w:shd w:val="clear" w:color="auto" w:fill="auto"/>
            <w:noWrap/>
            <w:vAlign w:val="center"/>
          </w:tcPr>
          <w:p w14:paraId="2F6D1650">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第7组</w:t>
            </w:r>
          </w:p>
        </w:tc>
        <w:tc>
          <w:tcPr>
            <w:tcW w:w="1471" w:type="pct"/>
            <w:tcBorders>
              <w:tl2br w:val="nil"/>
              <w:tr2bl w:val="nil"/>
            </w:tcBorders>
            <w:shd w:val="clear" w:color="auto" w:fill="auto"/>
            <w:vAlign w:val="center"/>
          </w:tcPr>
          <w:p w14:paraId="7CA8EDA7">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ZG022、ZG023、ZG024、ZG032、ZG031、ZG036、ZG037</w:t>
            </w:r>
          </w:p>
        </w:tc>
        <w:tc>
          <w:tcPr>
            <w:tcW w:w="638" w:type="pct"/>
            <w:tcBorders>
              <w:tl2br w:val="nil"/>
              <w:tr2bl w:val="nil"/>
            </w:tcBorders>
            <w:shd w:val="clear" w:color="auto" w:fill="auto"/>
            <w:vAlign w:val="center"/>
          </w:tcPr>
          <w:p w14:paraId="5B5BFF74">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27</w:t>
            </w:r>
          </w:p>
        </w:tc>
        <w:tc>
          <w:tcPr>
            <w:tcW w:w="818" w:type="pct"/>
            <w:tcBorders>
              <w:tl2br w:val="nil"/>
              <w:tr2bl w:val="nil"/>
            </w:tcBorders>
            <w:shd w:val="clear" w:color="auto" w:fill="auto"/>
            <w:noWrap/>
            <w:vAlign w:val="center"/>
          </w:tcPr>
          <w:p w14:paraId="7E6D7289">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136.71 </w:t>
            </w:r>
          </w:p>
        </w:tc>
        <w:tc>
          <w:tcPr>
            <w:tcW w:w="742" w:type="pct"/>
            <w:tcBorders>
              <w:tl2br w:val="nil"/>
              <w:tr2bl w:val="nil"/>
            </w:tcBorders>
            <w:shd w:val="clear" w:color="auto" w:fill="auto"/>
            <w:vAlign w:val="center"/>
          </w:tcPr>
          <w:p w14:paraId="7FEA451D">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0.00732 </w:t>
            </w:r>
          </w:p>
        </w:tc>
      </w:tr>
      <w:tr w14:paraId="66AB07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5" w:hRule="atLeast"/>
        </w:trPr>
        <w:tc>
          <w:tcPr>
            <w:tcW w:w="665" w:type="pct"/>
            <w:vMerge w:val="continue"/>
            <w:tcBorders>
              <w:tl2br w:val="nil"/>
              <w:tr2bl w:val="nil"/>
            </w:tcBorders>
            <w:shd w:val="clear" w:color="auto" w:fill="auto"/>
            <w:noWrap/>
            <w:vAlign w:val="center"/>
          </w:tcPr>
          <w:p w14:paraId="1E4E1C25">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p>
        </w:tc>
        <w:tc>
          <w:tcPr>
            <w:tcW w:w="665" w:type="pct"/>
            <w:tcBorders>
              <w:tl2br w:val="nil"/>
              <w:tr2bl w:val="nil"/>
            </w:tcBorders>
            <w:shd w:val="clear" w:color="auto" w:fill="auto"/>
            <w:noWrap/>
            <w:vAlign w:val="center"/>
          </w:tcPr>
          <w:p w14:paraId="2CFA892E">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第8组</w:t>
            </w:r>
          </w:p>
        </w:tc>
        <w:tc>
          <w:tcPr>
            <w:tcW w:w="1471" w:type="pct"/>
            <w:tcBorders>
              <w:tl2br w:val="nil"/>
              <w:tr2bl w:val="nil"/>
            </w:tcBorders>
            <w:shd w:val="clear" w:color="auto" w:fill="auto"/>
            <w:vAlign w:val="center"/>
          </w:tcPr>
          <w:p w14:paraId="459706E9">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ZG041、ZG042、ZG045、ZG046、ZG047</w:t>
            </w:r>
          </w:p>
        </w:tc>
        <w:tc>
          <w:tcPr>
            <w:tcW w:w="638" w:type="pct"/>
            <w:tcBorders>
              <w:tl2br w:val="nil"/>
              <w:tr2bl w:val="nil"/>
            </w:tcBorders>
            <w:shd w:val="clear" w:color="auto" w:fill="auto"/>
            <w:vAlign w:val="center"/>
          </w:tcPr>
          <w:p w14:paraId="75E9B2C0">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28</w:t>
            </w:r>
          </w:p>
        </w:tc>
        <w:tc>
          <w:tcPr>
            <w:tcW w:w="818" w:type="pct"/>
            <w:tcBorders>
              <w:tl2br w:val="nil"/>
              <w:tr2bl w:val="nil"/>
            </w:tcBorders>
            <w:shd w:val="clear" w:color="auto" w:fill="auto"/>
            <w:noWrap/>
            <w:vAlign w:val="center"/>
          </w:tcPr>
          <w:p w14:paraId="7ABEB126">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141.77 </w:t>
            </w:r>
          </w:p>
        </w:tc>
        <w:tc>
          <w:tcPr>
            <w:tcW w:w="742" w:type="pct"/>
            <w:tcBorders>
              <w:tl2br w:val="nil"/>
              <w:tr2bl w:val="nil"/>
            </w:tcBorders>
            <w:shd w:val="clear" w:color="auto" w:fill="auto"/>
            <w:vAlign w:val="center"/>
          </w:tcPr>
          <w:p w14:paraId="13E8799C">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0.00759 </w:t>
            </w:r>
          </w:p>
        </w:tc>
      </w:tr>
      <w:tr w14:paraId="630B71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95" w:hRule="atLeast"/>
        </w:trPr>
        <w:tc>
          <w:tcPr>
            <w:tcW w:w="665" w:type="pct"/>
            <w:vMerge w:val="continue"/>
            <w:tcBorders>
              <w:tl2br w:val="nil"/>
              <w:tr2bl w:val="nil"/>
            </w:tcBorders>
            <w:shd w:val="clear" w:color="auto" w:fill="auto"/>
            <w:noWrap/>
            <w:vAlign w:val="center"/>
          </w:tcPr>
          <w:p w14:paraId="6384CCD0">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p>
        </w:tc>
        <w:tc>
          <w:tcPr>
            <w:tcW w:w="665" w:type="pct"/>
            <w:tcBorders>
              <w:tl2br w:val="nil"/>
              <w:tr2bl w:val="nil"/>
            </w:tcBorders>
            <w:shd w:val="clear" w:color="auto" w:fill="auto"/>
            <w:noWrap/>
            <w:vAlign w:val="center"/>
          </w:tcPr>
          <w:p w14:paraId="35B5DEF5">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第9组</w:t>
            </w:r>
          </w:p>
        </w:tc>
        <w:tc>
          <w:tcPr>
            <w:tcW w:w="1471" w:type="pct"/>
            <w:tcBorders>
              <w:tl2br w:val="nil"/>
              <w:tr2bl w:val="nil"/>
            </w:tcBorders>
            <w:shd w:val="clear" w:color="auto" w:fill="auto"/>
            <w:vAlign w:val="center"/>
          </w:tcPr>
          <w:p w14:paraId="642F46B3">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ZG050、ZG051、ZG052</w:t>
            </w:r>
          </w:p>
        </w:tc>
        <w:tc>
          <w:tcPr>
            <w:tcW w:w="638" w:type="pct"/>
            <w:tcBorders>
              <w:tl2br w:val="nil"/>
              <w:tr2bl w:val="nil"/>
            </w:tcBorders>
            <w:shd w:val="clear" w:color="auto" w:fill="auto"/>
            <w:vAlign w:val="center"/>
          </w:tcPr>
          <w:p w14:paraId="3F246768">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21</w:t>
            </w:r>
          </w:p>
        </w:tc>
        <w:tc>
          <w:tcPr>
            <w:tcW w:w="818" w:type="pct"/>
            <w:tcBorders>
              <w:tl2br w:val="nil"/>
              <w:tr2bl w:val="nil"/>
            </w:tcBorders>
            <w:shd w:val="clear" w:color="auto" w:fill="auto"/>
            <w:noWrap/>
            <w:vAlign w:val="center"/>
          </w:tcPr>
          <w:p w14:paraId="394FD48F">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106.33 </w:t>
            </w:r>
          </w:p>
        </w:tc>
        <w:tc>
          <w:tcPr>
            <w:tcW w:w="742" w:type="pct"/>
            <w:tcBorders>
              <w:tl2br w:val="nil"/>
              <w:tr2bl w:val="nil"/>
            </w:tcBorders>
            <w:shd w:val="clear" w:color="auto" w:fill="auto"/>
            <w:vAlign w:val="center"/>
          </w:tcPr>
          <w:p w14:paraId="6C1F619B">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0.00569 </w:t>
            </w:r>
          </w:p>
        </w:tc>
      </w:tr>
      <w:tr w14:paraId="66A64B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5" w:hRule="atLeast"/>
        </w:trPr>
        <w:tc>
          <w:tcPr>
            <w:tcW w:w="665" w:type="pct"/>
            <w:vMerge w:val="continue"/>
            <w:tcBorders>
              <w:tl2br w:val="nil"/>
              <w:tr2bl w:val="nil"/>
            </w:tcBorders>
            <w:shd w:val="clear" w:color="auto" w:fill="auto"/>
            <w:noWrap/>
            <w:vAlign w:val="center"/>
          </w:tcPr>
          <w:p w14:paraId="1FBE2C1C">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p>
        </w:tc>
        <w:tc>
          <w:tcPr>
            <w:tcW w:w="665" w:type="pct"/>
            <w:tcBorders>
              <w:tl2br w:val="nil"/>
              <w:tr2bl w:val="nil"/>
            </w:tcBorders>
            <w:shd w:val="clear" w:color="auto" w:fill="auto"/>
            <w:noWrap/>
            <w:vAlign w:val="center"/>
          </w:tcPr>
          <w:p w14:paraId="32B10645">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第10组</w:t>
            </w:r>
          </w:p>
        </w:tc>
        <w:tc>
          <w:tcPr>
            <w:tcW w:w="1471" w:type="pct"/>
            <w:tcBorders>
              <w:tl2br w:val="nil"/>
              <w:tr2bl w:val="nil"/>
            </w:tcBorders>
            <w:shd w:val="clear" w:color="auto" w:fill="auto"/>
            <w:vAlign w:val="center"/>
          </w:tcPr>
          <w:p w14:paraId="6A83EE48">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ZG061、ZG062、ZG063、ZG064</w:t>
            </w:r>
          </w:p>
        </w:tc>
        <w:tc>
          <w:tcPr>
            <w:tcW w:w="638" w:type="pct"/>
            <w:tcBorders>
              <w:tl2br w:val="nil"/>
              <w:tr2bl w:val="nil"/>
            </w:tcBorders>
            <w:shd w:val="clear" w:color="auto" w:fill="auto"/>
            <w:vAlign w:val="center"/>
          </w:tcPr>
          <w:p w14:paraId="42BDF86D">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25</w:t>
            </w:r>
          </w:p>
        </w:tc>
        <w:tc>
          <w:tcPr>
            <w:tcW w:w="818" w:type="pct"/>
            <w:tcBorders>
              <w:tl2br w:val="nil"/>
              <w:tr2bl w:val="nil"/>
            </w:tcBorders>
            <w:shd w:val="clear" w:color="auto" w:fill="auto"/>
            <w:noWrap/>
            <w:vAlign w:val="center"/>
          </w:tcPr>
          <w:p w14:paraId="0D980BEF">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126.58 </w:t>
            </w:r>
          </w:p>
        </w:tc>
        <w:tc>
          <w:tcPr>
            <w:tcW w:w="742" w:type="pct"/>
            <w:tcBorders>
              <w:tl2br w:val="nil"/>
              <w:tr2bl w:val="nil"/>
            </w:tcBorders>
            <w:shd w:val="clear" w:color="auto" w:fill="auto"/>
            <w:vAlign w:val="center"/>
          </w:tcPr>
          <w:p w14:paraId="38A8F08A">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0.00678 </w:t>
            </w:r>
          </w:p>
        </w:tc>
      </w:tr>
      <w:tr w14:paraId="19644B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90" w:hRule="atLeast"/>
        </w:trPr>
        <w:tc>
          <w:tcPr>
            <w:tcW w:w="665" w:type="pct"/>
            <w:vMerge w:val="restart"/>
            <w:tcBorders>
              <w:tl2br w:val="nil"/>
              <w:tr2bl w:val="nil"/>
            </w:tcBorders>
            <w:shd w:val="clear" w:color="auto" w:fill="auto"/>
            <w:noWrap/>
            <w:vAlign w:val="center"/>
          </w:tcPr>
          <w:p w14:paraId="34744C8E">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第四天</w:t>
            </w:r>
          </w:p>
        </w:tc>
        <w:tc>
          <w:tcPr>
            <w:tcW w:w="665" w:type="pct"/>
            <w:tcBorders>
              <w:tl2br w:val="nil"/>
              <w:tr2bl w:val="nil"/>
            </w:tcBorders>
            <w:shd w:val="clear" w:color="auto" w:fill="auto"/>
            <w:noWrap/>
            <w:vAlign w:val="center"/>
          </w:tcPr>
          <w:p w14:paraId="782E795A">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第11组</w:t>
            </w:r>
          </w:p>
        </w:tc>
        <w:tc>
          <w:tcPr>
            <w:tcW w:w="1471" w:type="pct"/>
            <w:tcBorders>
              <w:tl2br w:val="nil"/>
              <w:tr2bl w:val="nil"/>
            </w:tcBorders>
            <w:shd w:val="clear" w:color="auto" w:fill="auto"/>
            <w:vAlign w:val="center"/>
          </w:tcPr>
          <w:p w14:paraId="439D59AE">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ZG053、ZG048、ZG049、ZG055、ZG054、ZG056</w:t>
            </w:r>
          </w:p>
        </w:tc>
        <w:tc>
          <w:tcPr>
            <w:tcW w:w="638" w:type="pct"/>
            <w:tcBorders>
              <w:tl2br w:val="nil"/>
              <w:tr2bl w:val="nil"/>
            </w:tcBorders>
            <w:shd w:val="clear" w:color="auto" w:fill="auto"/>
            <w:vAlign w:val="center"/>
          </w:tcPr>
          <w:p w14:paraId="224DFCEB">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28</w:t>
            </w:r>
          </w:p>
        </w:tc>
        <w:tc>
          <w:tcPr>
            <w:tcW w:w="818" w:type="pct"/>
            <w:tcBorders>
              <w:tl2br w:val="nil"/>
              <w:tr2bl w:val="nil"/>
            </w:tcBorders>
            <w:shd w:val="clear" w:color="auto" w:fill="auto"/>
            <w:noWrap/>
            <w:vAlign w:val="center"/>
          </w:tcPr>
          <w:p w14:paraId="20DA5483">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141.77 </w:t>
            </w:r>
          </w:p>
        </w:tc>
        <w:tc>
          <w:tcPr>
            <w:tcW w:w="742" w:type="pct"/>
            <w:tcBorders>
              <w:tl2br w:val="nil"/>
              <w:tr2bl w:val="nil"/>
            </w:tcBorders>
            <w:shd w:val="clear" w:color="auto" w:fill="auto"/>
            <w:vAlign w:val="center"/>
          </w:tcPr>
          <w:p w14:paraId="571B8BBF">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0.00759 </w:t>
            </w:r>
          </w:p>
        </w:tc>
      </w:tr>
      <w:tr w14:paraId="3C2555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35" w:hRule="atLeast"/>
        </w:trPr>
        <w:tc>
          <w:tcPr>
            <w:tcW w:w="665" w:type="pct"/>
            <w:vMerge w:val="continue"/>
            <w:tcBorders>
              <w:tl2br w:val="nil"/>
              <w:tr2bl w:val="nil"/>
            </w:tcBorders>
            <w:shd w:val="clear" w:color="auto" w:fill="auto"/>
            <w:noWrap/>
            <w:vAlign w:val="center"/>
          </w:tcPr>
          <w:p w14:paraId="5B7A3876">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p>
        </w:tc>
        <w:tc>
          <w:tcPr>
            <w:tcW w:w="665" w:type="pct"/>
            <w:tcBorders>
              <w:tl2br w:val="nil"/>
              <w:tr2bl w:val="nil"/>
            </w:tcBorders>
            <w:shd w:val="clear" w:color="auto" w:fill="auto"/>
            <w:noWrap/>
            <w:vAlign w:val="center"/>
          </w:tcPr>
          <w:p w14:paraId="52E84772">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第12组</w:t>
            </w:r>
          </w:p>
        </w:tc>
        <w:tc>
          <w:tcPr>
            <w:tcW w:w="1471" w:type="pct"/>
            <w:tcBorders>
              <w:tl2br w:val="nil"/>
              <w:tr2bl w:val="nil"/>
            </w:tcBorders>
            <w:shd w:val="clear" w:color="auto" w:fill="auto"/>
            <w:vAlign w:val="center"/>
          </w:tcPr>
          <w:p w14:paraId="1EB40D70">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ZG057、ZG058、ZG059、ZG065、ZG066、ZG067、ZG068</w:t>
            </w:r>
          </w:p>
        </w:tc>
        <w:tc>
          <w:tcPr>
            <w:tcW w:w="638" w:type="pct"/>
            <w:tcBorders>
              <w:tl2br w:val="nil"/>
              <w:tr2bl w:val="nil"/>
            </w:tcBorders>
            <w:shd w:val="clear" w:color="auto" w:fill="auto"/>
            <w:vAlign w:val="center"/>
          </w:tcPr>
          <w:p w14:paraId="1742E65D">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32</w:t>
            </w:r>
          </w:p>
        </w:tc>
        <w:tc>
          <w:tcPr>
            <w:tcW w:w="818" w:type="pct"/>
            <w:tcBorders>
              <w:tl2br w:val="nil"/>
              <w:tr2bl w:val="nil"/>
            </w:tcBorders>
            <w:shd w:val="clear" w:color="auto" w:fill="auto"/>
            <w:noWrap/>
            <w:vAlign w:val="center"/>
          </w:tcPr>
          <w:p w14:paraId="30A23F09">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162.03 </w:t>
            </w:r>
          </w:p>
        </w:tc>
        <w:tc>
          <w:tcPr>
            <w:tcW w:w="742" w:type="pct"/>
            <w:tcBorders>
              <w:tl2br w:val="nil"/>
              <w:tr2bl w:val="nil"/>
            </w:tcBorders>
            <w:shd w:val="clear" w:color="auto" w:fill="auto"/>
            <w:vAlign w:val="center"/>
          </w:tcPr>
          <w:p w14:paraId="7E06311E">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0.00868 </w:t>
            </w:r>
          </w:p>
        </w:tc>
      </w:tr>
      <w:tr w14:paraId="36B5D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35" w:hRule="atLeast"/>
        </w:trPr>
        <w:tc>
          <w:tcPr>
            <w:tcW w:w="665" w:type="pct"/>
            <w:vMerge w:val="continue"/>
            <w:tcBorders>
              <w:tl2br w:val="nil"/>
              <w:tr2bl w:val="nil"/>
            </w:tcBorders>
            <w:shd w:val="clear" w:color="auto" w:fill="auto"/>
            <w:noWrap/>
            <w:vAlign w:val="center"/>
          </w:tcPr>
          <w:p w14:paraId="48AE8233">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p>
        </w:tc>
        <w:tc>
          <w:tcPr>
            <w:tcW w:w="665" w:type="pct"/>
            <w:tcBorders>
              <w:tl2br w:val="nil"/>
              <w:tr2bl w:val="nil"/>
            </w:tcBorders>
            <w:shd w:val="clear" w:color="auto" w:fill="auto"/>
            <w:noWrap/>
            <w:vAlign w:val="center"/>
          </w:tcPr>
          <w:p w14:paraId="41562A93">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第13组</w:t>
            </w:r>
          </w:p>
        </w:tc>
        <w:tc>
          <w:tcPr>
            <w:tcW w:w="1471" w:type="pct"/>
            <w:tcBorders>
              <w:tl2br w:val="nil"/>
              <w:tr2bl w:val="nil"/>
            </w:tcBorders>
            <w:shd w:val="clear" w:color="auto" w:fill="auto"/>
            <w:vAlign w:val="center"/>
          </w:tcPr>
          <w:p w14:paraId="7F8A4B45">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ZG069、ZG076、ZG077、ZG070、ZG078、ZG071、ZG074</w:t>
            </w:r>
          </w:p>
        </w:tc>
        <w:tc>
          <w:tcPr>
            <w:tcW w:w="638" w:type="pct"/>
            <w:tcBorders>
              <w:tl2br w:val="nil"/>
              <w:tr2bl w:val="nil"/>
            </w:tcBorders>
            <w:shd w:val="clear" w:color="auto" w:fill="auto"/>
            <w:vAlign w:val="center"/>
          </w:tcPr>
          <w:p w14:paraId="239ECBC1">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30</w:t>
            </w:r>
          </w:p>
        </w:tc>
        <w:tc>
          <w:tcPr>
            <w:tcW w:w="818" w:type="pct"/>
            <w:tcBorders>
              <w:tl2br w:val="nil"/>
              <w:tr2bl w:val="nil"/>
            </w:tcBorders>
            <w:shd w:val="clear" w:color="auto" w:fill="auto"/>
            <w:noWrap/>
            <w:vAlign w:val="center"/>
          </w:tcPr>
          <w:p w14:paraId="483CB25E">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151.90 </w:t>
            </w:r>
          </w:p>
        </w:tc>
        <w:tc>
          <w:tcPr>
            <w:tcW w:w="742" w:type="pct"/>
            <w:tcBorders>
              <w:tl2br w:val="nil"/>
              <w:tr2bl w:val="nil"/>
            </w:tcBorders>
            <w:shd w:val="clear" w:color="auto" w:fill="auto"/>
            <w:vAlign w:val="center"/>
          </w:tcPr>
          <w:p w14:paraId="379B1A6B">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0.00813 </w:t>
            </w:r>
          </w:p>
        </w:tc>
      </w:tr>
      <w:tr w14:paraId="581F9B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5" w:hRule="atLeast"/>
        </w:trPr>
        <w:tc>
          <w:tcPr>
            <w:tcW w:w="665" w:type="pct"/>
            <w:vMerge w:val="continue"/>
            <w:tcBorders>
              <w:tl2br w:val="nil"/>
              <w:tr2bl w:val="nil"/>
            </w:tcBorders>
            <w:shd w:val="clear" w:color="auto" w:fill="auto"/>
            <w:noWrap/>
            <w:vAlign w:val="center"/>
          </w:tcPr>
          <w:p w14:paraId="5D33630F">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p>
        </w:tc>
        <w:tc>
          <w:tcPr>
            <w:tcW w:w="665" w:type="pct"/>
            <w:tcBorders>
              <w:tl2br w:val="nil"/>
              <w:tr2bl w:val="nil"/>
            </w:tcBorders>
            <w:shd w:val="clear" w:color="auto" w:fill="auto"/>
            <w:noWrap/>
            <w:vAlign w:val="center"/>
          </w:tcPr>
          <w:p w14:paraId="14323F04">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第14组</w:t>
            </w:r>
          </w:p>
        </w:tc>
        <w:tc>
          <w:tcPr>
            <w:tcW w:w="1471" w:type="pct"/>
            <w:tcBorders>
              <w:tl2br w:val="nil"/>
              <w:tr2bl w:val="nil"/>
            </w:tcBorders>
            <w:shd w:val="clear" w:color="auto" w:fill="auto"/>
            <w:vAlign w:val="center"/>
          </w:tcPr>
          <w:p w14:paraId="7305A10A">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ZG072、ZG079、ZG073、ZG060、ZG075</w:t>
            </w:r>
          </w:p>
        </w:tc>
        <w:tc>
          <w:tcPr>
            <w:tcW w:w="638" w:type="pct"/>
            <w:tcBorders>
              <w:tl2br w:val="nil"/>
              <w:tr2bl w:val="nil"/>
            </w:tcBorders>
            <w:shd w:val="clear" w:color="auto" w:fill="auto"/>
            <w:vAlign w:val="center"/>
          </w:tcPr>
          <w:p w14:paraId="4E79C47F">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30</w:t>
            </w:r>
          </w:p>
        </w:tc>
        <w:tc>
          <w:tcPr>
            <w:tcW w:w="818" w:type="pct"/>
            <w:tcBorders>
              <w:tl2br w:val="nil"/>
              <w:tr2bl w:val="nil"/>
            </w:tcBorders>
            <w:shd w:val="clear" w:color="auto" w:fill="auto"/>
            <w:noWrap/>
            <w:vAlign w:val="center"/>
          </w:tcPr>
          <w:p w14:paraId="0DBD6585">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151.90 </w:t>
            </w:r>
          </w:p>
        </w:tc>
        <w:tc>
          <w:tcPr>
            <w:tcW w:w="742" w:type="pct"/>
            <w:tcBorders>
              <w:tl2br w:val="nil"/>
              <w:tr2bl w:val="nil"/>
            </w:tcBorders>
            <w:shd w:val="clear" w:color="auto" w:fill="auto"/>
            <w:vAlign w:val="center"/>
          </w:tcPr>
          <w:p w14:paraId="6DEB1954">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 xml:space="preserve">0.00813 </w:t>
            </w:r>
          </w:p>
        </w:tc>
      </w:tr>
      <w:tr w14:paraId="7CDCED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665" w:type="pct"/>
            <w:tcBorders>
              <w:tl2br w:val="nil"/>
              <w:tr2bl w:val="nil"/>
            </w:tcBorders>
            <w:shd w:val="clear" w:color="auto" w:fill="auto"/>
            <w:noWrap/>
            <w:vAlign w:val="center"/>
          </w:tcPr>
          <w:p w14:paraId="684CE8C0">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合计</w:t>
            </w:r>
          </w:p>
        </w:tc>
        <w:tc>
          <w:tcPr>
            <w:tcW w:w="665" w:type="pct"/>
            <w:tcBorders>
              <w:tl2br w:val="nil"/>
              <w:tr2bl w:val="nil"/>
            </w:tcBorders>
            <w:shd w:val="clear" w:color="auto" w:fill="auto"/>
            <w:noWrap/>
            <w:vAlign w:val="center"/>
          </w:tcPr>
          <w:p w14:paraId="3F2111ED">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p>
        </w:tc>
        <w:tc>
          <w:tcPr>
            <w:tcW w:w="1471" w:type="pct"/>
            <w:tcBorders>
              <w:tl2br w:val="nil"/>
              <w:tr2bl w:val="nil"/>
            </w:tcBorders>
            <w:shd w:val="clear" w:color="auto" w:fill="auto"/>
            <w:noWrap/>
            <w:vAlign w:val="center"/>
          </w:tcPr>
          <w:p w14:paraId="52E1955C">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p>
        </w:tc>
        <w:tc>
          <w:tcPr>
            <w:tcW w:w="638" w:type="pct"/>
            <w:tcBorders>
              <w:tl2br w:val="nil"/>
              <w:tr2bl w:val="nil"/>
            </w:tcBorders>
            <w:shd w:val="clear" w:color="auto" w:fill="auto"/>
            <w:noWrap/>
            <w:vAlign w:val="center"/>
          </w:tcPr>
          <w:p w14:paraId="5C9BAB49">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395</w:t>
            </w:r>
          </w:p>
        </w:tc>
        <w:tc>
          <w:tcPr>
            <w:tcW w:w="818" w:type="pct"/>
            <w:tcBorders>
              <w:tl2br w:val="nil"/>
              <w:tr2bl w:val="nil"/>
            </w:tcBorders>
            <w:shd w:val="clear" w:color="auto" w:fill="auto"/>
            <w:noWrap/>
            <w:vAlign w:val="center"/>
          </w:tcPr>
          <w:p w14:paraId="768AA934">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t>2000</w:t>
            </w:r>
          </w:p>
        </w:tc>
        <w:tc>
          <w:tcPr>
            <w:tcW w:w="742" w:type="pct"/>
            <w:tcBorders>
              <w:tl2br w:val="nil"/>
              <w:tr2bl w:val="nil"/>
            </w:tcBorders>
            <w:shd w:val="clear" w:color="auto" w:fill="auto"/>
            <w:vAlign w:val="center"/>
          </w:tcPr>
          <w:p w14:paraId="0BCEEC7A">
            <w:pPr>
              <w:keepNext w:val="0"/>
              <w:keepLines w:val="0"/>
              <w:widowControl/>
              <w:suppressLineNumbers w:val="0"/>
              <w:jc w:val="center"/>
              <w:textAlignment w:val="center"/>
              <w:rPr>
                <w:rFonts w:hint="default" w:ascii="Times New Roman" w:hAnsi="Times New Roman" w:eastAsia="宋体" w:cs="Times New Roman"/>
                <w:b w:val="0"/>
                <w:bCs w:val="0"/>
                <w:i w:val="0"/>
                <w:iCs w:val="0"/>
                <w:snapToGrid w:val="0"/>
                <w:color w:val="auto"/>
                <w:kern w:val="0"/>
                <w:sz w:val="24"/>
                <w:szCs w:val="24"/>
                <w:highlight w:val="none"/>
                <w:u w:val="none"/>
                <w:lang w:val="en-US" w:eastAsia="zh-CN" w:bidi="ar"/>
              </w:rPr>
            </w:pPr>
          </w:p>
        </w:tc>
      </w:tr>
    </w:tbl>
    <w:p w14:paraId="66255CE1">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p>
    <w:p w14:paraId="208A7D2A">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华文中宋" w:cs="Times New Roman"/>
          <w:color w:val="auto"/>
          <w:position w:val="-26"/>
          <w:szCs w:val="24"/>
          <w:highlight w:val="none"/>
        </w:rPr>
        <w:pict>
          <v:shape id="_x0000_s1026" o:spid="_x0000_s1026" o:spt="75" type="#_x0000_t75" style="position:absolute;left:0pt;margin-left:30pt;margin-top:2.55pt;height:39.5pt;width:368.8pt;mso-wrap-distance-bottom:0pt;mso-wrap-distance-left:9pt;mso-wrap-distance-right:9pt;mso-wrap-distance-top:0pt;z-index:251672576;mso-width-relative:page;mso-height-relative:page;" o:ole="t" filled="f" o:preferrelative="t" stroked="f" coordsize="21600,21600">
            <v:path/>
            <v:fill on="f" focussize="0,0"/>
            <v:stroke on="f"/>
            <v:imagedata r:id="rId77" o:title=""/>
            <o:lock v:ext="edit" aspectratio="t"/>
            <w10:wrap type="square"/>
          </v:shape>
          <o:OLEObject Type="Embed" ProgID="Equation.3" ShapeID="_x0000_s1026" DrawAspect="Content" ObjectID="_1468075739" r:id="rId76">
            <o:LockedField>false</o:LockedField>
          </o:OLEObject>
        </w:pict>
      </w:r>
    </w:p>
    <w:p w14:paraId="56644F37">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p>
    <w:p w14:paraId="200B79E8">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最大一次灌水定额为</w:t>
      </w:r>
      <w:r>
        <w:rPr>
          <w:rFonts w:hint="default" w:ascii="Times New Roman" w:hAnsi="Times New Roman" w:cs="Times New Roman"/>
          <w:smallCaps w:val="0"/>
          <w:snapToGrid w:val="0"/>
          <w:color w:val="auto"/>
          <w:spacing w:val="0"/>
          <w:w w:val="100"/>
          <w:kern w:val="0"/>
          <w:sz w:val="30"/>
          <w:szCs w:val="30"/>
          <w:highlight w:val="none"/>
          <w:lang w:val="en-US" w:eastAsia="zh-CN" w:bidi="ar-SA"/>
        </w:rPr>
        <w:t>11.45</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m³/亩，每天灌水时间取16.5h，每片灌溉4天，管道系统利用水系数取0.95，田间水利用系数为0.95，最大轮灌组面积为第</w:t>
      </w:r>
      <w:r>
        <w:rPr>
          <w:rFonts w:hint="default" w:ascii="Times New Roman" w:hAnsi="Times New Roman" w:cs="Times New Roman"/>
          <w:smallCaps w:val="0"/>
          <w:snapToGrid w:val="0"/>
          <w:color w:val="auto"/>
          <w:spacing w:val="0"/>
          <w:w w:val="100"/>
          <w:kern w:val="0"/>
          <w:sz w:val="30"/>
          <w:szCs w:val="30"/>
          <w:highlight w:val="none"/>
          <w:lang w:val="en-US" w:eastAsia="zh-CN" w:bidi="ar-SA"/>
        </w:rPr>
        <w:t>一</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天</w:t>
      </w:r>
      <w:r>
        <w:rPr>
          <w:rFonts w:hint="default" w:ascii="Times New Roman" w:hAnsi="Times New Roman" w:cs="Times New Roman"/>
          <w:smallCaps w:val="0"/>
          <w:snapToGrid w:val="0"/>
          <w:color w:val="auto"/>
          <w:spacing w:val="0"/>
          <w:w w:val="100"/>
          <w:kern w:val="0"/>
          <w:sz w:val="30"/>
          <w:szCs w:val="30"/>
          <w:highlight w:val="none"/>
          <w:lang w:val="en-US" w:eastAsia="zh-CN" w:bidi="ar-SA"/>
        </w:rPr>
        <w:t>167.09</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亩。</w:t>
      </w:r>
    </w:p>
    <w:p w14:paraId="4FB20FDE">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管径按照计算公式</w:t>
      </w:r>
    </w:p>
    <w:p w14:paraId="70C74E55">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position w:val="-26"/>
          <w:sz w:val="30"/>
          <w:szCs w:val="30"/>
          <w:highlight w:val="none"/>
          <w:lang w:val="en-US" w:eastAsia="zh-CN" w:bidi="ar-SA"/>
        </w:rPr>
        <w:pict>
          <v:shape id="_x0000_s1027" o:spid="_x0000_s1027" o:spt="75" type="#_x0000_t75" style="position:absolute;left:0pt;margin-left:58pt;margin-top:26.75pt;height:34.45pt;width:29.55pt;z-index:251673600;mso-width-relative:page;mso-height-relative:page;" o:ole="t" filled="f" o:preferrelative="t" stroked="f" coordsize="21600,21600">
            <v:path/>
            <v:fill on="f" focussize="0,0"/>
            <v:stroke on="f"/>
            <v:imagedata r:id="rId79" o:title=""/>
            <o:lock v:ext="edit" aspectratio="t"/>
          </v:shape>
          <o:OLEObject Type="Embed" ProgID="Equation.3" ShapeID="_x0000_s1027" DrawAspect="Content" ObjectID="_1468075740" r:id="rId78">
            <o:LockedField>false</o:LockedField>
          </o:OLEObject>
        </w:pict>
      </w:r>
    </w:p>
    <w:p w14:paraId="410B0D16">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D=</w:t>
      </w:r>
    </w:p>
    <w:p w14:paraId="3DDF85AB">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p>
    <w:p w14:paraId="61D11D5C">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式中：Q——设计流量</w:t>
      </w:r>
    </w:p>
    <w:p w14:paraId="7370BF56">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v——经济流速（v 取值为1.0m/s～2.5m/s）</w:t>
      </w:r>
    </w:p>
    <w:p w14:paraId="7345F8CA">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管网水力计算的任务是计算管道水头损失，包括沿程损失和局部损失两部分。</w:t>
      </w:r>
    </w:p>
    <w:p w14:paraId="3CE12A71">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1）沿程损失按下式计算：</w:t>
      </w:r>
    </w:p>
    <w:p w14:paraId="3F17A5A9">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p>
    <w:p w14:paraId="7A7F4FFF">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ict>
          <v:shape id="_x0000_s1028" o:spid="_x0000_s1028" o:spt="75" type="#_x0000_t75" style="position:absolute;left:0pt;margin-left:30pt;margin-top:-10.35pt;height:32.75pt;width:60.8pt;z-index:251672576;mso-width-relative:page;mso-height-relative:page;" o:ole="t" filled="f" o:preferrelative="t" stroked="f" coordsize="21600,21600">
            <v:path/>
            <v:fill on="f" focussize="0,0"/>
            <v:stroke on="f"/>
            <v:imagedata r:id="rId81" o:title=""/>
            <o:lock v:ext="edit" aspectratio="t"/>
          </v:shape>
          <o:OLEObject Type="Embed" ProgID="Equation.3" ShapeID="_x0000_s1028" DrawAspect="Content" ObjectID="_1468075741" r:id="rId80">
            <o:LockedField>false</o:LockedField>
          </o:OLEObject>
        </w:pict>
      </w:r>
    </w:p>
    <w:p w14:paraId="5A81E6D4">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式中：</w:t>
      </w:r>
    </w:p>
    <w:p w14:paraId="643EA45C">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object>
          <v:shape id="_x0000_i1041" o:spt="75" type="#_x0000_t75" style="height:16.85pt;width:14.95pt;" o:ole="t" filled="f" o:preferrelative="t" stroked="f" coordsize="21600,21600">
            <v:path/>
            <v:fill on="f" focussize="0,0"/>
            <v:stroke on="f"/>
            <v:imagedata r:id="rId83" o:title=""/>
            <o:lock v:ext="edit" aspectratio="t"/>
            <w10:wrap type="none"/>
            <w10:anchorlock/>
          </v:shape>
          <o:OLEObject Type="Embed" ProgID="Equation.3" ShapeID="_x0000_i1041" DrawAspect="Content" ObjectID="_1468075742" r:id="rId82">
            <o:LockedField>false</o:LockedField>
          </o:OLEObject>
        </w:objec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—沿程水头损失，m；</w:t>
      </w:r>
    </w:p>
    <w:p w14:paraId="783312D6">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object>
          <v:shape id="_x0000_i1042" o:spt="75" type="#_x0000_t75" style="height:14.95pt;width:12.15pt;" o:ole="t" filled="f" o:preferrelative="t" stroked="f" coordsize="21600,21600">
            <v:path/>
            <v:fill on="f" focussize="0,0"/>
            <v:stroke on="f"/>
            <v:imagedata r:id="rId85" o:title=""/>
            <o:lock v:ext="edit" aspectratio="t"/>
            <w10:wrap type="none"/>
            <w10:anchorlock/>
          </v:shape>
          <o:OLEObject Type="Embed" ProgID="Equation.3" ShapeID="_x0000_i1042" DrawAspect="Content" ObjectID="_1468075743" r:id="rId84">
            <o:LockedField>false</o:LockedField>
          </o:OLEObject>
        </w:objec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—摩擦系数，0.948×105；</w:t>
      </w:r>
    </w:p>
    <w:p w14:paraId="093E5973">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L—管道长度，m；</w:t>
      </w:r>
    </w:p>
    <w:p w14:paraId="65CD6B53">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Q—流量，m³/h；</w:t>
      </w:r>
    </w:p>
    <w:p w14:paraId="214AC85B">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object>
          <v:shape id="_x0000_i1043" o:spt="75" type="#_x0000_t75" style="height:14.05pt;width:11.2pt;" o:ole="t" filled="f" o:preferrelative="t" stroked="f" coordsize="21600,21600">
            <v:path/>
            <v:fill on="f" focussize="0,0"/>
            <v:stroke on="f"/>
            <v:imagedata r:id="rId87" o:title=""/>
            <o:lock v:ext="edit" aspectratio="t"/>
            <w10:wrap type="none"/>
            <w10:anchorlock/>
          </v:shape>
          <o:OLEObject Type="Embed" ProgID="Equation.3" ShapeID="_x0000_i1043" DrawAspect="Content" ObjectID="_1468075744" r:id="rId86">
            <o:LockedField>false</o:LockedField>
          </o:OLEObject>
        </w:objec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—管道内径，mm；</w:t>
      </w:r>
    </w:p>
    <w:p w14:paraId="6EA4DDBB">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object>
          <v:shape id="_x0000_i1044" o:spt="75" type="#_x0000_t75" style="height:11.2pt;width:13.1pt;" o:ole="t" filled="f" o:preferrelative="t" stroked="f" coordsize="21600,21600">
            <v:path/>
            <v:fill on="f" focussize="0,0"/>
            <v:stroke on="f"/>
            <v:imagedata r:id="rId89" o:title=""/>
            <o:lock v:ext="edit" aspectratio="t"/>
            <w10:wrap type="none"/>
            <w10:anchorlock/>
          </v:shape>
          <o:OLEObject Type="Embed" ProgID="Equation.3" ShapeID="_x0000_i1044" DrawAspect="Content" ObjectID="_1468075745" r:id="rId88">
            <o:LockedField>false</o:LockedField>
          </o:OLEObject>
        </w:objec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—流量指数，与摩阻损失有关，取1.77；</w:t>
      </w:r>
    </w:p>
    <w:p w14:paraId="3B6A5AF9">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object>
          <v:shape id="_x0000_i1045" o:spt="75" type="#_x0000_t75" style="height:14.05pt;width:9.35pt;" o:ole="t" filled="f" o:preferrelative="t" stroked="f" coordsize="21600,21600">
            <v:path/>
            <v:fill on="f" focussize="0,0"/>
            <v:stroke on="f"/>
            <v:imagedata r:id="rId91" o:title=""/>
            <o:lock v:ext="edit" aspectratio="t"/>
            <w10:wrap type="none"/>
            <w10:anchorlock/>
          </v:shape>
          <o:OLEObject Type="Embed" ProgID="Equation.3" ShapeID="_x0000_i1045" DrawAspect="Content" ObjectID="_1468075746" r:id="rId90">
            <o:LockedField>false</o:LockedField>
          </o:OLEObject>
        </w:objec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—管径指数，与摩阻损失有关，取4.77。</w:t>
      </w:r>
    </w:p>
    <w:p w14:paraId="085FF992">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2）局部水头损失</w:t>
      </w:r>
    </w:p>
    <w:p w14:paraId="5E117967">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由于局部损失系数较小，一般按照沿程损失的</w:t>
      </w:r>
      <w:r>
        <w:rPr>
          <w:rFonts w:hint="eastAsia" w:cs="Times New Roman"/>
          <w:smallCaps w:val="0"/>
          <w:snapToGrid w:val="0"/>
          <w:color w:val="auto"/>
          <w:spacing w:val="0"/>
          <w:w w:val="100"/>
          <w:kern w:val="0"/>
          <w:sz w:val="30"/>
          <w:szCs w:val="30"/>
          <w:highlight w:val="none"/>
          <w:lang w:val="en-US" w:eastAsia="zh-CN" w:bidi="ar-SA"/>
        </w:rPr>
        <w:t>10%～15%</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计取，本次项目计算按照15%</w:t>
      </w:r>
      <w:r>
        <w:rPr>
          <w:rFonts w:hint="eastAsia" w:cs="Times New Roman"/>
          <w:smallCaps w:val="0"/>
          <w:snapToGrid w:val="0"/>
          <w:color w:val="auto"/>
          <w:spacing w:val="0"/>
          <w:w w:val="100"/>
          <w:kern w:val="0"/>
          <w:sz w:val="30"/>
          <w:szCs w:val="30"/>
          <w:highlight w:val="none"/>
          <w:lang w:val="en-US" w:eastAsia="zh-CN" w:bidi="ar-SA"/>
        </w:rPr>
        <w:t>计算</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w:t>
      </w:r>
    </w:p>
    <w:p w14:paraId="72443EEB">
      <w:pPr>
        <w:pStyle w:val="31"/>
        <w:keepNext w:val="0"/>
        <w:keepLines w:val="0"/>
        <w:pageBreakBefore w:val="0"/>
        <w:kinsoku/>
        <w:wordWrap/>
        <w:overflowPunct/>
        <w:topLinePunct w:val="0"/>
        <w:bidi w:val="0"/>
        <w:adjustRightInd w:val="0"/>
        <w:snapToGrid w:val="0"/>
        <w:spacing w:before="0" w:line="560" w:lineRule="exact"/>
        <w:ind w:left="0"/>
        <w:rPr>
          <w:rFonts w:hint="default" w:cs="Times New Roman"/>
          <w:smallCaps w:val="0"/>
          <w:snapToGrid w:val="0"/>
          <w:color w:val="auto"/>
          <w:spacing w:val="0"/>
          <w:w w:val="100"/>
          <w:kern w:val="0"/>
          <w:sz w:val="30"/>
          <w:szCs w:val="30"/>
          <w:highlight w:val="none"/>
          <w:lang w:val="en-US" w:eastAsia="zh-CN" w:bidi="ar-SA"/>
        </w:rPr>
      </w:pPr>
      <w:r>
        <w:rPr>
          <w:rFonts w:hint="eastAsia" w:cs="Times New Roman"/>
          <w:smallCaps w:val="0"/>
          <w:snapToGrid w:val="0"/>
          <w:color w:val="auto"/>
          <w:spacing w:val="0"/>
          <w:w w:val="100"/>
          <w:kern w:val="0"/>
          <w:sz w:val="30"/>
          <w:szCs w:val="30"/>
          <w:highlight w:val="none"/>
          <w:lang w:val="en-US" w:eastAsia="zh-CN" w:bidi="ar-SA"/>
        </w:rPr>
        <w:t>根据实际地形、地质情况，2026GD002、2026GD003和2026GD004管道起止高差分别为58.69m、144.24m和138.69m，考虑PE管道的承压能力和承压安全系数，本项目采用1.6MPa。</w:t>
      </w:r>
    </w:p>
    <w:p w14:paraId="2587EB5F">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sectPr>
          <w:pgSz w:w="11900" w:h="16840"/>
          <w:pgMar w:top="1134" w:right="1418" w:bottom="1134" w:left="1417" w:header="862" w:footer="993" w:gutter="0"/>
          <w:pgBorders>
            <w:top w:val="none" w:sz="0" w:space="0"/>
            <w:left w:val="none" w:sz="0" w:space="0"/>
            <w:bottom w:val="none" w:sz="0" w:space="0"/>
            <w:right w:val="none" w:sz="0" w:space="0"/>
          </w:pgBorders>
          <w:pgNumType w:fmt="numberInDash"/>
          <w:cols w:space="720" w:num="1"/>
        </w:sectPr>
      </w:pPr>
      <w:r>
        <w:rPr>
          <w:rFonts w:hint="default" w:ascii="Times New Roman" w:hAnsi="Times New Roman" w:cs="Times New Roman"/>
          <w:smallCaps w:val="0"/>
          <w:snapToGrid w:val="0"/>
          <w:color w:val="auto"/>
          <w:spacing w:val="0"/>
          <w:w w:val="100"/>
          <w:kern w:val="0"/>
          <w:sz w:val="30"/>
          <w:szCs w:val="30"/>
          <w:highlight w:val="none"/>
          <w:lang w:val="en-US" w:eastAsia="zh-CN" w:bidi="ar-SA"/>
        </w:rPr>
        <w:t>管道</w:t>
      </w:r>
      <w:r>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t>水力计算见下表：</w:t>
      </w:r>
    </w:p>
    <w:p w14:paraId="419A7210">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pPr>
    </w:p>
    <w:p w14:paraId="31993E63">
      <w:pPr>
        <w:kinsoku/>
        <w:jc w:val="center"/>
        <w:rPr>
          <w:rFonts w:hint="default" w:ascii="Times New Roman" w:hAnsi="Times New Roman" w:eastAsia="宋体" w:cs="Times New Roman"/>
          <w:b/>
          <w:bCs/>
          <w:smallCaps w:val="0"/>
          <w:color w:val="auto"/>
          <w:spacing w:val="0"/>
          <w:w w:val="100"/>
          <w:sz w:val="28"/>
          <w:szCs w:val="28"/>
          <w:highlight w:val="none"/>
        </w:rPr>
      </w:pPr>
      <w:r>
        <w:rPr>
          <w:rFonts w:hint="default" w:ascii="Times New Roman" w:hAnsi="Times New Roman" w:eastAsia="宋体" w:cs="Times New Roman"/>
          <w:b/>
          <w:bCs/>
          <w:smallCaps w:val="0"/>
          <w:color w:val="auto"/>
          <w:spacing w:val="0"/>
          <w:w w:val="100"/>
          <w:sz w:val="28"/>
          <w:szCs w:val="28"/>
          <w:highlight w:val="none"/>
          <w:lang w:eastAsia="zh-CN"/>
        </w:rPr>
        <w:t>表5.4.3-</w:t>
      </w:r>
      <w:r>
        <w:rPr>
          <w:rFonts w:hint="default" w:ascii="Times New Roman" w:hAnsi="Times New Roman" w:eastAsia="宋体" w:cs="Times New Roman"/>
          <w:b/>
          <w:bCs/>
          <w:smallCaps w:val="0"/>
          <w:color w:val="auto"/>
          <w:spacing w:val="0"/>
          <w:w w:val="100"/>
          <w:sz w:val="28"/>
          <w:szCs w:val="28"/>
          <w:highlight w:val="none"/>
          <w:lang w:val="en-US" w:eastAsia="zh-CN"/>
        </w:rPr>
        <w:t>5</w:t>
      </w:r>
      <w:r>
        <w:rPr>
          <w:rFonts w:hint="default" w:ascii="Times New Roman" w:hAnsi="Times New Roman" w:eastAsia="宋体" w:cs="Times New Roman"/>
          <w:b/>
          <w:bCs/>
          <w:smallCaps w:val="0"/>
          <w:color w:val="auto"/>
          <w:spacing w:val="0"/>
          <w:w w:val="100"/>
          <w:sz w:val="28"/>
          <w:szCs w:val="28"/>
          <w:highlight w:val="none"/>
        </w:rPr>
        <w:t xml:space="preserve">   管网水力计算成果表</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03"/>
        <w:gridCol w:w="696"/>
        <w:gridCol w:w="1176"/>
        <w:gridCol w:w="1176"/>
        <w:gridCol w:w="1279"/>
        <w:gridCol w:w="623"/>
        <w:gridCol w:w="756"/>
        <w:gridCol w:w="876"/>
        <w:gridCol w:w="820"/>
        <w:gridCol w:w="1345"/>
        <w:gridCol w:w="957"/>
        <w:gridCol w:w="957"/>
        <w:gridCol w:w="881"/>
        <w:gridCol w:w="1843"/>
      </w:tblGrid>
      <w:tr w14:paraId="6D538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95DA1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管道名称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BE486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管长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77F5C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灌溉面积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76C56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管段流量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C77B07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计算管径（PE）</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D73CC6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选用管径（PE）</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6E1AF5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压力等级</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EBC3C7">
            <w:pPr>
              <w:keepNext w:val="0"/>
              <w:keepLines w:val="0"/>
              <w:widowControl/>
              <w:suppressLineNumbers w:val="0"/>
              <w:jc w:val="center"/>
              <w:textAlignment w:val="center"/>
              <w:rPr>
                <w:rFonts w:hint="default" w:ascii="Times New Roman" w:hAnsi="Times New Roman" w:eastAsia="宋体" w:cs="Times New Roman"/>
                <w:b/>
                <w:bCs/>
                <w:i w:val="0"/>
                <w:iCs w:val="0"/>
                <w:color w:val="auto"/>
                <w:sz w:val="24"/>
                <w:szCs w:val="24"/>
                <w:highlight w:val="none"/>
                <w:u w:val="none"/>
              </w:rPr>
            </w:pPr>
            <w: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t>水头损失计算</w:t>
            </w:r>
          </w:p>
        </w:tc>
        <w:tc>
          <w:tcPr>
            <w:tcW w:w="0" w:type="auto"/>
            <w:vMerge w:val="restart"/>
            <w:tcBorders>
              <w:top w:val="single" w:color="000000" w:sz="4" w:space="0"/>
              <w:left w:val="single" w:color="000000" w:sz="4" w:space="0"/>
              <w:right w:val="single" w:color="000000" w:sz="4" w:space="0"/>
            </w:tcBorders>
            <w:shd w:val="clear" w:color="auto" w:fill="FFFFFF"/>
            <w:noWrap/>
            <w:vAlign w:val="center"/>
          </w:tcPr>
          <w:p w14:paraId="6521C1FC">
            <w:pPr>
              <w:keepNext w:val="0"/>
              <w:keepLines w:val="0"/>
              <w:widowControl/>
              <w:suppressLineNumbers w:val="0"/>
              <w:jc w:val="center"/>
              <w:textAlignment w:val="center"/>
              <w:rPr>
                <w:rFonts w:hint="default" w:ascii="Times New Roman" w:hAnsi="Times New Roman" w:eastAsia="宋体" w:cs="Times New Roman"/>
                <w:b/>
                <w:bCs/>
                <w:i w:val="0"/>
                <w:iCs w:val="0"/>
                <w:snapToGrid w:val="0"/>
                <w:color w:val="auto"/>
                <w:kern w:val="0"/>
                <w:sz w:val="24"/>
                <w:szCs w:val="24"/>
                <w:highlight w:val="none"/>
                <w:u w:val="none"/>
                <w:lang w:val="en-US" w:eastAsia="zh-CN" w:bidi="ar"/>
              </w:rPr>
            </w:pPr>
            <w:r>
              <w:rPr>
                <w:rFonts w:hint="eastAsia" w:ascii="Times New Roman" w:hAnsi="Times New Roman" w:eastAsia="宋体" w:cs="Times New Roman"/>
                <w:i w:val="0"/>
                <w:iCs w:val="0"/>
                <w:snapToGrid w:val="0"/>
                <w:color w:val="auto"/>
                <w:kern w:val="0"/>
                <w:sz w:val="24"/>
                <w:szCs w:val="24"/>
                <w:highlight w:val="none"/>
                <w:u w:val="none"/>
                <w:lang w:val="en-US" w:eastAsia="zh-CN" w:bidi="ar"/>
              </w:rPr>
              <w:t>自由水头</w:t>
            </w:r>
            <w:r>
              <w:rPr>
                <w:rFonts w:hint="default" w:ascii="Times New Roman" w:hAnsi="Times New Roman" w:eastAsia="宋体" w:cs="Times New Roman"/>
                <w:i w:val="0"/>
                <w:iCs w:val="0"/>
                <w:snapToGrid w:val="0"/>
                <w:color w:val="auto"/>
                <w:kern w:val="0"/>
                <w:sz w:val="24"/>
                <w:szCs w:val="24"/>
                <w:highlight w:val="none"/>
                <w:u w:val="none"/>
                <w:lang w:val="en-US" w:eastAsia="zh-CN" w:bidi="ar"/>
              </w:rPr>
              <w:t>（</w:t>
            </w:r>
            <w:r>
              <w:rPr>
                <w:rFonts w:hint="eastAsia" w:ascii="Times New Roman" w:hAnsi="Times New Roman" w:eastAsia="宋体" w:cs="Times New Roman"/>
                <w:i w:val="0"/>
                <w:iCs w:val="0"/>
                <w:snapToGrid w:val="0"/>
                <w:color w:val="auto"/>
                <w:kern w:val="0"/>
                <w:sz w:val="24"/>
                <w:szCs w:val="24"/>
                <w:highlight w:val="none"/>
                <w:u w:val="none"/>
                <w:lang w:val="en-US" w:eastAsia="zh-CN" w:bidi="ar"/>
              </w:rPr>
              <w:t>m）</w:t>
            </w:r>
          </w:p>
        </w:tc>
      </w:tr>
      <w:tr w14:paraId="2616B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C07B4E">
            <w:pPr>
              <w:jc w:val="center"/>
              <w:rPr>
                <w:rFonts w:hint="default" w:ascii="Times New Roman" w:hAnsi="Times New Roman" w:eastAsia="宋体" w:cs="Times New Roman"/>
                <w:i w:val="0"/>
                <w:iCs w:val="0"/>
                <w:color w:val="auto"/>
                <w:sz w:val="24"/>
                <w:szCs w:val="24"/>
                <w:highlight w:val="none"/>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1431A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m</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1427F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亩</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EF1A34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（m</w:t>
            </w:r>
            <w:r>
              <w:rPr>
                <w:rFonts w:hint="default" w:ascii="Times New Roman" w:hAnsi="Times New Roman" w:eastAsia="宋体" w:cs="Times New Roman"/>
                <w:i w:val="0"/>
                <w:iCs w:val="0"/>
                <w:snapToGrid w:val="0"/>
                <w:color w:val="auto"/>
                <w:kern w:val="0"/>
                <w:sz w:val="24"/>
                <w:szCs w:val="24"/>
                <w:highlight w:val="none"/>
                <w:u w:val="none"/>
                <w:vertAlign w:val="superscript"/>
                <w:lang w:val="en-US" w:eastAsia="zh-CN" w:bidi="ar"/>
              </w:rPr>
              <w:t>3</w:t>
            </w:r>
            <w:r>
              <w:rPr>
                <w:rFonts w:hint="default" w:ascii="Times New Roman" w:hAnsi="Times New Roman" w:eastAsia="宋体" w:cs="Times New Roman"/>
                <w:i w:val="0"/>
                <w:iCs w:val="0"/>
                <w:snapToGrid w:val="0"/>
                <w:color w:val="auto"/>
                <w:kern w:val="0"/>
                <w:sz w:val="24"/>
                <w:szCs w:val="24"/>
                <w:highlight w:val="none"/>
                <w:u w:val="none"/>
                <w:lang w:val="en-US" w:eastAsia="zh-CN" w:bidi="ar"/>
              </w:rPr>
              <w:t>/h）</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B0990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mm</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0272BB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管径</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70D85B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壁厚</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3FC1850">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内径</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571857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Mpa</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CD542F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实际流速（m/s）</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88983A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沿程水头损失</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97FE6A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局部水头损失</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295707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总水头损失</w:t>
            </w:r>
          </w:p>
        </w:tc>
        <w:tc>
          <w:tcPr>
            <w:tcW w:w="0" w:type="auto"/>
            <w:vMerge w:val="continue"/>
            <w:tcBorders>
              <w:left w:val="single" w:color="000000" w:sz="4" w:space="0"/>
              <w:right w:val="single" w:color="000000" w:sz="4" w:space="0"/>
            </w:tcBorders>
            <w:shd w:val="clear" w:color="auto" w:fill="FFFFFF"/>
            <w:vAlign w:val="center"/>
          </w:tcPr>
          <w:p w14:paraId="5B013A3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p>
        </w:tc>
      </w:tr>
      <w:tr w14:paraId="6EAFB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793EE6">
            <w:pPr>
              <w:jc w:val="center"/>
              <w:rPr>
                <w:rFonts w:hint="default" w:ascii="Times New Roman" w:hAnsi="Times New Roman" w:eastAsia="宋体" w:cs="Times New Roman"/>
                <w:i w:val="0"/>
                <w:iCs w:val="0"/>
                <w:color w:val="auto"/>
                <w:sz w:val="24"/>
                <w:szCs w:val="24"/>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309986">
            <w:pPr>
              <w:jc w:val="center"/>
              <w:rPr>
                <w:rFonts w:hint="default" w:ascii="Times New Roman" w:hAnsi="Times New Roman" w:eastAsia="宋体" w:cs="Times New Roman"/>
                <w:i w:val="0"/>
                <w:iCs w:val="0"/>
                <w:color w:val="auto"/>
                <w:sz w:val="24"/>
                <w:szCs w:val="24"/>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F021D3">
            <w:pPr>
              <w:jc w:val="center"/>
              <w:rPr>
                <w:rFonts w:hint="default" w:ascii="Times New Roman" w:hAnsi="Times New Roman" w:eastAsia="宋体" w:cs="Times New Roman"/>
                <w:i w:val="0"/>
                <w:iCs w:val="0"/>
                <w:color w:val="auto"/>
                <w:sz w:val="24"/>
                <w:szCs w:val="24"/>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516C33">
            <w:pPr>
              <w:jc w:val="center"/>
              <w:rPr>
                <w:rFonts w:hint="default" w:ascii="Times New Roman" w:hAnsi="Times New Roman" w:eastAsia="宋体" w:cs="Times New Roman"/>
                <w:i w:val="0"/>
                <w:iCs w:val="0"/>
                <w:color w:val="auto"/>
                <w:sz w:val="24"/>
                <w:szCs w:val="24"/>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32BE66">
            <w:pPr>
              <w:jc w:val="center"/>
              <w:rPr>
                <w:rFonts w:hint="default" w:ascii="Times New Roman" w:hAnsi="Times New Roman" w:eastAsia="宋体" w:cs="Times New Roman"/>
                <w:i w:val="0"/>
                <w:iCs w:val="0"/>
                <w:color w:val="auto"/>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091DD2D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mm</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CE7D6E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mm</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6AFA3B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mm</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E5C510">
            <w:pPr>
              <w:jc w:val="center"/>
              <w:rPr>
                <w:rFonts w:hint="default" w:ascii="Times New Roman" w:hAnsi="Times New Roman" w:eastAsia="宋体" w:cs="Times New Roman"/>
                <w:i w:val="0"/>
                <w:iCs w:val="0"/>
                <w:color w:val="auto"/>
                <w:sz w:val="24"/>
                <w:szCs w:val="24"/>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DE2769">
            <w:pPr>
              <w:jc w:val="center"/>
              <w:rPr>
                <w:rFonts w:hint="default" w:ascii="Times New Roman" w:hAnsi="Times New Roman" w:eastAsia="宋体" w:cs="Times New Roman"/>
                <w:i w:val="0"/>
                <w:iCs w:val="0"/>
                <w:color w:val="auto"/>
                <w:sz w:val="24"/>
                <w:szCs w:val="24"/>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21DA61">
            <w:pPr>
              <w:jc w:val="center"/>
              <w:rPr>
                <w:rFonts w:hint="default" w:ascii="Times New Roman" w:hAnsi="Times New Roman" w:eastAsia="宋体" w:cs="Times New Roman"/>
                <w:i w:val="0"/>
                <w:iCs w:val="0"/>
                <w:color w:val="auto"/>
                <w:sz w:val="24"/>
                <w:szCs w:val="24"/>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55C5E4">
            <w:pPr>
              <w:jc w:val="center"/>
              <w:rPr>
                <w:rFonts w:hint="default" w:ascii="Times New Roman" w:hAnsi="Times New Roman" w:eastAsia="宋体" w:cs="Times New Roman"/>
                <w:i w:val="0"/>
                <w:iCs w:val="0"/>
                <w:color w:val="auto"/>
                <w:sz w:val="24"/>
                <w:szCs w:val="24"/>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AB0CC1">
            <w:pPr>
              <w:jc w:val="center"/>
              <w:rPr>
                <w:rFonts w:hint="default" w:ascii="Times New Roman" w:hAnsi="Times New Roman" w:eastAsia="宋体" w:cs="Times New Roman"/>
                <w:i w:val="0"/>
                <w:iCs w:val="0"/>
                <w:color w:val="auto"/>
                <w:sz w:val="24"/>
                <w:szCs w:val="24"/>
                <w:highlight w:val="none"/>
                <w:u w:val="none"/>
              </w:rPr>
            </w:pPr>
          </w:p>
        </w:tc>
        <w:tc>
          <w:tcPr>
            <w:tcW w:w="0" w:type="auto"/>
            <w:vMerge w:val="continue"/>
            <w:tcBorders>
              <w:left w:val="single" w:color="000000" w:sz="4" w:space="0"/>
              <w:bottom w:val="single" w:color="000000" w:sz="4" w:space="0"/>
              <w:right w:val="single" w:color="000000" w:sz="4" w:space="0"/>
            </w:tcBorders>
            <w:shd w:val="clear" w:color="auto" w:fill="FFFFFF"/>
            <w:vAlign w:val="center"/>
          </w:tcPr>
          <w:p w14:paraId="2EB2FB28">
            <w:pPr>
              <w:jc w:val="center"/>
              <w:rPr>
                <w:rFonts w:hint="default" w:ascii="Times New Roman" w:hAnsi="Times New Roman" w:eastAsia="宋体" w:cs="Times New Roman"/>
                <w:i w:val="0"/>
                <w:iCs w:val="0"/>
                <w:color w:val="auto"/>
                <w:sz w:val="24"/>
                <w:szCs w:val="24"/>
                <w:highlight w:val="none"/>
                <w:u w:val="none"/>
              </w:rPr>
            </w:pPr>
          </w:p>
        </w:tc>
      </w:tr>
      <w:tr w14:paraId="6A7D7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F082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2026GD002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50D1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1619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9B002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167.09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478CEB">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32.2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B0CA0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127.57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E1F3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46230">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18.20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F2EF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163.60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44C6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890D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0.43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ADF9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0.84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F966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0.13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2930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0.97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1B07F">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eastAsia" w:ascii="Times New Roman" w:hAnsi="Times New Roman" w:eastAsia="宋体" w:cs="Times New Roman"/>
                <w:i w:val="0"/>
                <w:iCs w:val="0"/>
                <w:snapToGrid w:val="0"/>
                <w:color w:val="auto"/>
                <w:kern w:val="0"/>
                <w:sz w:val="24"/>
                <w:szCs w:val="24"/>
                <w:highlight w:val="none"/>
                <w:u w:val="none"/>
                <w:lang w:val="en-US" w:eastAsia="zh-CN" w:bidi="ar"/>
              </w:rPr>
              <w:t>57.72</w:t>
            </w:r>
          </w:p>
        </w:tc>
      </w:tr>
      <w:tr w14:paraId="2D2B9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D39B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2026GD003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A43E0">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2207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5220E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141.77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FBE61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27.3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948A4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117.51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DCDB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EC42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18.20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D7BE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163.60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4F59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B712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0.36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CDAD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0.87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390A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0.13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E5C9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A2C5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eastAsia" w:ascii="Times New Roman" w:hAnsi="Times New Roman" w:eastAsia="宋体" w:cs="Times New Roman"/>
                <w:i w:val="0"/>
                <w:iCs w:val="0"/>
                <w:snapToGrid w:val="0"/>
                <w:color w:val="auto"/>
                <w:kern w:val="0"/>
                <w:sz w:val="24"/>
                <w:szCs w:val="24"/>
                <w:highlight w:val="none"/>
                <w:u w:val="none"/>
                <w:lang w:val="en-US" w:eastAsia="zh-CN" w:bidi="ar"/>
              </w:rPr>
              <w:t>143.34</w:t>
            </w:r>
          </w:p>
        </w:tc>
      </w:tr>
      <w:tr w14:paraId="012FE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59EBB">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2026GD004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031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2258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2E05D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162.03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A3347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31.2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EE28C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125.62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33D9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01C8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18.20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6460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163.60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208B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5EF7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0.41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948F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1.11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6D35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0.17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505E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1.28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6A0F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eastAsia" w:ascii="Times New Roman" w:hAnsi="Times New Roman" w:eastAsia="宋体" w:cs="Times New Roman"/>
                <w:i w:val="0"/>
                <w:iCs w:val="0"/>
                <w:snapToGrid w:val="0"/>
                <w:color w:val="auto"/>
                <w:kern w:val="0"/>
                <w:sz w:val="24"/>
                <w:szCs w:val="24"/>
                <w:highlight w:val="none"/>
                <w:u w:val="none"/>
                <w:lang w:val="en-US" w:eastAsia="zh-CN" w:bidi="ar"/>
              </w:rPr>
              <w:t>137.45</w:t>
            </w:r>
          </w:p>
        </w:tc>
      </w:tr>
    </w:tbl>
    <w:p w14:paraId="5606B2D6">
      <w:pPr>
        <w:kinsoku/>
        <w:jc w:val="center"/>
        <w:rPr>
          <w:rFonts w:hint="default" w:ascii="Times New Roman" w:hAnsi="Times New Roman" w:eastAsia="宋体" w:cs="Times New Roman"/>
          <w:b/>
          <w:bCs/>
          <w:smallCaps w:val="0"/>
          <w:color w:val="auto"/>
          <w:spacing w:val="0"/>
          <w:w w:val="100"/>
          <w:sz w:val="28"/>
          <w:szCs w:val="28"/>
          <w:highlight w:val="none"/>
        </w:rPr>
      </w:pPr>
    </w:p>
    <w:p w14:paraId="70122E98">
      <w:pPr>
        <w:kinsoku/>
        <w:jc w:val="center"/>
        <w:rPr>
          <w:rFonts w:hint="default" w:ascii="Times New Roman" w:hAnsi="Times New Roman" w:eastAsia="宋体" w:cs="Times New Roman"/>
          <w:b/>
          <w:bCs/>
          <w:smallCaps w:val="0"/>
          <w:color w:val="auto"/>
          <w:spacing w:val="0"/>
          <w:w w:val="100"/>
          <w:sz w:val="28"/>
          <w:szCs w:val="28"/>
          <w:highlight w:val="none"/>
          <w:lang w:eastAsia="zh-CN"/>
        </w:rPr>
      </w:pPr>
    </w:p>
    <w:p w14:paraId="66CE7B7C">
      <w:pPr>
        <w:pStyle w:val="31"/>
        <w:keepNext w:val="0"/>
        <w:keepLines w:val="0"/>
        <w:pageBreakBefore w:val="0"/>
        <w:kinsoku/>
        <w:wordWrap/>
        <w:overflowPunct/>
        <w:topLinePunct w:val="0"/>
        <w:bidi w:val="0"/>
        <w:adjustRightInd w:val="0"/>
        <w:snapToGrid w:val="0"/>
        <w:spacing w:before="0" w:line="560" w:lineRule="exact"/>
        <w:ind w:left="0"/>
        <w:rPr>
          <w:rFonts w:hint="default" w:ascii="Times New Roman" w:hAnsi="Times New Roman" w:eastAsia="宋体" w:cs="Times New Roman"/>
          <w:smallCaps w:val="0"/>
          <w:snapToGrid w:val="0"/>
          <w:color w:val="auto"/>
          <w:spacing w:val="0"/>
          <w:w w:val="100"/>
          <w:kern w:val="0"/>
          <w:sz w:val="30"/>
          <w:szCs w:val="30"/>
          <w:highlight w:val="none"/>
          <w:lang w:val="en-US" w:eastAsia="zh-CN" w:bidi="ar-SA"/>
        </w:rPr>
        <w:sectPr>
          <w:pgSz w:w="16840" w:h="11900" w:orient="landscape"/>
          <w:pgMar w:top="1417" w:right="1134" w:bottom="1418" w:left="1134" w:header="862" w:footer="993" w:gutter="0"/>
          <w:pgBorders>
            <w:top w:val="none" w:sz="0" w:space="0"/>
            <w:left w:val="none" w:sz="0" w:space="0"/>
            <w:bottom w:val="none" w:sz="0" w:space="0"/>
            <w:right w:val="none" w:sz="0" w:space="0"/>
          </w:pgBorders>
          <w:pgNumType w:fmt="numberInDash"/>
          <w:cols w:space="720" w:num="1"/>
        </w:sectPr>
      </w:pPr>
    </w:p>
    <w:p w14:paraId="045DF609">
      <w:pPr>
        <w:kinsoku/>
        <w:spacing w:before="43" w:line="375" w:lineRule="auto"/>
        <w:ind w:left="41" w:firstLine="600"/>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经</w:t>
      </w:r>
      <w:r>
        <w:rPr>
          <w:rFonts w:hint="default" w:ascii="Times New Roman" w:hAnsi="Times New Roman" w:eastAsia="宋体" w:cs="Times New Roman"/>
          <w:smallCaps w:val="0"/>
          <w:color w:val="auto"/>
          <w:spacing w:val="0"/>
          <w:w w:val="100"/>
          <w:sz w:val="30"/>
          <w:szCs w:val="30"/>
          <w:highlight w:val="none"/>
          <w:lang w:val="en-US" w:eastAsia="zh-CN"/>
        </w:rPr>
        <w:t>计算</w:t>
      </w:r>
      <w:r>
        <w:rPr>
          <w:rFonts w:hint="default" w:ascii="Times New Roman" w:hAnsi="Times New Roman" w:eastAsia="宋体" w:cs="Times New Roman"/>
          <w:smallCaps w:val="0"/>
          <w:color w:val="auto"/>
          <w:spacing w:val="0"/>
          <w:w w:val="100"/>
          <w:sz w:val="30"/>
          <w:szCs w:val="30"/>
          <w:highlight w:val="none"/>
          <w:lang w:eastAsia="zh-CN"/>
        </w:rPr>
        <w:t>及充分征求村民意见，本工程管道</w:t>
      </w:r>
      <w:r>
        <w:rPr>
          <w:rFonts w:hint="default" w:ascii="Times New Roman" w:hAnsi="Times New Roman" w:eastAsia="宋体" w:cs="Times New Roman"/>
          <w:smallCaps w:val="0"/>
          <w:color w:val="auto"/>
          <w:spacing w:val="0"/>
          <w:w w:val="100"/>
          <w:sz w:val="30"/>
          <w:szCs w:val="30"/>
          <w:highlight w:val="none"/>
          <w:lang w:val="en-US" w:eastAsia="zh-CN"/>
        </w:rPr>
        <w:t>主管</w:t>
      </w:r>
      <w:r>
        <w:rPr>
          <w:rFonts w:hint="default" w:ascii="Times New Roman" w:hAnsi="Times New Roman" w:eastAsia="宋体" w:cs="Times New Roman"/>
          <w:smallCaps w:val="0"/>
          <w:color w:val="auto"/>
          <w:spacing w:val="0"/>
          <w:w w:val="100"/>
          <w:sz w:val="30"/>
          <w:szCs w:val="30"/>
          <w:highlight w:val="none"/>
          <w:lang w:eastAsia="zh-CN"/>
        </w:rPr>
        <w:t>采用有质量认证的</w:t>
      </w:r>
      <w:r>
        <w:rPr>
          <w:rFonts w:hint="default" w:ascii="Times New Roman" w:hAnsi="Times New Roman" w:eastAsia="宋体" w:cs="Times New Roman"/>
          <w:smallCaps w:val="0"/>
          <w:color w:val="auto"/>
          <w:spacing w:val="0"/>
          <w:w w:val="100"/>
          <w:sz w:val="30"/>
          <w:szCs w:val="30"/>
          <w:highlight w:val="none"/>
          <w:lang w:val="en-US" w:eastAsia="zh-CN"/>
        </w:rPr>
        <w:t>通用</w:t>
      </w:r>
      <w:r>
        <w:rPr>
          <w:rFonts w:hint="eastAsia" w:ascii="Times New Roman" w:hAnsi="Times New Roman" w:eastAsia="宋体" w:cs="Times New Roman"/>
          <w:smallCaps w:val="0"/>
          <w:color w:val="auto"/>
          <w:spacing w:val="0"/>
          <w:w w:val="100"/>
          <w:sz w:val="30"/>
          <w:szCs w:val="30"/>
          <w:highlight w:val="none"/>
          <w:lang w:val="en-US" w:eastAsia="zh-CN"/>
        </w:rPr>
        <w:t>DN</w:t>
      </w:r>
      <w:r>
        <w:rPr>
          <w:rFonts w:hint="default" w:ascii="Times New Roman" w:hAnsi="Times New Roman" w:eastAsia="宋体" w:cs="Times New Roman"/>
          <w:smallCaps w:val="0"/>
          <w:color w:val="auto"/>
          <w:spacing w:val="0"/>
          <w:w w:val="100"/>
          <w:sz w:val="30"/>
          <w:szCs w:val="30"/>
          <w:highlight w:val="none"/>
          <w:lang w:val="en-US" w:eastAsia="zh-CN"/>
        </w:rPr>
        <w:t>200</w:t>
      </w:r>
      <w:r>
        <w:rPr>
          <w:rFonts w:hint="default" w:ascii="Times New Roman" w:hAnsi="Times New Roman" w:eastAsia="宋体" w:cs="Times New Roman"/>
          <w:smallCaps w:val="0"/>
          <w:color w:val="auto"/>
          <w:spacing w:val="0"/>
          <w:w w:val="100"/>
          <w:sz w:val="30"/>
          <w:szCs w:val="30"/>
          <w:highlight w:val="none"/>
          <w:lang w:eastAsia="zh-CN"/>
        </w:rPr>
        <w:t>PE</w:t>
      </w:r>
      <w:r>
        <w:rPr>
          <w:rFonts w:hint="default" w:ascii="Times New Roman" w:hAnsi="Times New Roman" w:eastAsia="宋体" w:cs="Times New Roman"/>
          <w:smallCaps w:val="0"/>
          <w:color w:val="auto"/>
          <w:spacing w:val="0"/>
          <w:w w:val="100"/>
          <w:sz w:val="30"/>
          <w:szCs w:val="30"/>
          <w:highlight w:val="none"/>
          <w:lang w:val="en-US" w:eastAsia="zh-CN"/>
        </w:rPr>
        <w:t>100级1.6</w:t>
      </w:r>
      <w:r>
        <w:rPr>
          <w:rFonts w:hint="default" w:ascii="Times New Roman" w:hAnsi="Times New Roman" w:eastAsia="宋体" w:cs="Times New Roman"/>
          <w:smallCaps w:val="0"/>
          <w:color w:val="auto"/>
          <w:spacing w:val="0"/>
          <w:w w:val="100"/>
          <w:sz w:val="30"/>
          <w:szCs w:val="30"/>
          <w:highlight w:val="none"/>
          <w:lang w:eastAsia="zh-CN"/>
        </w:rPr>
        <w:t>MPa管</w:t>
      </w:r>
      <w:r>
        <w:rPr>
          <w:rFonts w:hint="default" w:ascii="Times New Roman" w:hAnsi="Times New Roman" w:eastAsia="宋体" w:cs="Times New Roman"/>
          <w:smallCaps w:val="0"/>
          <w:color w:val="auto"/>
          <w:spacing w:val="0"/>
          <w:w w:val="100"/>
          <w:sz w:val="30"/>
          <w:szCs w:val="30"/>
          <w:highlight w:val="none"/>
          <w:lang w:val="en-US" w:eastAsia="zh-CN"/>
        </w:rPr>
        <w:t>道6171m；支管采用</w:t>
      </w:r>
      <w:r>
        <w:rPr>
          <w:rFonts w:hint="default" w:ascii="Times New Roman" w:hAnsi="Times New Roman" w:eastAsia="宋体" w:cs="Times New Roman"/>
          <w:smallCaps w:val="0"/>
          <w:color w:val="auto"/>
          <w:spacing w:val="0"/>
          <w:w w:val="100"/>
          <w:sz w:val="30"/>
          <w:szCs w:val="30"/>
          <w:highlight w:val="none"/>
          <w:lang w:eastAsia="zh-CN"/>
        </w:rPr>
        <w:t>有质量认证的</w:t>
      </w:r>
      <w:r>
        <w:rPr>
          <w:rFonts w:hint="default" w:ascii="Times New Roman" w:hAnsi="Times New Roman" w:eastAsia="宋体" w:cs="Times New Roman"/>
          <w:smallCaps w:val="0"/>
          <w:color w:val="auto"/>
          <w:spacing w:val="0"/>
          <w:w w:val="100"/>
          <w:sz w:val="30"/>
          <w:szCs w:val="30"/>
          <w:highlight w:val="none"/>
          <w:lang w:val="en-US" w:eastAsia="zh-CN"/>
        </w:rPr>
        <w:t>通用</w:t>
      </w:r>
      <w:r>
        <w:rPr>
          <w:rFonts w:hint="eastAsia" w:ascii="Times New Roman" w:hAnsi="Times New Roman" w:eastAsia="宋体" w:cs="Times New Roman"/>
          <w:smallCaps w:val="0"/>
          <w:color w:val="auto"/>
          <w:spacing w:val="0"/>
          <w:w w:val="100"/>
          <w:sz w:val="30"/>
          <w:szCs w:val="30"/>
          <w:highlight w:val="none"/>
          <w:lang w:val="en-US" w:eastAsia="zh-CN"/>
        </w:rPr>
        <w:t>DN75</w:t>
      </w:r>
      <w:r>
        <w:rPr>
          <w:rFonts w:hint="default" w:ascii="Times New Roman" w:hAnsi="Times New Roman" w:eastAsia="宋体" w:cs="Times New Roman"/>
          <w:smallCaps w:val="0"/>
          <w:color w:val="auto"/>
          <w:spacing w:val="0"/>
          <w:w w:val="100"/>
          <w:sz w:val="30"/>
          <w:szCs w:val="30"/>
          <w:highlight w:val="none"/>
          <w:lang w:eastAsia="zh-CN"/>
        </w:rPr>
        <w:t>PE</w:t>
      </w:r>
      <w:r>
        <w:rPr>
          <w:rFonts w:hint="default" w:ascii="Times New Roman" w:hAnsi="Times New Roman" w:eastAsia="宋体" w:cs="Times New Roman"/>
          <w:smallCaps w:val="0"/>
          <w:color w:val="auto"/>
          <w:spacing w:val="0"/>
          <w:w w:val="100"/>
          <w:sz w:val="30"/>
          <w:szCs w:val="30"/>
          <w:highlight w:val="none"/>
          <w:lang w:val="en-US" w:eastAsia="zh-CN"/>
        </w:rPr>
        <w:t>100级1.6</w:t>
      </w:r>
      <w:r>
        <w:rPr>
          <w:rFonts w:hint="default" w:ascii="Times New Roman" w:hAnsi="Times New Roman" w:eastAsia="宋体" w:cs="Times New Roman"/>
          <w:smallCaps w:val="0"/>
          <w:color w:val="auto"/>
          <w:spacing w:val="0"/>
          <w:w w:val="100"/>
          <w:sz w:val="30"/>
          <w:szCs w:val="30"/>
          <w:highlight w:val="none"/>
          <w:lang w:eastAsia="zh-CN"/>
        </w:rPr>
        <w:t>MPa管</w:t>
      </w:r>
      <w:r>
        <w:rPr>
          <w:rFonts w:hint="default" w:ascii="Times New Roman" w:hAnsi="Times New Roman" w:eastAsia="宋体" w:cs="Times New Roman"/>
          <w:smallCaps w:val="0"/>
          <w:color w:val="auto"/>
          <w:spacing w:val="0"/>
          <w:w w:val="100"/>
          <w:sz w:val="30"/>
          <w:szCs w:val="30"/>
          <w:highlight w:val="none"/>
          <w:lang w:val="en-US" w:eastAsia="zh-CN"/>
        </w:rPr>
        <w:t>道21263m</w:t>
      </w:r>
      <w:r>
        <w:rPr>
          <w:rFonts w:hint="default" w:ascii="Times New Roman" w:hAnsi="Times New Roman" w:eastAsia="宋体" w:cs="Times New Roman"/>
          <w:smallCaps w:val="0"/>
          <w:color w:val="auto"/>
          <w:spacing w:val="0"/>
          <w:w w:val="100"/>
          <w:sz w:val="30"/>
          <w:szCs w:val="30"/>
          <w:highlight w:val="none"/>
          <w:lang w:eastAsia="zh-CN"/>
        </w:rPr>
        <w:t>。</w:t>
      </w:r>
    </w:p>
    <w:p w14:paraId="0CDF9352">
      <w:pPr>
        <w:pStyle w:val="15"/>
        <w:keepNext w:val="0"/>
        <w:keepLines w:val="0"/>
        <w:pageBreakBefore w:val="0"/>
        <w:widowControl w:val="0"/>
        <w:kinsoku/>
        <w:wordWrap/>
        <w:overflowPunct/>
        <w:topLinePunct w:val="0"/>
        <w:autoSpaceDE/>
        <w:autoSpaceDN/>
        <w:bidi w:val="0"/>
        <w:adjustRightInd/>
        <w:snapToGrid/>
        <w:ind w:left="0" w:firstLine="0" w:firstLineChars="0"/>
        <w:jc w:val="center"/>
        <w:textAlignment w:val="auto"/>
        <w:outlineLvl w:val="9"/>
        <w:rPr>
          <w:rFonts w:hint="default" w:ascii="Times New Roman" w:hAnsi="Times New Roman" w:cs="Times New Roman"/>
          <w:bCs/>
          <w:color w:val="auto"/>
          <w:sz w:val="28"/>
          <w:szCs w:val="28"/>
          <w:highlight w:val="none"/>
          <w:lang w:val="en-US" w:eastAsia="zh-CN"/>
        </w:rPr>
      </w:pPr>
      <w:r>
        <w:rPr>
          <w:rFonts w:hint="default" w:ascii="Times New Roman" w:hAnsi="Times New Roman" w:eastAsia="黑体" w:cs="Times New Roman"/>
          <w:bCs/>
          <w:color w:val="auto"/>
          <w:sz w:val="28"/>
          <w:szCs w:val="28"/>
          <w:highlight w:val="none"/>
        </w:rPr>
        <w:t>表5</w:t>
      </w:r>
      <w:r>
        <w:rPr>
          <w:rFonts w:hint="default" w:ascii="Times New Roman" w:hAnsi="Times New Roman" w:cs="Times New Roman"/>
          <w:bCs/>
          <w:color w:val="auto"/>
          <w:sz w:val="28"/>
          <w:szCs w:val="28"/>
          <w:highlight w:val="none"/>
          <w:lang w:val="en-US" w:eastAsia="zh-CN"/>
        </w:rPr>
        <w:t>.4.3</w:t>
      </w:r>
      <w:r>
        <w:rPr>
          <w:rFonts w:hint="default" w:ascii="Times New Roman" w:hAnsi="Times New Roman" w:eastAsia="黑体" w:cs="Times New Roman"/>
          <w:bCs/>
          <w:color w:val="auto"/>
          <w:sz w:val="28"/>
          <w:szCs w:val="28"/>
          <w:highlight w:val="none"/>
        </w:rPr>
        <w:t>-</w:t>
      </w:r>
      <w:r>
        <w:rPr>
          <w:rFonts w:hint="default" w:ascii="Times New Roman" w:hAnsi="Times New Roman" w:cs="Times New Roman"/>
          <w:bCs/>
          <w:color w:val="auto"/>
          <w:sz w:val="28"/>
          <w:szCs w:val="28"/>
          <w:highlight w:val="none"/>
          <w:lang w:val="en-US" w:eastAsia="zh-CN"/>
        </w:rPr>
        <w:t>6 高效节水工程特性表</w:t>
      </w: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29"/>
        <w:gridCol w:w="1619"/>
        <w:gridCol w:w="1433"/>
      </w:tblGrid>
      <w:tr w14:paraId="47E8C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873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名称及规格</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885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单位</w:t>
            </w:r>
          </w:p>
        </w:tc>
        <w:tc>
          <w:tcPr>
            <w:tcW w:w="7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187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数量</w:t>
            </w:r>
          </w:p>
        </w:tc>
      </w:tr>
      <w:tr w14:paraId="37774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9715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霍古都村高效节水灌溉</w:t>
            </w:r>
          </w:p>
        </w:tc>
      </w:tr>
      <w:tr w14:paraId="4DD46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69D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监控设备</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267B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套</w:t>
            </w:r>
          </w:p>
        </w:tc>
        <w:tc>
          <w:tcPr>
            <w:tcW w:w="7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23D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3</w:t>
            </w:r>
          </w:p>
        </w:tc>
      </w:tr>
      <w:tr w14:paraId="4782C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AB8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DN200PE管</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415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m</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5AB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6171</w:t>
            </w:r>
          </w:p>
        </w:tc>
      </w:tr>
      <w:tr w14:paraId="0BD32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D6F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DN75PE管</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D10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m</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ED7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21263</w:t>
            </w:r>
          </w:p>
        </w:tc>
      </w:tr>
      <w:tr w14:paraId="2A60C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D76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法兰闸阀DN200</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4E2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个</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2D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79</w:t>
            </w:r>
          </w:p>
        </w:tc>
      </w:tr>
      <w:tr w14:paraId="0D722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474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法兰闸阀DN75</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A5E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个</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098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79</w:t>
            </w:r>
          </w:p>
        </w:tc>
      </w:tr>
      <w:tr w14:paraId="6F964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2FC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弯头φ200</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F8C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个</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E46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44</w:t>
            </w:r>
          </w:p>
        </w:tc>
      </w:tr>
      <w:tr w14:paraId="16276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4D8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直接φ200</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61D9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个</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A1F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20</w:t>
            </w:r>
          </w:p>
        </w:tc>
      </w:tr>
      <w:tr w14:paraId="364B1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DB2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三通（DN200×DN75×DN200）</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400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个</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BA36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63</w:t>
            </w:r>
          </w:p>
        </w:tc>
      </w:tr>
      <w:tr w14:paraId="461C2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D93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钢套管DN200</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CDA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m</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608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71</w:t>
            </w:r>
          </w:p>
        </w:tc>
      </w:tr>
      <w:tr w14:paraId="2FE08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FA06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管道压力调节器</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FDB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套</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61DF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79</w:t>
            </w:r>
          </w:p>
        </w:tc>
      </w:tr>
      <w:tr w14:paraId="4BCFC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44A9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自动排气阀ZP-Ⅱ型DN200（1.6Mpa）</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1ADB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套</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7B3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18</w:t>
            </w:r>
          </w:p>
        </w:tc>
      </w:tr>
      <w:tr w14:paraId="0C815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09E0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放空阀DN75（FJ41Y-16C碳钢，1.6Mpa）</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2B8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套</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424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79</w:t>
            </w:r>
          </w:p>
        </w:tc>
      </w:tr>
      <w:tr w14:paraId="19263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03D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6寸阀门箱（高度：230mm，底部直径：205mm，顶部直径：160mm）</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527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套</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F9A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395</w:t>
            </w:r>
          </w:p>
        </w:tc>
      </w:tr>
      <w:tr w14:paraId="394C2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E5B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C32快速取水阀</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4CA5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套</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7ED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395</w:t>
            </w:r>
          </w:p>
        </w:tc>
      </w:tr>
      <w:tr w14:paraId="2C5A9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7424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LXS旋翼式水表（不锈钢，DN200，计量等级B）（含法兰盘等配件）</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2AAB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套</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86D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4</w:t>
            </w:r>
          </w:p>
        </w:tc>
      </w:tr>
      <w:tr w14:paraId="7C405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872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DN32竖管</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BC7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m</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76A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316</w:t>
            </w:r>
          </w:p>
        </w:tc>
      </w:tr>
      <w:tr w14:paraId="3DBE5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978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LXS旋翼式水表（不锈钢，DN75，计量等级B）（含法兰盘等配件）</w:t>
            </w:r>
          </w:p>
        </w:tc>
        <w:tc>
          <w:tcPr>
            <w:tcW w:w="8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BAA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套</w:t>
            </w:r>
          </w:p>
        </w:tc>
        <w:tc>
          <w:tcPr>
            <w:tcW w:w="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988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79</w:t>
            </w:r>
          </w:p>
        </w:tc>
      </w:tr>
    </w:tbl>
    <w:p w14:paraId="3DB9F54B">
      <w:pPr>
        <w:pStyle w:val="4"/>
        <w:keepNext w:val="0"/>
        <w:keepLines w:val="0"/>
        <w:pageBreakBefore w:val="0"/>
        <w:kinsoku/>
        <w:wordWrap/>
        <w:overflowPunct/>
        <w:topLinePunct w:val="0"/>
        <w:bidi w:val="0"/>
        <w:adjustRightInd w:val="0"/>
        <w:snapToGrid w:val="0"/>
        <w:spacing w:before="0" w:after="0" w:line="560" w:lineRule="exact"/>
        <w:ind w:left="0"/>
        <w:outlineLvl w:val="3"/>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highlight w:val="none"/>
          <w:lang w:eastAsia="zh-CN"/>
        </w:rPr>
        <w:t>5.4.3.</w:t>
      </w:r>
      <w:r>
        <w:rPr>
          <w:rFonts w:hint="default" w:ascii="Times New Roman" w:hAnsi="Times New Roman" w:cs="Times New Roman"/>
          <w:smallCaps w:val="0"/>
          <w:color w:val="auto"/>
          <w:spacing w:val="0"/>
          <w:w w:val="100"/>
          <w:highlight w:val="none"/>
          <w:lang w:val="en-US" w:eastAsia="zh-CN"/>
        </w:rPr>
        <w:t>5</w:t>
      </w:r>
      <w:r>
        <w:rPr>
          <w:rFonts w:hint="default" w:ascii="Times New Roman" w:hAnsi="Times New Roman" w:eastAsia="宋体" w:cs="Times New Roman"/>
          <w:smallCaps w:val="0"/>
          <w:color w:val="auto"/>
          <w:spacing w:val="0"/>
          <w:w w:val="100"/>
          <w:highlight w:val="none"/>
          <w:lang w:eastAsia="zh-CN"/>
        </w:rPr>
        <w:t xml:space="preserve"> </w:t>
      </w:r>
      <w:r>
        <w:rPr>
          <w:rFonts w:hint="default" w:ascii="Times New Roman" w:hAnsi="Times New Roman" w:cs="Times New Roman"/>
          <w:smallCaps w:val="0"/>
          <w:color w:val="auto"/>
          <w:spacing w:val="0"/>
          <w:w w:val="100"/>
          <w:highlight w:val="none"/>
          <w:lang w:val="en-US" w:eastAsia="zh-CN"/>
        </w:rPr>
        <w:t>其他水利措施</w:t>
      </w:r>
    </w:p>
    <w:p w14:paraId="4C0E56FE">
      <w:pPr>
        <w:kinsoku/>
        <w:spacing w:line="560" w:lineRule="exact"/>
        <w:ind w:left="44" w:right="28"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为了更好</w:t>
      </w:r>
      <w:r>
        <w:rPr>
          <w:rFonts w:hint="eastAsia" w:ascii="Times New Roman" w:hAnsi="Times New Roman" w:eastAsia="宋体" w:cs="Times New Roman"/>
          <w:smallCaps w:val="0"/>
          <w:color w:val="auto"/>
          <w:spacing w:val="0"/>
          <w:w w:val="100"/>
          <w:sz w:val="30"/>
          <w:szCs w:val="30"/>
          <w:highlight w:val="none"/>
          <w:lang w:val="en-US" w:eastAsia="zh-CN"/>
        </w:rPr>
        <w:t>地</w:t>
      </w:r>
      <w:r>
        <w:rPr>
          <w:rFonts w:hint="default" w:ascii="Times New Roman" w:hAnsi="Times New Roman" w:eastAsia="宋体" w:cs="Times New Roman"/>
          <w:smallCaps w:val="0"/>
          <w:color w:val="auto"/>
          <w:spacing w:val="0"/>
          <w:w w:val="100"/>
          <w:sz w:val="30"/>
          <w:szCs w:val="30"/>
          <w:highlight w:val="none"/>
          <w:lang w:val="en-US" w:eastAsia="zh-CN"/>
        </w:rPr>
        <w:t>了解灌区用水情况，本项目计划采用在末级渠道上安装水标尺以及在高效节水灌溉管道上安装电子水表来对供水水量进行精准计量。</w:t>
      </w:r>
    </w:p>
    <w:p w14:paraId="6874C1ED">
      <w:pPr>
        <w:kinsoku/>
        <w:spacing w:line="560" w:lineRule="exact"/>
        <w:ind w:left="44" w:right="28"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量水标尺布置于矩形测流段的中间位置，矩形测流段纵比降设计为1/1000，水标尺采用外购成品，水标尺采用嵌入式钢板水标尺，带夜间反光膜，宽度为12cm，采用明渠恒定均匀流量计算公式换算为渠道流量</w:t>
      </w:r>
      <w:r>
        <w:rPr>
          <w:rFonts w:hint="default" w:ascii="Times New Roman" w:hAnsi="Times New Roman" w:eastAsia="宋体" w:cs="Times New Roman"/>
          <w:smallCaps w:val="0"/>
          <w:color w:val="auto"/>
          <w:spacing w:val="0"/>
          <w:w w:val="100"/>
          <w:sz w:val="30"/>
          <w:szCs w:val="30"/>
          <w:highlight w:val="none"/>
          <w:lang w:eastAsia="zh-CN"/>
        </w:rPr>
        <w:t>。</w:t>
      </w:r>
    </w:p>
    <w:p w14:paraId="6EF04CE4">
      <w:pPr>
        <w:kinsoku/>
        <w:spacing w:line="560" w:lineRule="exact"/>
        <w:ind w:left="44" w:right="28"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高效节水管道上均安装水表，管道用水量可通过水表读数。</w:t>
      </w:r>
    </w:p>
    <w:p w14:paraId="21F443A3">
      <w:pPr>
        <w:pStyle w:val="15"/>
        <w:keepNext w:val="0"/>
        <w:keepLines w:val="0"/>
        <w:pageBreakBefore w:val="0"/>
        <w:widowControl w:val="0"/>
        <w:kinsoku/>
        <w:wordWrap/>
        <w:overflowPunct/>
        <w:topLinePunct w:val="0"/>
        <w:autoSpaceDE/>
        <w:autoSpaceDN/>
        <w:bidi w:val="0"/>
        <w:adjustRightInd/>
        <w:snapToGrid/>
        <w:ind w:left="0" w:firstLine="0" w:firstLineChars="0"/>
        <w:jc w:val="center"/>
        <w:textAlignment w:val="auto"/>
        <w:outlineLvl w:val="9"/>
        <w:rPr>
          <w:rFonts w:hint="default" w:ascii="Times New Roman" w:hAnsi="Times New Roman" w:cs="Times New Roman"/>
          <w:bCs/>
          <w:color w:val="auto"/>
          <w:sz w:val="28"/>
          <w:szCs w:val="28"/>
          <w:highlight w:val="none"/>
          <w:lang w:val="en-US" w:eastAsia="zh-CN"/>
        </w:rPr>
      </w:pPr>
      <w:r>
        <w:rPr>
          <w:rFonts w:hint="default" w:ascii="Times New Roman" w:hAnsi="Times New Roman" w:eastAsia="黑体" w:cs="Times New Roman"/>
          <w:bCs/>
          <w:color w:val="auto"/>
          <w:sz w:val="28"/>
          <w:szCs w:val="28"/>
          <w:highlight w:val="none"/>
        </w:rPr>
        <w:t>表5</w:t>
      </w:r>
      <w:r>
        <w:rPr>
          <w:rFonts w:hint="default" w:ascii="Times New Roman" w:hAnsi="Times New Roman" w:cs="Times New Roman"/>
          <w:bCs/>
          <w:color w:val="auto"/>
          <w:sz w:val="28"/>
          <w:szCs w:val="28"/>
          <w:highlight w:val="none"/>
          <w:lang w:val="en-US" w:eastAsia="zh-CN"/>
        </w:rPr>
        <w:t>.4.3</w:t>
      </w:r>
      <w:r>
        <w:rPr>
          <w:rFonts w:hint="default" w:ascii="Times New Roman" w:hAnsi="Times New Roman" w:eastAsia="黑体" w:cs="Times New Roman"/>
          <w:bCs/>
          <w:color w:val="auto"/>
          <w:sz w:val="28"/>
          <w:szCs w:val="28"/>
          <w:highlight w:val="none"/>
        </w:rPr>
        <w:t>-</w:t>
      </w:r>
      <w:r>
        <w:rPr>
          <w:rFonts w:hint="default" w:ascii="Times New Roman" w:hAnsi="Times New Roman" w:cs="Times New Roman"/>
          <w:bCs/>
          <w:color w:val="auto"/>
          <w:sz w:val="28"/>
          <w:szCs w:val="28"/>
          <w:highlight w:val="none"/>
          <w:lang w:val="en-US" w:eastAsia="zh-CN"/>
        </w:rPr>
        <w:t>7 量水设施工程量统计表</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2837"/>
        <w:gridCol w:w="2082"/>
        <w:gridCol w:w="2086"/>
        <w:gridCol w:w="2086"/>
      </w:tblGrid>
      <w:tr w14:paraId="65F32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1560" w:type="pct"/>
            <w:shd w:val="clear" w:color="auto" w:fill="auto"/>
            <w:noWrap/>
            <w:tcMar>
              <w:top w:w="15" w:type="dxa"/>
              <w:left w:w="15" w:type="dxa"/>
              <w:right w:w="15" w:type="dxa"/>
            </w:tcMar>
            <w:vAlign w:val="center"/>
          </w:tcPr>
          <w:p w14:paraId="569DA86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村属</w:t>
            </w:r>
          </w:p>
        </w:tc>
        <w:tc>
          <w:tcPr>
            <w:tcW w:w="1145" w:type="pct"/>
            <w:shd w:val="clear" w:color="auto" w:fill="auto"/>
            <w:noWrap/>
            <w:tcMar>
              <w:top w:w="15" w:type="dxa"/>
              <w:left w:w="15" w:type="dxa"/>
              <w:right w:w="15" w:type="dxa"/>
            </w:tcMar>
            <w:vAlign w:val="center"/>
          </w:tcPr>
          <w:p w14:paraId="071555AD">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量水标尺（处）</w:t>
            </w:r>
          </w:p>
        </w:tc>
        <w:tc>
          <w:tcPr>
            <w:tcW w:w="1147" w:type="pct"/>
            <w:shd w:val="clear" w:color="auto" w:fill="auto"/>
            <w:noWrap/>
            <w:tcMar>
              <w:top w:w="15" w:type="dxa"/>
              <w:left w:w="15" w:type="dxa"/>
              <w:right w:w="15" w:type="dxa"/>
            </w:tcMar>
            <w:vAlign w:val="center"/>
          </w:tcPr>
          <w:p w14:paraId="46F8C4F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量水仪表（个）</w:t>
            </w:r>
          </w:p>
        </w:tc>
        <w:tc>
          <w:tcPr>
            <w:tcW w:w="1147" w:type="pct"/>
            <w:shd w:val="clear" w:color="auto" w:fill="auto"/>
            <w:noWrap/>
            <w:tcMar>
              <w:top w:w="15" w:type="dxa"/>
              <w:left w:w="15" w:type="dxa"/>
              <w:right w:w="15" w:type="dxa"/>
            </w:tcMar>
            <w:vAlign w:val="center"/>
          </w:tcPr>
          <w:p w14:paraId="4599FD5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小计</w:t>
            </w:r>
          </w:p>
        </w:tc>
      </w:tr>
      <w:tr w14:paraId="15930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1560" w:type="pct"/>
            <w:shd w:val="clear" w:color="auto" w:fill="auto"/>
            <w:noWrap/>
            <w:tcMar>
              <w:top w:w="15" w:type="dxa"/>
              <w:left w:w="15" w:type="dxa"/>
              <w:right w:w="15" w:type="dxa"/>
            </w:tcMar>
            <w:vAlign w:val="center"/>
          </w:tcPr>
          <w:p w14:paraId="492F08F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也伦达村</w:t>
            </w:r>
          </w:p>
        </w:tc>
        <w:tc>
          <w:tcPr>
            <w:tcW w:w="1145" w:type="pct"/>
            <w:shd w:val="clear" w:color="auto" w:fill="auto"/>
            <w:noWrap/>
            <w:tcMar>
              <w:top w:w="15" w:type="dxa"/>
              <w:left w:w="15" w:type="dxa"/>
              <w:right w:w="15" w:type="dxa"/>
            </w:tcMar>
            <w:vAlign w:val="center"/>
          </w:tcPr>
          <w:p w14:paraId="1E9D1A36">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w:t>
            </w:r>
          </w:p>
        </w:tc>
        <w:tc>
          <w:tcPr>
            <w:tcW w:w="1147" w:type="pct"/>
            <w:shd w:val="clear" w:color="auto" w:fill="auto"/>
            <w:noWrap/>
            <w:tcMar>
              <w:top w:w="15" w:type="dxa"/>
              <w:left w:w="15" w:type="dxa"/>
              <w:right w:w="15" w:type="dxa"/>
            </w:tcMar>
            <w:vAlign w:val="center"/>
          </w:tcPr>
          <w:p w14:paraId="0FE0722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0</w:t>
            </w:r>
          </w:p>
        </w:tc>
        <w:tc>
          <w:tcPr>
            <w:tcW w:w="1147" w:type="pct"/>
            <w:shd w:val="clear" w:color="auto" w:fill="auto"/>
            <w:noWrap/>
            <w:tcMar>
              <w:top w:w="15" w:type="dxa"/>
              <w:left w:w="15" w:type="dxa"/>
              <w:right w:w="15" w:type="dxa"/>
            </w:tcMar>
            <w:vAlign w:val="center"/>
          </w:tcPr>
          <w:p w14:paraId="1157E6E5">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w:t>
            </w:r>
          </w:p>
        </w:tc>
      </w:tr>
      <w:tr w14:paraId="6B2D6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85" w:hRule="atLeast"/>
        </w:trPr>
        <w:tc>
          <w:tcPr>
            <w:tcW w:w="1560" w:type="pct"/>
            <w:shd w:val="clear" w:color="auto" w:fill="auto"/>
            <w:noWrap/>
            <w:tcMar>
              <w:top w:w="15" w:type="dxa"/>
              <w:left w:w="15" w:type="dxa"/>
              <w:right w:w="15" w:type="dxa"/>
            </w:tcMar>
            <w:vAlign w:val="center"/>
          </w:tcPr>
          <w:p w14:paraId="2BD1B2E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日安村</w:t>
            </w:r>
          </w:p>
        </w:tc>
        <w:tc>
          <w:tcPr>
            <w:tcW w:w="1145" w:type="pct"/>
            <w:shd w:val="clear" w:color="auto" w:fill="auto"/>
            <w:noWrap/>
            <w:tcMar>
              <w:top w:w="15" w:type="dxa"/>
              <w:left w:w="15" w:type="dxa"/>
              <w:right w:w="15" w:type="dxa"/>
            </w:tcMar>
            <w:vAlign w:val="center"/>
          </w:tcPr>
          <w:p w14:paraId="7476A57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w:t>
            </w:r>
          </w:p>
        </w:tc>
        <w:tc>
          <w:tcPr>
            <w:tcW w:w="1147" w:type="pct"/>
            <w:shd w:val="clear" w:color="auto" w:fill="auto"/>
            <w:noWrap/>
            <w:tcMar>
              <w:top w:w="15" w:type="dxa"/>
              <w:left w:w="15" w:type="dxa"/>
              <w:right w:w="15" w:type="dxa"/>
            </w:tcMar>
            <w:vAlign w:val="center"/>
          </w:tcPr>
          <w:p w14:paraId="62B62F0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0</w:t>
            </w:r>
          </w:p>
        </w:tc>
        <w:tc>
          <w:tcPr>
            <w:tcW w:w="1147" w:type="pct"/>
            <w:shd w:val="clear" w:color="auto" w:fill="auto"/>
            <w:noWrap/>
            <w:tcMar>
              <w:top w:w="15" w:type="dxa"/>
              <w:left w:w="15" w:type="dxa"/>
              <w:right w:w="15" w:type="dxa"/>
            </w:tcMar>
            <w:vAlign w:val="center"/>
          </w:tcPr>
          <w:p w14:paraId="1E374AD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w:t>
            </w:r>
          </w:p>
        </w:tc>
      </w:tr>
      <w:tr w14:paraId="0692C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85" w:hRule="atLeast"/>
        </w:trPr>
        <w:tc>
          <w:tcPr>
            <w:tcW w:w="1560" w:type="pct"/>
            <w:shd w:val="clear" w:color="auto" w:fill="auto"/>
            <w:noWrap/>
            <w:tcMar>
              <w:top w:w="15" w:type="dxa"/>
              <w:left w:w="15" w:type="dxa"/>
              <w:right w:w="15" w:type="dxa"/>
            </w:tcMar>
            <w:vAlign w:val="center"/>
          </w:tcPr>
          <w:p w14:paraId="6D7504B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霍古都村</w:t>
            </w:r>
          </w:p>
        </w:tc>
        <w:tc>
          <w:tcPr>
            <w:tcW w:w="1145" w:type="pct"/>
            <w:shd w:val="clear" w:color="auto" w:fill="auto"/>
            <w:noWrap/>
            <w:tcMar>
              <w:top w:w="15" w:type="dxa"/>
              <w:left w:w="15" w:type="dxa"/>
              <w:right w:w="15" w:type="dxa"/>
            </w:tcMar>
            <w:vAlign w:val="center"/>
          </w:tcPr>
          <w:p w14:paraId="118EE06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0</w:t>
            </w:r>
          </w:p>
        </w:tc>
        <w:tc>
          <w:tcPr>
            <w:tcW w:w="1147" w:type="pct"/>
            <w:shd w:val="clear" w:color="auto" w:fill="auto"/>
            <w:noWrap/>
            <w:tcMar>
              <w:top w:w="15" w:type="dxa"/>
              <w:left w:w="15" w:type="dxa"/>
              <w:right w:w="15" w:type="dxa"/>
            </w:tcMar>
            <w:vAlign w:val="center"/>
          </w:tcPr>
          <w:p w14:paraId="72D2D24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83</w:t>
            </w:r>
          </w:p>
        </w:tc>
        <w:tc>
          <w:tcPr>
            <w:tcW w:w="1147" w:type="pct"/>
            <w:shd w:val="clear" w:color="auto" w:fill="auto"/>
            <w:noWrap/>
            <w:tcMar>
              <w:top w:w="15" w:type="dxa"/>
              <w:left w:w="15" w:type="dxa"/>
              <w:right w:w="15" w:type="dxa"/>
            </w:tcMar>
            <w:vAlign w:val="center"/>
          </w:tcPr>
          <w:p w14:paraId="4C0E02BA">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83</w:t>
            </w:r>
          </w:p>
        </w:tc>
      </w:tr>
      <w:tr w14:paraId="7E23D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85" w:hRule="atLeast"/>
        </w:trPr>
        <w:tc>
          <w:tcPr>
            <w:tcW w:w="1560" w:type="pct"/>
            <w:shd w:val="clear" w:color="auto" w:fill="auto"/>
            <w:noWrap/>
            <w:tcMar>
              <w:top w:w="15" w:type="dxa"/>
              <w:left w:w="15" w:type="dxa"/>
              <w:right w:w="15" w:type="dxa"/>
            </w:tcMar>
            <w:vAlign w:val="center"/>
          </w:tcPr>
          <w:p w14:paraId="1F8FBC5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卡呷村</w:t>
            </w:r>
          </w:p>
        </w:tc>
        <w:tc>
          <w:tcPr>
            <w:tcW w:w="1145" w:type="pct"/>
            <w:shd w:val="clear" w:color="auto" w:fill="auto"/>
            <w:noWrap/>
            <w:tcMar>
              <w:top w:w="15" w:type="dxa"/>
              <w:left w:w="15" w:type="dxa"/>
              <w:right w:w="15" w:type="dxa"/>
            </w:tcMar>
            <w:vAlign w:val="center"/>
          </w:tcPr>
          <w:p w14:paraId="69E83ECE">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w:t>
            </w:r>
          </w:p>
        </w:tc>
        <w:tc>
          <w:tcPr>
            <w:tcW w:w="1147" w:type="pct"/>
            <w:shd w:val="clear" w:color="auto" w:fill="auto"/>
            <w:noWrap/>
            <w:tcMar>
              <w:top w:w="15" w:type="dxa"/>
              <w:left w:w="15" w:type="dxa"/>
              <w:right w:w="15" w:type="dxa"/>
            </w:tcMar>
            <w:vAlign w:val="center"/>
          </w:tcPr>
          <w:p w14:paraId="376B0C8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0</w:t>
            </w:r>
          </w:p>
        </w:tc>
        <w:tc>
          <w:tcPr>
            <w:tcW w:w="1147" w:type="pct"/>
            <w:shd w:val="clear" w:color="auto" w:fill="auto"/>
            <w:noWrap/>
            <w:tcMar>
              <w:top w:w="15" w:type="dxa"/>
              <w:left w:w="15" w:type="dxa"/>
              <w:right w:w="15" w:type="dxa"/>
            </w:tcMar>
            <w:vAlign w:val="center"/>
          </w:tcPr>
          <w:p w14:paraId="3FED2CC2">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w:t>
            </w:r>
          </w:p>
        </w:tc>
      </w:tr>
      <w:tr w14:paraId="69937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1560" w:type="pct"/>
            <w:shd w:val="clear" w:color="auto" w:fill="auto"/>
            <w:noWrap/>
            <w:tcMar>
              <w:top w:w="15" w:type="dxa"/>
              <w:left w:w="15" w:type="dxa"/>
              <w:right w:w="15" w:type="dxa"/>
            </w:tcMar>
            <w:vAlign w:val="center"/>
          </w:tcPr>
          <w:p w14:paraId="031B794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合计</w:t>
            </w:r>
          </w:p>
        </w:tc>
        <w:tc>
          <w:tcPr>
            <w:tcW w:w="1145" w:type="pct"/>
            <w:shd w:val="clear" w:color="auto" w:fill="auto"/>
            <w:noWrap/>
            <w:tcMar>
              <w:top w:w="15" w:type="dxa"/>
              <w:left w:w="15" w:type="dxa"/>
              <w:right w:w="15" w:type="dxa"/>
            </w:tcMar>
            <w:vAlign w:val="center"/>
          </w:tcPr>
          <w:p w14:paraId="2515020C">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5</w:t>
            </w:r>
          </w:p>
        </w:tc>
        <w:tc>
          <w:tcPr>
            <w:tcW w:w="1147" w:type="pct"/>
            <w:shd w:val="clear" w:color="auto" w:fill="auto"/>
            <w:noWrap/>
            <w:tcMar>
              <w:top w:w="15" w:type="dxa"/>
              <w:left w:w="15" w:type="dxa"/>
              <w:right w:w="15" w:type="dxa"/>
            </w:tcMar>
            <w:vAlign w:val="center"/>
          </w:tcPr>
          <w:p w14:paraId="32633458">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83</w:t>
            </w:r>
          </w:p>
        </w:tc>
        <w:tc>
          <w:tcPr>
            <w:tcW w:w="1147" w:type="pct"/>
            <w:shd w:val="clear" w:color="auto" w:fill="auto"/>
            <w:noWrap/>
            <w:tcMar>
              <w:top w:w="15" w:type="dxa"/>
              <w:left w:w="15" w:type="dxa"/>
              <w:right w:w="15" w:type="dxa"/>
            </w:tcMar>
            <w:vAlign w:val="center"/>
          </w:tcPr>
          <w:p w14:paraId="2761B859">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4"/>
                <w:szCs w:val="24"/>
                <w:highlight w:val="none"/>
                <w:u w:val="none"/>
                <w:lang w:val="en-US" w:eastAsia="zh-CN" w:bidi="ar"/>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88</w:t>
            </w:r>
          </w:p>
        </w:tc>
      </w:tr>
    </w:tbl>
    <w:p w14:paraId="5D332EC7">
      <w:pPr>
        <w:pStyle w:val="4"/>
        <w:spacing w:before="0" w:after="0" w:line="560" w:lineRule="exact"/>
        <w:outlineLvl w:val="2"/>
        <w:rPr>
          <w:rFonts w:hint="default" w:ascii="Times New Roman" w:hAnsi="Times New Roman" w:eastAsia="宋体" w:cs="Times New Roman"/>
          <w:smallCaps w:val="0"/>
          <w:color w:val="auto"/>
          <w:spacing w:val="0"/>
          <w:w w:val="100"/>
          <w:highlight w:val="none"/>
        </w:rPr>
      </w:pPr>
      <w:bookmarkStart w:id="217" w:name="_Toc9123"/>
      <w:r>
        <w:rPr>
          <w:rFonts w:hint="default" w:ascii="Times New Roman" w:hAnsi="Times New Roman" w:eastAsia="宋体" w:cs="Times New Roman"/>
          <w:smallCaps w:val="0"/>
          <w:color w:val="auto"/>
          <w:spacing w:val="0"/>
          <w:w w:val="100"/>
          <w:highlight w:val="none"/>
        </w:rPr>
        <w:t>5.4.4 田间道路工程</w:t>
      </w:r>
      <w:bookmarkEnd w:id="216"/>
      <w:bookmarkEnd w:id="217"/>
    </w:p>
    <w:p w14:paraId="0F96600A">
      <w:pPr>
        <w:kinsoku/>
        <w:spacing w:before="258" w:line="224" w:lineRule="auto"/>
        <w:ind w:left="39" w:leftChars="0"/>
        <w:outlineLvl w:val="3"/>
        <w:rPr>
          <w:rFonts w:hint="default" w:ascii="Times New Roman" w:hAnsi="Times New Roman" w:eastAsia="宋体" w:cs="Times New Roman"/>
          <w:smallCaps w:val="0"/>
          <w:color w:val="auto"/>
          <w:spacing w:val="0"/>
          <w:w w:val="100"/>
          <w:sz w:val="31"/>
          <w:szCs w:val="31"/>
          <w:highlight w:val="none"/>
          <w:lang w:eastAsia="zh-CN"/>
        </w:rPr>
      </w:pPr>
      <w:bookmarkStart w:id="218" w:name="_Toc3690"/>
      <w:r>
        <w:rPr>
          <w:rFonts w:hint="default" w:ascii="Times New Roman" w:hAnsi="Times New Roman" w:eastAsia="宋体" w:cs="Times New Roman"/>
          <w:smallCaps w:val="0"/>
          <w:color w:val="auto"/>
          <w:spacing w:val="0"/>
          <w:w w:val="100"/>
          <w:highlight w:val="none"/>
        </w:rPr>
        <w:fldChar w:fldCharType="begin"/>
      </w:r>
      <w:r>
        <w:rPr>
          <w:rFonts w:hint="default" w:ascii="Times New Roman" w:hAnsi="Times New Roman" w:eastAsia="宋体" w:cs="Times New Roman"/>
          <w:smallCaps w:val="0"/>
          <w:color w:val="auto"/>
          <w:spacing w:val="0"/>
          <w:w w:val="100"/>
          <w:highlight w:val="none"/>
        </w:rPr>
        <w:instrText xml:space="preserve"> HYPERLINK "file:///F:\\F盘\\3-2024年\\8-甘孜州高标准农田\\收集的模板\\3、2021年高标准农田建设项目设计资料\\5.4.4.1" </w:instrText>
      </w:r>
      <w:r>
        <w:rPr>
          <w:rFonts w:hint="default" w:ascii="Times New Roman" w:hAnsi="Times New Roman" w:eastAsia="宋体" w:cs="Times New Roman"/>
          <w:smallCaps w:val="0"/>
          <w:color w:val="auto"/>
          <w:spacing w:val="0"/>
          <w:w w:val="100"/>
          <w:highlight w:val="none"/>
        </w:rPr>
        <w:fldChar w:fldCharType="separate"/>
      </w:r>
      <w:r>
        <w:rPr>
          <w:rFonts w:hint="default" w:ascii="Times New Roman" w:hAnsi="Times New Roman" w:eastAsia="宋体" w:cs="Times New Roman"/>
          <w:b/>
          <w:bCs/>
          <w:smallCaps w:val="0"/>
          <w:color w:val="auto"/>
          <w:spacing w:val="0"/>
          <w:w w:val="100"/>
          <w:sz w:val="31"/>
          <w:szCs w:val="31"/>
          <w:highlight w:val="none"/>
          <w:lang w:eastAsia="zh-CN"/>
        </w:rPr>
        <w:t>5.4.4.1</w:t>
      </w:r>
      <w:r>
        <w:rPr>
          <w:rFonts w:hint="default" w:ascii="Times New Roman" w:hAnsi="Times New Roman" w:eastAsia="宋体" w:cs="Times New Roman"/>
          <w:b/>
          <w:bCs/>
          <w:smallCaps w:val="0"/>
          <w:color w:val="auto"/>
          <w:spacing w:val="0"/>
          <w:w w:val="100"/>
          <w:sz w:val="31"/>
          <w:szCs w:val="31"/>
          <w:highlight w:val="none"/>
          <w:lang w:eastAsia="zh-CN"/>
        </w:rPr>
        <w:fldChar w:fldCharType="end"/>
      </w:r>
      <w:r>
        <w:rPr>
          <w:rFonts w:hint="default" w:ascii="Times New Roman" w:hAnsi="Times New Roman" w:eastAsia="宋体" w:cs="Times New Roman"/>
          <w:b/>
          <w:bCs/>
          <w:smallCaps w:val="0"/>
          <w:color w:val="auto"/>
          <w:spacing w:val="0"/>
          <w:w w:val="100"/>
          <w:sz w:val="31"/>
          <w:szCs w:val="31"/>
          <w:highlight w:val="none"/>
          <w:lang w:eastAsia="zh-CN"/>
        </w:rPr>
        <w:t xml:space="preserve"> 田间机耕道</w:t>
      </w:r>
      <w:bookmarkEnd w:id="218"/>
    </w:p>
    <w:p w14:paraId="16EF07A6">
      <w:pPr>
        <w:kinsoku/>
        <w:spacing w:line="560" w:lineRule="exact"/>
        <w:ind w:left="44" w:right="28"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1.现状交通存在的主要问题</w:t>
      </w:r>
    </w:p>
    <w:p w14:paraId="2592751A">
      <w:pPr>
        <w:kinsoku/>
        <w:spacing w:line="560" w:lineRule="exact"/>
        <w:ind w:left="44" w:right="28"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项目区地处高山地区，主要村、社道路已硬化，但田间机耕道 仍有大量道路为泥土路面。路面大坑小凼，晴天基本能通行，如遇雨天，就根本不能通行。项目区干部群众都迫切希望改变这种交通 落后的农业生产状况，所以解决项目区的机械交通问题是此次工程 的重要任务。农民生产生活全靠步行，农副产品不能外运，极大 地影响了当地发展和农民生活水平的提高。在当地群众的热烈要求 下结合当地农业以后的发展，在人口密集、生产集中的地段设计生产道路，方便农业</w:t>
      </w:r>
      <w:r>
        <w:rPr>
          <w:rFonts w:hint="eastAsia" w:ascii="Times New Roman" w:hAnsi="Times New Roman" w:eastAsia="宋体" w:cs="Times New Roman"/>
          <w:smallCaps w:val="0"/>
          <w:color w:val="auto"/>
          <w:spacing w:val="0"/>
          <w:w w:val="100"/>
          <w:sz w:val="30"/>
          <w:szCs w:val="30"/>
          <w:highlight w:val="none"/>
          <w:lang w:val="en-US" w:eastAsia="zh-CN"/>
        </w:rPr>
        <w:t>机械化</w:t>
      </w:r>
      <w:r>
        <w:rPr>
          <w:rFonts w:hint="default" w:ascii="Times New Roman" w:hAnsi="Times New Roman" w:eastAsia="宋体" w:cs="Times New Roman"/>
          <w:smallCaps w:val="0"/>
          <w:color w:val="auto"/>
          <w:spacing w:val="0"/>
          <w:w w:val="100"/>
          <w:sz w:val="30"/>
          <w:szCs w:val="30"/>
          <w:highlight w:val="none"/>
          <w:lang w:eastAsia="zh-CN"/>
        </w:rPr>
        <w:t>生产</w:t>
      </w:r>
      <w:r>
        <w:rPr>
          <w:rFonts w:hint="eastAsia" w:ascii="Times New Roman" w:hAnsi="Times New Roman" w:eastAsia="宋体" w:cs="Times New Roman"/>
          <w:smallCaps w:val="0"/>
          <w:color w:val="auto"/>
          <w:spacing w:val="0"/>
          <w:w w:val="100"/>
          <w:sz w:val="30"/>
          <w:szCs w:val="30"/>
          <w:highlight w:val="none"/>
          <w:lang w:val="en-US" w:eastAsia="zh-CN"/>
        </w:rPr>
        <w:t>作业</w:t>
      </w:r>
      <w:r>
        <w:rPr>
          <w:rFonts w:hint="default" w:ascii="Times New Roman" w:hAnsi="Times New Roman" w:eastAsia="宋体" w:cs="Times New Roman"/>
          <w:smallCaps w:val="0"/>
          <w:color w:val="auto"/>
          <w:spacing w:val="0"/>
          <w:w w:val="100"/>
          <w:sz w:val="30"/>
          <w:szCs w:val="30"/>
          <w:highlight w:val="none"/>
          <w:lang w:eastAsia="zh-CN"/>
        </w:rPr>
        <w:t>和</w:t>
      </w:r>
      <w:r>
        <w:rPr>
          <w:rFonts w:hint="eastAsia" w:ascii="Times New Roman" w:hAnsi="Times New Roman" w:eastAsia="宋体" w:cs="Times New Roman"/>
          <w:smallCaps w:val="0"/>
          <w:color w:val="auto"/>
          <w:spacing w:val="0"/>
          <w:w w:val="100"/>
          <w:sz w:val="30"/>
          <w:szCs w:val="30"/>
          <w:highlight w:val="none"/>
          <w:lang w:val="en-US" w:eastAsia="zh-CN"/>
        </w:rPr>
        <w:t>农资、</w:t>
      </w:r>
      <w:r>
        <w:rPr>
          <w:rFonts w:hint="default" w:ascii="Times New Roman" w:hAnsi="Times New Roman" w:eastAsia="宋体" w:cs="Times New Roman"/>
          <w:smallCaps w:val="0"/>
          <w:color w:val="auto"/>
          <w:spacing w:val="0"/>
          <w:w w:val="100"/>
          <w:sz w:val="30"/>
          <w:szCs w:val="30"/>
          <w:highlight w:val="none"/>
          <w:lang w:eastAsia="zh-CN"/>
        </w:rPr>
        <w:t>农产品的运输。</w:t>
      </w:r>
    </w:p>
    <w:p w14:paraId="7EA3393D">
      <w:pPr>
        <w:kinsoku/>
        <w:spacing w:line="560" w:lineRule="exact"/>
        <w:ind w:left="44" w:right="28"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2.针对上述问题，本次道路工程的设计思路如下。</w:t>
      </w:r>
    </w:p>
    <w:p w14:paraId="56D7CE59">
      <w:pPr>
        <w:kinsoku/>
        <w:spacing w:line="560" w:lineRule="exact"/>
        <w:ind w:left="41" w:right="47"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本项目设计田间机耕道在原有土质或泥结石路基上硬化建设， 原有路床在多年的通行下，已经形成比较坚硬的路床。本次修建只 需对原路床进行局部挖高填底，压实整平，然后铺筑15cm厚</w:t>
      </w:r>
      <w:r>
        <w:rPr>
          <w:rFonts w:hint="eastAsia" w:ascii="Times New Roman" w:hAnsi="Times New Roman" w:eastAsia="宋体" w:cs="Times New Roman"/>
          <w:smallCaps w:val="0"/>
          <w:color w:val="auto"/>
          <w:spacing w:val="0"/>
          <w:w w:val="100"/>
          <w:sz w:val="30"/>
          <w:szCs w:val="30"/>
          <w:highlight w:val="none"/>
          <w:lang w:val="en-US" w:eastAsia="zh-CN"/>
        </w:rPr>
        <w:t>级配碎石</w:t>
      </w:r>
      <w:r>
        <w:rPr>
          <w:rFonts w:hint="default" w:ascii="Times New Roman" w:hAnsi="Times New Roman" w:eastAsia="宋体" w:cs="Times New Roman"/>
          <w:smallCaps w:val="0"/>
          <w:color w:val="auto"/>
          <w:spacing w:val="0"/>
          <w:w w:val="100"/>
          <w:sz w:val="30"/>
          <w:szCs w:val="30"/>
          <w:highlight w:val="none"/>
          <w:lang w:eastAsia="zh-CN"/>
        </w:rPr>
        <w:t>垫层，最后现浇20cm厚C30混凝土路面。</w:t>
      </w:r>
    </w:p>
    <w:p w14:paraId="30140978">
      <w:pPr>
        <w:kinsoku/>
        <w:spacing w:line="560" w:lineRule="exact"/>
        <w:ind w:left="38" w:right="86"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①路网布置：分为田间机耕道和生产路两级，根据田间路网布 置的一般原则，使项目区规划道路尽量与对外交通道路（社道及以 上道路）或项目区内原有机耕道路衔接贯通，同时考虑方便生产和 生活，满足交通运输、农机行驶和田间生产及管理的要求。在尽量 利用现有道路基础上，根据实际需要，适当增加田间机耕道和生产 路，使田间道路布局更合理，功能更实用。</w:t>
      </w:r>
    </w:p>
    <w:p w14:paraId="0BBC11F8">
      <w:pPr>
        <w:kinsoku/>
        <w:spacing w:line="560" w:lineRule="exact"/>
        <w:ind w:left="39" w:firstLine="598"/>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②路面设计：根据项目区实际情况，重点改善现有田间机耕道 路路面状况，将通行量大，照顾面广的主要村道（碎石路面或土路 面）规划为C30砼路面，疏通道路边沟，使其排水通畅，减少地表径流对路基的冲刷。为连通现有道路，突出道路的通行功能，将田间机耕道路之间部分基础条件较好的生产路规划为C30砼路面，完善现有路网结构，从而提高农业生产力。</w:t>
      </w:r>
    </w:p>
    <w:p w14:paraId="490A149C">
      <w:pPr>
        <w:kinsoku/>
        <w:spacing w:line="560" w:lineRule="exact"/>
        <w:ind w:left="638"/>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③配套设施：</w:t>
      </w:r>
    </w:p>
    <w:p w14:paraId="63E97B9F">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a.针对现有道路路面现状无错车道或错车道较少的情况，根 据实际需要及现场地形适当设置错车道；</w:t>
      </w:r>
    </w:p>
    <w:p w14:paraId="0F386958">
      <w:pPr>
        <w:kinsoku/>
        <w:spacing w:line="560" w:lineRule="exact"/>
        <w:ind w:left="69" w:right="131" w:firstLine="58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b.在道路弯道较大的地方设置相应的弯道加宽、超宽，确 保行车安全；</w:t>
      </w:r>
    </w:p>
    <w:p w14:paraId="022DFBA3">
      <w:pPr>
        <w:kinsoku/>
        <w:spacing w:line="560" w:lineRule="exact"/>
        <w:ind w:left="68" w:right="133" w:firstLine="598"/>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c.根据整治田间机耕道与现有道路的接口形状，在道路接口 位置布置Y型道路接口和T型道路接口；</w:t>
      </w:r>
    </w:p>
    <w:p w14:paraId="391B4534">
      <w:pPr>
        <w:kinsoku/>
        <w:spacing w:line="560" w:lineRule="exact"/>
        <w:ind w:left="66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d.整治田间道路按四级公路的相关标准进行设计和整治；</w:t>
      </w:r>
    </w:p>
    <w:p w14:paraId="663A9D14">
      <w:pPr>
        <w:kinsoku/>
        <w:spacing w:line="560" w:lineRule="exact"/>
        <w:ind w:left="74" w:right="133" w:firstLine="593"/>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e.针对道路边沟排水及渠道过水需要，在道路低洼处及沟渠 交叉处设置涵管；</w:t>
      </w:r>
    </w:p>
    <w:p w14:paraId="71A8FA27">
      <w:pPr>
        <w:kinsoku/>
        <w:spacing w:line="560" w:lineRule="exact"/>
        <w:ind w:left="668"/>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f.在路基边坡不稳，易滑坡的地段设置挡土墙；</w:t>
      </w:r>
    </w:p>
    <w:p w14:paraId="7A91ADF7">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3.田间机耕道路设计</w:t>
      </w:r>
    </w:p>
    <w:p w14:paraId="41CBCA0D">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（1）田间机耕道设计的原则 ——路线最短，连通简捷；</w:t>
      </w:r>
    </w:p>
    <w:p w14:paraId="42132F29">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——道路纵坡、弯道半径、涵管和错车道等技术指标符合有关 技术要求；</w:t>
      </w:r>
    </w:p>
    <w:p w14:paraId="75051AF2">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——整治田间机耕道与现有道路、生产路、规划田块、居民点 相协调，有利于田间生产管理；</w:t>
      </w:r>
    </w:p>
    <w:p w14:paraId="5FE7BB0F">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——保护生态环境，防止水土流失。</w:t>
      </w:r>
    </w:p>
    <w:p w14:paraId="56C1FE47">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1）道路等级</w:t>
      </w:r>
    </w:p>
    <w:p w14:paraId="6B44CBF2">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田间机耕道为项目区对外交通的主要道路，根据道路工程的等 级划分以及高标准农田建设的规定，道路工程参照四级公路进行设 计。</w:t>
      </w:r>
    </w:p>
    <w:p w14:paraId="4951012B">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2）设计行车速度</w:t>
      </w:r>
    </w:p>
    <w:p w14:paraId="43A6AB02">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设计行车速度为 15km/h。</w:t>
      </w:r>
    </w:p>
    <w:p w14:paraId="7BBE7215">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3）路基及路面</w:t>
      </w:r>
    </w:p>
    <w:p w14:paraId="542B9021">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路基是道路工程的重要组成部分，应具有足够的稳定性和耐久 性，应能承受行车的反复荷载和抗御各种自然因素的影响，路基施 工应采用机械施工，确保施工质量。具体施工工艺如下：</w:t>
      </w:r>
    </w:p>
    <w:p w14:paraId="26452F9C">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①路基</w:t>
      </w:r>
    </w:p>
    <w:p w14:paraId="4740438C">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前期准备：路基先将地面杂草、树根、农作物残根、腐蚀土、 垃圾等全部清除。在潮湿路段修筑填土路基时，应先挖纵、横明沟 疏干积水，挖掉淤泥及腐殖土，压实后再填筑土方。</w:t>
      </w:r>
    </w:p>
    <w:p w14:paraId="076C1D77">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路基碾压：先对路面进行挖高填低，确保路面基本平整。再统 一对路基进行碾压，碾压密实度大于93%。碾压时，遵循先轻后重， 先慢后快，先边后中，先高后低及轮迹要重叠的原则。碾压时应顺 道路中心方向进行，弯道及路口圆角处应边开边借，超高的曲线段 应自曲线内侧逐渐移向外侧。路堤铺筑到无法采用压路机压实的地 方，则采用人工夯实，并确保压实度达到规定值。</w:t>
      </w:r>
    </w:p>
    <w:p w14:paraId="59B31C45">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②垫层</w:t>
      </w:r>
    </w:p>
    <w:p w14:paraId="47506C31">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路基压实后采用自卸货车配合人工摊铺砂砾石，压路机压实，摊铺时应均匀摊铺，压实度达到98%以上，压实后厚度不小于设计厚度。</w:t>
      </w:r>
    </w:p>
    <w:p w14:paraId="73536791">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③路面</w:t>
      </w:r>
    </w:p>
    <w:p w14:paraId="61B928B9">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模板安装：路面施工之前，应将模板安装完毕，并对其位置及 支撑稳固情况、传力杆、拉杆的安设等进行全面检查，模板接头应 紧密平顺，不得有裂缝、错开和高低不平等现象。</w:t>
      </w:r>
    </w:p>
    <w:p w14:paraId="175C3593">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混凝土摊铺、振捣：混凝土摊铺采用自卸汽车与人工配合进行， 采用平板式振捣器进行振捣，边角位置应先用插入式振捣器局部振 捣，再用功率不小于2.2kW的平板振捣器纵横交错全面振捣，纵横 振捣时，应重叠10～20cm，然后用振动梁来回振捣2-3遍提浆、整 平。</w:t>
      </w:r>
    </w:p>
    <w:p w14:paraId="477FFF40">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路面脱水、防滑：整平后应对路面进行脱水处理，脱水处理后 沿横坡方向拉毛或采用纹理制作机具压槽。</w:t>
      </w:r>
    </w:p>
    <w:p w14:paraId="14701298">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缩缝施工：砼路面田间道每5m设缩缝一条，采用切割法，深 度6cm；尽量减少施工缝的设置，在胀缝处施工。混凝土养护期满 后，缝槽应及时填缝。在填缝前必须保持缝内清洁，防止砂石等杂 物掉入缝内</w:t>
      </w:r>
    </w:p>
    <w:p w14:paraId="2A860A9E">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④排水</w:t>
      </w:r>
    </w:p>
    <w:p w14:paraId="7352081E">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田间道在适当位置在路肩外侧加设土质排水沟，具体规格见单 体图册。</w:t>
      </w:r>
    </w:p>
    <w:p w14:paraId="2D0E53FF">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4）道路纵坡、横坡及弯道加宽</w:t>
      </w:r>
    </w:p>
    <w:p w14:paraId="19B92319">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道路路面设计高程视地面实测高程而定，纵向坡度与原地面坡 度相接近，大致控制在6%～9% ，个别地段不超过13%，设计道路 横坡为2％。在弯道比较急的地方将路面进行内侧加宽、外侧超高，</w:t>
      </w:r>
    </w:p>
    <w:p w14:paraId="5D6E7316">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加宽部分断面结构与原道路断面结构相同，加宽宽度和超高高度详 见单体图册。弯道工程施工工艺与原道路施工工艺相同。</w:t>
      </w:r>
    </w:p>
    <w:p w14:paraId="68CA2562">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5）错车道</w:t>
      </w:r>
    </w:p>
    <w:p w14:paraId="2E09103F">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针对现有道路有很少或没有错车道，根据需要适当设置错车道 （原则上每300米设置一个错车道，但在实际设置时根据不同路段 的视野和道路弯曲情况，以及现场的实际情况是否适合布置，同时 原则上以不占用耕地等进行综合考虑布置）。项目错车道设计宽度 =6.5m-路面设计宽度，有效长度10m，起止处各设5.0m长的过渡段，坡度陡，弯道多时可适当加宽路面错车道。错车道断面结构和 路基较差道路断面结构相同，施工工艺与路基较差道路施工工艺相同。</w:t>
      </w:r>
    </w:p>
    <w:p w14:paraId="21A16068">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6）道路交叉口</w:t>
      </w:r>
    </w:p>
    <w:p w14:paraId="60EDE3BF">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 xml:space="preserve">在规划道路与现有水泥路接口地方，根据通行实际情况，为方 便机械车辆转弯，设置T型接口或Y型接口，接口断面结构与原道路断面结构相同，施工工艺与原道路施工工艺相同。 </w:t>
      </w:r>
    </w:p>
    <w:p w14:paraId="33D56E29">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bookmarkStart w:id="219" w:name="bookmark62"/>
      <w:bookmarkEnd w:id="219"/>
      <w:r>
        <w:rPr>
          <w:rFonts w:hint="default" w:ascii="Times New Roman" w:hAnsi="Times New Roman" w:eastAsia="宋体" w:cs="Times New Roman"/>
          <w:smallCaps w:val="0"/>
          <w:color w:val="auto"/>
          <w:spacing w:val="0"/>
          <w:w w:val="100"/>
          <w:sz w:val="30"/>
          <w:szCs w:val="30"/>
          <w:highlight w:val="none"/>
          <w:lang w:eastAsia="zh-CN"/>
        </w:rPr>
        <w:t>7）标识牌</w:t>
      </w:r>
    </w:p>
    <w:p w14:paraId="1DEFFC3B">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在道路一端设标识牌，标识牌采用瓷砖烧制而成，标识牌采用 镶嵌的方式，布置在路中线上，避免布置在车轮碾压区域，尽可能 减少对行车的影响。</w:t>
      </w:r>
    </w:p>
    <w:p w14:paraId="1AAC150A">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8）涵管</w:t>
      </w:r>
    </w:p>
    <w:p w14:paraId="56AFDD8C">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在地势低洼无法排水的地方设计过路涵管，涵管顶点距路面应大于70cm，涵管放于C15现浇砼垫层上。具体详见单体设计图册。</w:t>
      </w:r>
    </w:p>
    <w:p w14:paraId="6B704481">
      <w:pPr>
        <w:kinsoku/>
        <w:spacing w:before="42" w:line="219" w:lineRule="auto"/>
        <w:ind w:left="725"/>
        <w:rPr>
          <w:rFonts w:hint="default" w:ascii="Times New Roman" w:hAnsi="Times New Roman" w:eastAsia="宋体" w:cs="Times New Roman"/>
          <w:smallCaps w:val="0"/>
          <w:color w:val="auto"/>
          <w:spacing w:val="0"/>
          <w:w w:val="100"/>
          <w:sz w:val="30"/>
          <w:szCs w:val="30"/>
          <w:highlight w:val="none"/>
          <w:lang w:eastAsia="zh-CN"/>
        </w:rPr>
        <w:sectPr>
          <w:pgSz w:w="11900" w:h="16840"/>
          <w:pgMar w:top="1134" w:right="1418" w:bottom="1134" w:left="1417" w:header="862" w:footer="993" w:gutter="0"/>
          <w:pgBorders>
            <w:top w:val="none" w:sz="0" w:space="0"/>
            <w:left w:val="none" w:sz="0" w:space="0"/>
            <w:bottom w:val="none" w:sz="0" w:space="0"/>
            <w:right w:val="none" w:sz="0" w:space="0"/>
          </w:pgBorders>
          <w:pgNumType w:fmt="numberInDash"/>
          <w:cols w:space="720" w:num="1"/>
        </w:sectPr>
      </w:pPr>
      <w:r>
        <w:rPr>
          <w:rFonts w:hint="default" w:ascii="Times New Roman" w:hAnsi="Times New Roman" w:eastAsia="宋体" w:cs="Times New Roman"/>
          <w:smallCaps w:val="0"/>
          <w:color w:val="auto"/>
          <w:spacing w:val="0"/>
          <w:w w:val="100"/>
          <w:sz w:val="30"/>
          <w:szCs w:val="30"/>
          <w:highlight w:val="none"/>
          <w:lang w:eastAsia="zh-CN"/>
        </w:rPr>
        <w:t>整治田间机耕路</w:t>
      </w:r>
      <w:r>
        <w:rPr>
          <w:rFonts w:hint="default" w:ascii="Times New Roman" w:hAnsi="Times New Roman" w:eastAsia="宋体" w:cs="Times New Roman"/>
          <w:smallCaps w:val="0"/>
          <w:color w:val="auto"/>
          <w:spacing w:val="0"/>
          <w:w w:val="100"/>
          <w:sz w:val="30"/>
          <w:szCs w:val="30"/>
          <w:highlight w:val="none"/>
          <w:lang w:val="en-US" w:eastAsia="zh-CN"/>
        </w:rPr>
        <w:t>及</w:t>
      </w:r>
      <w:r>
        <w:rPr>
          <w:rFonts w:hint="default" w:ascii="Times New Roman" w:hAnsi="Times New Roman" w:eastAsia="宋体" w:cs="Times New Roman"/>
          <w:smallCaps w:val="0"/>
          <w:color w:val="auto"/>
          <w:spacing w:val="0"/>
          <w:w w:val="100"/>
          <w:sz w:val="30"/>
          <w:szCs w:val="30"/>
          <w:highlight w:val="none"/>
          <w:lang w:eastAsia="zh-CN"/>
        </w:rPr>
        <w:t>附属设施统计表如下：</w:t>
      </w:r>
    </w:p>
    <w:p w14:paraId="0386F721">
      <w:pPr>
        <w:kinsoku/>
        <w:spacing w:before="63" w:line="220" w:lineRule="auto"/>
        <w:jc w:val="center"/>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整治田间机耕路</w:t>
      </w:r>
      <w:r>
        <w:rPr>
          <w:rFonts w:hint="default" w:ascii="Times New Roman" w:hAnsi="Times New Roman" w:eastAsia="宋体" w:cs="Times New Roman"/>
          <w:b/>
          <w:bCs/>
          <w:smallCaps w:val="0"/>
          <w:color w:val="auto"/>
          <w:spacing w:val="0"/>
          <w:w w:val="100"/>
          <w:sz w:val="30"/>
          <w:szCs w:val="30"/>
          <w:highlight w:val="none"/>
          <w:lang w:val="en-US" w:eastAsia="zh-CN"/>
        </w:rPr>
        <w:t>及</w:t>
      </w:r>
      <w:r>
        <w:rPr>
          <w:rFonts w:hint="default" w:ascii="Times New Roman" w:hAnsi="Times New Roman" w:eastAsia="宋体" w:cs="Times New Roman"/>
          <w:b/>
          <w:bCs/>
          <w:smallCaps w:val="0"/>
          <w:color w:val="auto"/>
          <w:spacing w:val="0"/>
          <w:w w:val="100"/>
          <w:sz w:val="30"/>
          <w:szCs w:val="30"/>
          <w:highlight w:val="none"/>
          <w:lang w:eastAsia="zh-CN"/>
        </w:rPr>
        <w:t>附属设施统计表</w:t>
      </w:r>
    </w:p>
    <w:tbl>
      <w:tblPr>
        <w:tblStyle w:val="18"/>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4"/>
        <w:gridCol w:w="827"/>
        <w:gridCol w:w="1133"/>
        <w:gridCol w:w="598"/>
        <w:gridCol w:w="598"/>
        <w:gridCol w:w="751"/>
        <w:gridCol w:w="751"/>
        <w:gridCol w:w="674"/>
        <w:gridCol w:w="751"/>
        <w:gridCol w:w="751"/>
        <w:gridCol w:w="827"/>
        <w:gridCol w:w="751"/>
        <w:gridCol w:w="827"/>
        <w:gridCol w:w="674"/>
        <w:gridCol w:w="674"/>
        <w:gridCol w:w="674"/>
        <w:gridCol w:w="751"/>
        <w:gridCol w:w="751"/>
        <w:gridCol w:w="752"/>
        <w:gridCol w:w="599"/>
      </w:tblGrid>
      <w:tr w14:paraId="258F7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36"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A8E82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权属</w:t>
            </w:r>
          </w:p>
        </w:tc>
        <w:tc>
          <w:tcPr>
            <w:tcW w:w="3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62661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编号</w:t>
            </w:r>
          </w:p>
        </w:tc>
        <w:tc>
          <w:tcPr>
            <w:tcW w:w="2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31488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材质</w:t>
            </w:r>
          </w:p>
        </w:tc>
        <w:tc>
          <w:tcPr>
            <w:tcW w:w="2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16A60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宽度（m）</w:t>
            </w:r>
          </w:p>
        </w:tc>
        <w:tc>
          <w:tcPr>
            <w:tcW w:w="2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D1C03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长度（m）</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C9724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土方开挖</w:t>
            </w:r>
            <w:r>
              <w:rPr>
                <w:rFonts w:hint="eastAsia" w:ascii="宋体" w:hAnsi="宋体" w:eastAsia="宋体" w:cs="宋体"/>
                <w:color w:val="auto"/>
                <w:sz w:val="18"/>
                <w:szCs w:val="18"/>
                <w:highlight w:val="none"/>
                <w:lang w:val="en-US" w:eastAsia="zh-CN"/>
              </w:rPr>
              <w:br w:type="textWrapping"/>
            </w:r>
            <w:r>
              <w:rPr>
                <w:rFonts w:hint="eastAsia" w:ascii="宋体" w:hAnsi="宋体" w:eastAsia="宋体" w:cs="宋体"/>
                <w:color w:val="auto"/>
                <w:sz w:val="18"/>
                <w:szCs w:val="18"/>
                <w:highlight w:val="none"/>
                <w:lang w:val="en-US" w:eastAsia="zh-CN"/>
              </w:rPr>
              <w:t>（m³）</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69BD7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石方开挖</w:t>
            </w:r>
            <w:r>
              <w:rPr>
                <w:rFonts w:hint="eastAsia" w:ascii="宋体" w:hAnsi="宋体" w:eastAsia="宋体" w:cs="宋体"/>
                <w:color w:val="auto"/>
                <w:sz w:val="18"/>
                <w:szCs w:val="18"/>
                <w:highlight w:val="none"/>
                <w:lang w:val="en-US" w:eastAsia="zh-CN"/>
              </w:rPr>
              <w:br w:type="textWrapping"/>
            </w:r>
            <w:r>
              <w:rPr>
                <w:rFonts w:hint="eastAsia" w:ascii="宋体" w:hAnsi="宋体" w:eastAsia="宋体" w:cs="宋体"/>
                <w:color w:val="auto"/>
                <w:sz w:val="18"/>
                <w:szCs w:val="18"/>
                <w:highlight w:val="none"/>
                <w:lang w:val="en-US" w:eastAsia="zh-CN"/>
              </w:rPr>
              <w:t>（m³）</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5B2BC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土方回填（m³）</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18FD7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土边沟开挖（m³）</w:t>
            </w:r>
          </w:p>
        </w:tc>
        <w:tc>
          <w:tcPr>
            <w:tcW w:w="2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C8A63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路基碾压（m²）</w:t>
            </w:r>
          </w:p>
        </w:tc>
        <w:tc>
          <w:tcPr>
            <w:tcW w:w="2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ECF8A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20cmC30砼路面（m²）</w:t>
            </w:r>
          </w:p>
        </w:tc>
        <w:tc>
          <w:tcPr>
            <w:tcW w:w="2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2E567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15cm泥结碎石垫层（m²）</w:t>
            </w:r>
          </w:p>
        </w:tc>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09A38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伸缩缝</w:t>
            </w:r>
            <w:r>
              <w:rPr>
                <w:rFonts w:hint="eastAsia" w:ascii="宋体" w:hAnsi="宋体" w:eastAsia="宋体" w:cs="宋体"/>
                <w:color w:val="auto"/>
                <w:sz w:val="18"/>
                <w:szCs w:val="18"/>
                <w:highlight w:val="none"/>
                <w:lang w:val="en-US" w:eastAsia="zh-CN"/>
              </w:rPr>
              <w:br w:type="textWrapping"/>
            </w:r>
            <w:r>
              <w:rPr>
                <w:rFonts w:hint="eastAsia" w:ascii="宋体" w:hAnsi="宋体" w:eastAsia="宋体" w:cs="宋体"/>
                <w:color w:val="auto"/>
                <w:sz w:val="18"/>
                <w:szCs w:val="18"/>
                <w:highlight w:val="none"/>
                <w:lang w:val="en-US" w:eastAsia="zh-CN"/>
              </w:rPr>
              <w:t>（m²）</w:t>
            </w:r>
          </w:p>
        </w:tc>
        <w:tc>
          <w:tcPr>
            <w:tcW w:w="1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C4E7E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交叉口（处）</w:t>
            </w:r>
          </w:p>
        </w:tc>
        <w:tc>
          <w:tcPr>
            <w:tcW w:w="1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AAFDE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错车道（处）</w:t>
            </w:r>
          </w:p>
        </w:tc>
        <w:tc>
          <w:tcPr>
            <w:tcW w:w="76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DD90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涵管（m）</w:t>
            </w:r>
          </w:p>
        </w:tc>
        <w:tc>
          <w:tcPr>
            <w:tcW w:w="2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12392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减速带（m）</w:t>
            </w:r>
          </w:p>
        </w:tc>
      </w:tr>
      <w:tr w14:paraId="3142C4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3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E4E90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3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D819E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2AED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FFA5E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2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74E66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D6668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0303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9BF51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E2499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2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B6ABF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2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45C63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2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674C9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EE9EE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1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C631C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1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00046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A15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Φ400型</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A0D6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Φ600型</w:t>
            </w: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DE35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Φ800型</w:t>
            </w: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19472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p>
        </w:tc>
      </w:tr>
      <w:tr w14:paraId="33EE0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E60F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甘孜镇</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6622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也伦达村</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CC9B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整治2026L001</w:t>
            </w:r>
          </w:p>
        </w:tc>
        <w:tc>
          <w:tcPr>
            <w:tcW w:w="2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B82C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C30砼</w:t>
            </w:r>
          </w:p>
        </w:tc>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B02C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 </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1987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1155</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55B7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997.92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D66C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110.88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8710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887.04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EAB5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277.20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C2DB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3696.00 </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DFD9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3465.00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D52C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3696.00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C132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83.16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C769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4</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2595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5</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A2C3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15 </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D50E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10 </w:t>
            </w: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3052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382C8">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r>
      <w:tr w14:paraId="0B907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45DB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甘孜镇</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714F8">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也伦达村</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AA35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整治2026L002</w:t>
            </w:r>
          </w:p>
        </w:tc>
        <w:tc>
          <w:tcPr>
            <w:tcW w:w="2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6779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C30砼</w:t>
            </w:r>
          </w:p>
        </w:tc>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4C04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3.5 </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AA41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395</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B939D">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394.61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96F9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43.85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25F5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350.76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D674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94.80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58D9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1461.50 </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1412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1382.50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7608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1461.50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119E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33.18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2710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1</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14E5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1</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CD51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 </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9BB82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0 </w:t>
            </w: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211D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0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3BC5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r>
      <w:tr w14:paraId="50D09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F332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甘孜镇</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8CBC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霍古都村</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C57B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整治2026L003</w:t>
            </w:r>
          </w:p>
        </w:tc>
        <w:tc>
          <w:tcPr>
            <w:tcW w:w="2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BE3D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土路</w:t>
            </w:r>
          </w:p>
        </w:tc>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87E5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 </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F930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2149</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E1A9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1856.74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F54A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206.30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148F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1650.43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D159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515.76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E2D7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6876.80 </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717D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0C0F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EF69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00D9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6237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1C5A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35 </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87B3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25 </w:t>
            </w: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73A1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15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340C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r>
      <w:tr w14:paraId="517EB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28F18">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甘孜镇</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27CC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霍古都村</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741C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整治2026L004</w:t>
            </w:r>
          </w:p>
        </w:tc>
        <w:tc>
          <w:tcPr>
            <w:tcW w:w="2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8EF3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土路</w:t>
            </w:r>
          </w:p>
        </w:tc>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DDA9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 </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C43D8">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792</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404F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684.29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85EC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76.03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C61A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608.26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756B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190.08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787B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2534.40 </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7390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DAFF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69C28">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AE49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130B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0DB2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10 </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615E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 </w:t>
            </w: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F308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7AAB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r>
      <w:tr w14:paraId="6198D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9DAF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甘孜镇</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3DF3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霍古都村</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40FF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整治2026L005</w:t>
            </w:r>
          </w:p>
        </w:tc>
        <w:tc>
          <w:tcPr>
            <w:tcW w:w="2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8A7F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土路</w:t>
            </w:r>
          </w:p>
        </w:tc>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159A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 </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B206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537</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17C3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463.97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E041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51.55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AC19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412.42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BE8E7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128.88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E390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1718.40 </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AABA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EA19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5658D">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3C96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E44B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D63A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 </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FB0B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 </w:t>
            </w: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6F79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0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7E39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r>
      <w:tr w14:paraId="4C308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C140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甘孜镇</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63FD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霍古都村</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B0F2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整治2026L006</w:t>
            </w:r>
          </w:p>
        </w:tc>
        <w:tc>
          <w:tcPr>
            <w:tcW w:w="2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0179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土路</w:t>
            </w:r>
          </w:p>
        </w:tc>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DED8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 </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2A66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527</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1838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455.33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A087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50.59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F09E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404.74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6BE0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126.48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95860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1686.40 </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C650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32AA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AEC2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E787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6012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62CF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 </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7EE3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 </w:t>
            </w: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63D8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0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E522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r>
      <w:tr w14:paraId="0A1D1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664F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甘孜镇</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50ED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霍古都村</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0EBB8">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整治2026L007</w:t>
            </w:r>
          </w:p>
        </w:tc>
        <w:tc>
          <w:tcPr>
            <w:tcW w:w="2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00FA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土路</w:t>
            </w:r>
          </w:p>
        </w:tc>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F032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 </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841C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569</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C50B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491.62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D2FD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54.62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611D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436.99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D5A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136.56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DF5C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1820.80 </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A245D">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66CF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EEA78">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BCA5D">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BD5C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153CD">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 </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0930DD">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 </w:t>
            </w: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5143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0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B75E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0</w:t>
            </w:r>
          </w:p>
        </w:tc>
      </w:tr>
      <w:tr w14:paraId="7E163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33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AC9E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小计</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6382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6124.00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5D0E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5344.46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B2E8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593.83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6FD0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4750.63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CC68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1469.76 </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2131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19794.30 </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8579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4847.50 </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E3B0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5157.50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411B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116.34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3005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5.00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9711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6.00 </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568E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80.00 </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F912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55.00 </w:t>
            </w: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CD31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25.00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51D5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0.00 </w:t>
            </w:r>
          </w:p>
        </w:tc>
      </w:tr>
      <w:tr w14:paraId="1EF6B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0E89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甘孜镇</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ECFC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日安村</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DAB88">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整治2026L008</w:t>
            </w:r>
          </w:p>
        </w:tc>
        <w:tc>
          <w:tcPr>
            <w:tcW w:w="2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FD86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C30砼</w:t>
            </w:r>
          </w:p>
        </w:tc>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6B6C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 </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4A86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366.00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F9AED">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316.22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27B0A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35.14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E65E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281.09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9502A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277.20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3F26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1171.20 </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FAA5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1098.00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2DD28">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1171.20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F257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26.35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8541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1.00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6810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1.00 </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D001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5.00 </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D7948">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0.00 </w:t>
            </w: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FD85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0.00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214D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0.00 </w:t>
            </w:r>
          </w:p>
        </w:tc>
      </w:tr>
      <w:tr w14:paraId="62AFF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472F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甘孜镇</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0607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日安村</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38B0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整治2026L009</w:t>
            </w:r>
          </w:p>
        </w:tc>
        <w:tc>
          <w:tcPr>
            <w:tcW w:w="2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FDCB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C30砼</w:t>
            </w:r>
          </w:p>
        </w:tc>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6F26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 </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2FF2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606.00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2407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523.58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866C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58.18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F92AF">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465.41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18DD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94.80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9ACAD">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1939.20 </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DDC7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1818.00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AA71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1939.20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D5145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43.63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1D78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2.00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BD69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3.00 </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CF3F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10.00 </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CFFD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5.00 </w:t>
            </w: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4A96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0.00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BFD1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0.00 </w:t>
            </w:r>
          </w:p>
        </w:tc>
      </w:tr>
      <w:tr w14:paraId="18599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33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2D14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小计</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EC8B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972.00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8A6B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839.81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BE62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93.31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1200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1020.67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DEF7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318.96 </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608A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4252.80 </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0B00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2916.00 </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CA12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3110.40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8940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69.98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B024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3.00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77DC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4.00 </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310D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15.00 </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8509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5.00 </w:t>
            </w: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1354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0.00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D3215">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0.00 </w:t>
            </w:r>
          </w:p>
        </w:tc>
      </w:tr>
      <w:tr w14:paraId="65CA3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899C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拖坝乡</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DDF0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拖坝村</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A124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整治2026L010</w:t>
            </w:r>
          </w:p>
        </w:tc>
        <w:tc>
          <w:tcPr>
            <w:tcW w:w="2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7DFA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C30砼</w:t>
            </w:r>
          </w:p>
        </w:tc>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6137D">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 </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2247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717.00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BC53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619.49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35EA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68.83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41A5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550.66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F600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190.08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A4B3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2294.40 </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4A2E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2151.00 </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5387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2294.40 </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90708">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51.62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ABD5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2.00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A58D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3.00 </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8A939">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10.00 </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4004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5.00 </w:t>
            </w: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41C8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5.00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6B66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6.00 </w:t>
            </w:r>
          </w:p>
        </w:tc>
      </w:tr>
      <w:tr w14:paraId="5D691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33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5A74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小计</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A954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717.00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F954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619.49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6908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68.83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B432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841.73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ED54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263.04 </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15CF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3507.20 </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65BF7">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2151.00 </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6C84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2294.40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E4C2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51.62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C6E7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2.00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07C9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3.00 </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784D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10.00 </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17F0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5.00 </w:t>
            </w: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FA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5.00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D095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6.00 </w:t>
            </w:r>
          </w:p>
        </w:tc>
      </w:tr>
      <w:tr w14:paraId="7E34E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33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640F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合计</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FC6A1">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7813.00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FCE78">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6803.76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DB8E3">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755.97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52EFC">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6330.41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60694">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2041.80 </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AD2DA">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26376.70 </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51C76">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9914.50 </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22FBB">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10562.30 </w:t>
            </w:r>
          </w:p>
        </w:tc>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EDDE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237.95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0252E">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10.00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78FD">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13.00 </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D0FD2">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105.00 </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4A9A8">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65.00 </w:t>
            </w: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CF4D0">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30.00 </w:t>
            </w:r>
          </w:p>
        </w:tc>
        <w:tc>
          <w:tcPr>
            <w:tcW w:w="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CC87D">
            <w:pPr>
              <w:pStyle w:val="71"/>
              <w:keepNext w:val="0"/>
              <w:keepLines/>
              <w:pageBreakBefore w:val="0"/>
              <w:widowControl w:val="0"/>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 xml:space="preserve">6.00 </w:t>
            </w:r>
          </w:p>
        </w:tc>
      </w:tr>
    </w:tbl>
    <w:p w14:paraId="54940A3A">
      <w:pPr>
        <w:tabs>
          <w:tab w:val="left" w:pos="493"/>
        </w:tabs>
        <w:bidi w:val="0"/>
        <w:jc w:val="left"/>
        <w:rPr>
          <w:rFonts w:hint="default" w:ascii="Times New Roman" w:hAnsi="Times New Roman" w:cs="Times New Roman"/>
          <w:color w:val="auto"/>
          <w:highlight w:val="none"/>
          <w:lang w:val="en-US" w:eastAsia="zh-CN"/>
        </w:rPr>
        <w:sectPr>
          <w:pgSz w:w="16840" w:h="11900" w:orient="landscape"/>
          <w:pgMar w:top="1134" w:right="1134" w:bottom="1134" w:left="1134" w:header="862" w:footer="993" w:gutter="0"/>
          <w:pgBorders>
            <w:top w:val="none" w:sz="0" w:space="0"/>
            <w:left w:val="none" w:sz="0" w:space="0"/>
            <w:bottom w:val="none" w:sz="0" w:space="0"/>
            <w:right w:val="none" w:sz="0" w:space="0"/>
          </w:pgBorders>
          <w:pgNumType w:fmt="numberInDash"/>
          <w:cols w:space="720" w:num="1"/>
        </w:sectPr>
      </w:pPr>
    </w:p>
    <w:p w14:paraId="1348FF8B">
      <w:pPr>
        <w:pStyle w:val="4"/>
        <w:spacing w:before="0" w:after="0" w:line="560" w:lineRule="exact"/>
        <w:outlineLvl w:val="2"/>
        <w:rPr>
          <w:rFonts w:hint="default" w:ascii="Times New Roman" w:hAnsi="Times New Roman" w:eastAsia="宋体" w:cs="Times New Roman"/>
          <w:smallCaps w:val="0"/>
          <w:color w:val="auto"/>
          <w:spacing w:val="0"/>
          <w:w w:val="100"/>
          <w:highlight w:val="none"/>
        </w:rPr>
      </w:pPr>
      <w:bookmarkStart w:id="220" w:name="_Toc21748"/>
      <w:bookmarkStart w:id="221" w:name="_Toc11676"/>
      <w:r>
        <w:rPr>
          <w:rFonts w:hint="default" w:ascii="Times New Roman" w:hAnsi="Times New Roman" w:eastAsia="宋体" w:cs="Times New Roman"/>
          <w:smallCaps w:val="0"/>
          <w:color w:val="auto"/>
          <w:spacing w:val="0"/>
          <w:w w:val="100"/>
          <w:highlight w:val="none"/>
        </w:rPr>
        <w:t>5.4.</w:t>
      </w:r>
      <w:r>
        <w:rPr>
          <w:rFonts w:hint="default" w:ascii="Times New Roman" w:hAnsi="Times New Roman" w:cs="Times New Roman"/>
          <w:smallCaps w:val="0"/>
          <w:color w:val="auto"/>
          <w:spacing w:val="0"/>
          <w:w w:val="100"/>
          <w:highlight w:val="none"/>
          <w:lang w:val="en-US" w:eastAsia="zh-CN"/>
        </w:rPr>
        <w:t>5</w:t>
      </w:r>
      <w:r>
        <w:rPr>
          <w:rFonts w:hint="default" w:ascii="Times New Roman" w:hAnsi="Times New Roman" w:eastAsia="宋体" w:cs="Times New Roman"/>
          <w:smallCaps w:val="0"/>
          <w:color w:val="auto"/>
          <w:spacing w:val="0"/>
          <w:w w:val="100"/>
          <w:highlight w:val="none"/>
        </w:rPr>
        <w:t xml:space="preserve"> 农田防护</w:t>
      </w:r>
      <w:r>
        <w:rPr>
          <w:rFonts w:hint="default" w:ascii="Times New Roman" w:hAnsi="Times New Roman" w:cs="Times New Roman"/>
          <w:smallCaps w:val="0"/>
          <w:color w:val="auto"/>
          <w:spacing w:val="0"/>
          <w:w w:val="100"/>
          <w:highlight w:val="none"/>
          <w:lang w:val="en-US" w:eastAsia="zh-CN"/>
        </w:rPr>
        <w:t>与</w:t>
      </w:r>
      <w:r>
        <w:rPr>
          <w:rFonts w:hint="default" w:ascii="Times New Roman" w:hAnsi="Times New Roman" w:eastAsia="宋体" w:cs="Times New Roman"/>
          <w:smallCaps w:val="0"/>
          <w:color w:val="auto"/>
          <w:spacing w:val="0"/>
          <w:w w:val="100"/>
          <w:highlight w:val="none"/>
        </w:rPr>
        <w:t>生态保护工程</w:t>
      </w:r>
      <w:bookmarkEnd w:id="220"/>
      <w:bookmarkEnd w:id="221"/>
    </w:p>
    <w:p w14:paraId="728031DD">
      <w:pPr>
        <w:kinsoku/>
        <w:spacing w:line="560" w:lineRule="atLeast"/>
        <w:ind w:left="39" w:leftChars="0"/>
        <w:outlineLvl w:val="3"/>
        <w:rPr>
          <w:rFonts w:hint="default" w:ascii="Times New Roman" w:hAnsi="Times New Roman" w:eastAsia="宋体" w:cs="Times New Roman"/>
          <w:b/>
          <w:bCs/>
          <w:smallCaps w:val="0"/>
          <w:color w:val="auto"/>
          <w:spacing w:val="0"/>
          <w:w w:val="100"/>
          <w:sz w:val="31"/>
          <w:szCs w:val="31"/>
          <w:highlight w:val="none"/>
          <w:lang w:eastAsia="zh-CN"/>
        </w:rPr>
      </w:pPr>
      <w:bookmarkStart w:id="222" w:name="_Toc7679"/>
      <w:r>
        <w:rPr>
          <w:rFonts w:hint="default" w:ascii="Times New Roman" w:hAnsi="Times New Roman" w:eastAsia="宋体" w:cs="Times New Roman"/>
          <w:smallCaps w:val="0"/>
          <w:color w:val="auto"/>
          <w:spacing w:val="0"/>
          <w:w w:val="100"/>
          <w:highlight w:val="none"/>
        </w:rPr>
        <w:fldChar w:fldCharType="begin"/>
      </w:r>
      <w:r>
        <w:rPr>
          <w:rFonts w:hint="default" w:ascii="Times New Roman" w:hAnsi="Times New Roman" w:eastAsia="宋体" w:cs="Times New Roman"/>
          <w:smallCaps w:val="0"/>
          <w:color w:val="auto"/>
          <w:spacing w:val="0"/>
          <w:w w:val="100"/>
          <w:highlight w:val="none"/>
        </w:rPr>
        <w:instrText xml:space="preserve"> HYPERLINK "file:///F:\\F盘\\3-2024年\\8-甘孜州高标准农田\\收集的模板\\3、2021年高标准农田建设项目设计资料\\5.4.4.2" </w:instrText>
      </w:r>
      <w:r>
        <w:rPr>
          <w:rFonts w:hint="default" w:ascii="Times New Roman" w:hAnsi="Times New Roman" w:eastAsia="宋体" w:cs="Times New Roman"/>
          <w:smallCaps w:val="0"/>
          <w:color w:val="auto"/>
          <w:spacing w:val="0"/>
          <w:w w:val="100"/>
          <w:highlight w:val="none"/>
        </w:rPr>
        <w:fldChar w:fldCharType="separate"/>
      </w:r>
      <w:r>
        <w:rPr>
          <w:rFonts w:hint="default" w:ascii="Times New Roman" w:hAnsi="Times New Roman" w:eastAsia="宋体" w:cs="Times New Roman"/>
          <w:b/>
          <w:bCs/>
          <w:smallCaps w:val="0"/>
          <w:color w:val="auto"/>
          <w:spacing w:val="0"/>
          <w:w w:val="100"/>
          <w:sz w:val="31"/>
          <w:szCs w:val="31"/>
          <w:highlight w:val="none"/>
          <w:lang w:eastAsia="zh-CN"/>
        </w:rPr>
        <w:t>5.4.</w:t>
      </w:r>
      <w:r>
        <w:rPr>
          <w:rFonts w:hint="default" w:ascii="Times New Roman" w:hAnsi="Times New Roman" w:eastAsia="宋体" w:cs="Times New Roman"/>
          <w:b/>
          <w:bCs/>
          <w:smallCaps w:val="0"/>
          <w:color w:val="auto"/>
          <w:spacing w:val="0"/>
          <w:w w:val="100"/>
          <w:sz w:val="31"/>
          <w:szCs w:val="31"/>
          <w:highlight w:val="none"/>
          <w:lang w:val="en-US" w:eastAsia="zh-CN"/>
        </w:rPr>
        <w:t>5</w:t>
      </w:r>
      <w:r>
        <w:rPr>
          <w:rFonts w:hint="default" w:ascii="Times New Roman" w:hAnsi="Times New Roman" w:eastAsia="宋体" w:cs="Times New Roman"/>
          <w:b/>
          <w:bCs/>
          <w:smallCaps w:val="0"/>
          <w:color w:val="auto"/>
          <w:spacing w:val="0"/>
          <w:w w:val="100"/>
          <w:sz w:val="31"/>
          <w:szCs w:val="31"/>
          <w:highlight w:val="none"/>
          <w:lang w:eastAsia="zh-CN"/>
        </w:rPr>
        <w:t>.1</w:t>
      </w:r>
      <w:r>
        <w:rPr>
          <w:rFonts w:hint="default" w:ascii="Times New Roman" w:hAnsi="Times New Roman" w:eastAsia="宋体" w:cs="Times New Roman"/>
          <w:b/>
          <w:bCs/>
          <w:smallCaps w:val="0"/>
          <w:color w:val="auto"/>
          <w:spacing w:val="0"/>
          <w:w w:val="100"/>
          <w:sz w:val="31"/>
          <w:szCs w:val="31"/>
          <w:highlight w:val="none"/>
          <w:lang w:eastAsia="zh-CN"/>
        </w:rPr>
        <w:fldChar w:fldCharType="end"/>
      </w:r>
      <w:r>
        <w:rPr>
          <w:rFonts w:hint="default" w:ascii="Times New Roman" w:hAnsi="Times New Roman" w:eastAsia="宋体" w:cs="Times New Roman"/>
          <w:b/>
          <w:bCs/>
          <w:smallCaps w:val="0"/>
          <w:color w:val="auto"/>
          <w:spacing w:val="0"/>
          <w:w w:val="100"/>
          <w:sz w:val="31"/>
          <w:szCs w:val="31"/>
          <w:highlight w:val="none"/>
          <w:lang w:eastAsia="zh-CN"/>
        </w:rPr>
        <w:t xml:space="preserve"> 概况</w:t>
      </w:r>
      <w:bookmarkEnd w:id="222"/>
    </w:p>
    <w:p w14:paraId="4E050D91">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1.存在的问题</w:t>
      </w:r>
    </w:p>
    <w:p w14:paraId="469D3034">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项目区</w:t>
      </w:r>
      <w:r>
        <w:rPr>
          <w:rFonts w:hint="default" w:ascii="Times New Roman" w:hAnsi="Times New Roman" w:eastAsia="宋体" w:cs="Times New Roman"/>
          <w:smallCaps w:val="0"/>
          <w:color w:val="auto"/>
          <w:spacing w:val="0"/>
          <w:w w:val="100"/>
          <w:sz w:val="30"/>
          <w:szCs w:val="30"/>
          <w:highlight w:val="none"/>
          <w:lang w:eastAsia="zh-CN"/>
        </w:rPr>
        <w:t>牧区与农田交错分布，散养牲畜踩踏啃食、野生动物闯入觅食的问题频发，直接导致农作物减产甚至绝收，严重侵蚀村民的耕作收益。长期的农田破坏问题，会让村民因投入与产出不成正比而逐渐丧失耕种热情，甚至出现耕地撂荒的风险。</w:t>
      </w:r>
    </w:p>
    <w:p w14:paraId="39465657">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2.解决办法</w:t>
      </w:r>
    </w:p>
    <w:p w14:paraId="103A382E">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新建围栏</w:t>
      </w:r>
      <w:r>
        <w:rPr>
          <w:rFonts w:hint="default" w:ascii="Times New Roman" w:hAnsi="Times New Roman" w:eastAsia="宋体" w:cs="Times New Roman"/>
          <w:smallCaps w:val="0"/>
          <w:color w:val="auto"/>
          <w:spacing w:val="0"/>
          <w:w w:val="100"/>
          <w:sz w:val="30"/>
          <w:szCs w:val="30"/>
          <w:highlight w:val="none"/>
          <w:lang w:eastAsia="zh-CN"/>
        </w:rPr>
        <w:t>可杜绝散养牲畜踩踏啃食、野生动物闯入觅食的问题，保障农作物从种植到收获的全周期生长安全，避免因作物受损导致的减产、绝收情况。经测算，项目区作物受灾率可降低80%以上，粮食产量和经济作物收益可稳定提升</w:t>
      </w:r>
      <w:r>
        <w:rPr>
          <w:rFonts w:hint="default" w:ascii="Times New Roman" w:hAnsi="Times New Roman" w:eastAsia="宋体" w:cs="Times New Roman"/>
          <w:smallCaps w:val="0"/>
          <w:color w:val="auto"/>
          <w:spacing w:val="0"/>
          <w:w w:val="100"/>
          <w:sz w:val="30"/>
          <w:szCs w:val="30"/>
          <w:highlight w:val="none"/>
          <w:lang w:val="en-US" w:eastAsia="zh-CN"/>
        </w:rPr>
        <w:t>约</w:t>
      </w:r>
      <w:r>
        <w:rPr>
          <w:rFonts w:hint="default" w:ascii="Times New Roman" w:hAnsi="Times New Roman" w:eastAsia="宋体" w:cs="Times New Roman"/>
          <w:smallCaps w:val="0"/>
          <w:color w:val="auto"/>
          <w:spacing w:val="0"/>
          <w:w w:val="100"/>
          <w:sz w:val="30"/>
          <w:szCs w:val="30"/>
          <w:highlight w:val="none"/>
          <w:lang w:eastAsia="zh-CN"/>
        </w:rPr>
        <w:t>15%，高标准农田</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高产稳产</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的建设目标得以充分实现。</w:t>
      </w:r>
    </w:p>
    <w:p w14:paraId="3B05D83B">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本项目</w:t>
      </w:r>
      <w:r>
        <w:rPr>
          <w:rFonts w:hint="default" w:ascii="Times New Roman" w:hAnsi="Times New Roman" w:eastAsia="宋体" w:cs="Times New Roman"/>
          <w:smallCaps w:val="0"/>
          <w:color w:val="auto"/>
          <w:spacing w:val="0"/>
          <w:w w:val="100"/>
          <w:sz w:val="30"/>
          <w:szCs w:val="30"/>
          <w:highlight w:val="none"/>
          <w:lang w:eastAsia="zh-CN"/>
        </w:rPr>
        <w:t>新建镀锌钢制矩管围栏</w:t>
      </w:r>
      <w:r>
        <w:rPr>
          <w:rFonts w:hint="eastAsia" w:ascii="Times New Roman" w:hAnsi="Times New Roman" w:eastAsia="宋体" w:cs="Times New Roman"/>
          <w:smallCaps w:val="0"/>
          <w:color w:val="auto"/>
          <w:spacing w:val="0"/>
          <w:w w:val="100"/>
          <w:sz w:val="30"/>
          <w:szCs w:val="30"/>
          <w:highlight w:val="none"/>
          <w:lang w:val="en-US" w:eastAsia="zh-CN"/>
        </w:rPr>
        <w:t>39874</w:t>
      </w:r>
      <w:r>
        <w:rPr>
          <w:rFonts w:hint="default" w:ascii="Times New Roman" w:hAnsi="Times New Roman" w:eastAsia="宋体" w:cs="Times New Roman"/>
          <w:smallCaps w:val="0"/>
          <w:color w:val="auto"/>
          <w:spacing w:val="0"/>
          <w:w w:val="100"/>
          <w:sz w:val="30"/>
          <w:szCs w:val="30"/>
          <w:highlight w:val="none"/>
          <w:lang w:eastAsia="zh-CN"/>
        </w:rPr>
        <w:t>m。</w:t>
      </w:r>
    </w:p>
    <w:p w14:paraId="6A452D77">
      <w:pPr>
        <w:kinsoku/>
        <w:spacing w:line="560" w:lineRule="atLeast"/>
        <w:ind w:left="39" w:leftChars="0"/>
        <w:outlineLvl w:val="3"/>
        <w:rPr>
          <w:rFonts w:hint="default" w:ascii="Times New Roman" w:hAnsi="Times New Roman" w:eastAsia="宋体" w:cs="Times New Roman"/>
          <w:smallCaps w:val="0"/>
          <w:color w:val="auto"/>
          <w:spacing w:val="0"/>
          <w:w w:val="100"/>
          <w:sz w:val="31"/>
          <w:szCs w:val="31"/>
          <w:highlight w:val="none"/>
          <w:lang w:eastAsia="zh-CN"/>
        </w:rPr>
      </w:pPr>
      <w:bookmarkStart w:id="223" w:name="_Toc8238"/>
      <w:r>
        <w:rPr>
          <w:rFonts w:hint="default" w:ascii="Times New Roman" w:hAnsi="Times New Roman" w:eastAsia="宋体" w:cs="Times New Roman"/>
          <w:smallCaps w:val="0"/>
          <w:color w:val="auto"/>
          <w:spacing w:val="0"/>
          <w:w w:val="100"/>
          <w:highlight w:val="none"/>
        </w:rPr>
        <w:fldChar w:fldCharType="begin"/>
      </w:r>
      <w:r>
        <w:rPr>
          <w:rFonts w:hint="default" w:ascii="Times New Roman" w:hAnsi="Times New Roman" w:eastAsia="宋体" w:cs="Times New Roman"/>
          <w:smallCaps w:val="0"/>
          <w:color w:val="auto"/>
          <w:spacing w:val="0"/>
          <w:w w:val="100"/>
          <w:highlight w:val="none"/>
        </w:rPr>
        <w:instrText xml:space="preserve"> HYPERLINK "file:///F:\\F盘\\3-2024年\\8-甘孜州高标准农田\\收集的模板\\3、2021年高标准农田建设项目设计资料\\5.4.4.2" </w:instrText>
      </w:r>
      <w:r>
        <w:rPr>
          <w:rFonts w:hint="default" w:ascii="Times New Roman" w:hAnsi="Times New Roman" w:eastAsia="宋体" w:cs="Times New Roman"/>
          <w:smallCaps w:val="0"/>
          <w:color w:val="auto"/>
          <w:spacing w:val="0"/>
          <w:w w:val="100"/>
          <w:highlight w:val="none"/>
        </w:rPr>
        <w:fldChar w:fldCharType="separate"/>
      </w:r>
      <w:r>
        <w:rPr>
          <w:rFonts w:hint="default" w:ascii="Times New Roman" w:hAnsi="Times New Roman" w:eastAsia="宋体" w:cs="Times New Roman"/>
          <w:b/>
          <w:bCs/>
          <w:smallCaps w:val="0"/>
          <w:color w:val="auto"/>
          <w:spacing w:val="0"/>
          <w:w w:val="100"/>
          <w:sz w:val="31"/>
          <w:szCs w:val="31"/>
          <w:highlight w:val="none"/>
          <w:lang w:eastAsia="zh-CN"/>
        </w:rPr>
        <w:t>5.4.</w:t>
      </w:r>
      <w:r>
        <w:rPr>
          <w:rFonts w:hint="default" w:ascii="Times New Roman" w:hAnsi="Times New Roman" w:eastAsia="宋体" w:cs="Times New Roman"/>
          <w:b/>
          <w:bCs/>
          <w:smallCaps w:val="0"/>
          <w:color w:val="auto"/>
          <w:spacing w:val="0"/>
          <w:w w:val="100"/>
          <w:sz w:val="31"/>
          <w:szCs w:val="31"/>
          <w:highlight w:val="none"/>
          <w:lang w:val="en-US" w:eastAsia="zh-CN"/>
        </w:rPr>
        <w:t>5</w:t>
      </w:r>
      <w:r>
        <w:rPr>
          <w:rFonts w:hint="default" w:ascii="Times New Roman" w:hAnsi="Times New Roman" w:eastAsia="宋体" w:cs="Times New Roman"/>
          <w:b/>
          <w:bCs/>
          <w:smallCaps w:val="0"/>
          <w:color w:val="auto"/>
          <w:spacing w:val="0"/>
          <w:w w:val="100"/>
          <w:sz w:val="31"/>
          <w:szCs w:val="31"/>
          <w:highlight w:val="none"/>
          <w:lang w:eastAsia="zh-CN"/>
        </w:rPr>
        <w:t>.2</w:t>
      </w:r>
      <w:r>
        <w:rPr>
          <w:rFonts w:hint="default" w:ascii="Times New Roman" w:hAnsi="Times New Roman" w:eastAsia="宋体" w:cs="Times New Roman"/>
          <w:b/>
          <w:bCs/>
          <w:smallCaps w:val="0"/>
          <w:color w:val="auto"/>
          <w:spacing w:val="0"/>
          <w:w w:val="100"/>
          <w:sz w:val="31"/>
          <w:szCs w:val="31"/>
          <w:highlight w:val="none"/>
          <w:lang w:eastAsia="zh-CN"/>
        </w:rPr>
        <w:fldChar w:fldCharType="end"/>
      </w:r>
      <w:r>
        <w:rPr>
          <w:rFonts w:hint="default" w:ascii="Times New Roman" w:hAnsi="Times New Roman" w:eastAsia="宋体" w:cs="Times New Roman"/>
          <w:b/>
          <w:bCs/>
          <w:smallCaps w:val="0"/>
          <w:color w:val="auto"/>
          <w:spacing w:val="0"/>
          <w:w w:val="100"/>
          <w:sz w:val="31"/>
          <w:szCs w:val="31"/>
          <w:highlight w:val="none"/>
          <w:lang w:eastAsia="zh-CN"/>
        </w:rPr>
        <w:t xml:space="preserve"> 围栏设计</w:t>
      </w:r>
      <w:bookmarkEnd w:id="223"/>
    </w:p>
    <w:p w14:paraId="7AEE2CDB">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1.围栏规格</w:t>
      </w:r>
    </w:p>
    <w:p w14:paraId="41A8A245">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（1）围栏地上高度：</w:t>
      </w:r>
      <w:r>
        <w:rPr>
          <w:rFonts w:hint="default" w:ascii="Times New Roman" w:hAnsi="Times New Roman" w:eastAsia="宋体" w:cs="Times New Roman"/>
          <w:smallCaps w:val="0"/>
          <w:color w:val="auto"/>
          <w:spacing w:val="0"/>
          <w:w w:val="100"/>
          <w:sz w:val="30"/>
          <w:szCs w:val="30"/>
          <w:highlight w:val="none"/>
          <w:lang w:val="en-US" w:eastAsia="zh-CN"/>
        </w:rPr>
        <w:t>1.</w:t>
      </w:r>
      <w:r>
        <w:rPr>
          <w:rFonts w:hint="eastAsia"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m高，</w:t>
      </w:r>
      <w:r>
        <w:rPr>
          <w:rFonts w:hint="eastAsia" w:ascii="Times New Roman" w:hAnsi="Times New Roman" w:eastAsia="宋体" w:cs="Times New Roman"/>
          <w:smallCaps w:val="0"/>
          <w:color w:val="auto"/>
          <w:spacing w:val="0"/>
          <w:w w:val="100"/>
          <w:sz w:val="30"/>
          <w:szCs w:val="30"/>
          <w:highlight w:val="none"/>
          <w:lang w:val="en-US" w:eastAsia="zh-CN"/>
        </w:rPr>
        <w:t>围栏地下埋深：0.3</w:t>
      </w:r>
      <w:r>
        <w:rPr>
          <w:rFonts w:hint="default" w:ascii="Times New Roman" w:hAnsi="Times New Roman" w:eastAsia="宋体" w:cs="Times New Roman"/>
          <w:smallCaps w:val="0"/>
          <w:color w:val="auto"/>
          <w:spacing w:val="0"/>
          <w:w w:val="100"/>
          <w:sz w:val="30"/>
          <w:szCs w:val="30"/>
          <w:highlight w:val="none"/>
          <w:lang w:eastAsia="zh-CN"/>
        </w:rPr>
        <w:t>m高</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立柱镀锌钢材，混凝土独立基础。立柱</w:t>
      </w:r>
      <w:r>
        <w:rPr>
          <w:rFonts w:hint="eastAsia" w:ascii="宋体" w:hAnsi="宋体" w:eastAsia="宋体" w:cs="宋体"/>
          <w:smallCaps w:val="0"/>
          <w:color w:val="auto"/>
          <w:spacing w:val="0"/>
          <w:w w:val="100"/>
          <w:sz w:val="30"/>
          <w:szCs w:val="30"/>
          <w:highlight w:val="none"/>
          <w:lang w:eastAsia="zh-CN"/>
        </w:rPr>
        <w:t>Ф</w:t>
      </w:r>
      <w:r>
        <w:rPr>
          <w:rFonts w:hint="eastAsia" w:ascii="Times New Roman" w:hAnsi="Times New Roman" w:eastAsia="宋体" w:cs="Times New Roman"/>
          <w:smallCaps w:val="0"/>
          <w:color w:val="auto"/>
          <w:spacing w:val="0"/>
          <w:w w:val="100"/>
          <w:sz w:val="30"/>
          <w:szCs w:val="30"/>
          <w:highlight w:val="none"/>
          <w:lang w:val="en-US" w:eastAsia="zh-CN"/>
        </w:rPr>
        <w:t>48</w:t>
      </w: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3.0</w:t>
      </w:r>
      <w:r>
        <w:rPr>
          <w:rFonts w:hint="default" w:ascii="Times New Roman" w:hAnsi="Times New Roman" w:eastAsia="宋体" w:cs="Times New Roman"/>
          <w:smallCaps w:val="0"/>
          <w:color w:val="auto"/>
          <w:spacing w:val="0"/>
          <w:w w:val="100"/>
          <w:sz w:val="30"/>
          <w:szCs w:val="30"/>
          <w:highlight w:val="none"/>
          <w:lang w:eastAsia="zh-CN"/>
        </w:rPr>
        <w:t>mm。立柱基础混凝土浇筑，并设预埋件。围栏每3米一组。</w:t>
      </w:r>
    </w:p>
    <w:p w14:paraId="77294565">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（2）围栏使用年限：10年。围标材质：Q235B钢材，采用热浸锌处理。</w:t>
      </w:r>
    </w:p>
    <w:p w14:paraId="05582762">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（3）锌钢材料抗拉强度：锌钢护栏的抗拉强度一般为≥330MPa。</w:t>
      </w:r>
    </w:p>
    <w:p w14:paraId="21EB9F76">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拉伸率：锌钢护栏的拉伸率为8%。</w:t>
      </w:r>
    </w:p>
    <w:p w14:paraId="14A6BC29">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围栏</w:t>
      </w:r>
      <w:r>
        <w:rPr>
          <w:rFonts w:hint="default" w:ascii="Times New Roman" w:hAnsi="Times New Roman" w:eastAsia="宋体" w:cs="Times New Roman"/>
          <w:smallCaps w:val="0"/>
          <w:color w:val="auto"/>
          <w:spacing w:val="0"/>
          <w:w w:val="100"/>
          <w:sz w:val="30"/>
          <w:szCs w:val="30"/>
          <w:highlight w:val="none"/>
          <w:lang w:eastAsia="zh-CN"/>
        </w:rPr>
        <w:t>网片钢丝采用镀锌钢丝+浸塑处理，丝径浸塑后</w:t>
      </w:r>
      <w:r>
        <w:rPr>
          <w:rFonts w:hint="eastAsia" w:ascii="宋体" w:hAnsi="宋体" w:eastAsia="宋体" w:cs="宋体"/>
          <w:smallCaps w:val="0"/>
          <w:color w:val="auto"/>
          <w:spacing w:val="0"/>
          <w:w w:val="100"/>
          <w:sz w:val="30"/>
          <w:szCs w:val="30"/>
          <w:highlight w:val="none"/>
          <w:lang w:eastAsia="zh-CN"/>
        </w:rPr>
        <w:t>Ф</w:t>
      </w:r>
      <w:r>
        <w:rPr>
          <w:rFonts w:hint="default" w:ascii="Times New Roman" w:hAnsi="Times New Roman" w:eastAsia="宋体" w:cs="Times New Roman"/>
          <w:smallCaps w:val="0"/>
          <w:color w:val="auto"/>
          <w:spacing w:val="0"/>
          <w:w w:val="100"/>
          <w:sz w:val="30"/>
          <w:szCs w:val="30"/>
          <w:highlight w:val="none"/>
          <w:lang w:eastAsia="zh-CN"/>
        </w:rPr>
        <w:t>6.0mm，颜色为亮银色。</w:t>
      </w:r>
    </w:p>
    <w:p w14:paraId="675148EF">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2.围栏立柱基础</w:t>
      </w:r>
    </w:p>
    <w:p w14:paraId="3467D536">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围栏立柱基础规格：（长</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00mm*宽</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00mm*高</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00mm），钢筋混凝土环境类别：二类b环境：干湿交替环境；严寒和寒冷地区的露天环境；严寒和寒冷地区冰冻线以上与无侵蚀性的水或土壤直接接触的环境。</w:t>
      </w:r>
    </w:p>
    <w:p w14:paraId="0E6B5109">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（1）围栏基础应采用C20混凝土，基础的规格（深度、长和宽）、回填等应符合设计图纸。</w:t>
      </w:r>
    </w:p>
    <w:p w14:paraId="461086A2">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（2）围栏基础施工前，基础垫层的作业面应进行覆土夯实，保持干燥、坚实、平整。基础顶部应低于地面5mm以内，使其与地面连续。</w:t>
      </w:r>
    </w:p>
    <w:p w14:paraId="0309CFD2">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（3）围栏基础的间距为3m（每组围栏间距3m）。</w:t>
      </w:r>
    </w:p>
    <w:p w14:paraId="2A764C09">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3.围栏管件</w:t>
      </w:r>
    </w:p>
    <w:p w14:paraId="174FB736">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（1）围栏管件应采用符合国家标准或有资质认证的产品，不得使用过短、过薄、过轻、变形等影响围栏安装和使用的管件。</w:t>
      </w:r>
    </w:p>
    <w:p w14:paraId="68345719">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（2）围栏管件应坚硬、平直、无裂纹、无私自调整、对折或人为损坏等现象。</w:t>
      </w:r>
    </w:p>
    <w:p w14:paraId="3AFE5B09">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（3）围栏管件上的全部接头、附件和焊接点等应齐全、牢固、耐久，不得有断裂、脱落、松动等现象。</w:t>
      </w:r>
    </w:p>
    <w:p w14:paraId="4AF732E6">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4.连接件</w:t>
      </w:r>
    </w:p>
    <w:p w14:paraId="0868781A">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（1）围栏连接件应符合规范和要求，无裂纹、机械加工滑板光滑、孔洞对正，达到标准的牢固程度。</w:t>
      </w:r>
    </w:p>
    <w:p w14:paraId="2AD4290E">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（2）围栏连接件与围栏管件的连接应符合规范和相应工艺要求，牢固、均匀、美观无刺。</w:t>
      </w:r>
    </w:p>
    <w:p w14:paraId="2837CCFD">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（3）围栏连接件的数量应足够，位置应合理。</w:t>
      </w:r>
    </w:p>
    <w:p w14:paraId="7FBFC3A6">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5.所有材料均需由厂家提供符合质量标准和按施工图施工。</w:t>
      </w:r>
    </w:p>
    <w:p w14:paraId="6649D7FD">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围栏工程量表见下表5.4.5-1。</w:t>
      </w:r>
    </w:p>
    <w:p w14:paraId="6B7B49EC">
      <w:pPr>
        <w:rPr>
          <w:rFonts w:hint="default" w:ascii="Times New Roman" w:hAnsi="Times New Roman" w:eastAsia="宋体" w:cs="Times New Roman"/>
          <w:smallCaps w:val="0"/>
          <w:snapToGrid w:val="0"/>
          <w:color w:val="auto"/>
          <w:spacing w:val="0"/>
          <w:w w:val="100"/>
          <w:kern w:val="0"/>
          <w:sz w:val="30"/>
          <w:szCs w:val="30"/>
          <w:highlight w:val="none"/>
        </w:rPr>
        <w:sectPr>
          <w:headerReference r:id="rId20" w:type="default"/>
          <w:footerReference r:id="rId21" w:type="default"/>
          <w:type w:val="nextColumn"/>
          <w:pgSz w:w="11900" w:h="16840"/>
          <w:pgMar w:top="1134" w:right="1418" w:bottom="1134" w:left="1417" w:header="862" w:footer="993" w:gutter="0"/>
          <w:pgBorders>
            <w:top w:val="none" w:sz="0" w:space="0"/>
            <w:left w:val="none" w:sz="0" w:space="0"/>
            <w:bottom w:val="none" w:sz="0" w:space="0"/>
            <w:right w:val="none" w:sz="0" w:space="0"/>
          </w:pgBorders>
          <w:pgNumType w:fmt="numberInDash"/>
          <w:cols w:space="720" w:num="1"/>
        </w:sectPr>
      </w:pPr>
    </w:p>
    <w:p w14:paraId="363089F4">
      <w:pPr>
        <w:kinsoku/>
        <w:spacing w:line="560" w:lineRule="atLeast"/>
        <w:ind w:left="39" w:right="33" w:firstLine="600"/>
        <w:jc w:val="center"/>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围栏工程数量表</w:t>
      </w:r>
    </w:p>
    <w:p w14:paraId="23EB6F04">
      <w:pPr>
        <w:kinsoku/>
        <w:spacing w:line="560" w:lineRule="atLeast"/>
        <w:ind w:right="33"/>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表5.4.</w:t>
      </w:r>
      <w:r>
        <w:rPr>
          <w:rFonts w:hint="default" w:ascii="Times New Roman" w:hAnsi="Times New Roman" w:eastAsia="宋体" w:cs="Times New Roman"/>
          <w:smallCaps w:val="0"/>
          <w:color w:val="auto"/>
          <w:spacing w:val="0"/>
          <w:w w:val="100"/>
          <w:sz w:val="28"/>
          <w:szCs w:val="28"/>
          <w:highlight w:val="none"/>
          <w:lang w:val="en-US" w:eastAsia="zh-CN"/>
        </w:rPr>
        <w:t>5</w:t>
      </w:r>
      <w:r>
        <w:rPr>
          <w:rFonts w:hint="default" w:ascii="Times New Roman" w:hAnsi="Times New Roman" w:eastAsia="宋体" w:cs="Times New Roman"/>
          <w:smallCaps w:val="0"/>
          <w:color w:val="auto"/>
          <w:spacing w:val="0"/>
          <w:w w:val="100"/>
          <w:sz w:val="28"/>
          <w:szCs w:val="28"/>
          <w:highlight w:val="none"/>
          <w:lang w:eastAsia="zh-CN"/>
        </w:rPr>
        <w:t xml:space="preserve">-1 </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65"/>
        <w:gridCol w:w="1337"/>
        <w:gridCol w:w="2050"/>
        <w:gridCol w:w="1447"/>
        <w:gridCol w:w="1405"/>
        <w:gridCol w:w="1260"/>
        <w:gridCol w:w="1260"/>
        <w:gridCol w:w="1506"/>
        <w:gridCol w:w="1571"/>
        <w:gridCol w:w="1881"/>
      </w:tblGrid>
      <w:tr w14:paraId="5C052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blHeader/>
        </w:trPr>
        <w:tc>
          <w:tcPr>
            <w:tcW w:w="81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62E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权属</w:t>
            </w:r>
          </w:p>
        </w:tc>
        <w:tc>
          <w:tcPr>
            <w:tcW w:w="69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D28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编号</w:t>
            </w:r>
          </w:p>
        </w:tc>
        <w:tc>
          <w:tcPr>
            <w:tcW w:w="48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48B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长度（m）</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FD8EB0">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土方开挖</w:t>
            </w:r>
            <w:r>
              <w:rPr>
                <w:rFonts w:hint="eastAsia" w:ascii="宋体" w:hAnsi="宋体" w:eastAsia="宋体" w:cs="宋体"/>
                <w:b/>
                <w:bCs/>
                <w:i w:val="0"/>
                <w:iCs w:val="0"/>
                <w:snapToGrid w:val="0"/>
                <w:color w:val="auto"/>
                <w:kern w:val="0"/>
                <w:sz w:val="22"/>
                <w:szCs w:val="22"/>
                <w:highlight w:val="none"/>
                <w:u w:val="none"/>
                <w:lang w:val="en-US" w:eastAsia="zh-CN" w:bidi="ar"/>
              </w:rPr>
              <w:br w:type="textWrapping"/>
            </w:r>
            <w:r>
              <w:rPr>
                <w:rFonts w:hint="eastAsia" w:ascii="宋体" w:hAnsi="宋体" w:eastAsia="宋体" w:cs="宋体"/>
                <w:b/>
                <w:bCs/>
                <w:i w:val="0"/>
                <w:iCs w:val="0"/>
                <w:snapToGrid w:val="0"/>
                <w:color w:val="auto"/>
                <w:kern w:val="0"/>
                <w:sz w:val="22"/>
                <w:szCs w:val="22"/>
                <w:highlight w:val="none"/>
                <w:u w:val="none"/>
                <w:lang w:val="en-US" w:eastAsia="zh-CN" w:bidi="ar"/>
              </w:rPr>
              <w:t>（m³）</w:t>
            </w:r>
          </w:p>
        </w:tc>
        <w:tc>
          <w:tcPr>
            <w:tcW w:w="4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43E624">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石方开挖</w:t>
            </w:r>
            <w:r>
              <w:rPr>
                <w:rFonts w:hint="eastAsia" w:ascii="宋体" w:hAnsi="宋体" w:eastAsia="宋体" w:cs="宋体"/>
                <w:b/>
                <w:bCs/>
                <w:i w:val="0"/>
                <w:iCs w:val="0"/>
                <w:snapToGrid w:val="0"/>
                <w:color w:val="auto"/>
                <w:kern w:val="0"/>
                <w:sz w:val="22"/>
                <w:szCs w:val="22"/>
                <w:highlight w:val="none"/>
                <w:u w:val="none"/>
                <w:lang w:val="en-US" w:eastAsia="zh-CN" w:bidi="ar"/>
              </w:rPr>
              <w:br w:type="textWrapping"/>
            </w:r>
            <w:r>
              <w:rPr>
                <w:rFonts w:hint="eastAsia" w:ascii="宋体" w:hAnsi="宋体" w:eastAsia="宋体" w:cs="宋体"/>
                <w:b/>
                <w:bCs/>
                <w:i w:val="0"/>
                <w:iCs w:val="0"/>
                <w:snapToGrid w:val="0"/>
                <w:color w:val="auto"/>
                <w:kern w:val="0"/>
                <w:sz w:val="22"/>
                <w:szCs w:val="22"/>
                <w:highlight w:val="none"/>
                <w:u w:val="none"/>
                <w:lang w:val="en-US" w:eastAsia="zh-CN" w:bidi="ar"/>
              </w:rPr>
              <w:t>（m³）</w:t>
            </w:r>
          </w:p>
        </w:tc>
        <w:tc>
          <w:tcPr>
            <w:tcW w:w="4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544109">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土方回填</w:t>
            </w:r>
            <w:r>
              <w:rPr>
                <w:rFonts w:hint="eastAsia" w:ascii="宋体" w:hAnsi="宋体" w:eastAsia="宋体" w:cs="宋体"/>
                <w:b/>
                <w:bCs/>
                <w:i w:val="0"/>
                <w:iCs w:val="0"/>
                <w:snapToGrid w:val="0"/>
                <w:color w:val="auto"/>
                <w:kern w:val="0"/>
                <w:sz w:val="22"/>
                <w:szCs w:val="22"/>
                <w:highlight w:val="none"/>
                <w:u w:val="none"/>
                <w:lang w:val="en-US" w:eastAsia="zh-CN" w:bidi="ar"/>
              </w:rPr>
              <w:br w:type="textWrapping"/>
            </w:r>
            <w:r>
              <w:rPr>
                <w:rFonts w:hint="eastAsia" w:ascii="宋体" w:hAnsi="宋体" w:eastAsia="宋体" w:cs="宋体"/>
                <w:b/>
                <w:bCs/>
                <w:i w:val="0"/>
                <w:iCs w:val="0"/>
                <w:snapToGrid w:val="0"/>
                <w:color w:val="auto"/>
                <w:kern w:val="0"/>
                <w:sz w:val="22"/>
                <w:szCs w:val="22"/>
                <w:highlight w:val="none"/>
                <w:u w:val="none"/>
                <w:lang w:val="en-US" w:eastAsia="zh-CN" w:bidi="ar"/>
              </w:rPr>
              <w:t>（m³）</w:t>
            </w:r>
          </w:p>
        </w:tc>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1F5F75">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C20砼基础</w:t>
            </w:r>
            <w:r>
              <w:rPr>
                <w:rFonts w:hint="eastAsia" w:ascii="宋体" w:hAnsi="宋体" w:eastAsia="宋体" w:cs="宋体"/>
                <w:b/>
                <w:bCs/>
                <w:i w:val="0"/>
                <w:iCs w:val="0"/>
                <w:snapToGrid w:val="0"/>
                <w:color w:val="auto"/>
                <w:kern w:val="0"/>
                <w:sz w:val="22"/>
                <w:szCs w:val="22"/>
                <w:highlight w:val="none"/>
                <w:u w:val="none"/>
                <w:lang w:val="en-US" w:eastAsia="zh-CN" w:bidi="ar"/>
              </w:rPr>
              <w:br w:type="textWrapping"/>
            </w:r>
            <w:r>
              <w:rPr>
                <w:rFonts w:hint="eastAsia" w:ascii="宋体" w:hAnsi="宋体" w:eastAsia="宋体" w:cs="宋体"/>
                <w:b/>
                <w:bCs/>
                <w:i w:val="0"/>
                <w:iCs w:val="0"/>
                <w:snapToGrid w:val="0"/>
                <w:color w:val="auto"/>
                <w:kern w:val="0"/>
                <w:sz w:val="22"/>
                <w:szCs w:val="22"/>
                <w:highlight w:val="none"/>
                <w:u w:val="none"/>
                <w:lang w:val="en-US" w:eastAsia="zh-CN" w:bidi="ar"/>
              </w:rPr>
              <w:t>（m³）</w:t>
            </w:r>
          </w:p>
        </w:tc>
        <w:tc>
          <w:tcPr>
            <w:tcW w:w="5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9EC98B">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成品护栏（m）</w:t>
            </w:r>
          </w:p>
        </w:tc>
        <w:tc>
          <w:tcPr>
            <w:tcW w:w="6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67013A">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模板制作安装及拆除（m²）</w:t>
            </w:r>
          </w:p>
        </w:tc>
      </w:tr>
      <w:tr w14:paraId="3DE0B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blHeader/>
        </w:trPr>
        <w:tc>
          <w:tcPr>
            <w:tcW w:w="81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824C0">
            <w:pPr>
              <w:jc w:val="center"/>
              <w:rPr>
                <w:rFonts w:hint="eastAsia" w:ascii="宋体" w:hAnsi="宋体" w:eastAsia="宋体" w:cs="宋体"/>
                <w:i w:val="0"/>
                <w:iCs w:val="0"/>
                <w:color w:val="auto"/>
                <w:sz w:val="24"/>
                <w:szCs w:val="24"/>
                <w:highlight w:val="none"/>
                <w:u w:val="none"/>
              </w:rPr>
            </w:pPr>
          </w:p>
        </w:tc>
        <w:tc>
          <w:tcPr>
            <w:tcW w:w="6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385F9">
            <w:pPr>
              <w:jc w:val="center"/>
              <w:rPr>
                <w:rFonts w:hint="eastAsia" w:ascii="宋体" w:hAnsi="宋体" w:eastAsia="宋体" w:cs="宋体"/>
                <w:i w:val="0"/>
                <w:iCs w:val="0"/>
                <w:color w:val="auto"/>
                <w:sz w:val="24"/>
                <w:szCs w:val="24"/>
                <w:highlight w:val="none"/>
                <w:u w:val="none"/>
              </w:rPr>
            </w:pP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14539">
            <w:pPr>
              <w:jc w:val="center"/>
              <w:rPr>
                <w:rFonts w:hint="eastAsia" w:ascii="宋体" w:hAnsi="宋体" w:eastAsia="宋体" w:cs="宋体"/>
                <w:i w:val="0"/>
                <w:iCs w:val="0"/>
                <w:color w:val="auto"/>
                <w:sz w:val="24"/>
                <w:szCs w:val="24"/>
                <w:highlight w:val="none"/>
                <w:u w:val="none"/>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9F154B">
            <w:pPr>
              <w:jc w:val="center"/>
              <w:rPr>
                <w:rFonts w:hint="eastAsia" w:ascii="宋体" w:hAnsi="宋体" w:eastAsia="宋体" w:cs="宋体"/>
                <w:b/>
                <w:bCs/>
                <w:i w:val="0"/>
                <w:iCs w:val="0"/>
                <w:color w:val="auto"/>
                <w:sz w:val="22"/>
                <w:szCs w:val="22"/>
                <w:highlight w:val="none"/>
                <w:u w:val="none"/>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18B4F4">
            <w:pPr>
              <w:jc w:val="center"/>
              <w:rPr>
                <w:rFonts w:hint="eastAsia" w:ascii="宋体" w:hAnsi="宋体" w:eastAsia="宋体" w:cs="宋体"/>
                <w:b/>
                <w:bCs/>
                <w:i w:val="0"/>
                <w:iCs w:val="0"/>
                <w:color w:val="auto"/>
                <w:sz w:val="22"/>
                <w:szCs w:val="22"/>
                <w:highlight w:val="none"/>
                <w:u w:val="none"/>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797D7F">
            <w:pPr>
              <w:jc w:val="center"/>
              <w:rPr>
                <w:rFonts w:hint="eastAsia" w:ascii="宋体" w:hAnsi="宋体" w:eastAsia="宋体" w:cs="宋体"/>
                <w:b/>
                <w:bCs/>
                <w:i w:val="0"/>
                <w:iCs w:val="0"/>
                <w:color w:val="auto"/>
                <w:sz w:val="22"/>
                <w:szCs w:val="22"/>
                <w:highlight w:val="none"/>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E22290">
            <w:pPr>
              <w:jc w:val="center"/>
              <w:rPr>
                <w:rFonts w:hint="eastAsia" w:ascii="宋体" w:hAnsi="宋体" w:eastAsia="宋体" w:cs="宋体"/>
                <w:b/>
                <w:bCs/>
                <w:i w:val="0"/>
                <w:iCs w:val="0"/>
                <w:color w:val="auto"/>
                <w:sz w:val="22"/>
                <w:szCs w:val="22"/>
                <w:highlight w:val="none"/>
                <w:u w:val="none"/>
              </w:rPr>
            </w:pPr>
          </w:p>
        </w:tc>
        <w:tc>
          <w:tcPr>
            <w:tcW w:w="5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4FEEDE">
            <w:pPr>
              <w:jc w:val="center"/>
              <w:rPr>
                <w:rFonts w:hint="eastAsia" w:ascii="宋体" w:hAnsi="宋体" w:eastAsia="宋体" w:cs="宋体"/>
                <w:b/>
                <w:bCs/>
                <w:i w:val="0"/>
                <w:iCs w:val="0"/>
                <w:color w:val="auto"/>
                <w:sz w:val="22"/>
                <w:szCs w:val="22"/>
                <w:highlight w:val="none"/>
                <w:u w:val="none"/>
              </w:rPr>
            </w:pPr>
          </w:p>
        </w:tc>
        <w:tc>
          <w:tcPr>
            <w:tcW w:w="6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9C2125">
            <w:pPr>
              <w:jc w:val="center"/>
              <w:rPr>
                <w:rFonts w:hint="eastAsia" w:ascii="宋体" w:hAnsi="宋体" w:eastAsia="宋体" w:cs="宋体"/>
                <w:b/>
                <w:bCs/>
                <w:i w:val="0"/>
                <w:iCs w:val="0"/>
                <w:color w:val="auto"/>
                <w:sz w:val="22"/>
                <w:szCs w:val="22"/>
                <w:highlight w:val="none"/>
                <w:u w:val="none"/>
              </w:rPr>
            </w:pPr>
          </w:p>
        </w:tc>
      </w:tr>
      <w:tr w14:paraId="078DE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82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E57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也伦达村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1FB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新建2026WL001</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FA3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2044</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9A3D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261.63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3C1D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65.41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1E0F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109.01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97E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43.61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C7E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2044.00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FB1D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436.05 </w:t>
            </w:r>
          </w:p>
        </w:tc>
      </w:tr>
      <w:tr w14:paraId="7B6FE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34B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363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也伦达村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9DF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新建2026WL002</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C0D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2607</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AA78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333.70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505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83.42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65FE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139.04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94D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55.62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E2E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2607.00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CFD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556.16 </w:t>
            </w:r>
          </w:p>
        </w:tc>
      </w:tr>
      <w:tr w14:paraId="4FC1F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5BE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FF5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也伦达村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27F9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新建2026WL003</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E434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3402</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1598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435.46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1390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108.86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F262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181.44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D6C6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72.58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7E52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3402.00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508C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725.76 </w:t>
            </w:r>
          </w:p>
        </w:tc>
      </w:tr>
      <w:tr w14:paraId="50E3A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3B90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2AC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也伦达村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D6B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新建2026WL004</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34D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1270</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9269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162.56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18B6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40.64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122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67.73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9E1D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27.09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A57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1270.00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7767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270.93 </w:t>
            </w:r>
          </w:p>
        </w:tc>
      </w:tr>
      <w:tr w14:paraId="76496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828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甘孜镇</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8D3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也伦达村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57D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新建2026WL005</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691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2504</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D36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320.51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2E1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80.13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9528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133.55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427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53.42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75E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2504.00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D6E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534.19 </w:t>
            </w:r>
          </w:p>
        </w:tc>
      </w:tr>
      <w:tr w14:paraId="242E8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50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E7388">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小计</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15987">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11827</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0A41E">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1513.86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CEADC">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378.46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E11637">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630.77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81188">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252.31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5E773">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11827.00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2641A">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2523.09 </w:t>
            </w:r>
          </w:p>
        </w:tc>
      </w:tr>
      <w:tr w14:paraId="3CDB6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431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来马镇</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530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夺日村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6D01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新建2026WL006</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3A5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873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543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111.74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8AB3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27.94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A0D8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46.56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DBE4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18.62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7970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873.00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4B00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186.24 </w:t>
            </w:r>
          </w:p>
        </w:tc>
      </w:tr>
      <w:tr w14:paraId="27904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50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30A7A">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小计</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270E8">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873</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A1651">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111.74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DC9B7">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13.97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B7907">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46.56 </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921E3">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18.62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06E4D">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873.00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B4DAA">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186.24 </w:t>
            </w:r>
          </w:p>
        </w:tc>
      </w:tr>
      <w:tr w14:paraId="02BBD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CC7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来马镇</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449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里拉村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84A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新建2026WL007</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5FC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3218</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798C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411.90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9089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102.98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F158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171.63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21CD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68.65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F0E1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3218.00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219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686.51 </w:t>
            </w:r>
          </w:p>
        </w:tc>
      </w:tr>
      <w:tr w14:paraId="1C10E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0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9D821">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小计</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A3EC3">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3218</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15AA0">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411.90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A5D6A">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51.49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CA6C3">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171.63 </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8A690">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68.65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A2CED">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3218.00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42062">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686.51 </w:t>
            </w:r>
          </w:p>
        </w:tc>
      </w:tr>
      <w:tr w14:paraId="7FDB2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ACF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泥柯乡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B01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和谐村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BD8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新建2026WL08</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CA76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923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838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118.14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E51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29.54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6190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49.23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5E9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19.69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4A37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923.00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BC96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196.91 </w:t>
            </w:r>
          </w:p>
        </w:tc>
      </w:tr>
      <w:tr w14:paraId="3A19C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0AF4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泥柯乡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F7B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和谐村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AF8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新建2026WL09</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053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687</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F1A9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87.94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7992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21.98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B168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36.64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56F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14.66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99C9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687.00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1AFC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146.56 </w:t>
            </w:r>
          </w:p>
        </w:tc>
      </w:tr>
      <w:tr w14:paraId="038F7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A57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泥柯乡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7BA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和谐村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88D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新建2026WL10</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C63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338</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A17A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43.26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25B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10.82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9206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18.03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9DAA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7.21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4F007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338.00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F69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72.11 </w:t>
            </w:r>
          </w:p>
        </w:tc>
      </w:tr>
      <w:tr w14:paraId="2C0F9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CA5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泥柯乡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58A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和谐村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1D2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新建2026WL11</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6216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1555</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326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199.04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C0F4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49.76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3B3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82.93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319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33.17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90D8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1555.00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B5AC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331.73 </w:t>
            </w:r>
          </w:p>
        </w:tc>
      </w:tr>
      <w:tr w14:paraId="58622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992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泥柯乡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406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和谐村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728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新建2026WL12</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804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2085</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5DB9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266.88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AF54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66.72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8C8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111.20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3FE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44.48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50F1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2085.00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FF3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444.80 </w:t>
            </w:r>
          </w:p>
        </w:tc>
      </w:tr>
      <w:tr w14:paraId="6A399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0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5C17B">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小计</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E774E">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5588</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C3B2F">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715.26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41C18">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89.41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16E22">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298.03 </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D0F1D">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119.21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7B104">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5588.00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268FC">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1192.11 </w:t>
            </w:r>
          </w:p>
        </w:tc>
      </w:tr>
      <w:tr w14:paraId="48CAD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053E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泥柯乡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E62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仁达村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EB5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新建2026WL013</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B82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1681</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A5B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215.17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6905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53.79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EB06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89.65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2AB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35.86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A4EE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1681.00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11BF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358.61 </w:t>
            </w:r>
          </w:p>
        </w:tc>
      </w:tr>
      <w:tr w14:paraId="2E247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2D6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泥柯乡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673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仁达村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D34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新建2026WL014</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367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3788</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44A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484.86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E90F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121.22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04E0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202.03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55A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80.81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A68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3788.00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C44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808.11 </w:t>
            </w:r>
          </w:p>
        </w:tc>
      </w:tr>
      <w:tr w14:paraId="59AD0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50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48628">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小计</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F8C36">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5469</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DA24C">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700.03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1945E">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87.50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EBA96">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291.68 </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8797A">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116.67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132E4">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5469.00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85FFE">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1166.72 </w:t>
            </w:r>
          </w:p>
        </w:tc>
      </w:tr>
      <w:tr w14:paraId="65939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538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泥柯乡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02B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彭达村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BC3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新建2026WL015</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508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1396</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A229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178.69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804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44.67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EB7E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74.45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53F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29.78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737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1396.00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8AAF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297.81 </w:t>
            </w:r>
          </w:p>
        </w:tc>
      </w:tr>
      <w:tr w14:paraId="5CBD8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D7A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泥柯乡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D10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彭达村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1AA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新建2026WL016</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3F4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1060</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C66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135.68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AF0E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33.92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AC4B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56.53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A13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22.61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BA9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1060.00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479C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226.13 </w:t>
            </w:r>
          </w:p>
        </w:tc>
      </w:tr>
      <w:tr w14:paraId="4C28A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14C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泥柯乡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A7F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彭达村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BFE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新建2026WL017</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A14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806</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2CBB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103.17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DD1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25.79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FB92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42.99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F2B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17.19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CD4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806.00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5755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171.95 </w:t>
            </w:r>
          </w:p>
        </w:tc>
      </w:tr>
      <w:tr w14:paraId="59A5B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8C3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泥柯乡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98B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彭达村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054E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新建2026WL018</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A0D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383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A7B7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49.02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67DE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12.26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46F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20.43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6DA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8.17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E2AE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383.00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163B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81.71 </w:t>
            </w:r>
          </w:p>
        </w:tc>
      </w:tr>
      <w:tr w14:paraId="16F08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F41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泥柯乡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7938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彭达村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960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新建2026WL019</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F7A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223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F2F2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28.54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C9D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7.14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8F7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11.89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BE6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4.76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11C2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223.00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1D1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47.57 </w:t>
            </w:r>
          </w:p>
        </w:tc>
      </w:tr>
      <w:tr w14:paraId="6CCFA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3CF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泥柯乡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3CB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彭达村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6AE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新建2026WL020</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F374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1899</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7D7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243.07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ECB8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60.77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286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101.28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04E8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40.51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D77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1899.00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0C1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405.12 </w:t>
            </w:r>
          </w:p>
        </w:tc>
      </w:tr>
      <w:tr w14:paraId="2062B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50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92247">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小计</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AF45C">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5767</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C1B5A">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738.18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4B699">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184.54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A81D4">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307.57 </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7C331">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123.03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B58F9">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5767.00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FCF37">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1230.29 </w:t>
            </w:r>
          </w:p>
        </w:tc>
      </w:tr>
      <w:tr w14:paraId="21CB3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D22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拖坝乡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C2E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卡呷村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CBE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新建2026WL021</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9C7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893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986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114.30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F7E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28.58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BD24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47.63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7858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19.05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991C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893.00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919D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190.51 </w:t>
            </w:r>
          </w:p>
        </w:tc>
      </w:tr>
      <w:tr w14:paraId="476ED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9172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拖坝乡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0A8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卡呷村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87B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新建2026WL022</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348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619</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09F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79.23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DA2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19.81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195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33.01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2EC4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13.21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DD61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619.00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C2EC9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132.05 </w:t>
            </w:r>
          </w:p>
        </w:tc>
      </w:tr>
      <w:tr w14:paraId="3146F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1BA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拖坝乡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14B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卡呷村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525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新建2026WL023</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88E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778</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820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99.58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B1D4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24.90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957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41.49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4BED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16.60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A43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778.00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8E23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165.97 </w:t>
            </w:r>
          </w:p>
        </w:tc>
      </w:tr>
      <w:tr w14:paraId="0703C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0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5B15C">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小计</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9A52F">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2290</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299E4">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293.12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1D927">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36.64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A3837">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122.13 </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7A6F2">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48.85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55146">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2290.00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FE31F">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488.53 </w:t>
            </w:r>
          </w:p>
        </w:tc>
      </w:tr>
      <w:tr w14:paraId="7C5C6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B00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拖坝乡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A90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拖坝村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ADC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新建2026WL024</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443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1489</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45E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190.59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8E0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47.65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3CD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79.41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1858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31.77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E71A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1489.00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82BE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317.65 </w:t>
            </w:r>
          </w:p>
        </w:tc>
      </w:tr>
      <w:tr w14:paraId="3FE78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50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418B7">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小计</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A654C">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1489</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8C060">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190.59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F1BB3">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23.82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2D41D">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79.41 </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5BF51">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31.77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B607E">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1489.00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F9765">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317.65 </w:t>
            </w:r>
          </w:p>
        </w:tc>
      </w:tr>
      <w:tr w14:paraId="5C1CF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FAE6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庭卡乡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4A66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拉西村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55B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新建2026WL025</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5664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2457</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9D0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314.50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851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78.62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C08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131.04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A1C1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52.42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2D5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2457.00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BFC9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524.16 </w:t>
            </w:r>
          </w:p>
        </w:tc>
      </w:tr>
      <w:tr w14:paraId="3B178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0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536F9">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小计</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2A6F5">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2457</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48ADC">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314.50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24ADC">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39.31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E4B7C">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131.04 </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D0A7A">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52.42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73D7B">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2457.00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992B6">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524.16 </w:t>
            </w:r>
          </w:p>
        </w:tc>
      </w:tr>
      <w:tr w14:paraId="0CB09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D42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庭卡乡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DECE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苦绒村</w:t>
            </w: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748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新建2026WL026</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48F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snapToGrid w:val="0"/>
                <w:color w:val="auto"/>
                <w:kern w:val="0"/>
                <w:sz w:val="24"/>
                <w:szCs w:val="24"/>
                <w:highlight w:val="none"/>
                <w:u w:val="none"/>
                <w:lang w:val="en-US" w:eastAsia="zh-CN" w:bidi="ar"/>
              </w:rPr>
              <w:t>896</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0C74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114.69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A99D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28.67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DC9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47.79 </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43B9A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19.11 </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D77D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896.00 </w:t>
            </w:r>
          </w:p>
        </w:tc>
        <w:tc>
          <w:tcPr>
            <w:tcW w:w="6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F36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snapToGrid w:val="0"/>
                <w:color w:val="auto"/>
                <w:kern w:val="0"/>
                <w:sz w:val="22"/>
                <w:szCs w:val="22"/>
                <w:highlight w:val="none"/>
                <w:u w:val="none"/>
                <w:lang w:val="en-US" w:eastAsia="zh-CN" w:bidi="ar"/>
              </w:rPr>
              <w:t xml:space="preserve">191.15 </w:t>
            </w:r>
          </w:p>
        </w:tc>
      </w:tr>
      <w:tr w14:paraId="03737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0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140B5">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小计</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5DD24">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896</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B4D44">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114.69 </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B570E">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snapToGrid w:val="0"/>
                <w:color w:val="auto"/>
                <w:kern w:val="0"/>
                <w:sz w:val="22"/>
                <w:szCs w:val="22"/>
                <w:highlight w:val="none"/>
                <w:u w:val="none"/>
                <w:lang w:val="en-US" w:eastAsia="zh-CN" w:bidi="ar"/>
              </w:rPr>
              <w:t xml:space="preserve">14.34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2D996">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47.79 </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E558E">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19.11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2A7DF">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896.00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22E2D">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191.15 </w:t>
            </w:r>
          </w:p>
        </w:tc>
      </w:tr>
      <w:tr w14:paraId="0F4AD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0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6EB51">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合计</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A82F5">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39874</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BAA63">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5103.87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AE267">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1097.73 </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D497A">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2126.61 </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E7490">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850.65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A230D">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39874.00 </w:t>
            </w:r>
          </w:p>
        </w:tc>
        <w:tc>
          <w:tcPr>
            <w:tcW w:w="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D9E7A">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snapToGrid w:val="0"/>
                <w:color w:val="auto"/>
                <w:kern w:val="0"/>
                <w:sz w:val="24"/>
                <w:szCs w:val="24"/>
                <w:highlight w:val="none"/>
                <w:u w:val="none"/>
                <w:lang w:val="en-US" w:eastAsia="zh-CN" w:bidi="ar"/>
              </w:rPr>
              <w:t xml:space="preserve">8506.45 </w:t>
            </w:r>
          </w:p>
        </w:tc>
      </w:tr>
    </w:tbl>
    <w:p w14:paraId="472F7BCF">
      <w:pPr>
        <w:kinsoku/>
        <w:spacing w:line="560" w:lineRule="atLeast"/>
        <w:ind w:left="39" w:right="33" w:firstLine="600"/>
        <w:jc w:val="center"/>
        <w:rPr>
          <w:rFonts w:hint="default" w:ascii="Times New Roman" w:hAnsi="Times New Roman" w:eastAsia="宋体" w:cs="Times New Roman"/>
          <w:b/>
          <w:bCs/>
          <w:smallCaps w:val="0"/>
          <w:color w:val="auto"/>
          <w:spacing w:val="0"/>
          <w:w w:val="100"/>
          <w:sz w:val="30"/>
          <w:szCs w:val="30"/>
          <w:highlight w:val="none"/>
          <w:lang w:eastAsia="zh-CN"/>
        </w:rPr>
      </w:pPr>
    </w:p>
    <w:p w14:paraId="36A40DC9">
      <w:pPr>
        <w:kinsoku/>
        <w:spacing w:line="560" w:lineRule="atLeast"/>
        <w:ind w:left="39" w:right="33" w:firstLine="600"/>
        <w:jc w:val="center"/>
        <w:rPr>
          <w:rFonts w:hint="default" w:ascii="Times New Roman" w:hAnsi="Times New Roman" w:eastAsia="宋体" w:cs="Times New Roman"/>
          <w:b/>
          <w:bCs/>
          <w:smallCaps w:val="0"/>
          <w:color w:val="auto"/>
          <w:spacing w:val="0"/>
          <w:w w:val="100"/>
          <w:sz w:val="30"/>
          <w:szCs w:val="30"/>
          <w:highlight w:val="none"/>
          <w:lang w:eastAsia="zh-CN"/>
        </w:rPr>
      </w:pPr>
    </w:p>
    <w:p w14:paraId="43E3DCA2">
      <w:pPr>
        <w:kinsoku/>
        <w:spacing w:line="560" w:lineRule="atLeast"/>
        <w:ind w:left="39" w:right="33" w:firstLine="600"/>
        <w:jc w:val="center"/>
        <w:rPr>
          <w:rFonts w:hint="default" w:ascii="Times New Roman" w:hAnsi="Times New Roman" w:eastAsia="宋体" w:cs="Times New Roman"/>
          <w:b/>
          <w:bCs/>
          <w:smallCaps w:val="0"/>
          <w:color w:val="auto"/>
          <w:spacing w:val="0"/>
          <w:w w:val="100"/>
          <w:sz w:val="30"/>
          <w:szCs w:val="30"/>
          <w:highlight w:val="none"/>
          <w:lang w:eastAsia="zh-CN"/>
        </w:rPr>
      </w:pPr>
    </w:p>
    <w:p w14:paraId="3123DEF4">
      <w:pPr>
        <w:kinsoku/>
        <w:spacing w:line="560" w:lineRule="atLeast"/>
        <w:ind w:right="33"/>
        <w:rPr>
          <w:rFonts w:hint="default" w:ascii="Times New Roman" w:hAnsi="Times New Roman" w:eastAsia="宋体" w:cs="Times New Roman"/>
          <w:smallCaps w:val="0"/>
          <w:color w:val="auto"/>
          <w:spacing w:val="0"/>
          <w:w w:val="100"/>
          <w:sz w:val="28"/>
          <w:szCs w:val="28"/>
          <w:highlight w:val="none"/>
          <w:lang w:eastAsia="zh-CN"/>
        </w:rPr>
      </w:pPr>
    </w:p>
    <w:p w14:paraId="72C26D36">
      <w:pPr>
        <w:kinsoku/>
        <w:spacing w:line="560" w:lineRule="atLeast"/>
        <w:ind w:right="33"/>
        <w:rPr>
          <w:rFonts w:hint="default" w:ascii="Times New Roman" w:hAnsi="Times New Roman" w:eastAsia="宋体" w:cs="Times New Roman"/>
          <w:smallCaps w:val="0"/>
          <w:color w:val="auto"/>
          <w:spacing w:val="0"/>
          <w:w w:val="100"/>
          <w:sz w:val="28"/>
          <w:szCs w:val="28"/>
          <w:highlight w:val="none"/>
          <w:lang w:eastAsia="zh-CN"/>
        </w:rPr>
      </w:pPr>
    </w:p>
    <w:p w14:paraId="67E97992">
      <w:pPr>
        <w:jc w:val="center"/>
        <w:rPr>
          <w:rFonts w:hint="default" w:ascii="Times New Roman" w:hAnsi="Times New Roman" w:eastAsia="宋体" w:cs="Times New Roman"/>
          <w:smallCaps w:val="0"/>
          <w:snapToGrid w:val="0"/>
          <w:color w:val="auto"/>
          <w:spacing w:val="0"/>
          <w:w w:val="100"/>
          <w:kern w:val="0"/>
          <w:sz w:val="24"/>
          <w:szCs w:val="24"/>
          <w:highlight w:val="none"/>
        </w:rPr>
      </w:pPr>
    </w:p>
    <w:p w14:paraId="2E2E26EB">
      <w:pPr>
        <w:rPr>
          <w:rFonts w:hint="default" w:ascii="Times New Roman" w:hAnsi="Times New Roman" w:eastAsia="宋体" w:cs="Times New Roman"/>
          <w:smallCaps w:val="0"/>
          <w:snapToGrid w:val="0"/>
          <w:color w:val="auto"/>
          <w:spacing w:val="0"/>
          <w:w w:val="100"/>
          <w:kern w:val="0"/>
          <w:sz w:val="30"/>
          <w:szCs w:val="30"/>
          <w:highlight w:val="none"/>
        </w:rPr>
      </w:pPr>
    </w:p>
    <w:p w14:paraId="13F2BADF">
      <w:pPr>
        <w:rPr>
          <w:rFonts w:hint="default" w:ascii="Times New Roman" w:hAnsi="Times New Roman" w:eastAsia="宋体" w:cs="Times New Roman"/>
          <w:smallCaps w:val="0"/>
          <w:snapToGrid w:val="0"/>
          <w:color w:val="auto"/>
          <w:spacing w:val="0"/>
          <w:w w:val="100"/>
          <w:kern w:val="0"/>
          <w:sz w:val="30"/>
          <w:szCs w:val="30"/>
          <w:highlight w:val="none"/>
        </w:rPr>
        <w:sectPr>
          <w:pgSz w:w="16840" w:h="11900" w:orient="landscape"/>
          <w:pgMar w:top="1417" w:right="1134" w:bottom="1418" w:left="1134" w:header="862" w:footer="993" w:gutter="0"/>
          <w:pgBorders>
            <w:top w:val="none" w:sz="0" w:space="0"/>
            <w:left w:val="none" w:sz="0" w:space="0"/>
            <w:bottom w:val="none" w:sz="0" w:space="0"/>
            <w:right w:val="none" w:sz="0" w:space="0"/>
          </w:pgBorders>
          <w:pgNumType w:fmt="numberInDash"/>
          <w:cols w:space="720" w:num="1"/>
        </w:sectPr>
      </w:pPr>
    </w:p>
    <w:p w14:paraId="7AC1AAEA">
      <w:pPr>
        <w:kinsoku/>
        <w:spacing w:line="560" w:lineRule="atLeast"/>
        <w:outlineLvl w:val="3"/>
        <w:rPr>
          <w:rFonts w:hint="default" w:ascii="Times New Roman" w:hAnsi="Times New Roman" w:eastAsia="宋体" w:cs="Times New Roman"/>
          <w:smallCaps w:val="0"/>
          <w:color w:val="auto"/>
          <w:spacing w:val="0"/>
          <w:w w:val="100"/>
          <w:sz w:val="31"/>
          <w:szCs w:val="31"/>
          <w:highlight w:val="none"/>
          <w:lang w:eastAsia="zh-CN"/>
        </w:rPr>
      </w:pPr>
      <w:bookmarkStart w:id="224" w:name="_Toc19275"/>
      <w:r>
        <w:rPr>
          <w:rFonts w:hint="default" w:ascii="Times New Roman" w:hAnsi="Times New Roman" w:eastAsia="宋体" w:cs="Times New Roman"/>
          <w:smallCaps w:val="0"/>
          <w:color w:val="auto"/>
          <w:spacing w:val="0"/>
          <w:w w:val="100"/>
          <w:highlight w:val="none"/>
        </w:rPr>
        <w:fldChar w:fldCharType="begin"/>
      </w:r>
      <w:r>
        <w:rPr>
          <w:rFonts w:hint="default" w:ascii="Times New Roman" w:hAnsi="Times New Roman" w:eastAsia="宋体" w:cs="Times New Roman"/>
          <w:smallCaps w:val="0"/>
          <w:color w:val="auto"/>
          <w:spacing w:val="0"/>
          <w:w w:val="100"/>
          <w:highlight w:val="none"/>
        </w:rPr>
        <w:instrText xml:space="preserve"> HYPERLINK "file:///F:\\F盘\\3-2024年\\8-甘孜州高标准农田\\收集的模板\\3、2021年高标准农田建设项目设计资料\\5.4.4.2" </w:instrText>
      </w:r>
      <w:r>
        <w:rPr>
          <w:rFonts w:hint="default" w:ascii="Times New Roman" w:hAnsi="Times New Roman" w:eastAsia="宋体" w:cs="Times New Roman"/>
          <w:smallCaps w:val="0"/>
          <w:color w:val="auto"/>
          <w:spacing w:val="0"/>
          <w:w w:val="100"/>
          <w:highlight w:val="none"/>
        </w:rPr>
        <w:fldChar w:fldCharType="separate"/>
      </w:r>
      <w:r>
        <w:rPr>
          <w:rFonts w:hint="default" w:ascii="Times New Roman" w:hAnsi="Times New Roman" w:eastAsia="宋体" w:cs="Times New Roman"/>
          <w:b/>
          <w:bCs/>
          <w:smallCaps w:val="0"/>
          <w:color w:val="auto"/>
          <w:spacing w:val="0"/>
          <w:w w:val="100"/>
          <w:sz w:val="31"/>
          <w:szCs w:val="31"/>
          <w:highlight w:val="none"/>
          <w:lang w:eastAsia="zh-CN"/>
        </w:rPr>
        <w:t>5.4.</w:t>
      </w:r>
      <w:r>
        <w:rPr>
          <w:rFonts w:hint="default" w:ascii="Times New Roman" w:hAnsi="Times New Roman" w:eastAsia="宋体" w:cs="Times New Roman"/>
          <w:b/>
          <w:bCs/>
          <w:smallCaps w:val="0"/>
          <w:color w:val="auto"/>
          <w:spacing w:val="0"/>
          <w:w w:val="100"/>
          <w:sz w:val="31"/>
          <w:szCs w:val="31"/>
          <w:highlight w:val="none"/>
          <w:lang w:val="en-US" w:eastAsia="zh-CN"/>
        </w:rPr>
        <w:t>5</w:t>
      </w:r>
      <w:r>
        <w:rPr>
          <w:rFonts w:hint="default" w:ascii="Times New Roman" w:hAnsi="Times New Roman" w:eastAsia="宋体" w:cs="Times New Roman"/>
          <w:b/>
          <w:bCs/>
          <w:smallCaps w:val="0"/>
          <w:color w:val="auto"/>
          <w:spacing w:val="0"/>
          <w:w w:val="100"/>
          <w:sz w:val="31"/>
          <w:szCs w:val="31"/>
          <w:highlight w:val="none"/>
          <w:lang w:eastAsia="zh-CN"/>
        </w:rPr>
        <w:t>.3</w:t>
      </w:r>
      <w:r>
        <w:rPr>
          <w:rFonts w:hint="default" w:ascii="Times New Roman" w:hAnsi="Times New Roman" w:eastAsia="宋体" w:cs="Times New Roman"/>
          <w:b/>
          <w:bCs/>
          <w:smallCaps w:val="0"/>
          <w:color w:val="auto"/>
          <w:spacing w:val="0"/>
          <w:w w:val="100"/>
          <w:sz w:val="31"/>
          <w:szCs w:val="31"/>
          <w:highlight w:val="none"/>
          <w:lang w:eastAsia="zh-CN"/>
        </w:rPr>
        <w:fldChar w:fldCharType="end"/>
      </w:r>
      <w:r>
        <w:rPr>
          <w:rFonts w:hint="default" w:ascii="Times New Roman" w:hAnsi="Times New Roman" w:eastAsia="宋体" w:cs="Times New Roman"/>
          <w:b/>
          <w:bCs/>
          <w:smallCaps w:val="0"/>
          <w:color w:val="auto"/>
          <w:spacing w:val="0"/>
          <w:w w:val="100"/>
          <w:sz w:val="31"/>
          <w:szCs w:val="31"/>
          <w:highlight w:val="none"/>
          <w:lang w:eastAsia="zh-CN"/>
        </w:rPr>
        <w:t xml:space="preserve"> 通行闸道设计</w:t>
      </w:r>
      <w:bookmarkEnd w:id="224"/>
    </w:p>
    <w:p w14:paraId="72C6DDB3">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1.农机作业闸道</w:t>
      </w:r>
    </w:p>
    <w:p w14:paraId="5233FE42">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规格：宽</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m*高1.8m，</w:t>
      </w:r>
      <w:r>
        <w:rPr>
          <w:rFonts w:hint="default" w:ascii="Times New Roman" w:hAnsi="Times New Roman" w:eastAsia="宋体" w:cs="Times New Roman"/>
          <w:smallCaps w:val="0"/>
          <w:color w:val="auto"/>
          <w:spacing w:val="0"/>
          <w:w w:val="100"/>
          <w:sz w:val="30"/>
          <w:szCs w:val="30"/>
          <w:highlight w:val="none"/>
          <w:lang w:val="en-US" w:eastAsia="zh-CN"/>
        </w:rPr>
        <w:t>材质</w:t>
      </w:r>
      <w:r>
        <w:rPr>
          <w:rFonts w:hint="default" w:ascii="Times New Roman" w:hAnsi="Times New Roman" w:eastAsia="宋体" w:cs="Times New Roman"/>
          <w:smallCaps w:val="0"/>
          <w:color w:val="auto"/>
          <w:spacing w:val="0"/>
          <w:w w:val="100"/>
          <w:sz w:val="30"/>
          <w:szCs w:val="30"/>
          <w:highlight w:val="none"/>
          <w:lang w:eastAsia="zh-CN"/>
        </w:rPr>
        <w:t>采用镀锌钢丝+浸塑处理，丝径浸塑后φ6.0mm，颜色为亮银色。</w:t>
      </w:r>
    </w:p>
    <w:p w14:paraId="2FAE08E9">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2.人员通行闸道</w:t>
      </w:r>
    </w:p>
    <w:p w14:paraId="4298B1CE">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规格：宽3m*高1.8m</w:t>
      </w:r>
      <w:r>
        <w:rPr>
          <w:rFonts w:hint="default" w:ascii="Times New Roman" w:hAnsi="Times New Roman" w:eastAsia="宋体" w:cs="Times New Roman"/>
          <w:smallCaps w:val="0"/>
          <w:color w:val="auto"/>
          <w:spacing w:val="0"/>
          <w:w w:val="100"/>
          <w:sz w:val="30"/>
          <w:szCs w:val="30"/>
          <w:highlight w:val="none"/>
          <w:lang w:val="en-US" w:eastAsia="zh-CN"/>
        </w:rPr>
        <w:t>材质</w:t>
      </w:r>
      <w:r>
        <w:rPr>
          <w:rFonts w:hint="default" w:ascii="Times New Roman" w:hAnsi="Times New Roman" w:eastAsia="宋体" w:cs="Times New Roman"/>
          <w:smallCaps w:val="0"/>
          <w:color w:val="auto"/>
          <w:spacing w:val="0"/>
          <w:w w:val="100"/>
          <w:sz w:val="30"/>
          <w:szCs w:val="30"/>
          <w:highlight w:val="none"/>
          <w:lang w:eastAsia="zh-CN"/>
        </w:rPr>
        <w:t>采用镀锌钢丝+浸塑处理，丝径浸塑后φ6.0mm，颜色为亮银色。</w:t>
      </w:r>
    </w:p>
    <w:p w14:paraId="70034228">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3.闸道安装</w:t>
      </w:r>
    </w:p>
    <w:p w14:paraId="480DEB52">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（1）闸道按照现行技术规范及设计要求制作安装。</w:t>
      </w:r>
    </w:p>
    <w:p w14:paraId="59098D1E">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（2）围栏闸道材质为镀锌钢矩管。</w:t>
      </w:r>
    </w:p>
    <w:p w14:paraId="5E779A0E">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围栏闸道规格质量和构造安装要求应符合：a.设计意图要求；b.热工性能指标；c.国家颁布的规范及行业标准的规定，并由制作厂家依据设计图纸及施工现场实测尺寸进行二次设计，经施工方确认和设计方认可后方可进行施工。</w:t>
      </w:r>
    </w:p>
    <w:p w14:paraId="2D5DE2FA">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（4）按图施工，由专业厂家落实制作安装。产品须由持有产品合格证的厂家提供。</w:t>
      </w:r>
    </w:p>
    <w:p w14:paraId="05D96D23">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（5）型材大小，五金配件及制作安装等由生产厂家根据有关行业标准进行计算确定。</w:t>
      </w:r>
    </w:p>
    <w:p w14:paraId="013C82CE">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（6）立梃位置居于立柱中线位置，便于安装。</w:t>
      </w:r>
    </w:p>
    <w:p w14:paraId="0972B6F6">
      <w:pPr>
        <w:kinsoku/>
        <w:spacing w:line="560" w:lineRule="exact"/>
        <w:ind w:left="67" w:right="1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（7）中小型农机作业（人员通行）闸道安装时，根据村民需求可增加拉力弹簧。</w:t>
      </w:r>
    </w:p>
    <w:p w14:paraId="1C93DBC7">
      <w:pPr>
        <w:pStyle w:val="4"/>
        <w:spacing w:before="0" w:after="0" w:line="560" w:lineRule="exact"/>
        <w:outlineLvl w:val="2"/>
        <w:rPr>
          <w:rFonts w:hint="default" w:ascii="Times New Roman" w:hAnsi="Times New Roman" w:eastAsia="宋体" w:cs="Times New Roman"/>
          <w:smallCaps w:val="0"/>
          <w:color w:val="auto"/>
          <w:spacing w:val="0"/>
          <w:w w:val="100"/>
          <w:highlight w:val="none"/>
        </w:rPr>
      </w:pPr>
      <w:bookmarkStart w:id="225" w:name="_Toc17876"/>
      <w:bookmarkStart w:id="226" w:name="_Toc29513"/>
      <w:r>
        <w:rPr>
          <w:rFonts w:hint="default" w:ascii="Times New Roman" w:hAnsi="Times New Roman" w:eastAsia="宋体" w:cs="Times New Roman"/>
          <w:smallCaps w:val="0"/>
          <w:color w:val="auto"/>
          <w:spacing w:val="0"/>
          <w:w w:val="100"/>
          <w:highlight w:val="none"/>
        </w:rPr>
        <w:t>5.4.</w:t>
      </w:r>
      <w:r>
        <w:rPr>
          <w:rFonts w:hint="default" w:ascii="Times New Roman" w:hAnsi="Times New Roman" w:eastAsia="宋体" w:cs="Times New Roman"/>
          <w:smallCaps w:val="0"/>
          <w:color w:val="auto"/>
          <w:spacing w:val="0"/>
          <w:w w:val="100"/>
          <w:highlight w:val="none"/>
          <w:lang w:val="en-US" w:eastAsia="zh-CN"/>
        </w:rPr>
        <w:t>6</w:t>
      </w:r>
      <w:r>
        <w:rPr>
          <w:rFonts w:hint="default" w:ascii="Times New Roman" w:hAnsi="Times New Roman" w:eastAsia="宋体" w:cs="Times New Roman"/>
          <w:smallCaps w:val="0"/>
          <w:color w:val="auto"/>
          <w:spacing w:val="0"/>
          <w:w w:val="100"/>
          <w:highlight w:val="none"/>
        </w:rPr>
        <w:t>其他工程</w:t>
      </w:r>
      <w:bookmarkEnd w:id="225"/>
      <w:bookmarkEnd w:id="226"/>
    </w:p>
    <w:p w14:paraId="2A36CDBD">
      <w:pPr>
        <w:kinsoku/>
        <w:spacing w:before="265" w:line="371" w:lineRule="auto"/>
        <w:ind w:left="41" w:right="31"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本项目涉及的其他工程主要有项目公示牌、单项工程标识牌、安全警示牌。</w:t>
      </w:r>
    </w:p>
    <w:p w14:paraId="44B6F92E">
      <w:pPr>
        <w:kinsoku/>
        <w:spacing w:before="45" w:line="377" w:lineRule="auto"/>
        <w:ind w:left="41" w:right="33" w:firstLine="603"/>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项目公示牌主要用于公示本项目基本情况，接受广大农民群众监督。项目公示牌采用 C20现浇砼基础+C20现浇砼墙体，完成后张贴定制的瓷砖。本次项目分布广，项目工程相对分散，本次设计选择了项目区的工程较为集中区域设立公示牌。</w:t>
      </w:r>
    </w:p>
    <w:p w14:paraId="7A757754">
      <w:pPr>
        <w:kinsoku/>
        <w:spacing w:before="41" w:line="363" w:lineRule="auto"/>
        <w:ind w:left="39" w:right="33" w:firstLine="604"/>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为了区别于其他工程，本项目在主要单项工程上张贴高标准农田建设标识牌，标识牌采用定制瓷砖制作，张贴时尽量嵌入工程中。高标准农田标识参照《农业农村部办公厅关于规范统一高标</w:t>
      </w:r>
      <w:r>
        <w:rPr>
          <w:rFonts w:hint="default" w:ascii="Times New Roman" w:hAnsi="Times New Roman" w:eastAsia="宋体" w:cs="Times New Roman"/>
          <w:smallCaps w:val="0"/>
          <w:color w:val="auto"/>
          <w:spacing w:val="0"/>
          <w:w w:val="100"/>
          <w:sz w:val="30"/>
          <w:szCs w:val="30"/>
          <w:highlight w:val="none"/>
          <w:lang w:val="en-US" w:eastAsia="zh-CN"/>
        </w:rPr>
        <w:t>准</w:t>
      </w:r>
      <w:r>
        <w:rPr>
          <w:rFonts w:hint="default" w:ascii="Times New Roman" w:hAnsi="Times New Roman" w:eastAsia="宋体" w:cs="Times New Roman"/>
          <w:smallCaps w:val="0"/>
          <w:color w:val="auto"/>
          <w:spacing w:val="0"/>
          <w:w w:val="100"/>
          <w:sz w:val="30"/>
          <w:szCs w:val="30"/>
          <w:highlight w:val="none"/>
          <w:lang w:eastAsia="zh-CN"/>
        </w:rPr>
        <w:t>农田国 家标识的通知》农办建〔2020〕7号执行 。</w:t>
      </w:r>
    </w:p>
    <w:p w14:paraId="5AD5E9B1">
      <w:pPr>
        <w:kinsoku/>
        <w:spacing w:line="3691" w:lineRule="exact"/>
        <w:ind w:firstLine="3995"/>
        <w:rPr>
          <w:rFonts w:hint="default" w:ascii="Times New Roman" w:hAnsi="Times New Roman" w:eastAsia="宋体" w:cs="Times New Roman"/>
          <w:smallCaps w:val="0"/>
          <w:color w:val="auto"/>
          <w:spacing w:val="0"/>
          <w:w w:val="100"/>
          <w:highlight w:val="none"/>
        </w:rPr>
      </w:pPr>
      <w:r>
        <w:rPr>
          <w:rFonts w:hint="default" w:ascii="Times New Roman" w:hAnsi="Times New Roman" w:eastAsia="宋体" w:cs="Times New Roman"/>
          <w:smallCaps w:val="0"/>
          <w:color w:val="auto"/>
          <w:spacing w:val="0"/>
          <w:w w:val="100"/>
          <w:highlight w:val="none"/>
        </w:rPr>
        <w:drawing>
          <wp:anchor distT="0" distB="0" distL="0" distR="0" simplePos="0" relativeHeight="251671552" behindDoc="0" locked="0" layoutInCell="1" allowOverlap="1">
            <wp:simplePos x="0" y="0"/>
            <wp:positionH relativeFrom="column">
              <wp:posOffset>15240</wp:posOffset>
            </wp:positionH>
            <wp:positionV relativeFrom="paragraph">
              <wp:posOffset>0</wp:posOffset>
            </wp:positionV>
            <wp:extent cx="2308860" cy="2343785"/>
            <wp:effectExtent l="0" t="0" r="15240" b="18415"/>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r:embed="rId92"/>
                    <a:stretch>
                      <a:fillRect/>
                    </a:stretch>
                  </pic:blipFill>
                  <pic:spPr>
                    <a:xfrm>
                      <a:off x="0" y="0"/>
                      <a:ext cx="2308859" cy="2343911"/>
                    </a:xfrm>
                    <a:prstGeom prst="rect">
                      <a:avLst/>
                    </a:prstGeom>
                  </pic:spPr>
                </pic:pic>
              </a:graphicData>
            </a:graphic>
          </wp:anchor>
        </w:drawing>
      </w:r>
      <w:r>
        <w:rPr>
          <w:rFonts w:hint="default" w:ascii="Times New Roman" w:hAnsi="Times New Roman" w:eastAsia="宋体" w:cs="Times New Roman"/>
          <w:smallCaps w:val="0"/>
          <w:color w:val="auto"/>
          <w:spacing w:val="0"/>
          <w:w w:val="100"/>
          <w:position w:val="-73"/>
          <w:highlight w:val="none"/>
        </w:rPr>
        <w:drawing>
          <wp:inline distT="0" distB="0" distL="0" distR="0">
            <wp:extent cx="2755265" cy="2343785"/>
            <wp:effectExtent l="0" t="0" r="6985" b="18415"/>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r:embed="rId93"/>
                    <a:stretch>
                      <a:fillRect/>
                    </a:stretch>
                  </pic:blipFill>
                  <pic:spPr>
                    <a:xfrm>
                      <a:off x="0" y="0"/>
                      <a:ext cx="2755391" cy="2343911"/>
                    </a:xfrm>
                    <a:prstGeom prst="rect">
                      <a:avLst/>
                    </a:prstGeom>
                  </pic:spPr>
                </pic:pic>
              </a:graphicData>
            </a:graphic>
          </wp:inline>
        </w:drawing>
      </w:r>
    </w:p>
    <w:p w14:paraId="6E133D16">
      <w:pPr>
        <w:kinsoku/>
        <w:spacing w:before="107" w:line="1700" w:lineRule="exact"/>
        <w:ind w:firstLine="24"/>
        <w:rPr>
          <w:rFonts w:hint="default" w:ascii="Times New Roman" w:hAnsi="Times New Roman" w:eastAsia="宋体" w:cs="Times New Roman"/>
          <w:smallCaps w:val="0"/>
          <w:color w:val="auto"/>
          <w:spacing w:val="0"/>
          <w:w w:val="100"/>
          <w:highlight w:val="none"/>
        </w:rPr>
      </w:pPr>
      <w:r>
        <w:rPr>
          <w:rFonts w:hint="default" w:ascii="Times New Roman" w:hAnsi="Times New Roman" w:eastAsia="宋体" w:cs="Times New Roman"/>
          <w:smallCaps w:val="0"/>
          <w:color w:val="auto"/>
          <w:spacing w:val="0"/>
          <w:w w:val="100"/>
          <w:position w:val="-33"/>
          <w:highlight w:val="none"/>
        </w:rPr>
        <w:drawing>
          <wp:inline distT="0" distB="0" distL="0" distR="0">
            <wp:extent cx="2649855" cy="1078865"/>
            <wp:effectExtent l="0" t="0" r="17145" b="6985"/>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r:embed="rId94"/>
                    <a:stretch>
                      <a:fillRect/>
                    </a:stretch>
                  </pic:blipFill>
                  <pic:spPr>
                    <a:xfrm>
                      <a:off x="0" y="0"/>
                      <a:ext cx="2650235" cy="1078991"/>
                    </a:xfrm>
                    <a:prstGeom prst="rect">
                      <a:avLst/>
                    </a:prstGeom>
                  </pic:spPr>
                </pic:pic>
              </a:graphicData>
            </a:graphic>
          </wp:inline>
        </w:drawing>
      </w:r>
    </w:p>
    <w:p w14:paraId="4664823F">
      <w:pPr>
        <w:kinsoku/>
        <w:spacing w:line="560" w:lineRule="exact"/>
        <w:ind w:left="39" w:right="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在蓄水池、闸阀井等危险地带设置安全警示牌，用于提醒过往人员，注意安全。在机耕道高陡坎的路段设置防护栏，以保护人畜安全。</w:t>
      </w:r>
    </w:p>
    <w:p w14:paraId="1656FA4B">
      <w:pPr>
        <w:kinsoku/>
        <w:spacing w:line="560" w:lineRule="exact"/>
        <w:ind w:right="105" w:firstLine="600" w:firstLineChars="2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本项目共设置公示牌1座，标识牌</w:t>
      </w:r>
      <w:r>
        <w:rPr>
          <w:rFonts w:hint="eastAsia" w:ascii="Times New Roman" w:hAnsi="Times New Roman" w:eastAsia="宋体" w:cs="Times New Roman"/>
          <w:smallCaps w:val="0"/>
          <w:color w:val="auto"/>
          <w:spacing w:val="0"/>
          <w:w w:val="100"/>
          <w:sz w:val="30"/>
          <w:szCs w:val="30"/>
          <w:highlight w:val="none"/>
          <w:lang w:val="en-US" w:eastAsia="zh-CN"/>
        </w:rPr>
        <w:t>78</w:t>
      </w:r>
      <w:r>
        <w:rPr>
          <w:rFonts w:hint="default" w:ascii="Times New Roman" w:hAnsi="Times New Roman" w:eastAsia="宋体" w:cs="Times New Roman"/>
          <w:smallCaps w:val="0"/>
          <w:color w:val="auto"/>
          <w:spacing w:val="0"/>
          <w:w w:val="100"/>
          <w:sz w:val="30"/>
          <w:szCs w:val="30"/>
          <w:highlight w:val="none"/>
          <w:lang w:eastAsia="zh-CN"/>
        </w:rPr>
        <w:t>块。</w:t>
      </w:r>
    </w:p>
    <w:p w14:paraId="234AFB62">
      <w:pPr>
        <w:kinsoku/>
        <w:spacing w:line="560" w:lineRule="exact"/>
        <w:ind w:right="105" w:firstLine="600" w:firstLineChars="200"/>
        <w:rPr>
          <w:rFonts w:hint="default" w:ascii="Times New Roman" w:hAnsi="Times New Roman" w:eastAsia="宋体" w:cs="Times New Roman"/>
          <w:smallCaps w:val="0"/>
          <w:color w:val="auto"/>
          <w:spacing w:val="0"/>
          <w:w w:val="100"/>
          <w:sz w:val="30"/>
          <w:szCs w:val="30"/>
          <w:highlight w:val="none"/>
          <w:lang w:eastAsia="zh-CN"/>
        </w:rPr>
      </w:pPr>
    </w:p>
    <w:p w14:paraId="42C1A5E2">
      <w:pPr>
        <w:kinsoku/>
        <w:spacing w:line="560" w:lineRule="exact"/>
        <w:ind w:right="105" w:firstLine="600" w:firstLineChars="200"/>
        <w:rPr>
          <w:rFonts w:hint="default" w:ascii="Times New Roman" w:hAnsi="Times New Roman" w:eastAsia="宋体" w:cs="Times New Roman"/>
          <w:smallCaps w:val="0"/>
          <w:color w:val="auto"/>
          <w:spacing w:val="0"/>
          <w:w w:val="100"/>
          <w:sz w:val="30"/>
          <w:szCs w:val="30"/>
          <w:highlight w:val="none"/>
          <w:lang w:eastAsia="zh-CN"/>
        </w:rPr>
      </w:pPr>
    </w:p>
    <w:p w14:paraId="4E9F59C4">
      <w:pPr>
        <w:kinsoku/>
        <w:spacing w:line="560" w:lineRule="exact"/>
        <w:ind w:right="105" w:firstLine="600" w:firstLineChars="200"/>
        <w:rPr>
          <w:rFonts w:hint="default" w:ascii="Times New Roman" w:hAnsi="Times New Roman" w:eastAsia="宋体" w:cs="Times New Roman"/>
          <w:smallCaps w:val="0"/>
          <w:color w:val="auto"/>
          <w:spacing w:val="0"/>
          <w:w w:val="100"/>
          <w:sz w:val="30"/>
          <w:szCs w:val="30"/>
          <w:highlight w:val="none"/>
          <w:lang w:eastAsia="zh-CN"/>
        </w:rPr>
      </w:pPr>
    </w:p>
    <w:p w14:paraId="226ED25C">
      <w:pPr>
        <w:kinsoku/>
        <w:spacing w:line="560" w:lineRule="atLeast"/>
        <w:ind w:left="39" w:right="33" w:firstLine="600"/>
        <w:jc w:val="center"/>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标志标识牌统计表</w:t>
      </w:r>
    </w:p>
    <w:p w14:paraId="391BD11F">
      <w:pPr>
        <w:kinsoku/>
        <w:spacing w:line="560" w:lineRule="atLeast"/>
        <w:ind w:right="33"/>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表5.4.</w:t>
      </w:r>
      <w:r>
        <w:rPr>
          <w:rFonts w:hint="default" w:ascii="Times New Roman" w:hAnsi="Times New Roman" w:eastAsia="宋体" w:cs="Times New Roman"/>
          <w:smallCaps w:val="0"/>
          <w:color w:val="auto"/>
          <w:spacing w:val="0"/>
          <w:w w:val="100"/>
          <w:sz w:val="28"/>
          <w:szCs w:val="28"/>
          <w:highlight w:val="none"/>
          <w:lang w:val="en-US" w:eastAsia="zh-CN"/>
        </w:rPr>
        <w:t>6</w:t>
      </w:r>
      <w:r>
        <w:rPr>
          <w:rFonts w:hint="default" w:ascii="Times New Roman" w:hAnsi="Times New Roman" w:eastAsia="宋体" w:cs="Times New Roman"/>
          <w:smallCaps w:val="0"/>
          <w:color w:val="auto"/>
          <w:spacing w:val="0"/>
          <w:w w:val="100"/>
          <w:sz w:val="28"/>
          <w:szCs w:val="28"/>
          <w:highlight w:val="none"/>
          <w:lang w:eastAsia="zh-CN"/>
        </w:rPr>
        <w:t>-1</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90"/>
        <w:gridCol w:w="2097"/>
        <w:gridCol w:w="1393"/>
        <w:gridCol w:w="1392"/>
        <w:gridCol w:w="3005"/>
      </w:tblGrid>
      <w:tr w14:paraId="42CCA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0A2B9">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序号</w:t>
            </w:r>
          </w:p>
        </w:tc>
        <w:tc>
          <w:tcPr>
            <w:tcW w:w="3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4390D2">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项目名称</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54FF7">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数量（处）</w:t>
            </w:r>
          </w:p>
        </w:tc>
        <w:tc>
          <w:tcPr>
            <w:tcW w:w="3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5D24">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备注</w:t>
            </w:r>
          </w:p>
        </w:tc>
      </w:tr>
      <w:tr w14:paraId="5F900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E6682">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w:t>
            </w:r>
          </w:p>
        </w:tc>
        <w:tc>
          <w:tcPr>
            <w:tcW w:w="2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2964E">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土地平整工程</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99799">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旱地整理</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F463E">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w:t>
            </w:r>
          </w:p>
        </w:tc>
        <w:tc>
          <w:tcPr>
            <w:tcW w:w="3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1E676">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贴在离公路最近且较为明显的坎子外侧</w:t>
            </w:r>
          </w:p>
        </w:tc>
      </w:tr>
      <w:tr w14:paraId="1A11A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26A195">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w:t>
            </w:r>
          </w:p>
        </w:tc>
        <w:tc>
          <w:tcPr>
            <w:tcW w:w="20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106E82">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灌溉与排水</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4685A">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排水渠</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7114B">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10</w:t>
            </w:r>
          </w:p>
        </w:tc>
        <w:tc>
          <w:tcPr>
            <w:tcW w:w="3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74E76">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贴在排水渠的首尾</w:t>
            </w:r>
          </w:p>
        </w:tc>
      </w:tr>
      <w:tr w14:paraId="16BEC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1D0B7B">
            <w:pPr>
              <w:pStyle w:val="71"/>
              <w:bidi w:val="0"/>
              <w:rPr>
                <w:rFonts w:hint="default" w:ascii="Times New Roman" w:hAnsi="Times New Roman" w:cs="Times New Roman"/>
                <w:color w:val="auto"/>
                <w:highlight w:val="none"/>
                <w:lang w:val="en-US" w:eastAsia="zh-CN"/>
              </w:rPr>
            </w:pPr>
          </w:p>
        </w:tc>
        <w:tc>
          <w:tcPr>
            <w:tcW w:w="2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19C2E0">
            <w:pPr>
              <w:pStyle w:val="71"/>
              <w:bidi w:val="0"/>
              <w:rPr>
                <w:rFonts w:hint="default" w:ascii="Times New Roman" w:hAnsi="Times New Roman" w:cs="Times New Roman"/>
                <w:color w:val="auto"/>
                <w:highlight w:val="none"/>
                <w:lang w:val="en-US" w:eastAsia="zh-CN"/>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45A45">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蓄水池</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22B05">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w:t>
            </w:r>
          </w:p>
        </w:tc>
        <w:tc>
          <w:tcPr>
            <w:tcW w:w="3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F8744">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贴在蓄水池上部</w:t>
            </w:r>
          </w:p>
        </w:tc>
      </w:tr>
      <w:tr w14:paraId="6BB13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A4C896">
            <w:pPr>
              <w:pStyle w:val="71"/>
              <w:bidi w:val="0"/>
              <w:rPr>
                <w:rFonts w:hint="default" w:ascii="Times New Roman" w:hAnsi="Times New Roman" w:cs="Times New Roman"/>
                <w:color w:val="auto"/>
                <w:highlight w:val="none"/>
                <w:lang w:val="en-US" w:eastAsia="zh-CN"/>
              </w:rPr>
            </w:pPr>
          </w:p>
        </w:tc>
        <w:tc>
          <w:tcPr>
            <w:tcW w:w="2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4828A1">
            <w:pPr>
              <w:pStyle w:val="71"/>
              <w:bidi w:val="0"/>
              <w:rPr>
                <w:rFonts w:hint="default" w:ascii="Times New Roman" w:hAnsi="Times New Roman" w:cs="Times New Roman"/>
                <w:color w:val="auto"/>
                <w:highlight w:val="none"/>
                <w:lang w:val="en-US" w:eastAsia="zh-CN"/>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067ED">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拦水坝</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65C92">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w:t>
            </w:r>
          </w:p>
        </w:tc>
        <w:tc>
          <w:tcPr>
            <w:tcW w:w="3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D7E2C">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贴在拦河堰上部</w:t>
            </w:r>
          </w:p>
        </w:tc>
      </w:tr>
      <w:tr w14:paraId="57AEA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4829F4">
            <w:pPr>
              <w:pStyle w:val="71"/>
              <w:bidi w:val="0"/>
              <w:rPr>
                <w:rFonts w:hint="default" w:ascii="Times New Roman" w:hAnsi="Times New Roman" w:cs="Times New Roman"/>
                <w:color w:val="auto"/>
                <w:highlight w:val="none"/>
                <w:lang w:val="en-US" w:eastAsia="zh-CN"/>
              </w:rPr>
            </w:pPr>
          </w:p>
        </w:tc>
        <w:tc>
          <w:tcPr>
            <w:tcW w:w="2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E23BE">
            <w:pPr>
              <w:pStyle w:val="71"/>
              <w:bidi w:val="0"/>
              <w:rPr>
                <w:rFonts w:hint="default" w:ascii="Times New Roman" w:hAnsi="Times New Roman" w:cs="Times New Roman"/>
                <w:color w:val="auto"/>
                <w:highlight w:val="none"/>
                <w:lang w:val="en-US" w:eastAsia="zh-CN"/>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B412D">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排水口</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DB1A6">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w:t>
            </w:r>
          </w:p>
        </w:tc>
        <w:tc>
          <w:tcPr>
            <w:tcW w:w="3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7415">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贴在排水口上部</w:t>
            </w:r>
          </w:p>
        </w:tc>
      </w:tr>
      <w:tr w14:paraId="6F36A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9C341">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w:t>
            </w:r>
          </w:p>
        </w:tc>
        <w:tc>
          <w:tcPr>
            <w:tcW w:w="2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D0519">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田间道路工程</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79047">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机耕路</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7EA1A">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10</w:t>
            </w:r>
          </w:p>
        </w:tc>
        <w:tc>
          <w:tcPr>
            <w:tcW w:w="3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FBF74">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贴在机耕路的首尾</w:t>
            </w:r>
          </w:p>
        </w:tc>
      </w:tr>
      <w:tr w14:paraId="19EB2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4C2E4">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w:t>
            </w:r>
          </w:p>
        </w:tc>
        <w:tc>
          <w:tcPr>
            <w:tcW w:w="2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0ACB5">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农田防护与生态保护</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5B6C3">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围栏</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A06F0">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52</w:t>
            </w:r>
          </w:p>
        </w:tc>
        <w:tc>
          <w:tcPr>
            <w:tcW w:w="3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9B420">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贴在离公路最近且较为明显的坎子外侧</w:t>
            </w:r>
          </w:p>
        </w:tc>
      </w:tr>
      <w:tr w14:paraId="26093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8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328A1B">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合计</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44845">
            <w:pPr>
              <w:pStyle w:val="71"/>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78</w:t>
            </w:r>
          </w:p>
        </w:tc>
        <w:tc>
          <w:tcPr>
            <w:tcW w:w="3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EEB4E">
            <w:pPr>
              <w:pStyle w:val="71"/>
              <w:bidi w:val="0"/>
              <w:rPr>
                <w:rFonts w:hint="default" w:ascii="Times New Roman" w:hAnsi="Times New Roman" w:cs="Times New Roman"/>
                <w:color w:val="auto"/>
                <w:highlight w:val="none"/>
                <w:lang w:val="en-US" w:eastAsia="zh-CN"/>
              </w:rPr>
            </w:pPr>
          </w:p>
        </w:tc>
      </w:tr>
    </w:tbl>
    <w:p w14:paraId="373E583E">
      <w:pPr>
        <w:kinsoku/>
        <w:spacing w:line="560" w:lineRule="exact"/>
        <w:ind w:left="39" w:leftChars="0"/>
        <w:outlineLvl w:val="1"/>
        <w:rPr>
          <w:rFonts w:hint="default" w:ascii="Times New Roman" w:hAnsi="Times New Roman" w:eastAsia="宋体" w:cs="Times New Roman"/>
          <w:b/>
          <w:bCs/>
          <w:smallCaps w:val="0"/>
          <w:color w:val="auto"/>
          <w:spacing w:val="0"/>
          <w:w w:val="100"/>
          <w:sz w:val="30"/>
          <w:szCs w:val="30"/>
          <w:highlight w:val="none"/>
          <w:lang w:eastAsia="zh-CN"/>
        </w:rPr>
      </w:pPr>
      <w:bookmarkStart w:id="227" w:name="_Toc17493"/>
      <w:bookmarkStart w:id="228" w:name="_Toc107871570"/>
      <w:bookmarkStart w:id="229" w:name="_Toc1476"/>
      <w:bookmarkStart w:id="230" w:name="_Toc14825"/>
      <w:bookmarkStart w:id="231" w:name="_Toc107919786"/>
      <w:bookmarkStart w:id="232" w:name="_Toc178518663"/>
      <w:bookmarkStart w:id="233" w:name="_Toc26007"/>
      <w:bookmarkStart w:id="234" w:name="_Toc13728"/>
      <w:r>
        <w:rPr>
          <w:rFonts w:hint="default" w:ascii="Times New Roman" w:hAnsi="Times New Roman" w:eastAsia="宋体" w:cs="Times New Roman"/>
          <w:b/>
          <w:bCs/>
          <w:smallCaps w:val="0"/>
          <w:color w:val="auto"/>
          <w:spacing w:val="0"/>
          <w:w w:val="100"/>
          <w:sz w:val="30"/>
          <w:szCs w:val="30"/>
          <w:highlight w:val="none"/>
          <w:lang w:eastAsia="zh-CN"/>
        </w:rPr>
        <w:t>5.5 耕地进出平衡分析</w:t>
      </w:r>
      <w:bookmarkEnd w:id="227"/>
      <w:bookmarkEnd w:id="228"/>
      <w:bookmarkEnd w:id="229"/>
      <w:bookmarkEnd w:id="230"/>
      <w:bookmarkEnd w:id="231"/>
      <w:bookmarkEnd w:id="232"/>
      <w:bookmarkEnd w:id="233"/>
      <w:bookmarkEnd w:id="234"/>
    </w:p>
    <w:p w14:paraId="6DCC0DF9">
      <w:pPr>
        <w:kinsoku/>
        <w:spacing w:line="560" w:lineRule="exact"/>
        <w:ind w:left="39" w:right="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党中央、国务院高度重视耕地保护工作，连续作出了坚决制止耕地</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非农化</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、防止耕地</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非粮化</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的决策部署。2021年11月27日，自然资源部、农业农村部、国家林业和草原局共同印发《关于严格耕地用途管制有关问题的通知》（自然资发〔2021〕166号），明确对耕地转为其他农用地及农业设施建设用地实行年度</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进出平衡</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，耕地保护正式由</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占补平衡</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进入</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占补平衡</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进出平衡</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阶段，耕地用途管制更加严格。</w:t>
      </w:r>
    </w:p>
    <w:p w14:paraId="4841064A">
      <w:pPr>
        <w:kinsoku/>
        <w:spacing w:line="560" w:lineRule="exact"/>
        <w:ind w:left="39" w:right="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年度耕地</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进出平衡</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即除国家安排的生态退耕、自然灾害损毁难以复耕、河湖水面自然扩大造成耕地永久淹没外，耕地转为林地、草地、园地等其他农用地及农业设施建设用地的，应当通过统筹林地、草地、园地等其他农用地及农业设施建设用地整治为耕地等方式，补足同等数量、质量的可以长期稳定利用的耕地。</w:t>
      </w:r>
    </w:p>
    <w:p w14:paraId="2EA71A03">
      <w:pPr>
        <w:kinsoku/>
        <w:spacing w:line="560" w:lineRule="exact"/>
        <w:ind w:left="39" w:leftChars="0" w:right="33" w:rightChars="0" w:firstLine="600" w:firstLineChars="0"/>
        <w:outlineLvl w:val="2"/>
        <w:rPr>
          <w:rFonts w:hint="default" w:ascii="Times New Roman" w:hAnsi="Times New Roman" w:eastAsia="宋体" w:cs="Times New Roman"/>
          <w:smallCaps w:val="0"/>
          <w:color w:val="auto"/>
          <w:spacing w:val="0"/>
          <w:w w:val="100"/>
          <w:sz w:val="30"/>
          <w:szCs w:val="30"/>
          <w:highlight w:val="none"/>
          <w:lang w:eastAsia="zh-CN"/>
        </w:rPr>
      </w:pPr>
      <w:bookmarkStart w:id="235" w:name="_Toc18938"/>
      <w:r>
        <w:rPr>
          <w:rFonts w:hint="default" w:ascii="Times New Roman" w:hAnsi="Times New Roman" w:eastAsia="宋体" w:cs="Times New Roman"/>
          <w:b/>
          <w:bCs/>
          <w:smallCaps w:val="0"/>
          <w:color w:val="auto"/>
          <w:spacing w:val="0"/>
          <w:w w:val="100"/>
          <w:sz w:val="30"/>
          <w:szCs w:val="30"/>
          <w:highlight w:val="none"/>
          <w:lang w:val="en-US" w:eastAsia="zh-CN"/>
        </w:rPr>
        <w:t xml:space="preserve">5.5.1 </w:t>
      </w:r>
      <w:r>
        <w:rPr>
          <w:rFonts w:hint="default" w:ascii="Times New Roman" w:hAnsi="Times New Roman" w:eastAsia="宋体" w:cs="Times New Roman"/>
          <w:smallCaps w:val="0"/>
          <w:color w:val="auto"/>
          <w:spacing w:val="0"/>
          <w:w w:val="100"/>
          <w:sz w:val="30"/>
          <w:szCs w:val="30"/>
          <w:highlight w:val="none"/>
          <w:lang w:eastAsia="zh-CN"/>
        </w:rPr>
        <w:t>项目基本情况</w:t>
      </w:r>
      <w:bookmarkEnd w:id="235"/>
    </w:p>
    <w:p w14:paraId="5B9DBC4E">
      <w:pPr>
        <w:kinsoku/>
        <w:spacing w:line="560" w:lineRule="exact"/>
        <w:ind w:left="39" w:right="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本项目涉及来马镇、甘孜镇、泥柯乡</w:t>
      </w:r>
      <w:r>
        <w:rPr>
          <w:rFonts w:hint="default"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eastAsia="zh-CN"/>
        </w:rPr>
        <w:t>拖坝乡</w:t>
      </w:r>
      <w:r>
        <w:rPr>
          <w:rFonts w:hint="default" w:ascii="Times New Roman" w:hAnsi="Times New Roman" w:eastAsia="宋体" w:cs="Times New Roman"/>
          <w:smallCaps w:val="0"/>
          <w:color w:val="auto"/>
          <w:spacing w:val="0"/>
          <w:w w:val="100"/>
          <w:sz w:val="30"/>
          <w:szCs w:val="30"/>
          <w:highlight w:val="none"/>
          <w:lang w:val="en-US" w:eastAsia="zh-CN"/>
        </w:rPr>
        <w:t>和</w:t>
      </w:r>
      <w:r>
        <w:rPr>
          <w:rFonts w:hint="default" w:ascii="Times New Roman" w:hAnsi="Times New Roman" w:eastAsia="宋体" w:cs="Times New Roman"/>
          <w:smallCaps w:val="0"/>
          <w:color w:val="auto"/>
          <w:spacing w:val="0"/>
          <w:w w:val="100"/>
          <w:sz w:val="30"/>
          <w:szCs w:val="30"/>
          <w:highlight w:val="none"/>
          <w:lang w:eastAsia="zh-CN"/>
        </w:rPr>
        <w:t>庭卡乡共</w:t>
      </w:r>
      <w:r>
        <w:rPr>
          <w:rFonts w:hint="default" w:ascii="Times New Roman" w:hAnsi="Times New Roman" w:eastAsia="宋体" w:cs="Times New Roman"/>
          <w:smallCaps w:val="0"/>
          <w:color w:val="auto"/>
          <w:spacing w:val="0"/>
          <w:w w:val="100"/>
          <w:sz w:val="30"/>
          <w:szCs w:val="30"/>
          <w:highlight w:val="none"/>
          <w:lang w:val="en-US" w:eastAsia="zh-CN"/>
        </w:rPr>
        <w:t>五</w:t>
      </w:r>
      <w:r>
        <w:rPr>
          <w:rFonts w:hint="default" w:ascii="Times New Roman" w:hAnsi="Times New Roman" w:eastAsia="宋体" w:cs="Times New Roman"/>
          <w:smallCaps w:val="0"/>
          <w:color w:val="auto"/>
          <w:spacing w:val="0"/>
          <w:w w:val="100"/>
          <w:sz w:val="30"/>
          <w:szCs w:val="30"/>
          <w:highlight w:val="none"/>
          <w:lang w:eastAsia="zh-CN"/>
        </w:rPr>
        <w:t>个乡镇。新建高标准农田面积10000亩。</w:t>
      </w:r>
    </w:p>
    <w:p w14:paraId="3EC49819">
      <w:pPr>
        <w:kinsoku/>
        <w:spacing w:line="560" w:lineRule="exact"/>
        <w:ind w:left="39" w:right="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 xml:space="preserve"> 本项目拟建配套设施总体以整治改造为主， 一是灌溉与排水工程设计。项目区原有的沟渠，在长期的耕作实践中和在当地水利部门规划设计下已基本形成。渠道的整治基本保持原渠道水流方向，尽量避让了永久基本农田保护图斑。二是田间道路设计。田间道路工程布置原则是尽量和项目区内原有道路衔接，与沟渠配套，同时考虑方便生产和生活，满足农用车运输、农业机械行驶和田间生产管理的要求，设计总的原则为</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统筹兼顾、厉行节约、注重效益、讲求实效</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，其中，机耕道走向基本沿原道路走向设计，不作大的变动，尽量避让了永久基本农田保护图斑。</w:t>
      </w:r>
    </w:p>
    <w:p w14:paraId="36C7A6EA">
      <w:pPr>
        <w:kinsoku/>
        <w:spacing w:line="560" w:lineRule="exact"/>
        <w:ind w:left="39" w:right="33" w:firstLine="6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在高标准农田建设项目中，需要以田块为单位对田型破碎不规则、田埂弯曲的田块开展田型调整，通过田块归并修整田坎，调整小田变大田，按照规划设计重新制埂，使地块规范，田型方正。为了满足机械化进出作业，增强项目区灌溉排水能力，满足高标准农田建设需要，项目配套田间道路、沟渠同时也需要进行提升改造，如采取硬化加宽等措施：部分规划的田间道路经反复论证后仍不可避免地占用了少量永久基本农田。本项目新建配套设施仅占拟建配套设施总量的3%，占用面积少量且合理。</w:t>
      </w:r>
    </w:p>
    <w:p w14:paraId="6152D301">
      <w:pPr>
        <w:kinsoku/>
        <w:spacing w:line="560" w:lineRule="exact"/>
        <w:ind w:left="39" w:leftChars="0" w:right="33" w:rightChars="0" w:firstLine="600" w:firstLineChars="0"/>
        <w:outlineLvl w:val="2"/>
        <w:rPr>
          <w:rFonts w:hint="default" w:ascii="Times New Roman" w:hAnsi="Times New Roman" w:eastAsia="宋体" w:cs="Times New Roman"/>
          <w:smallCaps w:val="0"/>
          <w:color w:val="auto"/>
          <w:spacing w:val="0"/>
          <w:w w:val="100"/>
          <w:sz w:val="30"/>
          <w:szCs w:val="30"/>
          <w:highlight w:val="none"/>
          <w:lang w:eastAsia="zh-CN"/>
        </w:rPr>
      </w:pPr>
      <w:bookmarkStart w:id="236" w:name="_Toc21384"/>
      <w:r>
        <w:rPr>
          <w:rFonts w:hint="default" w:ascii="Times New Roman" w:hAnsi="Times New Roman" w:eastAsia="宋体" w:cs="Times New Roman"/>
          <w:b/>
          <w:bCs/>
          <w:smallCaps w:val="0"/>
          <w:color w:val="auto"/>
          <w:spacing w:val="0"/>
          <w:w w:val="100"/>
          <w:sz w:val="30"/>
          <w:szCs w:val="30"/>
          <w:highlight w:val="none"/>
          <w:lang w:val="en-US" w:eastAsia="zh-CN"/>
        </w:rPr>
        <w:t xml:space="preserve">5.5.2 </w:t>
      </w:r>
      <w:r>
        <w:rPr>
          <w:rFonts w:hint="default" w:ascii="Times New Roman" w:hAnsi="Times New Roman" w:eastAsia="宋体" w:cs="Times New Roman"/>
          <w:smallCaps w:val="0"/>
          <w:color w:val="auto"/>
          <w:spacing w:val="0"/>
          <w:w w:val="100"/>
          <w:sz w:val="30"/>
          <w:szCs w:val="30"/>
          <w:highlight w:val="none"/>
          <w:lang w:eastAsia="zh-CN"/>
        </w:rPr>
        <w:t>占用耕地和永久基本农田情况</w:t>
      </w:r>
      <w:bookmarkEnd w:id="236"/>
    </w:p>
    <w:p w14:paraId="222E473F">
      <w:pPr>
        <w:kinsoku/>
        <w:spacing w:line="560" w:lineRule="exact"/>
        <w:ind w:left="39" w:right="33" w:firstLine="600"/>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将该项目拟建配套设施范围与甘孜县</w:t>
      </w:r>
      <w:r>
        <w:rPr>
          <w:rFonts w:hint="default" w:ascii="Times New Roman" w:hAnsi="Times New Roman" w:eastAsia="宋体" w:cs="Times New Roman"/>
          <w:smallCaps w:val="0"/>
          <w:color w:val="auto"/>
          <w:spacing w:val="0"/>
          <w:w w:val="100"/>
          <w:sz w:val="30"/>
          <w:szCs w:val="30"/>
          <w:highlight w:val="none"/>
          <w:lang w:val="en-US" w:eastAsia="zh-CN"/>
        </w:rPr>
        <w:t>最新的国土调查数据成果（甘孜县2022年国土变更调查数据成果）、</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三区三线</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永久基本农田划定核实处置后成果叠加分析，</w:t>
      </w:r>
      <w:r>
        <w:rPr>
          <w:rFonts w:hint="default" w:ascii="Times New Roman" w:hAnsi="Times New Roman" w:eastAsia="宋体" w:cs="Times New Roman"/>
          <w:smallCaps w:val="0"/>
          <w:color w:val="auto"/>
          <w:spacing w:val="0"/>
          <w:w w:val="100"/>
          <w:sz w:val="30"/>
          <w:szCs w:val="30"/>
          <w:highlight w:val="none"/>
          <w:lang w:val="en-US" w:eastAsia="zh-CN"/>
        </w:rPr>
        <w:t>项目区渠道、道路均避开基本农田，本项目所有工程均不用永久基本农田。</w:t>
      </w:r>
    </w:p>
    <w:p w14:paraId="2E084E30">
      <w:pPr>
        <w:kinsoku/>
        <w:spacing w:line="560" w:lineRule="exact"/>
        <w:ind w:left="39" w:right="33" w:firstLine="600"/>
        <w:rPr>
          <w:rFonts w:hint="default" w:ascii="Times New Roman" w:hAnsi="Times New Roman" w:eastAsia="宋体" w:cs="Times New Roman"/>
          <w:smallCaps w:val="0"/>
          <w:color w:val="auto"/>
          <w:spacing w:val="0"/>
          <w:w w:val="100"/>
          <w:sz w:val="30"/>
          <w:szCs w:val="30"/>
          <w:highlight w:val="none"/>
          <w:lang w:eastAsia="zh-CN"/>
        </w:rPr>
      </w:pPr>
    </w:p>
    <w:p w14:paraId="1700438E">
      <w:pPr>
        <w:kinsoku/>
        <w:spacing w:line="560" w:lineRule="exact"/>
        <w:ind w:left="39" w:right="33" w:firstLine="600"/>
        <w:rPr>
          <w:rFonts w:hint="default" w:ascii="Times New Roman" w:hAnsi="Times New Roman" w:eastAsia="宋体" w:cs="Times New Roman"/>
          <w:smallCaps w:val="0"/>
          <w:color w:val="auto"/>
          <w:spacing w:val="0"/>
          <w:w w:val="100"/>
          <w:sz w:val="30"/>
          <w:szCs w:val="30"/>
          <w:highlight w:val="none"/>
          <w:lang w:eastAsia="zh-CN"/>
        </w:rPr>
      </w:pPr>
    </w:p>
    <w:p w14:paraId="7F08E513">
      <w:pPr>
        <w:kinsoku/>
        <w:spacing w:line="560" w:lineRule="exact"/>
        <w:rPr>
          <w:rFonts w:hint="default" w:ascii="Times New Roman" w:hAnsi="Times New Roman" w:eastAsia="宋体" w:cs="Times New Roman"/>
          <w:smallCaps w:val="0"/>
          <w:color w:val="auto"/>
          <w:spacing w:val="0"/>
          <w:w w:val="100"/>
          <w:sz w:val="30"/>
          <w:szCs w:val="30"/>
          <w:highlight w:val="none"/>
          <w:lang w:eastAsia="zh-CN"/>
        </w:rPr>
      </w:pPr>
    </w:p>
    <w:p w14:paraId="45E7BB1E">
      <w:pPr>
        <w:kinsoku/>
        <w:spacing w:line="381" w:lineRule="auto"/>
        <w:rPr>
          <w:rFonts w:hint="default" w:ascii="Times New Roman" w:hAnsi="Times New Roman" w:eastAsia="宋体" w:cs="Times New Roman"/>
          <w:smallCaps w:val="0"/>
          <w:color w:val="auto"/>
          <w:spacing w:val="0"/>
          <w:w w:val="100"/>
          <w:sz w:val="30"/>
          <w:szCs w:val="30"/>
          <w:highlight w:val="none"/>
          <w:lang w:eastAsia="zh-CN"/>
        </w:rPr>
        <w:sectPr>
          <w:pgSz w:w="11900" w:h="16840"/>
          <w:pgMar w:top="1134" w:right="1418" w:bottom="1134" w:left="1417" w:header="862" w:footer="993" w:gutter="0"/>
          <w:pgBorders>
            <w:top w:val="none" w:sz="0" w:space="0"/>
            <w:left w:val="none" w:sz="0" w:space="0"/>
            <w:bottom w:val="none" w:sz="0" w:space="0"/>
            <w:right w:val="none" w:sz="0" w:space="0"/>
          </w:pgBorders>
          <w:pgNumType w:fmt="numberInDash"/>
          <w:cols w:space="720" w:num="1"/>
        </w:sectPr>
      </w:pPr>
    </w:p>
    <w:p w14:paraId="1A6A43B9">
      <w:pPr>
        <w:kinsoku/>
        <w:spacing w:line="560" w:lineRule="exact"/>
        <w:ind w:left="1574" w:leftChars="0"/>
        <w:outlineLvl w:val="0"/>
        <w:rPr>
          <w:rFonts w:hint="default" w:ascii="Times New Roman" w:hAnsi="Times New Roman" w:eastAsia="宋体" w:cs="Times New Roman"/>
          <w:smallCaps w:val="0"/>
          <w:color w:val="auto"/>
          <w:spacing w:val="0"/>
          <w:w w:val="100"/>
          <w:sz w:val="36"/>
          <w:szCs w:val="36"/>
          <w:highlight w:val="none"/>
          <w:lang w:eastAsia="zh-CN"/>
        </w:rPr>
      </w:pPr>
      <w:bookmarkStart w:id="237" w:name="bookmark29"/>
      <w:bookmarkEnd w:id="237"/>
      <w:bookmarkStart w:id="238" w:name="_Toc19852"/>
      <w:bookmarkStart w:id="239" w:name="_Toc22051"/>
      <w:r>
        <w:rPr>
          <w:rFonts w:hint="default" w:ascii="Times New Roman" w:hAnsi="Times New Roman" w:eastAsia="宋体" w:cs="Times New Roman"/>
          <w:b/>
          <w:bCs/>
          <w:smallCaps w:val="0"/>
          <w:color w:val="auto"/>
          <w:spacing w:val="0"/>
          <w:w w:val="100"/>
          <w:sz w:val="36"/>
          <w:szCs w:val="36"/>
          <w:highlight w:val="none"/>
          <w:lang w:eastAsia="zh-CN"/>
        </w:rPr>
        <w:t>第六章</w:t>
      </w:r>
      <w:r>
        <w:rPr>
          <w:rFonts w:hint="default" w:ascii="Times New Roman" w:hAnsi="Times New Roman" w:eastAsia="宋体" w:cs="Times New Roman"/>
          <w:smallCaps w:val="0"/>
          <w:color w:val="auto"/>
          <w:spacing w:val="0"/>
          <w:w w:val="100"/>
          <w:sz w:val="36"/>
          <w:szCs w:val="36"/>
          <w:highlight w:val="none"/>
          <w:lang w:eastAsia="zh-CN"/>
        </w:rPr>
        <w:t xml:space="preserve"> </w:t>
      </w:r>
      <w:r>
        <w:rPr>
          <w:rFonts w:hint="default" w:ascii="Times New Roman" w:hAnsi="Times New Roman" w:eastAsia="宋体" w:cs="Times New Roman"/>
          <w:b/>
          <w:bCs/>
          <w:smallCaps w:val="0"/>
          <w:color w:val="auto"/>
          <w:spacing w:val="0"/>
          <w:w w:val="100"/>
          <w:sz w:val="36"/>
          <w:szCs w:val="36"/>
          <w:highlight w:val="none"/>
          <w:lang w:eastAsia="zh-CN"/>
        </w:rPr>
        <w:t>建设管理和施工组织设计</w:t>
      </w:r>
      <w:bookmarkEnd w:id="238"/>
      <w:bookmarkEnd w:id="239"/>
    </w:p>
    <w:p w14:paraId="79B4D4EA">
      <w:pPr>
        <w:kinsoku/>
        <w:spacing w:line="560" w:lineRule="exact"/>
        <w:ind w:left="39" w:leftChars="0"/>
        <w:outlineLvl w:val="1"/>
        <w:rPr>
          <w:rFonts w:hint="default" w:ascii="Times New Roman" w:hAnsi="Times New Roman" w:eastAsia="宋体" w:cs="Times New Roman"/>
          <w:smallCaps w:val="0"/>
          <w:color w:val="auto"/>
          <w:spacing w:val="0"/>
          <w:w w:val="100"/>
          <w:sz w:val="30"/>
          <w:szCs w:val="30"/>
          <w:highlight w:val="none"/>
          <w:lang w:eastAsia="zh-CN"/>
        </w:rPr>
      </w:pPr>
      <w:bookmarkStart w:id="240" w:name="bookmark30"/>
      <w:bookmarkEnd w:id="240"/>
      <w:bookmarkStart w:id="241" w:name="_Toc14842"/>
      <w:bookmarkStart w:id="242" w:name="_Toc4002"/>
      <w:r>
        <w:rPr>
          <w:rFonts w:hint="default" w:ascii="Times New Roman" w:hAnsi="Times New Roman" w:eastAsia="宋体" w:cs="Times New Roman"/>
          <w:b/>
          <w:bCs/>
          <w:smallCaps w:val="0"/>
          <w:color w:val="auto"/>
          <w:spacing w:val="0"/>
          <w:w w:val="100"/>
          <w:sz w:val="30"/>
          <w:szCs w:val="30"/>
          <w:highlight w:val="none"/>
          <w:lang w:eastAsia="zh-CN"/>
        </w:rPr>
        <w:t>6.1 建设管理</w:t>
      </w:r>
      <w:bookmarkEnd w:id="241"/>
      <w:bookmarkEnd w:id="242"/>
    </w:p>
    <w:p w14:paraId="259A35F5">
      <w:pPr>
        <w:kinsoku/>
        <w:spacing w:line="560" w:lineRule="exact"/>
        <w:ind w:left="640" w:leftChars="0"/>
        <w:outlineLvl w:val="2"/>
        <w:rPr>
          <w:rFonts w:hint="default" w:ascii="Times New Roman" w:hAnsi="Times New Roman" w:eastAsia="宋体" w:cs="Times New Roman"/>
          <w:smallCaps w:val="0"/>
          <w:color w:val="auto"/>
          <w:spacing w:val="0"/>
          <w:w w:val="100"/>
          <w:sz w:val="30"/>
          <w:szCs w:val="30"/>
          <w:highlight w:val="none"/>
          <w:lang w:eastAsia="zh-CN"/>
        </w:rPr>
      </w:pPr>
      <w:bookmarkStart w:id="243" w:name="bookmark31"/>
      <w:bookmarkEnd w:id="243"/>
      <w:bookmarkStart w:id="244" w:name="_Toc7274"/>
      <w:r>
        <w:rPr>
          <w:rFonts w:hint="default" w:ascii="Times New Roman" w:hAnsi="Times New Roman" w:eastAsia="宋体" w:cs="Times New Roman"/>
          <w:smallCaps w:val="0"/>
          <w:color w:val="auto"/>
          <w:spacing w:val="0"/>
          <w:w w:val="100"/>
          <w:sz w:val="30"/>
          <w:szCs w:val="30"/>
          <w:highlight w:val="none"/>
          <w:lang w:val="en-US" w:eastAsia="zh-CN"/>
        </w:rPr>
        <w:t>6.1.1</w:t>
      </w:r>
      <w:r>
        <w:rPr>
          <w:rFonts w:hint="default" w:ascii="Times New Roman" w:hAnsi="Times New Roman" w:eastAsia="宋体" w:cs="Times New Roman"/>
          <w:smallCaps w:val="0"/>
          <w:color w:val="auto"/>
          <w:spacing w:val="0"/>
          <w:w w:val="100"/>
          <w:sz w:val="30"/>
          <w:szCs w:val="30"/>
          <w:highlight w:val="none"/>
          <w:lang w:eastAsia="zh-CN"/>
        </w:rPr>
        <w:t>项目法人制度</w:t>
      </w:r>
      <w:bookmarkEnd w:id="244"/>
    </w:p>
    <w:p w14:paraId="5BC8F393">
      <w:pPr>
        <w:kinsoku/>
        <w:spacing w:line="560" w:lineRule="exact"/>
        <w:ind w:left="41" w:right="81" w:firstLine="603"/>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实施将涉及众多相关部门以及项目区所在乡、村人员的组织和配合协调问题，牵涉面广，是一项复杂的社会工程。因此，必须在县政府的统一领导下，由农牧农村和科技局牵头，实行项目法人责任制，在上级主管部门的领导和指导下具体运作项目。项目法人单位对项目策划、建设、实施全过程负责，并承担投资风险；负责人牵头组建施工技术指导小组、工作小组、政策 处理小组；负责组织项目工程的实施；参与项目工程阶段验收和参与最终验收。</w:t>
      </w:r>
    </w:p>
    <w:p w14:paraId="1C1A37E1">
      <w:pPr>
        <w:pStyle w:val="17"/>
        <w:ind w:left="0" w:leftChars="0" w:firstLine="600" w:firstLineChars="200"/>
        <w:outlineLvl w:val="2"/>
        <w:rPr>
          <w:rFonts w:hint="default" w:ascii="Times New Roman" w:hAnsi="Times New Roman" w:eastAsia="宋体" w:cs="Times New Roman"/>
          <w:smallCaps w:val="0"/>
          <w:color w:val="auto"/>
          <w:spacing w:val="0"/>
          <w:w w:val="100"/>
          <w:highlight w:val="none"/>
          <w:lang w:eastAsia="zh-CN"/>
        </w:rPr>
      </w:pPr>
      <w:bookmarkStart w:id="245" w:name="_Toc4774"/>
      <w:r>
        <w:rPr>
          <w:rFonts w:hint="default" w:ascii="Times New Roman" w:hAnsi="Times New Roman" w:eastAsia="宋体" w:cs="Times New Roman"/>
          <w:smallCaps w:val="0"/>
          <w:color w:val="auto"/>
          <w:spacing w:val="0"/>
          <w:w w:val="100"/>
          <w:sz w:val="30"/>
          <w:szCs w:val="30"/>
          <w:highlight w:val="none"/>
          <w:lang w:val="en-US" w:eastAsia="zh-CN"/>
        </w:rPr>
        <w:t>6.1.2</w:t>
      </w:r>
      <w:r>
        <w:rPr>
          <w:rFonts w:hint="default" w:ascii="Times New Roman" w:hAnsi="Times New Roman" w:eastAsia="宋体" w:cs="Times New Roman"/>
          <w:smallCaps w:val="0"/>
          <w:color w:val="auto"/>
          <w:spacing w:val="0"/>
          <w:w w:val="100"/>
          <w:sz w:val="30"/>
          <w:szCs w:val="30"/>
          <w:highlight w:val="none"/>
          <w:lang w:eastAsia="zh-CN"/>
        </w:rPr>
        <w:t>项目工程招投标制度</w:t>
      </w:r>
      <w:bookmarkEnd w:id="245"/>
    </w:p>
    <w:p w14:paraId="6F6DFE2B">
      <w:pPr>
        <w:kinsoku/>
        <w:spacing w:line="560" w:lineRule="exact"/>
        <w:ind w:left="39" w:firstLine="604"/>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为发挥投入项目资金的最大效益，本项目实行项目公开招标投标制度。招标范围包括设计、监理、施工等。资质要求为：设计单位须具备相应设计资质条件，监理单位及施工单位须具备相应资质。</w:t>
      </w:r>
    </w:p>
    <w:p w14:paraId="69BC9C19">
      <w:pPr>
        <w:kinsoku/>
        <w:spacing w:line="560" w:lineRule="exact"/>
        <w:ind w:left="39" w:firstLine="604"/>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工程设计、施工、监理采用委托公开招标，招标程序按照有关法律法规的要求进行，保证招投标过程公开、公正、公平。</w:t>
      </w:r>
    </w:p>
    <w:p w14:paraId="03BD5B41">
      <w:pPr>
        <w:kinsoku/>
        <w:spacing w:line="560" w:lineRule="exact"/>
        <w:ind w:left="640" w:leftChars="0"/>
        <w:outlineLvl w:val="2"/>
        <w:rPr>
          <w:rFonts w:hint="default" w:ascii="Times New Roman" w:hAnsi="Times New Roman" w:eastAsia="宋体" w:cs="Times New Roman"/>
          <w:smallCaps w:val="0"/>
          <w:color w:val="auto"/>
          <w:spacing w:val="0"/>
          <w:w w:val="100"/>
          <w:sz w:val="30"/>
          <w:szCs w:val="30"/>
          <w:highlight w:val="none"/>
          <w:lang w:eastAsia="zh-CN"/>
        </w:rPr>
      </w:pPr>
      <w:bookmarkStart w:id="246" w:name="_Toc22825"/>
      <w:r>
        <w:rPr>
          <w:rFonts w:hint="default" w:ascii="Times New Roman" w:hAnsi="Times New Roman" w:eastAsia="宋体" w:cs="Times New Roman"/>
          <w:smallCaps w:val="0"/>
          <w:color w:val="auto"/>
          <w:spacing w:val="0"/>
          <w:w w:val="100"/>
          <w:sz w:val="30"/>
          <w:szCs w:val="30"/>
          <w:highlight w:val="none"/>
          <w:lang w:val="en-US" w:eastAsia="zh-CN"/>
        </w:rPr>
        <w:t>6.1.3</w:t>
      </w:r>
      <w:r>
        <w:rPr>
          <w:rFonts w:hint="default" w:ascii="Times New Roman" w:hAnsi="Times New Roman" w:eastAsia="宋体" w:cs="Times New Roman"/>
          <w:smallCaps w:val="0"/>
          <w:color w:val="auto"/>
          <w:spacing w:val="0"/>
          <w:w w:val="100"/>
          <w:sz w:val="30"/>
          <w:szCs w:val="30"/>
          <w:highlight w:val="none"/>
          <w:lang w:eastAsia="zh-CN"/>
        </w:rPr>
        <w:t>项目工程监理制度</w:t>
      </w:r>
      <w:bookmarkEnd w:id="246"/>
    </w:p>
    <w:p w14:paraId="12627CDF">
      <w:pPr>
        <w:kinsoku/>
        <w:spacing w:line="560" w:lineRule="exact"/>
        <w:ind w:left="45" w:right="81" w:firstLine="598"/>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为确保项目工程能保质保量地完成任务，本工程实行工程建设监理制度。中标监理单位以项目设计内容和技术要求、验收规范为标准，本着客观、公正、公平，既对业主负责又对承包商负责的原则，对项目的施工质量、工程进度、资金使用情况进行监理。</w:t>
      </w:r>
    </w:p>
    <w:p w14:paraId="675D2996">
      <w:pPr>
        <w:kinsoku/>
        <w:spacing w:line="560" w:lineRule="exact"/>
        <w:ind w:left="640" w:leftChars="0"/>
        <w:outlineLvl w:val="2"/>
        <w:rPr>
          <w:rFonts w:hint="default" w:ascii="Times New Roman" w:hAnsi="Times New Roman" w:eastAsia="宋体" w:cs="Times New Roman"/>
          <w:smallCaps w:val="0"/>
          <w:color w:val="auto"/>
          <w:spacing w:val="0"/>
          <w:w w:val="100"/>
          <w:sz w:val="30"/>
          <w:szCs w:val="30"/>
          <w:highlight w:val="none"/>
          <w:lang w:eastAsia="zh-CN"/>
        </w:rPr>
      </w:pPr>
      <w:bookmarkStart w:id="247" w:name="_Toc19754"/>
      <w:r>
        <w:rPr>
          <w:rFonts w:hint="default" w:ascii="Times New Roman" w:hAnsi="Times New Roman" w:eastAsia="宋体" w:cs="Times New Roman"/>
          <w:smallCaps w:val="0"/>
          <w:color w:val="auto"/>
          <w:spacing w:val="0"/>
          <w:w w:val="100"/>
          <w:sz w:val="30"/>
          <w:szCs w:val="30"/>
          <w:highlight w:val="none"/>
          <w:lang w:val="en-US" w:eastAsia="zh-CN"/>
        </w:rPr>
        <w:t>6.1.4</w:t>
      </w:r>
      <w:r>
        <w:rPr>
          <w:rFonts w:hint="default" w:ascii="Times New Roman" w:hAnsi="Times New Roman" w:eastAsia="宋体" w:cs="Times New Roman"/>
          <w:smallCaps w:val="0"/>
          <w:color w:val="auto"/>
          <w:spacing w:val="0"/>
          <w:w w:val="100"/>
          <w:sz w:val="30"/>
          <w:szCs w:val="30"/>
          <w:highlight w:val="none"/>
          <w:lang w:eastAsia="zh-CN"/>
        </w:rPr>
        <w:t>项目公示制</w:t>
      </w:r>
      <w:bookmarkEnd w:id="247"/>
    </w:p>
    <w:p w14:paraId="7C1150A1">
      <w:pPr>
        <w:kinsoku/>
        <w:spacing w:line="560" w:lineRule="exact"/>
        <w:ind w:left="38" w:firstLine="60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建设实行工程事前公示和竣工公示制，在项目建设前，在当地显要位置，对项目建设内容、规模、数量、投资、质量要求、项目施工单位、建设单位、施工人员、监督人员、举报电话等进行事前公示，欢迎群众监督；项目竣工后，对项目完成情况进行竣工公示，使工程建设成为透明工程、民心工程、惠民工程。</w:t>
      </w:r>
    </w:p>
    <w:p w14:paraId="3F4F3B55">
      <w:pPr>
        <w:kinsoku/>
        <w:spacing w:line="560" w:lineRule="exact"/>
        <w:ind w:left="640" w:leftChars="0"/>
        <w:outlineLvl w:val="2"/>
        <w:rPr>
          <w:rFonts w:hint="default" w:ascii="Times New Roman" w:hAnsi="Times New Roman" w:eastAsia="宋体" w:cs="Times New Roman"/>
          <w:smallCaps w:val="0"/>
          <w:color w:val="auto"/>
          <w:spacing w:val="0"/>
          <w:w w:val="100"/>
          <w:sz w:val="30"/>
          <w:szCs w:val="30"/>
          <w:highlight w:val="none"/>
          <w:lang w:eastAsia="zh-CN"/>
        </w:rPr>
      </w:pPr>
      <w:bookmarkStart w:id="248" w:name="_Toc4343"/>
      <w:r>
        <w:rPr>
          <w:rFonts w:hint="default" w:ascii="Times New Roman" w:hAnsi="Times New Roman" w:eastAsia="宋体" w:cs="Times New Roman"/>
          <w:smallCaps w:val="0"/>
          <w:color w:val="auto"/>
          <w:spacing w:val="0"/>
          <w:w w:val="100"/>
          <w:sz w:val="30"/>
          <w:szCs w:val="30"/>
          <w:highlight w:val="none"/>
          <w:lang w:val="en-US" w:eastAsia="zh-CN"/>
        </w:rPr>
        <w:t>6.1.5</w:t>
      </w:r>
      <w:r>
        <w:rPr>
          <w:rFonts w:hint="default" w:ascii="Times New Roman" w:hAnsi="Times New Roman" w:eastAsia="宋体" w:cs="Times New Roman"/>
          <w:smallCaps w:val="0"/>
          <w:color w:val="auto"/>
          <w:spacing w:val="0"/>
          <w:w w:val="100"/>
          <w:sz w:val="30"/>
          <w:szCs w:val="30"/>
          <w:highlight w:val="none"/>
          <w:lang w:eastAsia="zh-CN"/>
        </w:rPr>
        <w:t>项目合同管理制度</w:t>
      </w:r>
      <w:bookmarkEnd w:id="248"/>
    </w:p>
    <w:p w14:paraId="5DA3F5A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按照《合同法》等有关规定，制定有关工作组织，农牧农村和科技局作为项目实施单位，与施工单位、监理单位签订施工监理合同，明确相互各方的权责利。合同由专人管理，专设项目合同管理专用章，签发工程承建合同和设备购置合同必须由项目法 人签章；合同纠纷调解处理按《合同法》规定程序进行。</w:t>
      </w:r>
    </w:p>
    <w:p w14:paraId="76151130">
      <w:pPr>
        <w:kinsoku/>
        <w:spacing w:line="560" w:lineRule="exact"/>
        <w:ind w:left="640" w:leftChars="0"/>
        <w:outlineLvl w:val="2"/>
        <w:rPr>
          <w:rFonts w:hint="default" w:ascii="Times New Roman" w:hAnsi="Times New Roman" w:eastAsia="宋体" w:cs="Times New Roman"/>
          <w:smallCaps w:val="0"/>
          <w:color w:val="auto"/>
          <w:spacing w:val="0"/>
          <w:w w:val="100"/>
          <w:sz w:val="30"/>
          <w:szCs w:val="30"/>
          <w:highlight w:val="none"/>
          <w:lang w:eastAsia="zh-CN"/>
        </w:rPr>
      </w:pPr>
      <w:bookmarkStart w:id="249" w:name="_Toc17107"/>
      <w:r>
        <w:rPr>
          <w:rFonts w:hint="default" w:ascii="Times New Roman" w:hAnsi="Times New Roman" w:eastAsia="宋体" w:cs="Times New Roman"/>
          <w:smallCaps w:val="0"/>
          <w:color w:val="auto"/>
          <w:spacing w:val="0"/>
          <w:w w:val="100"/>
          <w:sz w:val="30"/>
          <w:szCs w:val="30"/>
          <w:highlight w:val="none"/>
          <w:lang w:val="en-US" w:eastAsia="zh-CN"/>
        </w:rPr>
        <w:t>6.1.6</w:t>
      </w:r>
      <w:r>
        <w:rPr>
          <w:rFonts w:hint="default" w:ascii="Times New Roman" w:hAnsi="Times New Roman" w:eastAsia="宋体" w:cs="Times New Roman"/>
          <w:smallCaps w:val="0"/>
          <w:color w:val="auto"/>
          <w:spacing w:val="0"/>
          <w:w w:val="100"/>
          <w:sz w:val="30"/>
          <w:szCs w:val="30"/>
          <w:highlight w:val="none"/>
          <w:lang w:eastAsia="zh-CN"/>
        </w:rPr>
        <w:t>资金拨付县级报账制</w:t>
      </w:r>
      <w:bookmarkEnd w:id="249"/>
    </w:p>
    <w:p w14:paraId="21415DBE">
      <w:pPr>
        <w:kinsoku/>
        <w:spacing w:line="560" w:lineRule="exact"/>
        <w:ind w:left="40" w:right="105" w:firstLine="604"/>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项目资金严格按照专款专用、单独核算的办法进行管理，资金拨付由施工单位根据工程进度提出申请，经工程监理及建设单位现场施工人员审查、领导审核和签字后，从项目资金专户拨付到施工单位基本账户。</w:t>
      </w:r>
    </w:p>
    <w:p w14:paraId="63B60CE0">
      <w:pPr>
        <w:kinsoku/>
        <w:spacing w:line="560" w:lineRule="exact"/>
        <w:ind w:left="640" w:leftChars="0"/>
        <w:outlineLvl w:val="2"/>
        <w:rPr>
          <w:rFonts w:hint="default" w:ascii="Times New Roman" w:hAnsi="Times New Roman" w:eastAsia="宋体" w:cs="Times New Roman"/>
          <w:smallCaps w:val="0"/>
          <w:color w:val="auto"/>
          <w:spacing w:val="0"/>
          <w:w w:val="100"/>
          <w:sz w:val="30"/>
          <w:szCs w:val="30"/>
          <w:highlight w:val="none"/>
          <w:lang w:eastAsia="zh-CN"/>
        </w:rPr>
      </w:pPr>
      <w:bookmarkStart w:id="250" w:name="_Toc24425"/>
      <w:r>
        <w:rPr>
          <w:rFonts w:hint="default" w:ascii="Times New Roman" w:hAnsi="Times New Roman" w:eastAsia="宋体" w:cs="Times New Roman"/>
          <w:smallCaps w:val="0"/>
          <w:color w:val="auto"/>
          <w:spacing w:val="0"/>
          <w:w w:val="100"/>
          <w:sz w:val="30"/>
          <w:szCs w:val="30"/>
          <w:highlight w:val="none"/>
          <w:lang w:val="en-US" w:eastAsia="zh-CN"/>
        </w:rPr>
        <w:t>6.1.7</w:t>
      </w:r>
      <w:r>
        <w:rPr>
          <w:rFonts w:hint="default" w:ascii="Times New Roman" w:hAnsi="Times New Roman" w:eastAsia="宋体" w:cs="Times New Roman"/>
          <w:smallCaps w:val="0"/>
          <w:color w:val="auto"/>
          <w:spacing w:val="0"/>
          <w:w w:val="100"/>
          <w:sz w:val="30"/>
          <w:szCs w:val="30"/>
          <w:highlight w:val="none"/>
          <w:lang w:eastAsia="zh-CN"/>
        </w:rPr>
        <w:t>项目竣工验收制和审计制</w:t>
      </w:r>
      <w:bookmarkEnd w:id="250"/>
    </w:p>
    <w:p w14:paraId="5A18D8D2">
      <w:pPr>
        <w:kinsoku/>
        <w:spacing w:line="560" w:lineRule="exact"/>
        <w:ind w:left="40" w:right="105" w:firstLine="604"/>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完工后，按照工程竣工验收程序，对照国家有关工程质量验收标准和规程，完善竣工验收有关资料，由实施单位向监理单位和农牧农村和科技局递交验收申请报告，由农牧农村和科技局组织监理单位和施工单位现场收方计量，根据验收情况进行工程竣工结算和财务决算，并报审计部门进行工程审计，再报请上级领导小组验收。</w:t>
      </w:r>
    </w:p>
    <w:p w14:paraId="359B6435">
      <w:pPr>
        <w:kinsoku/>
        <w:spacing w:line="560" w:lineRule="exact"/>
        <w:ind w:left="39" w:leftChars="0"/>
        <w:outlineLvl w:val="1"/>
        <w:rPr>
          <w:rFonts w:hint="default" w:ascii="Times New Roman" w:hAnsi="Times New Roman" w:eastAsia="宋体" w:cs="Times New Roman"/>
          <w:smallCaps w:val="0"/>
          <w:color w:val="auto"/>
          <w:spacing w:val="0"/>
          <w:w w:val="100"/>
          <w:sz w:val="30"/>
          <w:szCs w:val="30"/>
          <w:highlight w:val="none"/>
          <w:lang w:eastAsia="zh-CN"/>
        </w:rPr>
      </w:pPr>
      <w:bookmarkStart w:id="251" w:name="_Toc13653"/>
      <w:bookmarkStart w:id="252" w:name="_Toc7940"/>
      <w:r>
        <w:rPr>
          <w:rFonts w:hint="default" w:ascii="Times New Roman" w:hAnsi="Times New Roman" w:eastAsia="宋体" w:cs="Times New Roman"/>
          <w:b/>
          <w:bCs/>
          <w:smallCaps w:val="0"/>
          <w:color w:val="auto"/>
          <w:spacing w:val="0"/>
          <w:w w:val="100"/>
          <w:sz w:val="30"/>
          <w:szCs w:val="30"/>
          <w:highlight w:val="none"/>
          <w:lang w:eastAsia="zh-CN"/>
        </w:rPr>
        <w:t>6.2 施工组织设计</w:t>
      </w:r>
      <w:bookmarkEnd w:id="251"/>
      <w:bookmarkEnd w:id="252"/>
    </w:p>
    <w:p w14:paraId="25601461">
      <w:pPr>
        <w:pStyle w:val="4"/>
        <w:spacing w:before="0" w:after="0" w:line="560" w:lineRule="exact"/>
        <w:outlineLvl w:val="2"/>
        <w:rPr>
          <w:rFonts w:hint="default" w:ascii="Times New Roman" w:hAnsi="Times New Roman" w:eastAsia="宋体" w:cs="Times New Roman"/>
          <w:smallCaps w:val="0"/>
          <w:color w:val="auto"/>
          <w:spacing w:val="0"/>
          <w:w w:val="100"/>
          <w:highlight w:val="none"/>
        </w:rPr>
      </w:pPr>
      <w:bookmarkStart w:id="253" w:name="_Toc10739"/>
      <w:r>
        <w:rPr>
          <w:rFonts w:hint="default" w:ascii="Times New Roman" w:hAnsi="Times New Roman" w:eastAsia="宋体" w:cs="Times New Roman"/>
          <w:smallCaps w:val="0"/>
          <w:color w:val="auto"/>
          <w:spacing w:val="0"/>
          <w:w w:val="100"/>
          <w:highlight w:val="none"/>
        </w:rPr>
        <w:t>6.2.1 主要工程建设内容及工程施工条件</w:t>
      </w:r>
      <w:bookmarkEnd w:id="253"/>
    </w:p>
    <w:p w14:paraId="71FA9FE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1.主要工程建设内容</w:t>
      </w:r>
    </w:p>
    <w:p w14:paraId="36D4885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四川省甘孜州甘孜县2026年高标准农田建设项目</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新建</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主要建设的工程内容：</w:t>
      </w:r>
    </w:p>
    <w:p w14:paraId="6A41B22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1）田（地）块整治工程：</w:t>
      </w:r>
      <w:r>
        <w:rPr>
          <w:rFonts w:hint="eastAsia" w:ascii="Times New Roman" w:hAnsi="Times New Roman" w:eastAsia="宋体" w:cs="Times New Roman"/>
          <w:smallCaps w:val="0"/>
          <w:color w:val="auto"/>
          <w:spacing w:val="0"/>
          <w:w w:val="100"/>
          <w:sz w:val="30"/>
          <w:szCs w:val="30"/>
          <w:highlight w:val="none"/>
          <w:lang w:eastAsia="zh-CN"/>
        </w:rPr>
        <w:t>地块整治面积413.70亩</w:t>
      </w:r>
      <w:r>
        <w:rPr>
          <w:rFonts w:hint="default" w:ascii="Times New Roman" w:hAnsi="Times New Roman" w:eastAsia="宋体" w:cs="Times New Roman"/>
          <w:smallCaps w:val="0"/>
          <w:color w:val="auto"/>
          <w:spacing w:val="0"/>
          <w:w w:val="100"/>
          <w:sz w:val="30"/>
          <w:szCs w:val="30"/>
          <w:highlight w:val="none"/>
          <w:lang w:eastAsia="zh-CN"/>
        </w:rPr>
        <w:t>，捡石面积</w:t>
      </w:r>
      <w:r>
        <w:rPr>
          <w:rFonts w:hint="default" w:ascii="Times New Roman" w:hAnsi="Times New Roman" w:eastAsia="宋体" w:cs="Times New Roman"/>
          <w:smallCaps w:val="0"/>
          <w:color w:val="auto"/>
          <w:spacing w:val="0"/>
          <w:w w:val="100"/>
          <w:sz w:val="30"/>
          <w:szCs w:val="30"/>
          <w:highlight w:val="none"/>
          <w:lang w:val="en-US" w:eastAsia="zh-CN"/>
        </w:rPr>
        <w:t>1101</w:t>
      </w:r>
      <w:r>
        <w:rPr>
          <w:rFonts w:hint="default" w:ascii="Times New Roman" w:hAnsi="Times New Roman" w:eastAsia="宋体" w:cs="Times New Roman"/>
          <w:smallCaps w:val="0"/>
          <w:color w:val="auto"/>
          <w:spacing w:val="0"/>
          <w:w w:val="100"/>
          <w:sz w:val="30"/>
          <w:szCs w:val="30"/>
          <w:highlight w:val="none"/>
          <w:lang w:eastAsia="zh-CN"/>
        </w:rPr>
        <w:t>亩。</w:t>
      </w:r>
    </w:p>
    <w:p w14:paraId="3FE0575F">
      <w:pPr>
        <w:keepNext w:val="0"/>
        <w:keepLines w:val="0"/>
        <w:pageBreakBefore w:val="0"/>
        <w:kinsoku/>
        <w:wordWrap/>
        <w:overflowPunct/>
        <w:topLinePunct w:val="0"/>
        <w:bidi w:val="0"/>
        <w:adjustRightInd/>
        <w:snapToGrid w:val="0"/>
        <w:spacing w:line="560" w:lineRule="exact"/>
        <w:ind w:left="48" w:right="110" w:firstLine="596"/>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2）农田地力提升工程：土壤改良面积10000亩，增施商品有机肥</w:t>
      </w:r>
      <w:r>
        <w:rPr>
          <w:rFonts w:hint="eastAsia" w:ascii="Times New Roman" w:hAnsi="Times New Roman" w:eastAsia="宋体" w:cs="Times New Roman"/>
          <w:smallCaps w:val="0"/>
          <w:color w:val="auto"/>
          <w:spacing w:val="0"/>
          <w:w w:val="100"/>
          <w:sz w:val="30"/>
          <w:szCs w:val="30"/>
          <w:highlight w:val="none"/>
          <w:lang w:val="en-US" w:eastAsia="zh-CN"/>
        </w:rPr>
        <w:t>2875.89</w:t>
      </w:r>
      <w:r>
        <w:rPr>
          <w:rFonts w:hint="default" w:ascii="Times New Roman" w:hAnsi="Times New Roman" w:eastAsia="宋体" w:cs="Times New Roman"/>
          <w:smallCaps w:val="0"/>
          <w:color w:val="auto"/>
          <w:spacing w:val="0"/>
          <w:w w:val="100"/>
          <w:sz w:val="30"/>
          <w:szCs w:val="30"/>
          <w:highlight w:val="none"/>
          <w:lang w:eastAsia="zh-CN"/>
        </w:rPr>
        <w:t>t（300kg/亩）</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增施有机-无机复混肥</w:t>
      </w:r>
      <w:r>
        <w:rPr>
          <w:rFonts w:hint="eastAsia" w:ascii="Times New Roman" w:hAnsi="Times New Roman" w:eastAsia="宋体" w:cs="Times New Roman"/>
          <w:smallCaps w:val="0"/>
          <w:color w:val="auto"/>
          <w:spacing w:val="0"/>
          <w:w w:val="100"/>
          <w:sz w:val="30"/>
          <w:szCs w:val="30"/>
          <w:highlight w:val="none"/>
          <w:lang w:val="en-US" w:eastAsia="zh-CN"/>
        </w:rPr>
        <w:t>33.096</w:t>
      </w:r>
      <w:r>
        <w:rPr>
          <w:rFonts w:hint="default" w:ascii="Times New Roman" w:hAnsi="Times New Roman" w:eastAsia="宋体" w:cs="Times New Roman"/>
          <w:smallCaps w:val="0"/>
          <w:color w:val="auto"/>
          <w:spacing w:val="0"/>
          <w:w w:val="100"/>
          <w:sz w:val="30"/>
          <w:szCs w:val="30"/>
          <w:highlight w:val="none"/>
          <w:lang w:eastAsia="zh-CN"/>
        </w:rPr>
        <w:t>(80KG/亩）。</w:t>
      </w:r>
      <w:r>
        <w:rPr>
          <w:rFonts w:hint="eastAsia"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地块整治区域施撒</w:t>
      </w:r>
      <w:r>
        <w:rPr>
          <w:rFonts w:hint="eastAsia" w:ascii="Times New Roman" w:hAnsi="Times New Roman" w:eastAsia="宋体" w:cs="Times New Roman"/>
          <w:smallCaps w:val="0"/>
          <w:color w:val="auto"/>
          <w:spacing w:val="0"/>
          <w:w w:val="100"/>
          <w:sz w:val="30"/>
          <w:szCs w:val="30"/>
          <w:highlight w:val="none"/>
          <w:lang w:eastAsia="zh-CN"/>
        </w:rPr>
        <w:t>有机-无机复混肥I型，</w:t>
      </w:r>
      <w:r>
        <w:rPr>
          <w:rFonts w:hint="eastAsia" w:ascii="Times New Roman" w:hAnsi="Times New Roman" w:eastAsia="宋体" w:cs="Times New Roman"/>
          <w:smallCaps w:val="0"/>
          <w:color w:val="auto"/>
          <w:spacing w:val="0"/>
          <w:w w:val="100"/>
          <w:sz w:val="30"/>
          <w:szCs w:val="30"/>
          <w:highlight w:val="none"/>
          <w:lang w:val="en-US" w:eastAsia="zh-CN"/>
        </w:rPr>
        <w:t>其余区域施撒商品有机肥</w:t>
      </w:r>
      <w:r>
        <w:rPr>
          <w:rFonts w:hint="eastAsia" w:ascii="Times New Roman" w:hAnsi="Times New Roman" w:eastAsia="宋体" w:cs="Times New Roman"/>
          <w:smallCaps w:val="0"/>
          <w:color w:val="auto"/>
          <w:spacing w:val="0"/>
          <w:w w:val="100"/>
          <w:sz w:val="30"/>
          <w:szCs w:val="30"/>
          <w:highlight w:val="none"/>
          <w:lang w:eastAsia="zh-CN"/>
        </w:rPr>
        <w:t>）。</w:t>
      </w:r>
    </w:p>
    <w:p w14:paraId="46FAA11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3）灌溉与排水工程：新建300m³蓄水池1口，整治水渠2765米，新建拦河坝1座，DN200主管61</w:t>
      </w:r>
      <w:r>
        <w:rPr>
          <w:rFonts w:hint="default" w:ascii="Times New Roman" w:hAnsi="Times New Roman" w:eastAsia="宋体" w:cs="Times New Roman"/>
          <w:smallCaps w:val="0"/>
          <w:color w:val="auto"/>
          <w:spacing w:val="0"/>
          <w:w w:val="100"/>
          <w:sz w:val="30"/>
          <w:szCs w:val="30"/>
          <w:highlight w:val="none"/>
          <w:lang w:val="en-US" w:eastAsia="zh-CN"/>
        </w:rPr>
        <w:t>7</w:t>
      </w:r>
      <w:r>
        <w:rPr>
          <w:rFonts w:hint="default" w:ascii="Times New Roman" w:hAnsi="Times New Roman" w:eastAsia="宋体" w:cs="Times New Roman"/>
          <w:smallCaps w:val="0"/>
          <w:color w:val="auto"/>
          <w:spacing w:val="0"/>
          <w:w w:val="100"/>
          <w:sz w:val="30"/>
          <w:szCs w:val="30"/>
          <w:highlight w:val="none"/>
          <w:lang w:eastAsia="zh-CN"/>
        </w:rPr>
        <w:t>1m，</w:t>
      </w:r>
      <w:r>
        <w:rPr>
          <w:rFonts w:hint="eastAsia" w:ascii="Times New Roman" w:hAnsi="Times New Roman" w:eastAsia="宋体" w:cs="Times New Roman"/>
          <w:smallCaps w:val="0"/>
          <w:color w:val="auto"/>
          <w:spacing w:val="0"/>
          <w:w w:val="100"/>
          <w:sz w:val="30"/>
          <w:szCs w:val="30"/>
          <w:highlight w:val="none"/>
          <w:lang w:eastAsia="zh-CN"/>
        </w:rPr>
        <w:t>DN75支管</w:t>
      </w:r>
      <w:r>
        <w:rPr>
          <w:rFonts w:hint="default" w:ascii="Times New Roman" w:hAnsi="Times New Roman" w:eastAsia="宋体" w:cs="Times New Roman"/>
          <w:smallCaps w:val="0"/>
          <w:color w:val="auto"/>
          <w:spacing w:val="0"/>
          <w:w w:val="100"/>
          <w:sz w:val="30"/>
          <w:szCs w:val="30"/>
          <w:highlight w:val="none"/>
          <w:lang w:eastAsia="zh-CN"/>
        </w:rPr>
        <w:t>21263m。</w:t>
      </w:r>
    </w:p>
    <w:p w14:paraId="3086980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4）田间道路工程：整治机耕道</w:t>
      </w:r>
      <w:r>
        <w:rPr>
          <w:rFonts w:hint="default" w:ascii="Times New Roman" w:hAnsi="Times New Roman" w:eastAsia="宋体" w:cs="Times New Roman"/>
          <w:smallCaps w:val="0"/>
          <w:color w:val="auto"/>
          <w:spacing w:val="0"/>
          <w:w w:val="100"/>
          <w:sz w:val="30"/>
          <w:szCs w:val="30"/>
          <w:highlight w:val="none"/>
          <w:lang w:val="en-US" w:eastAsia="zh-CN"/>
        </w:rPr>
        <w:t>7813</w:t>
      </w:r>
      <w:r>
        <w:rPr>
          <w:rFonts w:hint="default" w:ascii="Times New Roman" w:hAnsi="Times New Roman" w:eastAsia="宋体" w:cs="Times New Roman"/>
          <w:smallCaps w:val="0"/>
          <w:color w:val="auto"/>
          <w:spacing w:val="0"/>
          <w:w w:val="100"/>
          <w:sz w:val="30"/>
          <w:szCs w:val="30"/>
          <w:highlight w:val="none"/>
          <w:lang w:eastAsia="zh-CN"/>
        </w:rPr>
        <w:t>米。</w:t>
      </w:r>
    </w:p>
    <w:p w14:paraId="6DB5EF6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5）农田防护与生态保护工程：新建农田防护围栏</w:t>
      </w:r>
      <w:r>
        <w:rPr>
          <w:rFonts w:hint="eastAsia" w:ascii="Times New Roman" w:hAnsi="Times New Roman" w:eastAsia="宋体" w:cs="Times New Roman"/>
          <w:smallCaps w:val="0"/>
          <w:color w:val="auto"/>
          <w:spacing w:val="0"/>
          <w:w w:val="100"/>
          <w:sz w:val="30"/>
          <w:szCs w:val="30"/>
          <w:highlight w:val="none"/>
          <w:lang w:val="en-US" w:eastAsia="zh-CN"/>
        </w:rPr>
        <w:t>39874</w:t>
      </w:r>
      <w:r>
        <w:rPr>
          <w:rFonts w:hint="default" w:ascii="Times New Roman" w:hAnsi="Times New Roman" w:eastAsia="宋体" w:cs="Times New Roman"/>
          <w:smallCaps w:val="0"/>
          <w:color w:val="auto"/>
          <w:spacing w:val="0"/>
          <w:w w:val="100"/>
          <w:sz w:val="30"/>
          <w:szCs w:val="30"/>
          <w:highlight w:val="none"/>
          <w:lang w:eastAsia="zh-CN"/>
        </w:rPr>
        <w:t>米。</w:t>
      </w:r>
    </w:p>
    <w:p w14:paraId="7FEA8C0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6）其他工程：新建项目公示牌1个，标识牌</w:t>
      </w:r>
      <w:r>
        <w:rPr>
          <w:rFonts w:hint="default" w:ascii="Times New Roman" w:hAnsi="Times New Roman" w:eastAsia="宋体" w:cs="Times New Roman"/>
          <w:smallCaps w:val="0"/>
          <w:color w:val="auto"/>
          <w:spacing w:val="0"/>
          <w:w w:val="100"/>
          <w:sz w:val="30"/>
          <w:szCs w:val="30"/>
          <w:highlight w:val="none"/>
          <w:lang w:val="en-US" w:eastAsia="zh-CN"/>
        </w:rPr>
        <w:t>78</w:t>
      </w:r>
      <w:r>
        <w:rPr>
          <w:rFonts w:hint="default" w:ascii="Times New Roman" w:hAnsi="Times New Roman" w:eastAsia="宋体" w:cs="Times New Roman"/>
          <w:smallCaps w:val="0"/>
          <w:color w:val="auto"/>
          <w:spacing w:val="0"/>
          <w:w w:val="100"/>
          <w:sz w:val="30"/>
          <w:szCs w:val="30"/>
          <w:highlight w:val="none"/>
          <w:lang w:eastAsia="zh-CN"/>
        </w:rPr>
        <w:t>块。</w:t>
      </w:r>
    </w:p>
    <w:p w14:paraId="5D98447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2.工程施工条件</w:t>
      </w:r>
    </w:p>
    <w:p w14:paraId="1319BCA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（1）自然条件</w:t>
      </w:r>
    </w:p>
    <w:p w14:paraId="2EF5401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项目区地质结构稳定，具有足够的地质承载力，且项目所有工程均属于小型工程，故地质条件不会对项目的施工形成障碍。</w:t>
      </w:r>
    </w:p>
    <w:p w14:paraId="5D680C0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项目区属于5类区，海拔在3000-3500之间。</w:t>
      </w:r>
    </w:p>
    <w:p w14:paraId="0D2C58C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（2）市场供应条件</w:t>
      </w:r>
    </w:p>
    <w:p w14:paraId="795736F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eastAsia="zh-CN"/>
        </w:rPr>
        <w:t>本工程所需自拌混凝土粗、细骨料、</w:t>
      </w:r>
      <w:r>
        <w:rPr>
          <w:rFonts w:hint="eastAsia" w:ascii="Times New Roman" w:hAnsi="Times New Roman" w:eastAsia="宋体" w:cs="Times New Roman"/>
          <w:smallCaps w:val="0"/>
          <w:color w:val="auto"/>
          <w:spacing w:val="0"/>
          <w:w w:val="100"/>
          <w:sz w:val="30"/>
          <w:szCs w:val="30"/>
          <w:highlight w:val="none"/>
          <w:lang w:val="en-US" w:eastAsia="zh-CN"/>
        </w:rPr>
        <w:t>页岩标砖</w:t>
      </w:r>
      <w:r>
        <w:rPr>
          <w:rFonts w:hint="eastAsia" w:ascii="Times New Roman" w:hAnsi="Times New Roman" w:eastAsia="宋体" w:cs="Times New Roman"/>
          <w:smallCaps w:val="0"/>
          <w:color w:val="auto"/>
          <w:spacing w:val="0"/>
          <w:w w:val="100"/>
          <w:sz w:val="30"/>
          <w:szCs w:val="30"/>
          <w:highlight w:val="none"/>
          <w:lang w:eastAsia="zh-CN"/>
        </w:rPr>
        <w:t>、钢材、木材、</w:t>
      </w:r>
      <w:r>
        <w:rPr>
          <w:rFonts w:hint="default" w:ascii="Times New Roman" w:hAnsi="Times New Roman" w:eastAsia="宋体" w:cs="Times New Roman"/>
          <w:smallCaps w:val="0"/>
          <w:color w:val="auto"/>
          <w:spacing w:val="0"/>
          <w:w w:val="100"/>
          <w:sz w:val="30"/>
          <w:szCs w:val="30"/>
          <w:highlight w:val="none"/>
          <w:lang w:eastAsia="zh-CN"/>
        </w:rPr>
        <w:t>汽、柴油</w:t>
      </w:r>
      <w:r>
        <w:rPr>
          <w:rFonts w:hint="eastAsia" w:ascii="Times New Roman" w:hAnsi="Times New Roman" w:eastAsia="宋体" w:cs="Times New Roman"/>
          <w:smallCaps w:val="0"/>
          <w:color w:val="auto"/>
          <w:spacing w:val="0"/>
          <w:w w:val="100"/>
          <w:sz w:val="30"/>
          <w:szCs w:val="30"/>
          <w:highlight w:val="none"/>
          <w:lang w:eastAsia="zh-CN"/>
        </w:rPr>
        <w:t>需在</w:t>
      </w:r>
      <w:r>
        <w:rPr>
          <w:rFonts w:hint="eastAsia" w:ascii="Times New Roman" w:hAnsi="Times New Roman" w:eastAsia="宋体" w:cs="Times New Roman"/>
          <w:smallCaps w:val="0"/>
          <w:color w:val="auto"/>
          <w:spacing w:val="0"/>
          <w:w w:val="100"/>
          <w:sz w:val="30"/>
          <w:szCs w:val="30"/>
          <w:highlight w:val="none"/>
          <w:lang w:val="en-US" w:eastAsia="zh-CN"/>
        </w:rPr>
        <w:t>新龙县</w:t>
      </w:r>
      <w:r>
        <w:rPr>
          <w:rFonts w:hint="eastAsia" w:ascii="Times New Roman" w:hAnsi="Times New Roman" w:eastAsia="宋体" w:cs="Times New Roman"/>
          <w:smallCaps w:val="0"/>
          <w:color w:val="auto"/>
          <w:spacing w:val="0"/>
          <w:w w:val="100"/>
          <w:sz w:val="30"/>
          <w:szCs w:val="30"/>
          <w:highlight w:val="none"/>
          <w:lang w:eastAsia="zh-CN"/>
        </w:rPr>
        <w:t>城购买，运距</w:t>
      </w:r>
      <w:r>
        <w:rPr>
          <w:rFonts w:hint="eastAsia" w:ascii="Times New Roman" w:hAnsi="Times New Roman" w:eastAsia="宋体" w:cs="Times New Roman"/>
          <w:smallCaps w:val="0"/>
          <w:color w:val="auto"/>
          <w:spacing w:val="0"/>
          <w:w w:val="100"/>
          <w:sz w:val="30"/>
          <w:szCs w:val="30"/>
          <w:highlight w:val="none"/>
          <w:lang w:val="en-US" w:eastAsia="zh-CN"/>
        </w:rPr>
        <w:t>60</w:t>
      </w:r>
      <w:r>
        <w:rPr>
          <w:rFonts w:hint="eastAsia" w:ascii="Times New Roman" w:hAnsi="Times New Roman" w:eastAsia="宋体" w:cs="Times New Roman"/>
          <w:smallCaps w:val="0"/>
          <w:color w:val="auto"/>
          <w:spacing w:val="0"/>
          <w:w w:val="100"/>
          <w:sz w:val="30"/>
          <w:szCs w:val="30"/>
          <w:highlight w:val="none"/>
          <w:lang w:eastAsia="zh-CN"/>
        </w:rPr>
        <w:t>km</w:t>
      </w: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eastAsia="zh-CN"/>
        </w:rPr>
        <w:t>工程所需天然建筑材料（砂石料、块石、卵石）于</w:t>
      </w:r>
      <w:r>
        <w:rPr>
          <w:rFonts w:hint="eastAsia" w:ascii="Times New Roman" w:hAnsi="Times New Roman" w:eastAsia="宋体" w:cs="Times New Roman"/>
          <w:smallCaps w:val="0"/>
          <w:color w:val="auto"/>
          <w:spacing w:val="0"/>
          <w:w w:val="100"/>
          <w:sz w:val="30"/>
          <w:szCs w:val="30"/>
          <w:highlight w:val="none"/>
          <w:lang w:val="en-US" w:eastAsia="zh-CN"/>
        </w:rPr>
        <w:t>新龙县</w:t>
      </w:r>
      <w:r>
        <w:rPr>
          <w:rFonts w:hint="eastAsia" w:ascii="Times New Roman" w:hAnsi="Times New Roman" w:eastAsia="宋体" w:cs="Times New Roman"/>
          <w:smallCaps w:val="0"/>
          <w:color w:val="auto"/>
          <w:spacing w:val="0"/>
          <w:w w:val="100"/>
          <w:sz w:val="30"/>
          <w:szCs w:val="30"/>
          <w:highlight w:val="none"/>
          <w:lang w:eastAsia="zh-CN"/>
        </w:rPr>
        <w:t>购买，运距约</w:t>
      </w:r>
      <w:r>
        <w:rPr>
          <w:rFonts w:hint="eastAsia" w:ascii="Times New Roman" w:hAnsi="Times New Roman" w:eastAsia="宋体" w:cs="Times New Roman"/>
          <w:smallCaps w:val="0"/>
          <w:color w:val="auto"/>
          <w:spacing w:val="0"/>
          <w:w w:val="100"/>
          <w:sz w:val="30"/>
          <w:szCs w:val="30"/>
          <w:highlight w:val="none"/>
          <w:lang w:val="en-US" w:eastAsia="zh-CN"/>
        </w:rPr>
        <w:t>60</w:t>
      </w:r>
      <w:r>
        <w:rPr>
          <w:rFonts w:hint="eastAsia" w:ascii="Times New Roman" w:hAnsi="Times New Roman" w:eastAsia="宋体" w:cs="Times New Roman"/>
          <w:smallCaps w:val="0"/>
          <w:color w:val="auto"/>
          <w:spacing w:val="0"/>
          <w:w w:val="100"/>
          <w:sz w:val="30"/>
          <w:szCs w:val="30"/>
          <w:highlight w:val="none"/>
          <w:lang w:eastAsia="zh-CN"/>
        </w:rPr>
        <w:t>km。填筑石渣料利用工程开挖料，不足部分有建设管理单位协调，就近取土。</w:t>
      </w:r>
    </w:p>
    <w:p w14:paraId="24F387B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3</w:t>
      </w:r>
      <w:r>
        <w:rPr>
          <w:rFonts w:hint="default" w:ascii="Times New Roman" w:hAnsi="Times New Roman" w:eastAsia="宋体" w:cs="Times New Roman"/>
          <w:smallCaps w:val="0"/>
          <w:color w:val="auto"/>
          <w:spacing w:val="0"/>
          <w:w w:val="100"/>
          <w:sz w:val="30"/>
          <w:szCs w:val="30"/>
          <w:highlight w:val="none"/>
          <w:lang w:eastAsia="zh-CN"/>
        </w:rPr>
        <w:t>）施工供电</w:t>
      </w:r>
    </w:p>
    <w:p w14:paraId="1B86192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eastAsia" w:ascii="Times New Roman" w:hAnsi="Times New Roman" w:eastAsia="宋体" w:cs="Times New Roman"/>
          <w:smallCaps w:val="0"/>
          <w:color w:val="auto"/>
          <w:spacing w:val="0"/>
          <w:w w:val="100"/>
          <w:sz w:val="30"/>
          <w:szCs w:val="30"/>
          <w:highlight w:val="none"/>
          <w:lang w:eastAsia="zh-CN"/>
        </w:rPr>
        <w:t>本项目用电</w:t>
      </w:r>
      <w:r>
        <w:rPr>
          <w:rFonts w:hint="eastAsia" w:ascii="Times New Roman" w:hAnsi="Times New Roman" w:eastAsia="宋体" w:cs="Times New Roman"/>
          <w:smallCaps w:val="0"/>
          <w:color w:val="auto"/>
          <w:spacing w:val="0"/>
          <w:w w:val="100"/>
          <w:sz w:val="30"/>
          <w:szCs w:val="30"/>
          <w:highlight w:val="none"/>
          <w:lang w:val="en-US" w:eastAsia="zh-CN"/>
        </w:rPr>
        <w:t>10</w:t>
      </w:r>
      <w:r>
        <w:rPr>
          <w:rFonts w:hint="eastAsia" w:ascii="Times New Roman" w:hAnsi="Times New Roman" w:eastAsia="宋体" w:cs="Times New Roman"/>
          <w:smallCaps w:val="0"/>
          <w:color w:val="auto"/>
          <w:spacing w:val="0"/>
          <w:w w:val="100"/>
          <w:sz w:val="30"/>
          <w:szCs w:val="30"/>
          <w:highlight w:val="none"/>
          <w:lang w:eastAsia="zh-CN"/>
        </w:rPr>
        <w:t>%采用国家电网发电，</w:t>
      </w:r>
      <w:r>
        <w:rPr>
          <w:rFonts w:hint="eastAsia" w:ascii="Times New Roman" w:hAnsi="Times New Roman" w:eastAsia="宋体" w:cs="Times New Roman"/>
          <w:smallCaps w:val="0"/>
          <w:color w:val="auto"/>
          <w:spacing w:val="0"/>
          <w:w w:val="100"/>
          <w:sz w:val="30"/>
          <w:szCs w:val="30"/>
          <w:highlight w:val="none"/>
          <w:lang w:val="en-US" w:eastAsia="zh-CN"/>
        </w:rPr>
        <w:t>90</w:t>
      </w:r>
      <w:r>
        <w:rPr>
          <w:rFonts w:hint="eastAsia" w:ascii="Times New Roman" w:hAnsi="Times New Roman" w:eastAsia="宋体" w:cs="Times New Roman"/>
          <w:smallCaps w:val="0"/>
          <w:color w:val="auto"/>
          <w:spacing w:val="0"/>
          <w:w w:val="100"/>
          <w:sz w:val="30"/>
          <w:szCs w:val="30"/>
          <w:highlight w:val="none"/>
          <w:lang w:eastAsia="zh-CN"/>
        </w:rPr>
        <w:t>%采用</w:t>
      </w:r>
      <w:r>
        <w:rPr>
          <w:rFonts w:hint="eastAsia" w:ascii="Times New Roman" w:hAnsi="Times New Roman" w:eastAsia="宋体" w:cs="Times New Roman"/>
          <w:smallCaps w:val="0"/>
          <w:color w:val="auto"/>
          <w:spacing w:val="0"/>
          <w:w w:val="100"/>
          <w:sz w:val="30"/>
          <w:szCs w:val="30"/>
          <w:highlight w:val="none"/>
          <w:lang w:val="en-US" w:eastAsia="zh-CN"/>
        </w:rPr>
        <w:t>3</w:t>
      </w:r>
      <w:r>
        <w:rPr>
          <w:rFonts w:hint="eastAsia" w:ascii="Times New Roman" w:hAnsi="Times New Roman" w:eastAsia="宋体" w:cs="Times New Roman"/>
          <w:smallCaps w:val="0"/>
          <w:color w:val="auto"/>
          <w:spacing w:val="0"/>
          <w:w w:val="100"/>
          <w:sz w:val="30"/>
          <w:szCs w:val="30"/>
          <w:highlight w:val="none"/>
          <w:lang w:eastAsia="zh-CN"/>
        </w:rPr>
        <w:t>0kw柴油发电机发电</w:t>
      </w:r>
      <w:r>
        <w:rPr>
          <w:rFonts w:hint="default" w:ascii="Times New Roman" w:hAnsi="Times New Roman" w:eastAsia="宋体" w:cs="Times New Roman"/>
          <w:smallCaps w:val="0"/>
          <w:color w:val="auto"/>
          <w:spacing w:val="0"/>
          <w:w w:val="100"/>
          <w:sz w:val="30"/>
          <w:szCs w:val="30"/>
          <w:highlight w:val="none"/>
          <w:lang w:eastAsia="zh-CN"/>
        </w:rPr>
        <w:t>。</w:t>
      </w:r>
    </w:p>
    <w:p w14:paraId="0E30564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）施工供风</w:t>
      </w:r>
    </w:p>
    <w:p w14:paraId="240B233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本工程施工用风主要为石方开挖和混凝土路面破除，由于开挖较为分散，开挖拟采用风钻</w:t>
      </w:r>
      <w:r>
        <w:rPr>
          <w:rFonts w:hint="eastAsia" w:ascii="Times New Roman" w:hAnsi="Times New Roman" w:eastAsia="宋体" w:cs="Times New Roman"/>
          <w:smallCaps w:val="0"/>
          <w:color w:val="auto"/>
          <w:spacing w:val="0"/>
          <w:w w:val="100"/>
          <w:sz w:val="30"/>
          <w:szCs w:val="30"/>
          <w:highlight w:val="none"/>
          <w:lang w:eastAsia="zh-CN"/>
        </w:rPr>
        <w:t>或</w:t>
      </w:r>
      <w:r>
        <w:rPr>
          <w:rFonts w:hint="default" w:ascii="Times New Roman" w:hAnsi="Times New Roman" w:eastAsia="宋体" w:cs="Times New Roman"/>
          <w:smallCaps w:val="0"/>
          <w:color w:val="auto"/>
          <w:spacing w:val="0"/>
          <w:w w:val="100"/>
          <w:sz w:val="30"/>
          <w:szCs w:val="30"/>
          <w:highlight w:val="none"/>
          <w:lang w:eastAsia="zh-CN"/>
        </w:rPr>
        <w:t>风镐破碎开挖，拟配置2台</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m³移动空压机供风，能满足本工程用风需要。</w:t>
      </w:r>
    </w:p>
    <w:p w14:paraId="7A688340">
      <w:pPr>
        <w:pStyle w:val="4"/>
        <w:spacing w:before="0" w:after="0" w:line="560" w:lineRule="exact"/>
        <w:outlineLvl w:val="2"/>
        <w:rPr>
          <w:rFonts w:hint="default" w:ascii="Times New Roman" w:hAnsi="Times New Roman" w:eastAsia="宋体" w:cs="Times New Roman"/>
          <w:smallCaps w:val="0"/>
          <w:color w:val="auto"/>
          <w:spacing w:val="0"/>
          <w:w w:val="100"/>
          <w:highlight w:val="none"/>
        </w:rPr>
      </w:pPr>
      <w:bookmarkStart w:id="254" w:name="_Toc15527"/>
      <w:r>
        <w:rPr>
          <w:rFonts w:hint="default" w:ascii="Times New Roman" w:hAnsi="Times New Roman" w:eastAsia="宋体" w:cs="Times New Roman"/>
          <w:smallCaps w:val="0"/>
          <w:color w:val="auto"/>
          <w:spacing w:val="0"/>
          <w:w w:val="100"/>
          <w:highlight w:val="none"/>
        </w:rPr>
        <w:t>6.2.2  施工总布置</w:t>
      </w:r>
      <w:bookmarkEnd w:id="254"/>
    </w:p>
    <w:p w14:paraId="642FFEE4">
      <w:pPr>
        <w:pStyle w:val="5"/>
        <w:spacing w:before="0" w:after="0" w:line="560" w:lineRule="exact"/>
        <w:outlineLvl w:val="3"/>
        <w:rPr>
          <w:rFonts w:hint="default" w:ascii="Times New Roman" w:hAnsi="Times New Roman" w:eastAsia="宋体" w:cs="Times New Roman"/>
          <w:smallCaps w:val="0"/>
          <w:color w:val="auto"/>
          <w:spacing w:val="0"/>
          <w:w w:val="100"/>
          <w:highlight w:val="none"/>
          <w:lang w:val="en-US" w:eastAsia="zh-CN"/>
        </w:rPr>
      </w:pPr>
      <w:r>
        <w:rPr>
          <w:rFonts w:hint="eastAsia" w:ascii="Times New Roman" w:hAnsi="Times New Roman" w:eastAsia="宋体" w:cs="Times New Roman"/>
          <w:smallCaps w:val="0"/>
          <w:color w:val="auto"/>
          <w:spacing w:val="0"/>
          <w:w w:val="100"/>
          <w:highlight w:val="none"/>
          <w:lang w:val="en-US" w:eastAsia="zh-CN"/>
        </w:rPr>
        <w:t>6.2.2.1施工交通</w:t>
      </w:r>
    </w:p>
    <w:p w14:paraId="03814FA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1、项目区对外交通</w:t>
      </w:r>
    </w:p>
    <w:p w14:paraId="08B347D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本工程主要施工区域分布于</w:t>
      </w:r>
      <w:r>
        <w:rPr>
          <w:rFonts w:hint="default" w:ascii="Times New Roman" w:hAnsi="Times New Roman" w:eastAsia="宋体" w:cs="Times New Roman"/>
          <w:smallCaps w:val="0"/>
          <w:color w:val="auto"/>
          <w:spacing w:val="0"/>
          <w:w w:val="100"/>
          <w:sz w:val="30"/>
          <w:szCs w:val="30"/>
          <w:highlight w:val="none"/>
          <w:lang w:eastAsia="zh-CN"/>
        </w:rPr>
        <w:t>甘孜镇、来马镇、泥柯乡、庭卡乡、拖坝乡</w:t>
      </w:r>
      <w:r>
        <w:rPr>
          <w:rFonts w:hint="eastAsia" w:ascii="Times New Roman" w:hAnsi="Times New Roman" w:eastAsia="宋体" w:cs="Times New Roman"/>
          <w:smallCaps w:val="0"/>
          <w:color w:val="auto"/>
          <w:spacing w:val="0"/>
          <w:w w:val="100"/>
          <w:sz w:val="30"/>
          <w:szCs w:val="30"/>
          <w:highlight w:val="none"/>
          <w:lang w:val="en-US" w:eastAsia="zh-CN"/>
        </w:rPr>
        <w:t>共5个乡镇，距新龙县城60km。</w:t>
      </w:r>
    </w:p>
    <w:p w14:paraId="7DD151F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2、场内交通</w:t>
      </w:r>
    </w:p>
    <w:p w14:paraId="25CF6A7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本项目管道布置线路部分沿道路布置，部分位于半山腰，仅有部分管道段有村道（水泥路）和机耕道（泥结碎石路）相连，大部分管线需靠人工转运。</w:t>
      </w:r>
    </w:p>
    <w:p w14:paraId="0ECF7387">
      <w:pPr>
        <w:pStyle w:val="5"/>
        <w:spacing w:before="0" w:after="0" w:line="560" w:lineRule="exact"/>
        <w:outlineLvl w:val="3"/>
        <w:rPr>
          <w:rFonts w:hint="default" w:ascii="Times New Roman" w:hAnsi="Times New Roman" w:eastAsia="宋体" w:cs="Times New Roman"/>
          <w:smallCaps w:val="0"/>
          <w:color w:val="auto"/>
          <w:spacing w:val="0"/>
          <w:w w:val="100"/>
          <w:highlight w:val="none"/>
          <w:lang w:val="en-US" w:eastAsia="zh-CN"/>
        </w:rPr>
      </w:pPr>
      <w:r>
        <w:rPr>
          <w:rFonts w:hint="eastAsia" w:ascii="Times New Roman" w:hAnsi="Times New Roman" w:eastAsia="宋体" w:cs="Times New Roman"/>
          <w:smallCaps w:val="0"/>
          <w:color w:val="auto"/>
          <w:spacing w:val="0"/>
          <w:w w:val="100"/>
          <w:highlight w:val="none"/>
          <w:lang w:val="en-US" w:eastAsia="zh-CN"/>
        </w:rPr>
        <w:t>6.2.2.2施工临时建筑</w:t>
      </w:r>
    </w:p>
    <w:p w14:paraId="21B5C58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1、施工工厂设施</w:t>
      </w:r>
    </w:p>
    <w:p w14:paraId="1B0B10A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（1）</w:t>
      </w:r>
      <w:r>
        <w:rPr>
          <w:rFonts w:hint="eastAsia" w:ascii="Times New Roman" w:hAnsi="Times New Roman" w:eastAsia="宋体" w:cs="Times New Roman"/>
          <w:smallCaps w:val="0"/>
          <w:color w:val="auto"/>
          <w:spacing w:val="0"/>
          <w:w w:val="100"/>
          <w:sz w:val="30"/>
          <w:szCs w:val="30"/>
          <w:highlight w:val="none"/>
          <w:lang w:val="en-US" w:eastAsia="zh-CN"/>
        </w:rPr>
        <w:t>砂砾石</w:t>
      </w:r>
      <w:r>
        <w:rPr>
          <w:rFonts w:hint="default" w:ascii="Times New Roman" w:hAnsi="Times New Roman" w:eastAsia="宋体" w:cs="Times New Roman"/>
          <w:smallCaps w:val="0"/>
          <w:color w:val="auto"/>
          <w:spacing w:val="0"/>
          <w:w w:val="100"/>
          <w:sz w:val="30"/>
          <w:szCs w:val="30"/>
          <w:highlight w:val="none"/>
          <w:lang w:val="en-US" w:eastAsia="zh-CN"/>
        </w:rPr>
        <w:t>料加工系统</w:t>
      </w:r>
    </w:p>
    <w:p w14:paraId="33FF4CF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本工程所需砂砾石料在新龙县购买，其质量和储量能满足设计要求，故不设块</w:t>
      </w:r>
      <w:r>
        <w:rPr>
          <w:rFonts w:hint="default" w:ascii="Times New Roman" w:hAnsi="Times New Roman" w:eastAsia="宋体" w:cs="Times New Roman"/>
          <w:smallCaps w:val="0"/>
          <w:color w:val="auto"/>
          <w:spacing w:val="0"/>
          <w:w w:val="100"/>
          <w:sz w:val="30"/>
          <w:szCs w:val="30"/>
          <w:highlight w:val="none"/>
          <w:lang w:val="en-US" w:eastAsia="zh-CN"/>
        </w:rPr>
        <w:t>石料</w:t>
      </w:r>
      <w:r>
        <w:rPr>
          <w:rFonts w:hint="eastAsia" w:ascii="Times New Roman" w:hAnsi="Times New Roman" w:eastAsia="宋体" w:cs="Times New Roman"/>
          <w:smallCaps w:val="0"/>
          <w:color w:val="auto"/>
          <w:spacing w:val="0"/>
          <w:w w:val="100"/>
          <w:sz w:val="30"/>
          <w:szCs w:val="30"/>
          <w:highlight w:val="none"/>
          <w:lang w:val="en-US" w:eastAsia="zh-CN"/>
        </w:rPr>
        <w:t>加工系统。</w:t>
      </w:r>
    </w:p>
    <w:p w14:paraId="5DD6FD3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（2）混凝土拌和系统</w:t>
      </w:r>
    </w:p>
    <w:p w14:paraId="0039770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本工程除道路工程采用商品混凝土，其余工程均采用自拌混凝土，混凝土拌合系统以及粗、细骨料堆料场均设置于施工区附近平整的场地上。</w:t>
      </w:r>
    </w:p>
    <w:p w14:paraId="595295C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（3）机械修配系统</w:t>
      </w:r>
    </w:p>
    <w:p w14:paraId="6145737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本工程对外交通较为方便，距新龙县60km，新龙县的机修、汽修设施较为齐全。工程的机修、汽修任务可委托地方力量负责承担。</w:t>
      </w:r>
    </w:p>
    <w:p w14:paraId="595D3DF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（4）综合加工系统</w:t>
      </w:r>
    </w:p>
    <w:p w14:paraId="662F87E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本工程施工区木材加工厂及混凝土预制构件厂集中布置在施工区附近平整的场地上。木材加工厂负责异形钢模板、木模板加工和模板的修理工作；预制混凝土加工厂主要承担本工程预制构件预制。</w:t>
      </w:r>
    </w:p>
    <w:p w14:paraId="69CBF240">
      <w:pPr>
        <w:pStyle w:val="5"/>
        <w:spacing w:before="0" w:after="0" w:line="560" w:lineRule="exact"/>
        <w:outlineLvl w:val="3"/>
        <w:rPr>
          <w:rFonts w:hint="default" w:ascii="Times New Roman" w:hAnsi="Times New Roman" w:eastAsia="宋体" w:cs="Times New Roman"/>
          <w:smallCaps w:val="0"/>
          <w:color w:val="auto"/>
          <w:spacing w:val="0"/>
          <w:w w:val="100"/>
          <w:highlight w:val="none"/>
          <w:lang w:val="en-US" w:eastAsia="zh-CN"/>
        </w:rPr>
      </w:pPr>
      <w:r>
        <w:rPr>
          <w:rFonts w:hint="eastAsia" w:ascii="Times New Roman" w:hAnsi="Times New Roman" w:eastAsia="宋体" w:cs="Times New Roman"/>
          <w:smallCaps w:val="0"/>
          <w:color w:val="auto"/>
          <w:spacing w:val="0"/>
          <w:w w:val="100"/>
          <w:highlight w:val="none"/>
          <w:lang w:val="en-US" w:eastAsia="zh-CN"/>
        </w:rPr>
        <w:t>6.2.2.3施工场地规划布置</w:t>
      </w:r>
    </w:p>
    <w:p w14:paraId="30320A5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1、布置原则</w:t>
      </w:r>
    </w:p>
    <w:p w14:paraId="29D86F1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（1）尽量不破坏</w:t>
      </w:r>
      <w:r>
        <w:rPr>
          <w:rFonts w:hint="eastAsia" w:ascii="Times New Roman" w:hAnsi="Times New Roman" w:eastAsia="宋体" w:cs="Times New Roman"/>
          <w:smallCaps w:val="0"/>
          <w:color w:val="auto"/>
          <w:spacing w:val="0"/>
          <w:w w:val="100"/>
          <w:sz w:val="30"/>
          <w:szCs w:val="30"/>
          <w:highlight w:val="none"/>
          <w:lang w:val="en-US" w:eastAsia="zh-CN"/>
        </w:rPr>
        <w:t>工程沿线</w:t>
      </w:r>
      <w:r>
        <w:rPr>
          <w:rFonts w:hint="default" w:ascii="Times New Roman" w:hAnsi="Times New Roman" w:eastAsia="宋体" w:cs="Times New Roman"/>
          <w:smallCaps w:val="0"/>
          <w:color w:val="auto"/>
          <w:spacing w:val="0"/>
          <w:w w:val="100"/>
          <w:sz w:val="30"/>
          <w:szCs w:val="30"/>
          <w:highlight w:val="none"/>
          <w:lang w:val="en-US" w:eastAsia="zh-CN"/>
        </w:rPr>
        <w:t>生活</w:t>
      </w:r>
      <w:r>
        <w:rPr>
          <w:rFonts w:hint="eastAsia" w:ascii="Times New Roman" w:hAnsi="Times New Roman" w:eastAsia="宋体" w:cs="Times New Roman"/>
          <w:smallCaps w:val="0"/>
          <w:color w:val="auto"/>
          <w:spacing w:val="0"/>
          <w:w w:val="100"/>
          <w:sz w:val="30"/>
          <w:szCs w:val="30"/>
          <w:highlight w:val="none"/>
          <w:lang w:val="en-US" w:eastAsia="zh-CN"/>
        </w:rPr>
        <w:t>设施及耕地</w:t>
      </w:r>
      <w:r>
        <w:rPr>
          <w:rFonts w:hint="default" w:ascii="Times New Roman" w:hAnsi="Times New Roman" w:eastAsia="宋体" w:cs="Times New Roman"/>
          <w:smallCaps w:val="0"/>
          <w:color w:val="auto"/>
          <w:spacing w:val="0"/>
          <w:w w:val="100"/>
          <w:sz w:val="30"/>
          <w:szCs w:val="30"/>
          <w:highlight w:val="none"/>
          <w:lang w:val="en-US" w:eastAsia="zh-CN"/>
        </w:rPr>
        <w:t>。</w:t>
      </w:r>
    </w:p>
    <w:p w14:paraId="77AF3B9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（2）鉴于各分部、分项工程，量小，分散和施工期短等特点，临时设施尽可能利用</w:t>
      </w:r>
      <w:r>
        <w:rPr>
          <w:rFonts w:hint="eastAsia" w:ascii="Times New Roman" w:hAnsi="Times New Roman" w:eastAsia="宋体" w:cs="Times New Roman"/>
          <w:smallCaps w:val="0"/>
          <w:color w:val="auto"/>
          <w:spacing w:val="0"/>
          <w:w w:val="100"/>
          <w:sz w:val="30"/>
          <w:szCs w:val="30"/>
          <w:highlight w:val="none"/>
          <w:lang w:val="en-US" w:eastAsia="zh-CN"/>
        </w:rPr>
        <w:t>工程区周围</w:t>
      </w:r>
      <w:r>
        <w:rPr>
          <w:rFonts w:hint="default" w:ascii="Times New Roman" w:hAnsi="Times New Roman" w:eastAsia="宋体" w:cs="Times New Roman"/>
          <w:smallCaps w:val="0"/>
          <w:color w:val="auto"/>
          <w:spacing w:val="0"/>
          <w:w w:val="100"/>
          <w:sz w:val="30"/>
          <w:szCs w:val="30"/>
          <w:highlight w:val="none"/>
          <w:lang w:val="en-US" w:eastAsia="zh-CN"/>
        </w:rPr>
        <w:t>原有空房、空地、生活设施，施工完后即时清理修复。</w:t>
      </w:r>
    </w:p>
    <w:p w14:paraId="5985F01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（3）施工工厂设施，如混凝土拌和系统，钢筋加工场等，应靠近使用量大，集中和交通方便的地段。</w:t>
      </w:r>
    </w:p>
    <w:p w14:paraId="56051AA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（4）尽量不占用耕地，施工完后注意还耕和水土保持工作。</w:t>
      </w:r>
    </w:p>
    <w:p w14:paraId="563F20D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2</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val="en-US" w:eastAsia="zh-CN"/>
        </w:rPr>
        <w:t>施工场地布置</w:t>
      </w:r>
    </w:p>
    <w:p w14:paraId="5ACC656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本工程项目分散，分项目工程量较小，生活福利设施用房以集中布置在</w:t>
      </w:r>
      <w:r>
        <w:rPr>
          <w:rFonts w:hint="eastAsia" w:ascii="Times New Roman" w:hAnsi="Times New Roman" w:eastAsia="宋体" w:cs="Times New Roman"/>
          <w:smallCaps w:val="0"/>
          <w:color w:val="auto"/>
          <w:spacing w:val="0"/>
          <w:w w:val="100"/>
          <w:sz w:val="30"/>
          <w:szCs w:val="30"/>
          <w:highlight w:val="none"/>
          <w:lang w:val="en-US" w:eastAsia="zh-CN"/>
        </w:rPr>
        <w:t>公路</w:t>
      </w:r>
      <w:r>
        <w:rPr>
          <w:rFonts w:hint="default" w:ascii="Times New Roman" w:hAnsi="Times New Roman" w:eastAsia="宋体" w:cs="Times New Roman"/>
          <w:smallCaps w:val="0"/>
          <w:color w:val="auto"/>
          <w:spacing w:val="0"/>
          <w:w w:val="100"/>
          <w:sz w:val="30"/>
          <w:szCs w:val="30"/>
          <w:highlight w:val="none"/>
          <w:lang w:val="en-US" w:eastAsia="zh-CN"/>
        </w:rPr>
        <w:t>附近平地为好。施工生产用房及仓库</w:t>
      </w:r>
      <w:r>
        <w:rPr>
          <w:rFonts w:hint="eastAsia" w:ascii="Times New Roman" w:hAnsi="Times New Roman" w:eastAsia="宋体" w:cs="Times New Roman"/>
          <w:smallCaps w:val="0"/>
          <w:color w:val="auto"/>
          <w:spacing w:val="0"/>
          <w:w w:val="100"/>
          <w:sz w:val="30"/>
          <w:szCs w:val="30"/>
          <w:highlight w:val="none"/>
          <w:lang w:val="en-US" w:eastAsia="zh-CN"/>
        </w:rPr>
        <w:t>、混凝土拌和场地</w:t>
      </w:r>
      <w:r>
        <w:rPr>
          <w:rFonts w:hint="default" w:ascii="Times New Roman" w:hAnsi="Times New Roman" w:eastAsia="宋体" w:cs="Times New Roman"/>
          <w:smallCaps w:val="0"/>
          <w:color w:val="auto"/>
          <w:spacing w:val="0"/>
          <w:w w:val="100"/>
          <w:sz w:val="30"/>
          <w:szCs w:val="30"/>
          <w:highlight w:val="none"/>
          <w:lang w:val="en-US" w:eastAsia="zh-CN"/>
        </w:rPr>
        <w:t>等</w:t>
      </w:r>
      <w:r>
        <w:rPr>
          <w:rFonts w:hint="eastAsia" w:ascii="Times New Roman" w:hAnsi="Times New Roman" w:eastAsia="宋体" w:cs="Times New Roman"/>
          <w:smallCaps w:val="0"/>
          <w:color w:val="auto"/>
          <w:spacing w:val="0"/>
          <w:w w:val="100"/>
          <w:sz w:val="30"/>
          <w:szCs w:val="30"/>
          <w:highlight w:val="none"/>
          <w:lang w:val="en-US" w:eastAsia="zh-CN"/>
        </w:rPr>
        <w:t>分别布置于两个工程区内</w:t>
      </w:r>
      <w:r>
        <w:rPr>
          <w:rFonts w:hint="default" w:ascii="Times New Roman" w:hAnsi="Times New Roman" w:eastAsia="宋体" w:cs="Times New Roman"/>
          <w:smallCaps w:val="0"/>
          <w:color w:val="auto"/>
          <w:spacing w:val="0"/>
          <w:w w:val="100"/>
          <w:sz w:val="30"/>
          <w:szCs w:val="30"/>
          <w:highlight w:val="none"/>
          <w:lang w:val="en-US" w:eastAsia="zh-CN"/>
        </w:rPr>
        <w:t>，根据施工强度和高峰期施工人数计算，需布置材料物资仓库，生产生活设施等临时建筑规模见表</w:t>
      </w:r>
      <w:r>
        <w:rPr>
          <w:rFonts w:hint="eastAsia"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2.3</w:t>
      </w:r>
      <w:r>
        <w:rPr>
          <w:rFonts w:hint="default" w:ascii="Times New Roman" w:hAnsi="Times New Roman" w:eastAsia="宋体" w:cs="Times New Roman"/>
          <w:smallCaps w:val="0"/>
          <w:color w:val="auto"/>
          <w:spacing w:val="0"/>
          <w:w w:val="100"/>
          <w:sz w:val="30"/>
          <w:szCs w:val="30"/>
          <w:highlight w:val="none"/>
          <w:lang w:val="en-US" w:eastAsia="zh-CN"/>
        </w:rPr>
        <w:t>。</w:t>
      </w:r>
    </w:p>
    <w:p w14:paraId="40F39351">
      <w:pPr>
        <w:ind w:firstLine="482"/>
        <w:jc w:val="center"/>
        <w:rPr>
          <w:b/>
          <w:bCs/>
          <w:color w:val="auto"/>
          <w:highlight w:val="none"/>
        </w:rPr>
      </w:pPr>
      <w:r>
        <w:rPr>
          <w:b/>
          <w:bCs/>
          <w:color w:val="auto"/>
          <w:highlight w:val="none"/>
        </w:rPr>
        <w:t>表</w:t>
      </w:r>
      <w:r>
        <w:rPr>
          <w:rFonts w:hint="eastAsia"/>
          <w:b/>
          <w:bCs/>
          <w:color w:val="auto"/>
          <w:highlight w:val="none"/>
          <w:lang w:val="en-US" w:eastAsia="zh-CN"/>
        </w:rPr>
        <w:t>6</w:t>
      </w:r>
      <w:r>
        <w:rPr>
          <w:b/>
          <w:bCs/>
          <w:color w:val="auto"/>
          <w:highlight w:val="none"/>
        </w:rPr>
        <w:t>.</w:t>
      </w:r>
      <w:r>
        <w:rPr>
          <w:rFonts w:hint="eastAsia"/>
          <w:b/>
          <w:bCs/>
          <w:color w:val="auto"/>
          <w:highlight w:val="none"/>
          <w:lang w:val="en-US" w:eastAsia="zh-CN"/>
        </w:rPr>
        <w:t>2</w:t>
      </w:r>
      <w:r>
        <w:rPr>
          <w:b/>
          <w:bCs/>
          <w:color w:val="auto"/>
          <w:highlight w:val="none"/>
        </w:rPr>
        <w:t>.</w:t>
      </w:r>
      <w:r>
        <w:rPr>
          <w:rFonts w:hint="eastAsia"/>
          <w:b/>
          <w:bCs/>
          <w:color w:val="auto"/>
          <w:highlight w:val="none"/>
          <w:lang w:val="en-US" w:eastAsia="zh-CN"/>
        </w:rPr>
        <w:t>2.3</w:t>
      </w:r>
      <w:r>
        <w:rPr>
          <w:b/>
          <w:bCs/>
          <w:color w:val="auto"/>
          <w:highlight w:val="none"/>
        </w:rPr>
        <w:t xml:space="preserve">   主要临建设施面积表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2455"/>
        <w:gridCol w:w="771"/>
        <w:gridCol w:w="1680"/>
        <w:gridCol w:w="1680"/>
        <w:gridCol w:w="2695"/>
      </w:tblGrid>
      <w:tr w14:paraId="6C8711A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54" w:type="dxa"/>
            <w:vAlign w:val="center"/>
          </w:tcPr>
          <w:p w14:paraId="7702693E">
            <w:pPr>
              <w:pStyle w:val="71"/>
              <w:bidi w:val="0"/>
              <w:rPr>
                <w:color w:val="auto"/>
                <w:highlight w:val="none"/>
              </w:rPr>
            </w:pPr>
            <w:r>
              <w:rPr>
                <w:color w:val="auto"/>
                <w:highlight w:val="none"/>
              </w:rPr>
              <w:t>项目名称</w:t>
            </w:r>
          </w:p>
        </w:tc>
        <w:tc>
          <w:tcPr>
            <w:tcW w:w="415" w:type="pct"/>
            <w:vAlign w:val="center"/>
          </w:tcPr>
          <w:p w14:paraId="3EA3EADA">
            <w:pPr>
              <w:pStyle w:val="71"/>
              <w:bidi w:val="0"/>
              <w:rPr>
                <w:color w:val="auto"/>
                <w:highlight w:val="none"/>
              </w:rPr>
            </w:pPr>
            <w:r>
              <w:rPr>
                <w:rFonts w:hint="eastAsia"/>
                <w:color w:val="auto"/>
                <w:highlight w:val="none"/>
              </w:rPr>
              <w:t>数量</w:t>
            </w:r>
          </w:p>
        </w:tc>
        <w:tc>
          <w:tcPr>
            <w:tcW w:w="1543" w:type="dxa"/>
            <w:vAlign w:val="center"/>
          </w:tcPr>
          <w:p w14:paraId="77856517">
            <w:pPr>
              <w:pStyle w:val="71"/>
              <w:bidi w:val="0"/>
              <w:rPr>
                <w:rFonts w:hint="eastAsia"/>
                <w:color w:val="auto"/>
                <w:highlight w:val="none"/>
                <w:lang w:eastAsia="zh-CN"/>
              </w:rPr>
            </w:pPr>
            <w:r>
              <w:rPr>
                <w:color w:val="auto"/>
                <w:highlight w:val="none"/>
              </w:rPr>
              <w:t>建筑面积</w:t>
            </w:r>
            <w:r>
              <w:rPr>
                <w:rFonts w:hint="eastAsia"/>
                <w:color w:val="auto"/>
                <w:highlight w:val="none"/>
                <w:lang w:eastAsia="zh-CN"/>
              </w:rPr>
              <w:t>（</w:t>
            </w:r>
            <w:r>
              <w:rPr>
                <w:color w:val="auto"/>
                <w:highlight w:val="none"/>
              </w:rPr>
              <w:t>m2</w:t>
            </w:r>
            <w:r>
              <w:rPr>
                <w:rFonts w:hint="eastAsia"/>
                <w:color w:val="auto"/>
                <w:highlight w:val="none"/>
                <w:lang w:eastAsia="zh-CN"/>
              </w:rPr>
              <w:t>）</w:t>
            </w:r>
          </w:p>
        </w:tc>
        <w:tc>
          <w:tcPr>
            <w:tcW w:w="1543" w:type="dxa"/>
            <w:vAlign w:val="center"/>
          </w:tcPr>
          <w:p w14:paraId="1AE5C1E5">
            <w:pPr>
              <w:pStyle w:val="71"/>
              <w:bidi w:val="0"/>
              <w:rPr>
                <w:rFonts w:hint="eastAsia"/>
                <w:color w:val="auto"/>
                <w:highlight w:val="none"/>
                <w:lang w:eastAsia="zh-CN"/>
              </w:rPr>
            </w:pPr>
            <w:r>
              <w:rPr>
                <w:color w:val="auto"/>
                <w:highlight w:val="none"/>
              </w:rPr>
              <w:t>占地面积</w:t>
            </w:r>
            <w:r>
              <w:rPr>
                <w:rFonts w:hint="eastAsia"/>
                <w:color w:val="auto"/>
                <w:highlight w:val="none"/>
                <w:lang w:eastAsia="zh-CN"/>
              </w:rPr>
              <w:t>（</w:t>
            </w:r>
            <w:r>
              <w:rPr>
                <w:color w:val="auto"/>
                <w:highlight w:val="none"/>
              </w:rPr>
              <w:t>m2</w:t>
            </w:r>
            <w:r>
              <w:rPr>
                <w:rFonts w:hint="eastAsia"/>
                <w:color w:val="auto"/>
                <w:highlight w:val="none"/>
                <w:lang w:eastAsia="zh-CN"/>
              </w:rPr>
              <w:t>）</w:t>
            </w:r>
          </w:p>
        </w:tc>
        <w:tc>
          <w:tcPr>
            <w:tcW w:w="2475" w:type="dxa"/>
            <w:vAlign w:val="center"/>
          </w:tcPr>
          <w:p w14:paraId="1ABAA814">
            <w:pPr>
              <w:pStyle w:val="71"/>
              <w:bidi w:val="0"/>
              <w:rPr>
                <w:color w:val="auto"/>
                <w:highlight w:val="none"/>
              </w:rPr>
            </w:pPr>
            <w:r>
              <w:rPr>
                <w:color w:val="auto"/>
                <w:highlight w:val="none"/>
              </w:rPr>
              <w:t>备注</w:t>
            </w:r>
          </w:p>
        </w:tc>
      </w:tr>
      <w:tr w14:paraId="25A2F13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54" w:type="dxa"/>
            <w:vAlign w:val="center"/>
          </w:tcPr>
          <w:p w14:paraId="367FAF86">
            <w:pPr>
              <w:pStyle w:val="71"/>
              <w:bidi w:val="0"/>
              <w:rPr>
                <w:color w:val="auto"/>
                <w:highlight w:val="none"/>
              </w:rPr>
            </w:pPr>
            <w:r>
              <w:rPr>
                <w:color w:val="auto"/>
                <w:highlight w:val="none"/>
              </w:rPr>
              <w:t>生活福利设施用房</w:t>
            </w:r>
          </w:p>
        </w:tc>
        <w:tc>
          <w:tcPr>
            <w:tcW w:w="415" w:type="pct"/>
            <w:vAlign w:val="center"/>
          </w:tcPr>
          <w:p w14:paraId="167AAD4A">
            <w:pPr>
              <w:pStyle w:val="71"/>
              <w:bidi w:val="0"/>
              <w:rPr>
                <w:rFonts w:hint="eastAsia"/>
                <w:color w:val="auto"/>
                <w:highlight w:val="none"/>
                <w:lang w:val="en-US" w:eastAsia="zh-CN"/>
              </w:rPr>
            </w:pPr>
            <w:r>
              <w:rPr>
                <w:rFonts w:hint="eastAsia"/>
                <w:color w:val="auto"/>
                <w:highlight w:val="none"/>
                <w:lang w:val="en-US" w:eastAsia="zh-CN"/>
              </w:rPr>
              <w:t>1</w:t>
            </w:r>
          </w:p>
        </w:tc>
        <w:tc>
          <w:tcPr>
            <w:tcW w:w="1543" w:type="dxa"/>
            <w:vAlign w:val="center"/>
          </w:tcPr>
          <w:p w14:paraId="38056316">
            <w:pPr>
              <w:pStyle w:val="71"/>
              <w:bidi w:val="0"/>
              <w:rPr>
                <w:rFonts w:hint="default"/>
                <w:color w:val="auto"/>
                <w:highlight w:val="none"/>
                <w:lang w:val="en-US" w:eastAsia="zh-CN"/>
              </w:rPr>
            </w:pPr>
            <w:r>
              <w:rPr>
                <w:rFonts w:hint="eastAsia"/>
                <w:color w:val="auto"/>
                <w:highlight w:val="none"/>
              </w:rPr>
              <w:t>100</w:t>
            </w:r>
          </w:p>
        </w:tc>
        <w:tc>
          <w:tcPr>
            <w:tcW w:w="1543" w:type="dxa"/>
            <w:vAlign w:val="center"/>
          </w:tcPr>
          <w:p w14:paraId="35E2CAF7">
            <w:pPr>
              <w:pStyle w:val="71"/>
              <w:bidi w:val="0"/>
              <w:rPr>
                <w:color w:val="auto"/>
                <w:highlight w:val="none"/>
              </w:rPr>
            </w:pPr>
            <w:r>
              <w:rPr>
                <w:color w:val="auto"/>
                <w:highlight w:val="none"/>
              </w:rPr>
              <w:t>/</w:t>
            </w:r>
          </w:p>
        </w:tc>
        <w:tc>
          <w:tcPr>
            <w:tcW w:w="2475" w:type="dxa"/>
            <w:vAlign w:val="center"/>
          </w:tcPr>
          <w:p w14:paraId="6CBFAA44">
            <w:pPr>
              <w:pStyle w:val="71"/>
              <w:bidi w:val="0"/>
              <w:rPr>
                <w:color w:val="auto"/>
                <w:highlight w:val="none"/>
              </w:rPr>
            </w:pPr>
            <w:r>
              <w:rPr>
                <w:color w:val="auto"/>
                <w:highlight w:val="none"/>
              </w:rPr>
              <w:t>租用</w:t>
            </w:r>
          </w:p>
        </w:tc>
      </w:tr>
      <w:tr w14:paraId="56571F4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54" w:type="dxa"/>
            <w:vAlign w:val="center"/>
          </w:tcPr>
          <w:p w14:paraId="21FBB304">
            <w:pPr>
              <w:pStyle w:val="71"/>
              <w:bidi w:val="0"/>
              <w:rPr>
                <w:color w:val="auto"/>
                <w:highlight w:val="none"/>
              </w:rPr>
            </w:pPr>
            <w:r>
              <w:rPr>
                <w:color w:val="auto"/>
                <w:highlight w:val="none"/>
              </w:rPr>
              <w:t>施工生产用房及仓库</w:t>
            </w:r>
          </w:p>
        </w:tc>
        <w:tc>
          <w:tcPr>
            <w:tcW w:w="415" w:type="pct"/>
            <w:vAlign w:val="center"/>
          </w:tcPr>
          <w:p w14:paraId="55F1F475">
            <w:pPr>
              <w:pStyle w:val="71"/>
              <w:bidi w:val="0"/>
              <w:rPr>
                <w:rFonts w:hint="eastAsia"/>
                <w:color w:val="auto"/>
                <w:highlight w:val="none"/>
                <w:lang w:eastAsia="zh-CN"/>
              </w:rPr>
            </w:pPr>
            <w:r>
              <w:rPr>
                <w:rFonts w:hint="eastAsia"/>
                <w:color w:val="auto"/>
                <w:highlight w:val="none"/>
                <w:lang w:val="en-US" w:eastAsia="zh-CN"/>
              </w:rPr>
              <w:t>1</w:t>
            </w:r>
          </w:p>
        </w:tc>
        <w:tc>
          <w:tcPr>
            <w:tcW w:w="1543" w:type="dxa"/>
            <w:vAlign w:val="center"/>
          </w:tcPr>
          <w:p w14:paraId="1B7A3BD7">
            <w:pPr>
              <w:pStyle w:val="71"/>
              <w:bidi w:val="0"/>
              <w:rPr>
                <w:rFonts w:hint="default"/>
                <w:color w:val="auto"/>
                <w:highlight w:val="none"/>
                <w:lang w:val="en-US" w:eastAsia="zh-CN"/>
              </w:rPr>
            </w:pPr>
            <w:r>
              <w:rPr>
                <w:color w:val="auto"/>
                <w:highlight w:val="none"/>
              </w:rPr>
              <w:t>100</w:t>
            </w:r>
          </w:p>
        </w:tc>
        <w:tc>
          <w:tcPr>
            <w:tcW w:w="1543" w:type="dxa"/>
            <w:vAlign w:val="center"/>
          </w:tcPr>
          <w:p w14:paraId="1662D6BD">
            <w:pPr>
              <w:pStyle w:val="71"/>
              <w:bidi w:val="0"/>
              <w:rPr>
                <w:color w:val="auto"/>
                <w:highlight w:val="none"/>
              </w:rPr>
            </w:pPr>
            <w:r>
              <w:rPr>
                <w:color w:val="auto"/>
                <w:highlight w:val="none"/>
              </w:rPr>
              <w:t>100</w:t>
            </w:r>
          </w:p>
        </w:tc>
        <w:tc>
          <w:tcPr>
            <w:tcW w:w="2475" w:type="dxa"/>
            <w:vAlign w:val="center"/>
          </w:tcPr>
          <w:p w14:paraId="0C83C3B9">
            <w:pPr>
              <w:pStyle w:val="71"/>
              <w:bidi w:val="0"/>
              <w:rPr>
                <w:color w:val="auto"/>
                <w:highlight w:val="none"/>
              </w:rPr>
            </w:pPr>
            <w:r>
              <w:rPr>
                <w:rFonts w:hint="eastAsia"/>
                <w:color w:val="auto"/>
                <w:highlight w:val="none"/>
              </w:rPr>
              <w:t>利用施工工区平整区域</w:t>
            </w:r>
          </w:p>
        </w:tc>
      </w:tr>
      <w:tr w14:paraId="33DC5EA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54" w:type="dxa"/>
            <w:vAlign w:val="center"/>
          </w:tcPr>
          <w:p w14:paraId="63B54E2E">
            <w:pPr>
              <w:pStyle w:val="71"/>
              <w:bidi w:val="0"/>
              <w:rPr>
                <w:color w:val="auto"/>
                <w:highlight w:val="none"/>
              </w:rPr>
            </w:pPr>
            <w:r>
              <w:rPr>
                <w:rFonts w:hint="eastAsia"/>
                <w:color w:val="auto"/>
                <w:highlight w:val="none"/>
              </w:rPr>
              <w:t>混凝土拌和场地</w:t>
            </w:r>
          </w:p>
        </w:tc>
        <w:tc>
          <w:tcPr>
            <w:tcW w:w="415" w:type="pct"/>
            <w:vAlign w:val="center"/>
          </w:tcPr>
          <w:p w14:paraId="57426165">
            <w:pPr>
              <w:pStyle w:val="71"/>
              <w:bidi w:val="0"/>
              <w:rPr>
                <w:rFonts w:hint="eastAsia"/>
                <w:color w:val="auto"/>
                <w:highlight w:val="none"/>
                <w:lang w:eastAsia="zh-CN"/>
              </w:rPr>
            </w:pPr>
            <w:r>
              <w:rPr>
                <w:rFonts w:hint="eastAsia"/>
                <w:color w:val="auto"/>
                <w:highlight w:val="none"/>
                <w:lang w:val="en-US" w:eastAsia="zh-CN"/>
              </w:rPr>
              <w:t>1</w:t>
            </w:r>
          </w:p>
        </w:tc>
        <w:tc>
          <w:tcPr>
            <w:tcW w:w="1543" w:type="dxa"/>
            <w:vAlign w:val="center"/>
          </w:tcPr>
          <w:p w14:paraId="57978176">
            <w:pPr>
              <w:pStyle w:val="71"/>
              <w:bidi w:val="0"/>
              <w:rPr>
                <w:color w:val="auto"/>
                <w:highlight w:val="none"/>
              </w:rPr>
            </w:pPr>
            <w:r>
              <w:rPr>
                <w:rFonts w:hint="eastAsia"/>
                <w:color w:val="auto"/>
                <w:highlight w:val="none"/>
              </w:rPr>
              <w:t>100</w:t>
            </w:r>
          </w:p>
        </w:tc>
        <w:tc>
          <w:tcPr>
            <w:tcW w:w="1543" w:type="dxa"/>
            <w:vAlign w:val="center"/>
          </w:tcPr>
          <w:p w14:paraId="4A208826">
            <w:pPr>
              <w:pStyle w:val="71"/>
              <w:bidi w:val="0"/>
              <w:rPr>
                <w:color w:val="auto"/>
                <w:highlight w:val="none"/>
              </w:rPr>
            </w:pPr>
            <w:r>
              <w:rPr>
                <w:color w:val="auto"/>
                <w:highlight w:val="none"/>
              </w:rPr>
              <w:t>100</w:t>
            </w:r>
          </w:p>
        </w:tc>
        <w:tc>
          <w:tcPr>
            <w:tcW w:w="2475" w:type="dxa"/>
            <w:vAlign w:val="center"/>
          </w:tcPr>
          <w:p w14:paraId="62507081">
            <w:pPr>
              <w:pStyle w:val="71"/>
              <w:bidi w:val="0"/>
              <w:rPr>
                <w:color w:val="auto"/>
                <w:highlight w:val="none"/>
              </w:rPr>
            </w:pPr>
            <w:r>
              <w:rPr>
                <w:rFonts w:hint="eastAsia"/>
                <w:color w:val="auto"/>
                <w:highlight w:val="none"/>
              </w:rPr>
              <w:t>利用施工工区平整区域</w:t>
            </w:r>
          </w:p>
        </w:tc>
      </w:tr>
      <w:tr w14:paraId="711D4B7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54" w:type="dxa"/>
            <w:vAlign w:val="center"/>
          </w:tcPr>
          <w:p w14:paraId="4059ED59">
            <w:pPr>
              <w:pStyle w:val="71"/>
              <w:bidi w:val="0"/>
              <w:rPr>
                <w:color w:val="auto"/>
                <w:highlight w:val="none"/>
              </w:rPr>
            </w:pPr>
            <w:r>
              <w:rPr>
                <w:color w:val="auto"/>
                <w:highlight w:val="none"/>
              </w:rPr>
              <w:t>合计</w:t>
            </w:r>
          </w:p>
        </w:tc>
        <w:tc>
          <w:tcPr>
            <w:tcW w:w="415" w:type="pct"/>
            <w:vAlign w:val="center"/>
          </w:tcPr>
          <w:p w14:paraId="2466173F">
            <w:pPr>
              <w:pStyle w:val="71"/>
              <w:bidi w:val="0"/>
              <w:rPr>
                <w:rFonts w:hint="eastAsia"/>
                <w:color w:val="auto"/>
                <w:highlight w:val="none"/>
                <w:lang w:val="en-US" w:eastAsia="zh-CN"/>
              </w:rPr>
            </w:pPr>
            <w:r>
              <w:rPr>
                <w:rFonts w:hint="eastAsia"/>
                <w:color w:val="auto"/>
                <w:highlight w:val="none"/>
                <w:lang w:val="en-US" w:eastAsia="zh-CN"/>
              </w:rPr>
              <w:t>/</w:t>
            </w:r>
          </w:p>
        </w:tc>
        <w:tc>
          <w:tcPr>
            <w:tcW w:w="1543" w:type="dxa"/>
            <w:vAlign w:val="center"/>
          </w:tcPr>
          <w:p w14:paraId="1C14D28D">
            <w:pPr>
              <w:pStyle w:val="71"/>
              <w:bidi w:val="0"/>
              <w:rPr>
                <w:rFonts w:hint="eastAsia"/>
                <w:color w:val="auto"/>
                <w:highlight w:val="none"/>
              </w:rPr>
            </w:pPr>
            <w:r>
              <w:rPr>
                <w:rFonts w:hint="eastAsia"/>
                <w:color w:val="auto"/>
                <w:highlight w:val="none"/>
              </w:rPr>
              <w:t>300</w:t>
            </w:r>
          </w:p>
        </w:tc>
        <w:tc>
          <w:tcPr>
            <w:tcW w:w="1543" w:type="dxa"/>
            <w:vAlign w:val="center"/>
          </w:tcPr>
          <w:p w14:paraId="53BBFA8A">
            <w:pPr>
              <w:pStyle w:val="71"/>
              <w:bidi w:val="0"/>
              <w:rPr>
                <w:rFonts w:hint="eastAsia"/>
                <w:color w:val="auto"/>
                <w:highlight w:val="none"/>
              </w:rPr>
            </w:pPr>
            <w:r>
              <w:rPr>
                <w:rFonts w:hint="eastAsia"/>
                <w:color w:val="auto"/>
                <w:highlight w:val="none"/>
              </w:rPr>
              <w:t>200</w:t>
            </w:r>
          </w:p>
        </w:tc>
        <w:tc>
          <w:tcPr>
            <w:tcW w:w="2475" w:type="dxa"/>
            <w:vAlign w:val="center"/>
          </w:tcPr>
          <w:p w14:paraId="286F2795">
            <w:pPr>
              <w:pStyle w:val="71"/>
              <w:bidi w:val="0"/>
              <w:rPr>
                <w:color w:val="auto"/>
                <w:highlight w:val="none"/>
              </w:rPr>
            </w:pPr>
          </w:p>
        </w:tc>
      </w:tr>
    </w:tbl>
    <w:p w14:paraId="59740394">
      <w:pPr>
        <w:pStyle w:val="5"/>
        <w:spacing w:before="0" w:after="0" w:line="560" w:lineRule="exact"/>
        <w:outlineLvl w:val="3"/>
        <w:rPr>
          <w:rFonts w:hint="eastAsia" w:ascii="Times New Roman" w:hAnsi="Times New Roman" w:eastAsia="宋体" w:cs="Times New Roman"/>
          <w:smallCaps w:val="0"/>
          <w:color w:val="auto"/>
          <w:spacing w:val="0"/>
          <w:w w:val="100"/>
          <w:highlight w:val="none"/>
          <w:lang w:val="en-US" w:eastAsia="zh-CN"/>
        </w:rPr>
      </w:pPr>
      <w:bookmarkStart w:id="255" w:name="_Toc30677"/>
      <w:r>
        <w:rPr>
          <w:rFonts w:hint="eastAsia" w:ascii="Times New Roman" w:hAnsi="Times New Roman" w:eastAsia="宋体" w:cs="Times New Roman"/>
          <w:smallCaps w:val="0"/>
          <w:color w:val="auto"/>
          <w:spacing w:val="0"/>
          <w:w w:val="100"/>
          <w:highlight w:val="none"/>
          <w:lang w:val="en-US" w:eastAsia="zh-CN"/>
        </w:rPr>
        <w:t>6.2.2.4土石方平衡及弃渣场地规划</w:t>
      </w:r>
    </w:p>
    <w:p w14:paraId="0DF0282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本主体工程土石方挖填工程项目，主要包括</w:t>
      </w:r>
      <w:r>
        <w:rPr>
          <w:rFonts w:hint="eastAsia" w:ascii="Times New Roman" w:hAnsi="Times New Roman" w:eastAsia="宋体" w:cs="Times New Roman"/>
          <w:smallCaps w:val="0"/>
          <w:color w:val="auto"/>
          <w:spacing w:val="0"/>
          <w:w w:val="100"/>
          <w:sz w:val="30"/>
          <w:szCs w:val="30"/>
          <w:highlight w:val="none"/>
          <w:lang w:val="en-US" w:eastAsia="zh-CN"/>
        </w:rPr>
        <w:t>管道埋设、取水口、蓄水池、闸阀井和配套设施等</w:t>
      </w:r>
      <w:r>
        <w:rPr>
          <w:rFonts w:hint="default" w:ascii="Times New Roman" w:hAnsi="Times New Roman" w:eastAsia="宋体" w:cs="Times New Roman"/>
          <w:smallCaps w:val="0"/>
          <w:color w:val="auto"/>
          <w:spacing w:val="0"/>
          <w:w w:val="100"/>
          <w:sz w:val="30"/>
          <w:szCs w:val="30"/>
          <w:highlight w:val="none"/>
          <w:lang w:val="en-US" w:eastAsia="zh-CN"/>
        </w:rPr>
        <w:t>工程。</w:t>
      </w:r>
    </w:p>
    <w:p w14:paraId="36DDF2E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土石方平衡见表6</w:t>
      </w:r>
      <w:r>
        <w:rPr>
          <w:rFonts w:hint="default" w:ascii="Times New Roman" w:hAnsi="Times New Roman" w:eastAsia="宋体" w:cs="Times New Roman"/>
          <w:smallCaps w:val="0"/>
          <w:color w:val="auto"/>
          <w:spacing w:val="0"/>
          <w:w w:val="100"/>
          <w:sz w:val="30"/>
          <w:szCs w:val="30"/>
          <w:highlight w:val="no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val="en-US" w:eastAsia="zh-CN"/>
        </w:rPr>
        <w:t>.</w:t>
      </w:r>
      <w:r>
        <w:rPr>
          <w:rFonts w:hint="eastAsia" w:ascii="Times New Roman" w:hAnsi="Times New Roman" w:eastAsia="宋体" w:cs="Times New Roman"/>
          <w:smallCaps w:val="0"/>
          <w:color w:val="auto"/>
          <w:spacing w:val="0"/>
          <w:w w:val="100"/>
          <w:sz w:val="30"/>
          <w:szCs w:val="30"/>
          <w:highlight w:val="none"/>
          <w:lang w:val="en-US" w:eastAsia="zh-CN"/>
        </w:rPr>
        <w:t>2.4。</w:t>
      </w:r>
    </w:p>
    <w:p w14:paraId="1C3401E1">
      <w:pPr>
        <w:ind w:firstLine="482"/>
        <w:jc w:val="center"/>
        <w:rPr>
          <w:b/>
          <w:bCs/>
          <w:color w:val="auto"/>
          <w:highlight w:val="none"/>
        </w:rPr>
      </w:pPr>
      <w:r>
        <w:rPr>
          <w:rFonts w:hint="eastAsia"/>
          <w:b/>
          <w:bCs/>
          <w:color w:val="auto"/>
          <w:highlight w:val="none"/>
        </w:rPr>
        <w:t>表</w:t>
      </w:r>
      <w:r>
        <w:rPr>
          <w:rFonts w:hint="eastAsia"/>
          <w:b/>
          <w:bCs/>
          <w:color w:val="auto"/>
          <w:highlight w:val="none"/>
          <w:lang w:val="en-US" w:eastAsia="zh-CN"/>
        </w:rPr>
        <w:t>6</w:t>
      </w:r>
      <w:r>
        <w:rPr>
          <w:b/>
          <w:bCs/>
          <w:color w:val="auto"/>
          <w:highlight w:val="none"/>
        </w:rPr>
        <w:t>.</w:t>
      </w:r>
      <w:r>
        <w:rPr>
          <w:rFonts w:hint="eastAsia"/>
          <w:b/>
          <w:bCs/>
          <w:color w:val="auto"/>
          <w:highlight w:val="none"/>
          <w:lang w:val="en-US" w:eastAsia="zh-CN"/>
        </w:rPr>
        <w:t>2</w:t>
      </w:r>
      <w:r>
        <w:rPr>
          <w:b/>
          <w:bCs/>
          <w:color w:val="auto"/>
          <w:highlight w:val="none"/>
        </w:rPr>
        <w:t>.</w:t>
      </w:r>
      <w:r>
        <w:rPr>
          <w:rFonts w:hint="eastAsia"/>
          <w:b/>
          <w:bCs/>
          <w:color w:val="auto"/>
          <w:highlight w:val="none"/>
          <w:lang w:val="en-US" w:eastAsia="zh-CN"/>
        </w:rPr>
        <w:t>2.4</w:t>
      </w:r>
      <w:r>
        <w:rPr>
          <w:b/>
          <w:bCs/>
          <w:color w:val="auto"/>
          <w:highlight w:val="none"/>
        </w:rPr>
        <w:t xml:space="preserve">-1  </w:t>
      </w:r>
      <w:r>
        <w:rPr>
          <w:rFonts w:hint="eastAsia"/>
          <w:b/>
          <w:bCs/>
          <w:color w:val="auto"/>
          <w:highlight w:val="none"/>
        </w:rPr>
        <w:t>土石方平衡表</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10"/>
        <w:gridCol w:w="1613"/>
        <w:gridCol w:w="1894"/>
        <w:gridCol w:w="2525"/>
        <w:gridCol w:w="1335"/>
      </w:tblGrid>
      <w:tr w14:paraId="2178F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6AA15">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工程名称</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3D013">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项目</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FE80F">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开挖量（</w:t>
            </w:r>
            <w:r>
              <w:rPr>
                <w:rFonts w:hint="default" w:ascii="Times New Roman" w:hAnsi="Times New Roman" w:eastAsia="宋体" w:cs="Times New Roman"/>
                <w:i w:val="0"/>
                <w:iCs w:val="0"/>
                <w:snapToGrid w:val="0"/>
                <w:color w:val="auto"/>
                <w:kern w:val="0"/>
                <w:sz w:val="21"/>
                <w:szCs w:val="21"/>
                <w:highlight w:val="none"/>
                <w:u w:val="none"/>
                <w:lang w:val="en-US" w:eastAsia="zh-CN" w:bidi="ar"/>
              </w:rPr>
              <w:t>m3</w:t>
            </w:r>
            <w:r>
              <w:rPr>
                <w:rFonts w:hint="eastAsia" w:ascii="宋体" w:hAnsi="宋体" w:eastAsia="宋体" w:cs="宋体"/>
                <w:i w:val="0"/>
                <w:iCs w:val="0"/>
                <w:snapToGrid w:val="0"/>
                <w:color w:val="auto"/>
                <w:kern w:val="0"/>
                <w:sz w:val="21"/>
                <w:szCs w:val="21"/>
                <w:highlight w:val="none"/>
                <w:u w:val="none"/>
                <w:lang w:val="en-US" w:eastAsia="zh-CN" w:bidi="ar"/>
              </w:rPr>
              <w:t>）</w:t>
            </w: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33128">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填筑量（实方</w:t>
            </w:r>
            <w:r>
              <w:rPr>
                <w:rFonts w:hint="default" w:ascii="Times New Roman" w:hAnsi="Times New Roman" w:eastAsia="宋体" w:cs="Times New Roman"/>
                <w:i w:val="0"/>
                <w:iCs w:val="0"/>
                <w:snapToGrid w:val="0"/>
                <w:color w:val="auto"/>
                <w:kern w:val="0"/>
                <w:sz w:val="21"/>
                <w:szCs w:val="21"/>
                <w:highlight w:val="none"/>
                <w:u w:val="none"/>
                <w:lang w:val="en-US" w:eastAsia="zh-CN" w:bidi="ar"/>
              </w:rPr>
              <w:t>m3</w:t>
            </w:r>
            <w:r>
              <w:rPr>
                <w:rFonts w:hint="eastAsia" w:ascii="宋体" w:hAnsi="宋体" w:eastAsia="宋体" w:cs="宋体"/>
                <w:i w:val="0"/>
                <w:iCs w:val="0"/>
                <w:snapToGrid w:val="0"/>
                <w:color w:val="auto"/>
                <w:kern w:val="0"/>
                <w:sz w:val="21"/>
                <w:szCs w:val="21"/>
                <w:highlight w:val="none"/>
                <w:u w:val="none"/>
                <w:lang w:val="en-US" w:eastAsia="zh-CN" w:bidi="ar"/>
              </w:rPr>
              <w:t>）</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35F50">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弃渣量（松方</w:t>
            </w:r>
            <w:r>
              <w:rPr>
                <w:rFonts w:hint="default" w:ascii="Times New Roman" w:hAnsi="Times New Roman" w:eastAsia="宋体" w:cs="Times New Roman"/>
                <w:i w:val="0"/>
                <w:iCs w:val="0"/>
                <w:snapToGrid w:val="0"/>
                <w:color w:val="auto"/>
                <w:kern w:val="0"/>
                <w:sz w:val="21"/>
                <w:szCs w:val="21"/>
                <w:highlight w:val="none"/>
                <w:u w:val="none"/>
                <w:lang w:val="en-US" w:eastAsia="zh-CN" w:bidi="ar"/>
              </w:rPr>
              <w:t>m3</w:t>
            </w:r>
            <w:r>
              <w:rPr>
                <w:rFonts w:hint="eastAsia" w:ascii="宋体" w:hAnsi="宋体" w:eastAsia="宋体" w:cs="宋体"/>
                <w:i w:val="0"/>
                <w:iCs w:val="0"/>
                <w:snapToGrid w:val="0"/>
                <w:color w:val="auto"/>
                <w:kern w:val="0"/>
                <w:sz w:val="21"/>
                <w:szCs w:val="21"/>
                <w:highlight w:val="none"/>
                <w:u w:val="none"/>
                <w:lang w:val="en-US" w:eastAsia="zh-CN" w:bidi="ar"/>
              </w:rPr>
              <w:t>）</w:t>
            </w:r>
          </w:p>
        </w:tc>
      </w:tr>
      <w:tr w14:paraId="6B887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78CA6">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田块整治</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CB30E">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土石方开挖</w:t>
            </w:r>
          </w:p>
        </w:tc>
        <w:tc>
          <w:tcPr>
            <w:tcW w:w="18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362D69">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200565</w:t>
            </w:r>
          </w:p>
        </w:tc>
        <w:tc>
          <w:tcPr>
            <w:tcW w:w="2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CF754D">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200565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F53C5">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0</w:t>
            </w:r>
          </w:p>
        </w:tc>
      </w:tr>
      <w:tr w14:paraId="152EE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44DAA">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渠道工程</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58D14">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土石方开挖</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59F73">
            <w:pPr>
              <w:keepNext w:val="0"/>
              <w:keepLines w:val="0"/>
              <w:widowControl/>
              <w:suppressLineNumbers w:val="0"/>
              <w:jc w:val="center"/>
              <w:textAlignment w:val="center"/>
              <w:rPr>
                <w:rFonts w:hint="eastAsia"/>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3554.63</w:t>
            </w: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9D4C2">
            <w:pPr>
              <w:keepNext w:val="0"/>
              <w:keepLines w:val="0"/>
              <w:widowControl/>
              <w:suppressLineNumbers w:val="0"/>
              <w:jc w:val="center"/>
              <w:textAlignment w:val="center"/>
              <w:rPr>
                <w:rFonts w:hint="eastAsia"/>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1230.49</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DB62B">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2324.14</w:t>
            </w:r>
          </w:p>
        </w:tc>
      </w:tr>
      <w:tr w14:paraId="6C758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3BF56">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蓄水池工程</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21A04">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土石方开挖</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9AF9B">
            <w:pPr>
              <w:keepNext w:val="0"/>
              <w:keepLines w:val="0"/>
              <w:widowControl/>
              <w:suppressLineNumbers w:val="0"/>
              <w:jc w:val="center"/>
              <w:textAlignment w:val="center"/>
              <w:rPr>
                <w:rFonts w:hint="eastAsia"/>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501.34</w:t>
            </w: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EF8D2">
            <w:pPr>
              <w:keepNext w:val="0"/>
              <w:keepLines w:val="0"/>
              <w:widowControl/>
              <w:suppressLineNumbers w:val="0"/>
              <w:jc w:val="center"/>
              <w:textAlignment w:val="center"/>
              <w:rPr>
                <w:rFonts w:hint="eastAsia"/>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105.34</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78F49">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396</w:t>
            </w:r>
          </w:p>
        </w:tc>
      </w:tr>
      <w:tr w14:paraId="664F5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F1E91">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拦水坝工程</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E9804">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土石方开挖</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C6A87">
            <w:pPr>
              <w:keepNext w:val="0"/>
              <w:keepLines w:val="0"/>
              <w:widowControl/>
              <w:suppressLineNumbers w:val="0"/>
              <w:jc w:val="center"/>
              <w:textAlignment w:val="center"/>
              <w:rPr>
                <w:rFonts w:hint="eastAsia"/>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646.13</w:t>
            </w: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76877">
            <w:pPr>
              <w:keepNext w:val="0"/>
              <w:keepLines w:val="0"/>
              <w:widowControl/>
              <w:suppressLineNumbers w:val="0"/>
              <w:jc w:val="center"/>
              <w:textAlignment w:val="center"/>
              <w:rPr>
                <w:rFonts w:hint="eastAsia"/>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238.15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B077A">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407.98</w:t>
            </w:r>
          </w:p>
        </w:tc>
      </w:tr>
      <w:tr w14:paraId="3E9AC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C8308">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高效节水工程</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20DC9">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土石方开挖</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2AB01">
            <w:pPr>
              <w:keepNext w:val="0"/>
              <w:keepLines w:val="0"/>
              <w:widowControl/>
              <w:suppressLineNumbers w:val="0"/>
              <w:jc w:val="center"/>
              <w:textAlignment w:val="center"/>
              <w:rPr>
                <w:rFonts w:hint="eastAsia"/>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58734</w:t>
            </w: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2913D">
            <w:pPr>
              <w:keepNext w:val="0"/>
              <w:keepLines w:val="0"/>
              <w:widowControl/>
              <w:suppressLineNumbers w:val="0"/>
              <w:jc w:val="center"/>
              <w:textAlignment w:val="center"/>
              <w:rPr>
                <w:rFonts w:hint="eastAsia"/>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55687</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11F2C">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3047</w:t>
            </w:r>
          </w:p>
        </w:tc>
      </w:tr>
      <w:tr w14:paraId="20D77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A3B26">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道路工程</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A5485">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土石方开挖</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2AC78">
            <w:pPr>
              <w:keepNext w:val="0"/>
              <w:keepLines w:val="0"/>
              <w:widowControl/>
              <w:suppressLineNumbers w:val="0"/>
              <w:jc w:val="center"/>
              <w:textAlignment w:val="center"/>
              <w:rPr>
                <w:rFonts w:hint="eastAsia"/>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7686.13</w:t>
            </w: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753E8">
            <w:pPr>
              <w:keepNext w:val="0"/>
              <w:keepLines w:val="0"/>
              <w:widowControl/>
              <w:suppressLineNumbers w:val="0"/>
              <w:jc w:val="center"/>
              <w:textAlignment w:val="center"/>
              <w:rPr>
                <w:rFonts w:hint="eastAsia"/>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6406.25</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D6398">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1279.88</w:t>
            </w:r>
          </w:p>
        </w:tc>
      </w:tr>
      <w:tr w14:paraId="2FD9F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15840">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农田防护工程</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4C2D5">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土石方开挖</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D0EDD">
            <w:pPr>
              <w:keepNext w:val="0"/>
              <w:keepLines w:val="0"/>
              <w:widowControl/>
              <w:suppressLineNumbers w:val="0"/>
              <w:jc w:val="center"/>
              <w:textAlignment w:val="center"/>
              <w:rPr>
                <w:rFonts w:hint="eastAsia"/>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6201.6</w:t>
            </w: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0AB32">
            <w:pPr>
              <w:keepNext w:val="0"/>
              <w:keepLines w:val="0"/>
              <w:widowControl/>
              <w:suppressLineNumbers w:val="0"/>
              <w:jc w:val="center"/>
              <w:textAlignment w:val="center"/>
              <w:rPr>
                <w:rFonts w:hint="eastAsia"/>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2126.61</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A8F5A">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4074.99</w:t>
            </w:r>
          </w:p>
        </w:tc>
      </w:tr>
      <w:tr w14:paraId="3CAC7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B42C2">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围堰</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74086">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土石方开挖</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6F391">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78.76</w:t>
            </w: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DD44C">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78.76</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410F9">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0</w:t>
            </w:r>
          </w:p>
        </w:tc>
      </w:tr>
      <w:tr w14:paraId="4D46F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9F8EF">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合计</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12EEF">
            <w:pPr>
              <w:keepNext w:val="0"/>
              <w:keepLines w:val="0"/>
              <w:widowControl/>
              <w:suppressLineNumbers w:val="0"/>
              <w:jc w:val="center"/>
              <w:textAlignment w:val="center"/>
              <w:rPr>
                <w:rFonts w:hint="eastAsia"/>
                <w:color w:val="auto"/>
                <w:highlight w:val="none"/>
              </w:rPr>
            </w:pPr>
            <w:r>
              <w:rPr>
                <w:rFonts w:hint="eastAsia" w:ascii="宋体" w:hAnsi="宋体" w:eastAsia="宋体" w:cs="宋体"/>
                <w:i w:val="0"/>
                <w:iCs w:val="0"/>
                <w:snapToGrid w:val="0"/>
                <w:color w:val="auto"/>
                <w:kern w:val="0"/>
                <w:sz w:val="21"/>
                <w:szCs w:val="21"/>
                <w:highlight w:val="none"/>
                <w:u w:val="none"/>
                <w:lang w:val="en-US" w:eastAsia="zh-CN" w:bidi="ar"/>
              </w:rPr>
              <w:t>工程量</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25050">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277967.59</w:t>
            </w: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3B5AB">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266437.6</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3FE02">
            <w:pPr>
              <w:keepNext w:val="0"/>
              <w:keepLines w:val="0"/>
              <w:widowControl/>
              <w:suppressLineNumbers w:val="0"/>
              <w:jc w:val="center"/>
              <w:textAlignment w:val="center"/>
              <w:rPr>
                <w:rFonts w:hint="default"/>
                <w:color w:val="auto"/>
                <w:highlight w:val="none"/>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11529.99</w:t>
            </w:r>
          </w:p>
        </w:tc>
      </w:tr>
    </w:tbl>
    <w:p w14:paraId="4EF9B70C">
      <w:pPr>
        <w:ind w:firstLine="600" w:firstLineChars="200"/>
        <w:rPr>
          <w:rFonts w:hint="default"/>
          <w:color w:val="auto"/>
          <w:highlight w:val="none"/>
        </w:rPr>
      </w:pPr>
      <w:r>
        <w:rPr>
          <w:rFonts w:hint="eastAsia" w:ascii="Times New Roman" w:hAnsi="Times New Roman" w:eastAsia="宋体" w:cs="Times New Roman"/>
          <w:smallCaps w:val="0"/>
          <w:color w:val="auto"/>
          <w:spacing w:val="0"/>
          <w:w w:val="100"/>
          <w:sz w:val="30"/>
          <w:szCs w:val="30"/>
          <w:highlight w:val="none"/>
          <w:lang w:val="en-US" w:eastAsia="zh-CN"/>
        </w:rPr>
        <w:t>经土石方平衡，本项目弃渣共11529.99m³，弃渣弃至项目区周边低洼农田，不单独设置渣场。</w:t>
      </w:r>
    </w:p>
    <w:p w14:paraId="2F7E78BD">
      <w:pPr>
        <w:pStyle w:val="4"/>
        <w:spacing w:before="0" w:after="0" w:line="560" w:lineRule="exact"/>
        <w:outlineLvl w:val="2"/>
        <w:rPr>
          <w:rFonts w:hint="default" w:ascii="Times New Roman" w:hAnsi="Times New Roman" w:eastAsia="宋体" w:cs="Times New Roman"/>
          <w:smallCaps w:val="0"/>
          <w:color w:val="auto"/>
          <w:spacing w:val="0"/>
          <w:w w:val="100"/>
          <w:highlight w:val="none"/>
        </w:rPr>
      </w:pPr>
      <w:r>
        <w:rPr>
          <w:rFonts w:hint="default" w:ascii="Times New Roman" w:hAnsi="Times New Roman" w:eastAsia="宋体" w:cs="Times New Roman"/>
          <w:smallCaps w:val="0"/>
          <w:color w:val="auto"/>
          <w:spacing w:val="0"/>
          <w:w w:val="100"/>
          <w:highlight w:val="none"/>
        </w:rPr>
        <w:t>6.2.3  施工总工期及进度安排</w:t>
      </w:r>
      <w:bookmarkEnd w:id="255"/>
    </w:p>
    <w:p w14:paraId="7D194B39">
      <w:pPr>
        <w:kinsoku/>
        <w:spacing w:line="560" w:lineRule="exact"/>
        <w:ind w:firstLine="600" w:firstLineChars="200"/>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按照项目建设要求，甘孜县2026年财政转移支付高标准农田建设（改造提升）项目建设期限为本工程计划总建设工期12个月，2026年5月至2026年11月为项目施工建设期；2026年12月至2027年4月为项目完建期。2026年1月1日至4月30日前为工程准备期，主要完成工程设计、财政评审、招投标等前期工作。根据项目建设计划，在建设期内紧密联系生产实际，做到时间、时 段计划明确，生产与建设相衔接，确保项目顺利实施。</w:t>
      </w:r>
    </w:p>
    <w:p w14:paraId="4E67CCC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（1）工程建设进度安排</w:t>
      </w:r>
    </w:p>
    <w:p w14:paraId="7F26FC7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1）招投标前期工作</w:t>
      </w:r>
    </w:p>
    <w:p w14:paraId="15B0B18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月底前完成。四川省甘孜州甘孜县2026年高标准农田建设项目</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新建</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任务下达后，由县高标准农田办公室根据有关规定组织有资质的设计单位及相关专家和项目区乡镇进行实地考察论证，勘测、设计等工作，编制项目概算。同时，完成招投标的前期准备工作。</w:t>
      </w:r>
    </w:p>
    <w:p w14:paraId="369786B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2）招投标工作</w:t>
      </w:r>
    </w:p>
    <w:p w14:paraId="6E192D2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月—202</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月完成。待财评文件发出后，</w:t>
      </w:r>
      <w:r>
        <w:rPr>
          <w:rFonts w:hint="eastAsia" w:ascii="Times New Roman" w:hAnsi="Times New Roman" w:eastAsia="宋体" w:cs="Times New Roman"/>
          <w:smallCaps w:val="0"/>
          <w:color w:val="auto"/>
          <w:spacing w:val="0"/>
          <w:w w:val="100"/>
          <w:sz w:val="30"/>
          <w:szCs w:val="30"/>
          <w:highlight w:val="none"/>
          <w:lang w:val="en-US" w:eastAsia="zh-CN"/>
        </w:rPr>
        <w:t>州</w:t>
      </w:r>
      <w:r>
        <w:rPr>
          <w:rFonts w:hint="default" w:ascii="Times New Roman" w:hAnsi="Times New Roman" w:eastAsia="宋体" w:cs="Times New Roman"/>
          <w:smallCaps w:val="0"/>
          <w:color w:val="auto"/>
          <w:spacing w:val="0"/>
          <w:w w:val="100"/>
          <w:sz w:val="30"/>
          <w:szCs w:val="30"/>
          <w:highlight w:val="none"/>
          <w:lang w:eastAsia="zh-CN"/>
        </w:rPr>
        <w:t>高标准农田办公室根据财评文件组织编制项目施工招标文件，面向社会公开招标，落实工程施工建设队伍，签订工程施工合同。</w:t>
      </w:r>
    </w:p>
    <w:p w14:paraId="56E5C38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3）施工准备</w:t>
      </w:r>
    </w:p>
    <w:p w14:paraId="478AD8D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月与项目镇负责人签订目标责任书，成立乡镇项目管理协调机构，并督促项目镇落实组织机构建设，调整项目区施工范围内的土地，维修施工道路和平整施工场地，协调施工用电及生产生活用水，同时开展对项目区农户的宣传发动工作。</w:t>
      </w:r>
    </w:p>
    <w:p w14:paraId="34ADEFA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4）田间工程施工</w:t>
      </w:r>
    </w:p>
    <w:p w14:paraId="0FCE8B1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val="en-US" w:eastAsia="zh-CN"/>
        </w:rPr>
        <w:t>11</w:t>
      </w:r>
      <w:r>
        <w:rPr>
          <w:rFonts w:hint="default" w:ascii="Times New Roman" w:hAnsi="Times New Roman" w:eastAsia="宋体" w:cs="Times New Roman"/>
          <w:smallCaps w:val="0"/>
          <w:color w:val="auto"/>
          <w:spacing w:val="0"/>
          <w:w w:val="100"/>
          <w:sz w:val="30"/>
          <w:szCs w:val="30"/>
          <w:highlight w:val="none"/>
          <w:lang w:eastAsia="zh-CN"/>
        </w:rPr>
        <w:t>月底完成。县农牧农村和科技局组织工程监理和技术人员开始对工程建设进行巡回指导和监理，督促施工单位和项目镇按项目实施方案及施工合同高质量、高标准施工，确保工程进度和质量。</w:t>
      </w:r>
    </w:p>
    <w:p w14:paraId="01BAD38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5）工程初验</w:t>
      </w:r>
    </w:p>
    <w:p w14:paraId="7751207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val="en-US" w:eastAsia="zh-CN"/>
        </w:rPr>
        <w:t>12</w:t>
      </w:r>
      <w:r>
        <w:rPr>
          <w:rFonts w:hint="default" w:ascii="Times New Roman" w:hAnsi="Times New Roman" w:eastAsia="宋体" w:cs="Times New Roman"/>
          <w:smallCaps w:val="0"/>
          <w:color w:val="auto"/>
          <w:spacing w:val="0"/>
          <w:w w:val="100"/>
          <w:sz w:val="30"/>
          <w:szCs w:val="30"/>
          <w:highlight w:val="none"/>
          <w:lang w:eastAsia="zh-CN"/>
        </w:rPr>
        <w:t>月底完成。工程实施完工后的自查整改阶段。由县农牧农村和科技局组织农业、水利、财政、工程监理及相关技术人员对已完工工程进行初步验收，对不合格的项目要求施工方整改。</w:t>
      </w:r>
    </w:p>
    <w:p w14:paraId="7E57EAF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6）工程决算</w:t>
      </w:r>
    </w:p>
    <w:p w14:paraId="0DDF212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2027年1月—2027年2月完成。工程初验后，收方计量，办理结算、审计。</w:t>
      </w:r>
    </w:p>
    <w:p w14:paraId="44080AB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7）工程移交</w:t>
      </w:r>
    </w:p>
    <w:p w14:paraId="0390131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2027年3月完成。对验收合格的工程进行管护移交、落实管护责任制。</w:t>
      </w:r>
    </w:p>
    <w:p w14:paraId="4939B99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8）上级验收</w:t>
      </w:r>
    </w:p>
    <w:p w14:paraId="6A63536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2027年4月完成。本级竣工初步验收合格后，由县农牧农村和科技局向州农牧农村局报送竣工验收申请报告，迎接上级项目验收。</w:t>
      </w:r>
    </w:p>
    <w:p w14:paraId="7F84AD9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（2）科技措施进度安排</w:t>
      </w:r>
    </w:p>
    <w:p w14:paraId="2003E1F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202</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月—202</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val="en-US" w:eastAsia="zh-CN"/>
        </w:rPr>
        <w:t>11</w:t>
      </w:r>
      <w:r>
        <w:rPr>
          <w:rFonts w:hint="default" w:ascii="Times New Roman" w:hAnsi="Times New Roman" w:eastAsia="宋体" w:cs="Times New Roman"/>
          <w:smallCaps w:val="0"/>
          <w:color w:val="auto"/>
          <w:spacing w:val="0"/>
          <w:w w:val="100"/>
          <w:sz w:val="30"/>
          <w:szCs w:val="30"/>
          <w:highlight w:val="none"/>
          <w:lang w:eastAsia="zh-CN"/>
        </w:rPr>
        <w:t>月完成科技措施内容。</w:t>
      </w:r>
    </w:p>
    <w:p w14:paraId="37D61C17">
      <w:pPr>
        <w:kinsoku/>
        <w:spacing w:line="560" w:lineRule="exact"/>
        <w:ind w:left="44" w:right="31" w:firstLine="591"/>
        <w:rPr>
          <w:rFonts w:hint="default" w:ascii="Times New Roman" w:hAnsi="Times New Roman" w:eastAsia="宋体" w:cs="Times New Roman"/>
          <w:smallCaps w:val="0"/>
          <w:color w:val="auto"/>
          <w:spacing w:val="0"/>
          <w:w w:val="100"/>
          <w:sz w:val="30"/>
          <w:szCs w:val="30"/>
          <w:highlight w:val="none"/>
          <w:lang w:eastAsia="zh-CN"/>
        </w:rPr>
        <w:sectPr>
          <w:headerReference r:id="rId22" w:type="default"/>
          <w:footerReference r:id="rId23" w:type="default"/>
          <w:pgSz w:w="11900" w:h="16840"/>
          <w:pgMar w:top="1134" w:right="1418" w:bottom="1134" w:left="1417" w:header="862" w:footer="993" w:gutter="0"/>
          <w:pgBorders>
            <w:top w:val="none" w:sz="0" w:space="0"/>
            <w:left w:val="none" w:sz="0" w:space="0"/>
            <w:bottom w:val="none" w:sz="0" w:space="0"/>
            <w:right w:val="none" w:sz="0" w:space="0"/>
          </w:pgBorders>
          <w:pgNumType w:fmt="numberInDash"/>
          <w:cols w:space="720" w:num="1"/>
        </w:sectPr>
      </w:pP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3"/>
        <w:gridCol w:w="1467"/>
        <w:gridCol w:w="797"/>
        <w:gridCol w:w="797"/>
        <w:gridCol w:w="797"/>
        <w:gridCol w:w="797"/>
        <w:gridCol w:w="797"/>
        <w:gridCol w:w="797"/>
        <w:gridCol w:w="797"/>
        <w:gridCol w:w="797"/>
        <w:gridCol w:w="797"/>
        <w:gridCol w:w="790"/>
        <w:gridCol w:w="797"/>
        <w:gridCol w:w="797"/>
        <w:gridCol w:w="797"/>
        <w:gridCol w:w="797"/>
        <w:gridCol w:w="797"/>
        <w:gridCol w:w="798"/>
      </w:tblGrid>
      <w:tr w14:paraId="220B4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8"/>
            <w:tcBorders>
              <w:top w:val="single" w:color="000000" w:sz="8" w:space="0"/>
              <w:left w:val="single" w:color="000000" w:sz="8" w:space="0"/>
              <w:bottom w:val="single" w:color="000000" w:sz="8" w:space="0"/>
              <w:right w:val="single" w:color="000000" w:sz="8" w:space="0"/>
            </w:tcBorders>
            <w:shd w:val="clear" w:color="auto" w:fill="auto"/>
            <w:noWrap/>
            <w:vAlign w:val="center"/>
          </w:tcPr>
          <w:p w14:paraId="339B1C32">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四川省甘孜州甘孜县2026年高标准农田建设项目</w:t>
            </w:r>
            <w:r>
              <w:rPr>
                <w:rFonts w:hint="eastAsia" w:cs="Times New Roman"/>
                <w:color w:val="auto"/>
                <w:highlight w:val="none"/>
                <w:lang w:val="en-US" w:eastAsia="zh-CN"/>
              </w:rPr>
              <w:t>（</w:t>
            </w:r>
            <w:r>
              <w:rPr>
                <w:rFonts w:hint="default" w:ascii="Times New Roman" w:hAnsi="Times New Roman" w:cs="Times New Roman"/>
                <w:color w:val="auto"/>
                <w:highlight w:val="none"/>
                <w:lang w:val="en-US" w:eastAsia="zh-CN"/>
              </w:rPr>
              <w:t>新建</w:t>
            </w:r>
            <w:r>
              <w:rPr>
                <w:rFonts w:hint="eastAsia" w:cs="Times New Roman"/>
                <w:color w:val="auto"/>
                <w:highlight w:val="none"/>
                <w:lang w:val="en-US" w:eastAsia="zh-CN"/>
              </w:rPr>
              <w:t>）</w:t>
            </w:r>
            <w:r>
              <w:rPr>
                <w:rFonts w:hint="default" w:ascii="Times New Roman" w:hAnsi="Times New Roman" w:cs="Times New Roman"/>
                <w:color w:val="auto"/>
                <w:highlight w:val="none"/>
                <w:lang w:val="en-US" w:eastAsia="zh-CN"/>
              </w:rPr>
              <w:t>工程计划表</w:t>
            </w:r>
          </w:p>
        </w:tc>
      </w:tr>
      <w:tr w14:paraId="4BA81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0" w:type="pct"/>
            <w:tcBorders>
              <w:top w:val="nil"/>
              <w:left w:val="single" w:color="000000" w:sz="8" w:space="0"/>
              <w:bottom w:val="single" w:color="000000" w:sz="8" w:space="0"/>
              <w:right w:val="single" w:color="000000" w:sz="8" w:space="0"/>
            </w:tcBorders>
            <w:shd w:val="clear" w:color="auto" w:fill="auto"/>
            <w:noWrap/>
            <w:vAlign w:val="center"/>
          </w:tcPr>
          <w:p w14:paraId="4A1E900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序号</w:t>
            </w:r>
          </w:p>
        </w:tc>
        <w:tc>
          <w:tcPr>
            <w:tcW w:w="504" w:type="pct"/>
            <w:tcBorders>
              <w:top w:val="single" w:color="000000" w:sz="8" w:space="0"/>
              <w:left w:val="nil"/>
              <w:bottom w:val="single" w:color="000000" w:sz="8" w:space="0"/>
              <w:right w:val="single" w:color="000000" w:sz="8" w:space="0"/>
            </w:tcBorders>
            <w:shd w:val="clear" w:color="auto" w:fill="auto"/>
            <w:noWrap/>
            <w:vAlign w:val="center"/>
          </w:tcPr>
          <w:p w14:paraId="3EF7CF57">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阶段</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089F5F3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2026.02</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3601208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2026.03</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3551B4C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2026.04</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42DAD0BA">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2026.05</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5C8E0DC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2026.06</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6674CEB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2026.07</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7D2C8492">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2026.08</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2F26ED7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2026.09</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67BC6742">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2026.10 </w:t>
            </w:r>
          </w:p>
        </w:tc>
        <w:tc>
          <w:tcPr>
            <w:tcW w:w="266" w:type="pct"/>
            <w:tcBorders>
              <w:top w:val="single" w:color="000000" w:sz="8" w:space="0"/>
              <w:left w:val="nil"/>
              <w:bottom w:val="single" w:color="000000" w:sz="8" w:space="0"/>
              <w:right w:val="single" w:color="000000" w:sz="8" w:space="0"/>
            </w:tcBorders>
            <w:shd w:val="clear" w:color="auto" w:fill="auto"/>
            <w:noWrap/>
            <w:vAlign w:val="center"/>
          </w:tcPr>
          <w:p w14:paraId="26E594B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2026.11</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1A40799F">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2026.12</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2CD9DCBB">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2027.01</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3E9EE327">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2027.02</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3A91EDA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2027.03</w:t>
            </w:r>
          </w:p>
        </w:tc>
        <w:tc>
          <w:tcPr>
            <w:tcW w:w="269" w:type="pct"/>
            <w:tcBorders>
              <w:top w:val="single" w:color="000000" w:sz="8" w:space="0"/>
              <w:left w:val="nil"/>
              <w:bottom w:val="single" w:color="000000" w:sz="8" w:space="0"/>
              <w:right w:val="single" w:color="000000" w:sz="8" w:space="0"/>
            </w:tcBorders>
            <w:shd w:val="clear" w:color="auto" w:fill="auto"/>
            <w:noWrap/>
            <w:vAlign w:val="center"/>
          </w:tcPr>
          <w:p w14:paraId="284AFFFD">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2027.04</w:t>
            </w:r>
          </w:p>
        </w:tc>
        <w:tc>
          <w:tcPr>
            <w:tcW w:w="270" w:type="pct"/>
            <w:tcBorders>
              <w:top w:val="single" w:color="000000" w:sz="8" w:space="0"/>
              <w:left w:val="nil"/>
              <w:bottom w:val="single" w:color="000000" w:sz="8" w:space="0"/>
              <w:right w:val="single" w:color="000000" w:sz="8" w:space="0"/>
            </w:tcBorders>
            <w:shd w:val="clear" w:color="auto" w:fill="auto"/>
            <w:noWrap/>
            <w:vAlign w:val="center"/>
          </w:tcPr>
          <w:p w14:paraId="752B03ED">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2027.05</w:t>
            </w:r>
          </w:p>
        </w:tc>
      </w:tr>
      <w:tr w14:paraId="6B15C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0" w:type="pct"/>
            <w:tcBorders>
              <w:top w:val="nil"/>
              <w:left w:val="single" w:color="000000" w:sz="8" w:space="0"/>
              <w:bottom w:val="single" w:color="000000" w:sz="8" w:space="0"/>
              <w:right w:val="single" w:color="000000" w:sz="8" w:space="0"/>
            </w:tcBorders>
            <w:shd w:val="clear" w:color="auto" w:fill="auto"/>
            <w:noWrap/>
            <w:vAlign w:val="center"/>
          </w:tcPr>
          <w:p w14:paraId="7810A86F">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1</w:t>
            </w:r>
          </w:p>
        </w:tc>
        <w:tc>
          <w:tcPr>
            <w:tcW w:w="504" w:type="pct"/>
            <w:tcBorders>
              <w:top w:val="nil"/>
              <w:left w:val="nil"/>
              <w:bottom w:val="single" w:color="000000" w:sz="8" w:space="0"/>
              <w:right w:val="single" w:color="000000" w:sz="8" w:space="0"/>
            </w:tcBorders>
            <w:shd w:val="clear" w:color="auto" w:fill="auto"/>
            <w:noWrap/>
            <w:vAlign w:val="center"/>
          </w:tcPr>
          <w:p w14:paraId="74B4DC0F">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招投标前期工作</w:t>
            </w:r>
          </w:p>
        </w:tc>
        <w:tc>
          <w:tcPr>
            <w:tcW w:w="269" w:type="pct"/>
            <w:tcBorders>
              <w:top w:val="nil"/>
              <w:left w:val="nil"/>
              <w:bottom w:val="single" w:color="000000" w:sz="8" w:space="0"/>
              <w:right w:val="single" w:color="000000" w:sz="8" w:space="0"/>
            </w:tcBorders>
            <w:shd w:val="clear" w:color="auto" w:fill="00B0F0"/>
            <w:noWrap/>
            <w:vAlign w:val="center"/>
          </w:tcPr>
          <w:p w14:paraId="18FB36B7">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8168D52">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5164335D">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31CFB00">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192ADFB">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6C1F8A62">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E3C4F1A">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21FCB7B">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30369AA2">
            <w:pPr>
              <w:pStyle w:val="71"/>
              <w:bidi w:val="0"/>
              <w:rPr>
                <w:rFonts w:hint="default" w:ascii="Times New Roman" w:hAnsi="Times New Roman" w:cs="Times New Roman"/>
                <w:color w:val="auto"/>
                <w:highlight w:val="none"/>
              </w:rPr>
            </w:pPr>
          </w:p>
        </w:tc>
        <w:tc>
          <w:tcPr>
            <w:tcW w:w="266" w:type="pct"/>
            <w:tcBorders>
              <w:top w:val="nil"/>
              <w:left w:val="nil"/>
              <w:bottom w:val="single" w:color="000000" w:sz="8" w:space="0"/>
              <w:right w:val="single" w:color="000000" w:sz="8" w:space="0"/>
            </w:tcBorders>
            <w:shd w:val="clear" w:color="auto" w:fill="auto"/>
            <w:noWrap/>
            <w:vAlign w:val="center"/>
          </w:tcPr>
          <w:p w14:paraId="1B3F08D6">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4E3A19D">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AB427B8">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38F37294">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11A4A3FF">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410BCD5">
            <w:pPr>
              <w:pStyle w:val="71"/>
              <w:bidi w:val="0"/>
              <w:rPr>
                <w:rFonts w:hint="default" w:ascii="Times New Roman" w:hAnsi="Times New Roman" w:cs="Times New Roman"/>
                <w:color w:val="auto"/>
                <w:highlight w:val="none"/>
              </w:rPr>
            </w:pPr>
          </w:p>
        </w:tc>
        <w:tc>
          <w:tcPr>
            <w:tcW w:w="270" w:type="pct"/>
            <w:tcBorders>
              <w:top w:val="nil"/>
              <w:left w:val="nil"/>
              <w:bottom w:val="single" w:color="000000" w:sz="8" w:space="0"/>
              <w:right w:val="single" w:color="000000" w:sz="8" w:space="0"/>
            </w:tcBorders>
            <w:shd w:val="clear" w:color="auto" w:fill="auto"/>
            <w:noWrap/>
            <w:vAlign w:val="center"/>
          </w:tcPr>
          <w:p w14:paraId="32B8C43C">
            <w:pPr>
              <w:pStyle w:val="71"/>
              <w:bidi w:val="0"/>
              <w:rPr>
                <w:rFonts w:hint="default" w:ascii="Times New Roman" w:hAnsi="Times New Roman" w:cs="Times New Roman"/>
                <w:color w:val="auto"/>
                <w:highlight w:val="none"/>
              </w:rPr>
            </w:pPr>
          </w:p>
        </w:tc>
      </w:tr>
      <w:tr w14:paraId="4FABC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0" w:type="pct"/>
            <w:tcBorders>
              <w:top w:val="nil"/>
              <w:left w:val="single" w:color="000000" w:sz="8" w:space="0"/>
              <w:bottom w:val="single" w:color="000000" w:sz="8" w:space="0"/>
              <w:right w:val="single" w:color="000000" w:sz="8" w:space="0"/>
            </w:tcBorders>
            <w:shd w:val="clear" w:color="auto" w:fill="auto"/>
            <w:noWrap/>
            <w:vAlign w:val="center"/>
          </w:tcPr>
          <w:p w14:paraId="67082A8D">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w:t>
            </w:r>
          </w:p>
        </w:tc>
        <w:tc>
          <w:tcPr>
            <w:tcW w:w="504" w:type="pct"/>
            <w:tcBorders>
              <w:top w:val="nil"/>
              <w:left w:val="nil"/>
              <w:bottom w:val="single" w:color="000000" w:sz="8" w:space="0"/>
              <w:right w:val="single" w:color="000000" w:sz="8" w:space="0"/>
            </w:tcBorders>
            <w:shd w:val="clear" w:color="auto" w:fill="auto"/>
            <w:noWrap/>
            <w:vAlign w:val="center"/>
          </w:tcPr>
          <w:p w14:paraId="5CD1A02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招投标工作</w:t>
            </w:r>
          </w:p>
        </w:tc>
        <w:tc>
          <w:tcPr>
            <w:tcW w:w="269" w:type="pct"/>
            <w:tcBorders>
              <w:top w:val="nil"/>
              <w:left w:val="nil"/>
              <w:bottom w:val="single" w:color="000000" w:sz="8" w:space="0"/>
              <w:right w:val="single" w:color="000000" w:sz="8" w:space="0"/>
            </w:tcBorders>
            <w:shd w:val="clear" w:color="auto" w:fill="auto"/>
            <w:noWrap/>
            <w:vAlign w:val="center"/>
          </w:tcPr>
          <w:p w14:paraId="4E7BA1F7">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00B0F0"/>
            <w:noWrap/>
            <w:vAlign w:val="center"/>
          </w:tcPr>
          <w:p w14:paraId="33070C7F">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00B0F0"/>
            <w:noWrap/>
            <w:vAlign w:val="center"/>
          </w:tcPr>
          <w:p w14:paraId="7349619D">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00B0F0"/>
            <w:noWrap/>
            <w:vAlign w:val="center"/>
          </w:tcPr>
          <w:p w14:paraId="1BF1531A">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00B0F0"/>
            <w:noWrap/>
            <w:vAlign w:val="center"/>
          </w:tcPr>
          <w:p w14:paraId="504AC9D5">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646ECF3">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43F237B">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43F2DC1B">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59B25679">
            <w:pPr>
              <w:pStyle w:val="71"/>
              <w:bidi w:val="0"/>
              <w:rPr>
                <w:rFonts w:hint="default" w:ascii="Times New Roman" w:hAnsi="Times New Roman" w:cs="Times New Roman"/>
                <w:color w:val="auto"/>
                <w:highlight w:val="none"/>
              </w:rPr>
            </w:pPr>
          </w:p>
        </w:tc>
        <w:tc>
          <w:tcPr>
            <w:tcW w:w="266" w:type="pct"/>
            <w:tcBorders>
              <w:top w:val="nil"/>
              <w:left w:val="nil"/>
              <w:bottom w:val="single" w:color="000000" w:sz="8" w:space="0"/>
              <w:right w:val="single" w:color="000000" w:sz="8" w:space="0"/>
            </w:tcBorders>
            <w:shd w:val="clear" w:color="auto" w:fill="auto"/>
            <w:noWrap/>
            <w:vAlign w:val="center"/>
          </w:tcPr>
          <w:p w14:paraId="0AC52A0A">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434BBE0">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38774ADE">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1A85D58">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DC0DEA0">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322E8AB6">
            <w:pPr>
              <w:pStyle w:val="71"/>
              <w:bidi w:val="0"/>
              <w:rPr>
                <w:rFonts w:hint="default" w:ascii="Times New Roman" w:hAnsi="Times New Roman" w:cs="Times New Roman"/>
                <w:color w:val="auto"/>
                <w:highlight w:val="none"/>
              </w:rPr>
            </w:pPr>
          </w:p>
        </w:tc>
        <w:tc>
          <w:tcPr>
            <w:tcW w:w="270" w:type="pct"/>
            <w:tcBorders>
              <w:top w:val="nil"/>
              <w:left w:val="nil"/>
              <w:bottom w:val="single" w:color="000000" w:sz="8" w:space="0"/>
              <w:right w:val="single" w:color="000000" w:sz="8" w:space="0"/>
            </w:tcBorders>
            <w:shd w:val="clear" w:color="auto" w:fill="auto"/>
            <w:noWrap/>
            <w:vAlign w:val="center"/>
          </w:tcPr>
          <w:p w14:paraId="28485642">
            <w:pPr>
              <w:pStyle w:val="71"/>
              <w:bidi w:val="0"/>
              <w:rPr>
                <w:rFonts w:hint="default" w:ascii="Times New Roman" w:hAnsi="Times New Roman" w:cs="Times New Roman"/>
                <w:color w:val="auto"/>
                <w:highlight w:val="none"/>
              </w:rPr>
            </w:pPr>
          </w:p>
        </w:tc>
      </w:tr>
      <w:tr w14:paraId="2A201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0" w:type="pct"/>
            <w:tcBorders>
              <w:top w:val="nil"/>
              <w:left w:val="single" w:color="000000" w:sz="8" w:space="0"/>
              <w:bottom w:val="single" w:color="000000" w:sz="8" w:space="0"/>
              <w:right w:val="single" w:color="000000" w:sz="8" w:space="0"/>
            </w:tcBorders>
            <w:shd w:val="clear" w:color="auto" w:fill="auto"/>
            <w:noWrap/>
            <w:vAlign w:val="center"/>
          </w:tcPr>
          <w:p w14:paraId="5695F0F7">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3</w:t>
            </w:r>
          </w:p>
        </w:tc>
        <w:tc>
          <w:tcPr>
            <w:tcW w:w="504" w:type="pct"/>
            <w:tcBorders>
              <w:top w:val="nil"/>
              <w:left w:val="nil"/>
              <w:bottom w:val="single" w:color="000000" w:sz="8" w:space="0"/>
              <w:right w:val="single" w:color="000000" w:sz="8" w:space="0"/>
            </w:tcBorders>
            <w:shd w:val="clear" w:color="auto" w:fill="auto"/>
            <w:noWrap/>
            <w:vAlign w:val="center"/>
          </w:tcPr>
          <w:p w14:paraId="5701C8D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施工准备</w:t>
            </w:r>
          </w:p>
        </w:tc>
        <w:tc>
          <w:tcPr>
            <w:tcW w:w="269" w:type="pct"/>
            <w:tcBorders>
              <w:top w:val="nil"/>
              <w:left w:val="nil"/>
              <w:bottom w:val="single" w:color="000000" w:sz="8" w:space="0"/>
              <w:right w:val="single" w:color="000000" w:sz="8" w:space="0"/>
            </w:tcBorders>
            <w:shd w:val="clear" w:color="auto" w:fill="auto"/>
            <w:noWrap/>
            <w:vAlign w:val="center"/>
          </w:tcPr>
          <w:p w14:paraId="61F3EF34">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B8C98B8">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3144EC5D">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0946F35">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4CDE5808">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00B0F0"/>
            <w:noWrap/>
            <w:vAlign w:val="center"/>
          </w:tcPr>
          <w:p w14:paraId="6A4F6DFE">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4412440">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C120A88">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734060" cy="10160"/>
                  <wp:effectExtent l="0" t="0" r="0" b="0"/>
                  <wp:wrapNone/>
                  <wp:docPr id="7" name="图片_2"/>
                  <wp:cNvGraphicFramePr/>
                  <a:graphic xmlns:a="http://schemas.openxmlformats.org/drawingml/2006/main">
                    <a:graphicData uri="http://schemas.openxmlformats.org/drawingml/2006/picture">
                      <pic:pic xmlns:pic="http://schemas.openxmlformats.org/drawingml/2006/picture">
                        <pic:nvPicPr>
                          <pic:cNvPr id="7" name="图片_2"/>
                          <pic:cNvPicPr/>
                        </pic:nvPicPr>
                        <pic:blipFill>
                          <a:blip r:embed="rId95"/>
                          <a:stretch>
                            <a:fillRect/>
                          </a:stretch>
                        </pic:blipFill>
                        <pic:spPr>
                          <a:xfrm>
                            <a:off x="0" y="0"/>
                            <a:ext cx="734060" cy="10160"/>
                          </a:xfrm>
                          <a:prstGeom prst="rect">
                            <a:avLst/>
                          </a:prstGeom>
                          <a:noFill/>
                          <a:ln>
                            <a:noFill/>
                          </a:ln>
                        </pic:spPr>
                      </pic:pic>
                    </a:graphicData>
                  </a:graphic>
                </wp:anchor>
              </w:drawing>
            </w:r>
          </w:p>
        </w:tc>
        <w:tc>
          <w:tcPr>
            <w:tcW w:w="269" w:type="pct"/>
            <w:tcBorders>
              <w:top w:val="nil"/>
              <w:left w:val="nil"/>
              <w:bottom w:val="single" w:color="000000" w:sz="8" w:space="0"/>
              <w:right w:val="single" w:color="000000" w:sz="8" w:space="0"/>
            </w:tcBorders>
            <w:shd w:val="clear" w:color="auto" w:fill="auto"/>
            <w:noWrap/>
            <w:vAlign w:val="center"/>
          </w:tcPr>
          <w:p w14:paraId="11A3D9F0">
            <w:pPr>
              <w:pStyle w:val="71"/>
              <w:bidi w:val="0"/>
              <w:rPr>
                <w:rFonts w:hint="default" w:ascii="Times New Roman" w:hAnsi="Times New Roman" w:cs="Times New Roman"/>
                <w:color w:val="auto"/>
                <w:highlight w:val="none"/>
              </w:rPr>
            </w:pPr>
          </w:p>
        </w:tc>
        <w:tc>
          <w:tcPr>
            <w:tcW w:w="266" w:type="pct"/>
            <w:tcBorders>
              <w:top w:val="nil"/>
              <w:left w:val="nil"/>
              <w:bottom w:val="single" w:color="000000" w:sz="8" w:space="0"/>
              <w:right w:val="single" w:color="000000" w:sz="8" w:space="0"/>
            </w:tcBorders>
            <w:shd w:val="clear" w:color="auto" w:fill="auto"/>
            <w:noWrap/>
            <w:vAlign w:val="center"/>
          </w:tcPr>
          <w:p w14:paraId="4916F451">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B23CFD0">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34FD692">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C099BCD">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4D02204F">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9BEE988">
            <w:pPr>
              <w:pStyle w:val="71"/>
              <w:bidi w:val="0"/>
              <w:rPr>
                <w:rFonts w:hint="default" w:ascii="Times New Roman" w:hAnsi="Times New Roman" w:cs="Times New Roman"/>
                <w:color w:val="auto"/>
                <w:highlight w:val="none"/>
              </w:rPr>
            </w:pPr>
          </w:p>
        </w:tc>
        <w:tc>
          <w:tcPr>
            <w:tcW w:w="270" w:type="pct"/>
            <w:tcBorders>
              <w:top w:val="nil"/>
              <w:left w:val="nil"/>
              <w:bottom w:val="single" w:color="000000" w:sz="8" w:space="0"/>
              <w:right w:val="single" w:color="000000" w:sz="8" w:space="0"/>
            </w:tcBorders>
            <w:shd w:val="clear" w:color="auto" w:fill="auto"/>
            <w:noWrap/>
            <w:vAlign w:val="center"/>
          </w:tcPr>
          <w:p w14:paraId="6EA1C62B">
            <w:pPr>
              <w:pStyle w:val="71"/>
              <w:bidi w:val="0"/>
              <w:rPr>
                <w:rFonts w:hint="default" w:ascii="Times New Roman" w:hAnsi="Times New Roman" w:cs="Times New Roman"/>
                <w:color w:val="auto"/>
                <w:highlight w:val="none"/>
              </w:rPr>
            </w:pPr>
          </w:p>
        </w:tc>
      </w:tr>
      <w:tr w14:paraId="66012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0" w:type="pct"/>
            <w:tcBorders>
              <w:top w:val="nil"/>
              <w:left w:val="single" w:color="000000" w:sz="8" w:space="0"/>
              <w:bottom w:val="single" w:color="000000" w:sz="8" w:space="0"/>
              <w:right w:val="single" w:color="000000" w:sz="8" w:space="0"/>
            </w:tcBorders>
            <w:shd w:val="clear" w:color="auto" w:fill="auto"/>
            <w:noWrap/>
            <w:vAlign w:val="center"/>
          </w:tcPr>
          <w:p w14:paraId="3CF97A14">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4</w:t>
            </w:r>
          </w:p>
        </w:tc>
        <w:tc>
          <w:tcPr>
            <w:tcW w:w="504" w:type="pct"/>
            <w:tcBorders>
              <w:top w:val="nil"/>
              <w:left w:val="nil"/>
              <w:bottom w:val="single" w:color="000000" w:sz="8" w:space="0"/>
              <w:right w:val="single" w:color="000000" w:sz="8" w:space="0"/>
            </w:tcBorders>
            <w:shd w:val="clear" w:color="auto" w:fill="auto"/>
            <w:noWrap/>
            <w:vAlign w:val="center"/>
          </w:tcPr>
          <w:p w14:paraId="741E9A29">
            <w:pPr>
              <w:pStyle w:val="71"/>
              <w:bidi w:val="0"/>
              <w:rPr>
                <w:rFonts w:hint="default" w:ascii="Times New Roman" w:hAnsi="Times New Roman" w:cs="Times New Roman"/>
                <w:color w:val="auto"/>
                <w:highlight w:val="none"/>
              </w:rPr>
            </w:pPr>
            <w:r>
              <w:rPr>
                <w:rFonts w:hint="eastAsia" w:cs="Times New Roman"/>
                <w:color w:val="auto"/>
                <w:highlight w:val="none"/>
                <w:lang w:val="en-US" w:eastAsia="zh-CN"/>
              </w:rPr>
              <w:t>主体</w:t>
            </w:r>
            <w:r>
              <w:rPr>
                <w:rFonts w:hint="default" w:ascii="Times New Roman" w:hAnsi="Times New Roman" w:cs="Times New Roman"/>
                <w:color w:val="auto"/>
                <w:highlight w:val="none"/>
                <w:lang w:val="en-US" w:eastAsia="zh-CN"/>
              </w:rPr>
              <w:t>工程施工</w:t>
            </w:r>
          </w:p>
        </w:tc>
        <w:tc>
          <w:tcPr>
            <w:tcW w:w="269" w:type="pct"/>
            <w:tcBorders>
              <w:top w:val="nil"/>
              <w:left w:val="nil"/>
              <w:bottom w:val="single" w:color="000000" w:sz="8" w:space="0"/>
              <w:right w:val="single" w:color="000000" w:sz="8" w:space="0"/>
            </w:tcBorders>
            <w:shd w:val="clear" w:color="auto" w:fill="auto"/>
            <w:noWrap/>
            <w:vAlign w:val="center"/>
          </w:tcPr>
          <w:p w14:paraId="6008950E">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4246E4DA">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6817FF5">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6B1E357A">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4AEB65F1">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7B01405">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00B0F0"/>
            <w:noWrap/>
            <w:vAlign w:val="center"/>
          </w:tcPr>
          <w:p w14:paraId="64E8BF4C">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00B0F0"/>
            <w:noWrap/>
            <w:vAlign w:val="center"/>
          </w:tcPr>
          <w:p w14:paraId="0AB72854">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00B0F0"/>
            <w:noWrap/>
            <w:vAlign w:val="center"/>
          </w:tcPr>
          <w:p w14:paraId="391EC80E">
            <w:pPr>
              <w:pStyle w:val="71"/>
              <w:bidi w:val="0"/>
              <w:rPr>
                <w:rFonts w:hint="default" w:ascii="Times New Roman" w:hAnsi="Times New Roman" w:cs="Times New Roman"/>
                <w:color w:val="auto"/>
                <w:highlight w:val="none"/>
              </w:rPr>
            </w:pPr>
          </w:p>
        </w:tc>
        <w:tc>
          <w:tcPr>
            <w:tcW w:w="266" w:type="pct"/>
            <w:tcBorders>
              <w:top w:val="nil"/>
              <w:left w:val="nil"/>
              <w:bottom w:val="single" w:color="000000" w:sz="8" w:space="0"/>
              <w:right w:val="single" w:color="000000" w:sz="8" w:space="0"/>
            </w:tcBorders>
            <w:shd w:val="clear" w:color="auto" w:fill="00B0F0"/>
            <w:noWrap/>
            <w:vAlign w:val="center"/>
          </w:tcPr>
          <w:p w14:paraId="457E6FAD">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00B0F0"/>
            <w:noWrap/>
            <w:vAlign w:val="center"/>
          </w:tcPr>
          <w:p w14:paraId="41B220A4">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6C38B9E0">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6DF05241">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12857657">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BD36BED">
            <w:pPr>
              <w:pStyle w:val="71"/>
              <w:bidi w:val="0"/>
              <w:rPr>
                <w:rFonts w:hint="default" w:ascii="Times New Roman" w:hAnsi="Times New Roman" w:cs="Times New Roman"/>
                <w:color w:val="auto"/>
                <w:highlight w:val="none"/>
              </w:rPr>
            </w:pPr>
          </w:p>
        </w:tc>
        <w:tc>
          <w:tcPr>
            <w:tcW w:w="270" w:type="pct"/>
            <w:tcBorders>
              <w:top w:val="nil"/>
              <w:left w:val="nil"/>
              <w:bottom w:val="single" w:color="000000" w:sz="8" w:space="0"/>
              <w:right w:val="single" w:color="000000" w:sz="8" w:space="0"/>
            </w:tcBorders>
            <w:shd w:val="clear" w:color="auto" w:fill="auto"/>
            <w:noWrap/>
            <w:vAlign w:val="center"/>
          </w:tcPr>
          <w:p w14:paraId="478EB57A">
            <w:pPr>
              <w:pStyle w:val="71"/>
              <w:bidi w:val="0"/>
              <w:rPr>
                <w:rFonts w:hint="default" w:ascii="Times New Roman" w:hAnsi="Times New Roman" w:cs="Times New Roman"/>
                <w:color w:val="auto"/>
                <w:highlight w:val="none"/>
              </w:rPr>
            </w:pPr>
          </w:p>
        </w:tc>
      </w:tr>
      <w:tr w14:paraId="22C8B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0" w:type="pct"/>
            <w:tcBorders>
              <w:top w:val="nil"/>
              <w:left w:val="single" w:color="000000" w:sz="8" w:space="0"/>
              <w:bottom w:val="single" w:color="000000" w:sz="8" w:space="0"/>
              <w:right w:val="single" w:color="000000" w:sz="8" w:space="0"/>
            </w:tcBorders>
            <w:shd w:val="clear" w:color="auto" w:fill="auto"/>
            <w:noWrap/>
            <w:vAlign w:val="center"/>
          </w:tcPr>
          <w:p w14:paraId="599B7F30">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5</w:t>
            </w:r>
          </w:p>
        </w:tc>
        <w:tc>
          <w:tcPr>
            <w:tcW w:w="504" w:type="pct"/>
            <w:tcBorders>
              <w:top w:val="nil"/>
              <w:left w:val="nil"/>
              <w:bottom w:val="single" w:color="000000" w:sz="8" w:space="0"/>
              <w:right w:val="single" w:color="000000" w:sz="8" w:space="0"/>
            </w:tcBorders>
            <w:shd w:val="clear" w:color="auto" w:fill="auto"/>
            <w:noWrap/>
            <w:vAlign w:val="center"/>
          </w:tcPr>
          <w:p w14:paraId="11003EE4">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工程初验</w:t>
            </w:r>
          </w:p>
        </w:tc>
        <w:tc>
          <w:tcPr>
            <w:tcW w:w="269" w:type="pct"/>
            <w:tcBorders>
              <w:top w:val="nil"/>
              <w:left w:val="nil"/>
              <w:bottom w:val="single" w:color="000000" w:sz="8" w:space="0"/>
              <w:right w:val="single" w:color="000000" w:sz="8" w:space="0"/>
            </w:tcBorders>
            <w:shd w:val="clear" w:color="auto" w:fill="auto"/>
            <w:noWrap/>
            <w:vAlign w:val="center"/>
          </w:tcPr>
          <w:p w14:paraId="0651164E">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1C90DC94">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4C174540">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54BE990">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F0C4E00">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8211478">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22EE9A1">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3916269A">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A0D65F8">
            <w:pPr>
              <w:pStyle w:val="71"/>
              <w:bidi w:val="0"/>
              <w:rPr>
                <w:rFonts w:hint="default" w:ascii="Times New Roman" w:hAnsi="Times New Roman" w:cs="Times New Roman"/>
                <w:color w:val="auto"/>
                <w:highlight w:val="none"/>
              </w:rPr>
            </w:pPr>
          </w:p>
        </w:tc>
        <w:tc>
          <w:tcPr>
            <w:tcW w:w="266" w:type="pct"/>
            <w:tcBorders>
              <w:top w:val="nil"/>
              <w:left w:val="nil"/>
              <w:bottom w:val="single" w:color="000000" w:sz="8" w:space="0"/>
              <w:right w:val="single" w:color="000000" w:sz="8" w:space="0"/>
            </w:tcBorders>
            <w:shd w:val="clear" w:color="auto" w:fill="auto"/>
            <w:noWrap/>
            <w:vAlign w:val="center"/>
          </w:tcPr>
          <w:p w14:paraId="4540ACF2">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A3218AE">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00B0F0"/>
            <w:noWrap/>
            <w:vAlign w:val="center"/>
          </w:tcPr>
          <w:p w14:paraId="0A0F682D">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1C08B269">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18D12931">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45AAF2C0">
            <w:pPr>
              <w:pStyle w:val="71"/>
              <w:bidi w:val="0"/>
              <w:rPr>
                <w:rFonts w:hint="default" w:ascii="Times New Roman" w:hAnsi="Times New Roman" w:cs="Times New Roman"/>
                <w:color w:val="auto"/>
                <w:highlight w:val="none"/>
              </w:rPr>
            </w:pPr>
          </w:p>
        </w:tc>
        <w:tc>
          <w:tcPr>
            <w:tcW w:w="270" w:type="pct"/>
            <w:tcBorders>
              <w:top w:val="nil"/>
              <w:left w:val="nil"/>
              <w:bottom w:val="single" w:color="000000" w:sz="8" w:space="0"/>
              <w:right w:val="single" w:color="000000" w:sz="8" w:space="0"/>
            </w:tcBorders>
            <w:shd w:val="clear" w:color="auto" w:fill="auto"/>
            <w:noWrap/>
            <w:vAlign w:val="center"/>
          </w:tcPr>
          <w:p w14:paraId="3854F64B">
            <w:pPr>
              <w:pStyle w:val="71"/>
              <w:bidi w:val="0"/>
              <w:rPr>
                <w:rFonts w:hint="default" w:ascii="Times New Roman" w:hAnsi="Times New Roman" w:cs="Times New Roman"/>
                <w:color w:val="auto"/>
                <w:highlight w:val="none"/>
              </w:rPr>
            </w:pPr>
          </w:p>
        </w:tc>
      </w:tr>
      <w:tr w14:paraId="2680D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0" w:type="pct"/>
            <w:tcBorders>
              <w:top w:val="nil"/>
              <w:left w:val="single" w:color="000000" w:sz="8" w:space="0"/>
              <w:bottom w:val="single" w:color="000000" w:sz="8" w:space="0"/>
              <w:right w:val="single" w:color="000000" w:sz="8" w:space="0"/>
            </w:tcBorders>
            <w:shd w:val="clear" w:color="auto" w:fill="auto"/>
            <w:noWrap/>
            <w:vAlign w:val="center"/>
          </w:tcPr>
          <w:p w14:paraId="31EE0B55">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6</w:t>
            </w:r>
          </w:p>
        </w:tc>
        <w:tc>
          <w:tcPr>
            <w:tcW w:w="504" w:type="pct"/>
            <w:tcBorders>
              <w:top w:val="nil"/>
              <w:left w:val="nil"/>
              <w:bottom w:val="single" w:color="000000" w:sz="8" w:space="0"/>
              <w:right w:val="single" w:color="000000" w:sz="8" w:space="0"/>
            </w:tcBorders>
            <w:shd w:val="clear" w:color="auto" w:fill="auto"/>
            <w:noWrap/>
            <w:vAlign w:val="center"/>
          </w:tcPr>
          <w:p w14:paraId="63F60AE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工程决算</w:t>
            </w:r>
          </w:p>
        </w:tc>
        <w:tc>
          <w:tcPr>
            <w:tcW w:w="269" w:type="pct"/>
            <w:tcBorders>
              <w:top w:val="nil"/>
              <w:left w:val="nil"/>
              <w:bottom w:val="single" w:color="000000" w:sz="8" w:space="0"/>
              <w:right w:val="single" w:color="000000" w:sz="8" w:space="0"/>
            </w:tcBorders>
            <w:shd w:val="clear" w:color="auto" w:fill="auto"/>
            <w:noWrap/>
            <w:vAlign w:val="center"/>
          </w:tcPr>
          <w:p w14:paraId="34A58EA5">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54899985">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14EC7393">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30DD126">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13B8AC9F">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3CDB6294">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111FBB9D">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33BE0037">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14D9CA7D">
            <w:pPr>
              <w:pStyle w:val="71"/>
              <w:bidi w:val="0"/>
              <w:rPr>
                <w:rFonts w:hint="default" w:ascii="Times New Roman" w:hAnsi="Times New Roman" w:cs="Times New Roman"/>
                <w:color w:val="auto"/>
                <w:highlight w:val="none"/>
              </w:rPr>
            </w:pPr>
          </w:p>
        </w:tc>
        <w:tc>
          <w:tcPr>
            <w:tcW w:w="266" w:type="pct"/>
            <w:tcBorders>
              <w:top w:val="nil"/>
              <w:left w:val="nil"/>
              <w:bottom w:val="single" w:color="000000" w:sz="8" w:space="0"/>
              <w:right w:val="single" w:color="000000" w:sz="8" w:space="0"/>
            </w:tcBorders>
            <w:shd w:val="clear" w:color="auto" w:fill="auto"/>
            <w:noWrap/>
            <w:vAlign w:val="center"/>
          </w:tcPr>
          <w:p w14:paraId="52352006">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63A0A81A">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0EFDBC9">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00B0F0"/>
            <w:noWrap/>
            <w:vAlign w:val="center"/>
          </w:tcPr>
          <w:p w14:paraId="3028F9BD">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00B0F0"/>
            <w:noWrap/>
            <w:vAlign w:val="center"/>
          </w:tcPr>
          <w:p w14:paraId="2BC0E011">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926061A">
            <w:pPr>
              <w:pStyle w:val="71"/>
              <w:bidi w:val="0"/>
              <w:rPr>
                <w:rFonts w:hint="default" w:ascii="Times New Roman" w:hAnsi="Times New Roman" w:cs="Times New Roman"/>
                <w:color w:val="auto"/>
                <w:highlight w:val="none"/>
              </w:rPr>
            </w:pPr>
          </w:p>
        </w:tc>
        <w:tc>
          <w:tcPr>
            <w:tcW w:w="270" w:type="pct"/>
            <w:tcBorders>
              <w:top w:val="nil"/>
              <w:left w:val="nil"/>
              <w:bottom w:val="single" w:color="000000" w:sz="8" w:space="0"/>
              <w:right w:val="single" w:color="000000" w:sz="8" w:space="0"/>
            </w:tcBorders>
            <w:shd w:val="clear" w:color="auto" w:fill="auto"/>
            <w:noWrap/>
            <w:vAlign w:val="center"/>
          </w:tcPr>
          <w:p w14:paraId="294F2458">
            <w:pPr>
              <w:pStyle w:val="71"/>
              <w:bidi w:val="0"/>
              <w:rPr>
                <w:rFonts w:hint="default" w:ascii="Times New Roman" w:hAnsi="Times New Roman" w:cs="Times New Roman"/>
                <w:color w:val="auto"/>
                <w:highlight w:val="none"/>
              </w:rPr>
            </w:pPr>
          </w:p>
        </w:tc>
      </w:tr>
      <w:tr w14:paraId="67EF0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90" w:type="pct"/>
            <w:tcBorders>
              <w:top w:val="nil"/>
              <w:left w:val="single" w:color="000000" w:sz="8" w:space="0"/>
              <w:bottom w:val="single" w:color="000000" w:sz="8" w:space="0"/>
              <w:right w:val="single" w:color="000000" w:sz="8" w:space="0"/>
            </w:tcBorders>
            <w:shd w:val="clear" w:color="auto" w:fill="auto"/>
            <w:noWrap/>
            <w:vAlign w:val="center"/>
          </w:tcPr>
          <w:p w14:paraId="4584C2C1">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7</w:t>
            </w:r>
          </w:p>
        </w:tc>
        <w:tc>
          <w:tcPr>
            <w:tcW w:w="504" w:type="pct"/>
            <w:tcBorders>
              <w:top w:val="nil"/>
              <w:left w:val="nil"/>
              <w:bottom w:val="single" w:color="000000" w:sz="8" w:space="0"/>
              <w:right w:val="single" w:color="000000" w:sz="8" w:space="0"/>
            </w:tcBorders>
            <w:shd w:val="clear" w:color="auto" w:fill="auto"/>
            <w:noWrap/>
            <w:vAlign w:val="center"/>
          </w:tcPr>
          <w:p w14:paraId="427DCB6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工程移交</w:t>
            </w:r>
          </w:p>
        </w:tc>
        <w:tc>
          <w:tcPr>
            <w:tcW w:w="269" w:type="pct"/>
            <w:tcBorders>
              <w:top w:val="nil"/>
              <w:left w:val="nil"/>
              <w:bottom w:val="single" w:color="000000" w:sz="8" w:space="0"/>
              <w:right w:val="single" w:color="000000" w:sz="8" w:space="0"/>
            </w:tcBorders>
            <w:shd w:val="clear" w:color="auto" w:fill="auto"/>
            <w:noWrap/>
            <w:vAlign w:val="center"/>
          </w:tcPr>
          <w:p w14:paraId="3038AD6F">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17D3F18">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3E221ED">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42D2AD86">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3DB6B367">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0BF2B8D">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44A026A">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5A0F4E27">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1F54E8EF">
            <w:pPr>
              <w:pStyle w:val="71"/>
              <w:bidi w:val="0"/>
              <w:rPr>
                <w:rFonts w:hint="default" w:ascii="Times New Roman" w:hAnsi="Times New Roman" w:cs="Times New Roman"/>
                <w:color w:val="auto"/>
                <w:highlight w:val="none"/>
              </w:rPr>
            </w:pPr>
          </w:p>
        </w:tc>
        <w:tc>
          <w:tcPr>
            <w:tcW w:w="266" w:type="pct"/>
            <w:tcBorders>
              <w:top w:val="nil"/>
              <w:left w:val="nil"/>
              <w:bottom w:val="single" w:color="000000" w:sz="8" w:space="0"/>
              <w:right w:val="single" w:color="000000" w:sz="8" w:space="0"/>
            </w:tcBorders>
            <w:shd w:val="clear" w:color="auto" w:fill="auto"/>
            <w:noWrap/>
            <w:vAlign w:val="center"/>
          </w:tcPr>
          <w:p w14:paraId="025C6EC8">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5C032A0A">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4F7BD888">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3B4C6E47">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62276B4">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00B0F0"/>
            <w:noWrap/>
            <w:vAlign w:val="center"/>
          </w:tcPr>
          <w:p w14:paraId="1F49D53D">
            <w:pPr>
              <w:pStyle w:val="71"/>
              <w:bidi w:val="0"/>
              <w:rPr>
                <w:rFonts w:hint="default" w:ascii="Times New Roman" w:hAnsi="Times New Roman" w:cs="Times New Roman"/>
                <w:color w:val="auto"/>
                <w:highlight w:val="none"/>
              </w:rPr>
            </w:pPr>
          </w:p>
        </w:tc>
        <w:tc>
          <w:tcPr>
            <w:tcW w:w="270" w:type="pct"/>
            <w:tcBorders>
              <w:top w:val="nil"/>
              <w:left w:val="nil"/>
              <w:bottom w:val="single" w:color="000000" w:sz="8" w:space="0"/>
              <w:right w:val="single" w:color="000000" w:sz="8" w:space="0"/>
            </w:tcBorders>
            <w:shd w:val="clear" w:color="auto" w:fill="auto"/>
            <w:noWrap/>
            <w:vAlign w:val="center"/>
          </w:tcPr>
          <w:p w14:paraId="56286D90">
            <w:pPr>
              <w:pStyle w:val="71"/>
              <w:bidi w:val="0"/>
              <w:rPr>
                <w:rFonts w:hint="default" w:ascii="Times New Roman" w:hAnsi="Times New Roman" w:cs="Times New Roman"/>
                <w:color w:val="auto"/>
                <w:highlight w:val="none"/>
              </w:rPr>
            </w:pPr>
          </w:p>
        </w:tc>
      </w:tr>
      <w:tr w14:paraId="42862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90" w:type="pct"/>
            <w:tcBorders>
              <w:top w:val="nil"/>
              <w:left w:val="single" w:color="000000" w:sz="8" w:space="0"/>
              <w:bottom w:val="single" w:color="000000" w:sz="8" w:space="0"/>
              <w:right w:val="single" w:color="000000" w:sz="8" w:space="0"/>
            </w:tcBorders>
            <w:shd w:val="clear" w:color="auto" w:fill="auto"/>
            <w:noWrap/>
            <w:vAlign w:val="center"/>
          </w:tcPr>
          <w:p w14:paraId="236E745D">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8</w:t>
            </w:r>
          </w:p>
        </w:tc>
        <w:tc>
          <w:tcPr>
            <w:tcW w:w="504" w:type="pct"/>
            <w:tcBorders>
              <w:top w:val="nil"/>
              <w:left w:val="nil"/>
              <w:bottom w:val="single" w:color="000000" w:sz="8" w:space="0"/>
              <w:right w:val="single" w:color="000000" w:sz="8" w:space="0"/>
            </w:tcBorders>
            <w:shd w:val="clear" w:color="auto" w:fill="auto"/>
            <w:noWrap/>
            <w:vAlign w:val="center"/>
          </w:tcPr>
          <w:p w14:paraId="63157FC6">
            <w:pPr>
              <w:pStyle w:val="71"/>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上级验收</w:t>
            </w:r>
          </w:p>
        </w:tc>
        <w:tc>
          <w:tcPr>
            <w:tcW w:w="269" w:type="pct"/>
            <w:tcBorders>
              <w:top w:val="nil"/>
              <w:left w:val="nil"/>
              <w:bottom w:val="single" w:color="000000" w:sz="8" w:space="0"/>
              <w:right w:val="single" w:color="000000" w:sz="8" w:space="0"/>
            </w:tcBorders>
            <w:shd w:val="clear" w:color="auto" w:fill="auto"/>
            <w:noWrap/>
            <w:vAlign w:val="center"/>
          </w:tcPr>
          <w:p w14:paraId="59C5D097">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250FEE0">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16CA243B">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1CCA2079">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1F3B7453">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38F2C5C8">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C0EE5E0">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28C52244">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4AD2CB79">
            <w:pPr>
              <w:pStyle w:val="71"/>
              <w:bidi w:val="0"/>
              <w:rPr>
                <w:rFonts w:hint="default" w:ascii="Times New Roman" w:hAnsi="Times New Roman" w:cs="Times New Roman"/>
                <w:color w:val="auto"/>
                <w:highlight w:val="none"/>
              </w:rPr>
            </w:pPr>
          </w:p>
        </w:tc>
        <w:tc>
          <w:tcPr>
            <w:tcW w:w="266" w:type="pct"/>
            <w:tcBorders>
              <w:top w:val="nil"/>
              <w:left w:val="nil"/>
              <w:bottom w:val="single" w:color="000000" w:sz="8" w:space="0"/>
              <w:right w:val="single" w:color="000000" w:sz="8" w:space="0"/>
            </w:tcBorders>
            <w:shd w:val="clear" w:color="auto" w:fill="auto"/>
            <w:noWrap/>
            <w:vAlign w:val="center"/>
          </w:tcPr>
          <w:p w14:paraId="0A816455">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568CE0D0">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19E31EC">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686CFB8">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06C63F38">
            <w:pPr>
              <w:pStyle w:val="71"/>
              <w:bidi w:val="0"/>
              <w:rPr>
                <w:rFonts w:hint="default" w:ascii="Times New Roman" w:hAnsi="Times New Roman" w:cs="Times New Roman"/>
                <w:color w:val="auto"/>
                <w:highlight w:val="none"/>
              </w:rPr>
            </w:pPr>
          </w:p>
        </w:tc>
        <w:tc>
          <w:tcPr>
            <w:tcW w:w="269" w:type="pct"/>
            <w:tcBorders>
              <w:top w:val="nil"/>
              <w:left w:val="nil"/>
              <w:bottom w:val="single" w:color="000000" w:sz="8" w:space="0"/>
              <w:right w:val="single" w:color="000000" w:sz="8" w:space="0"/>
            </w:tcBorders>
            <w:shd w:val="clear" w:color="auto" w:fill="auto"/>
            <w:noWrap/>
            <w:vAlign w:val="center"/>
          </w:tcPr>
          <w:p w14:paraId="7355C91A">
            <w:pPr>
              <w:pStyle w:val="71"/>
              <w:bidi w:val="0"/>
              <w:rPr>
                <w:rFonts w:hint="default" w:ascii="Times New Roman" w:hAnsi="Times New Roman" w:cs="Times New Roman"/>
                <w:color w:val="auto"/>
                <w:highlight w:val="none"/>
              </w:rPr>
            </w:pPr>
          </w:p>
        </w:tc>
        <w:tc>
          <w:tcPr>
            <w:tcW w:w="270" w:type="pct"/>
            <w:tcBorders>
              <w:top w:val="nil"/>
              <w:left w:val="nil"/>
              <w:bottom w:val="single" w:color="000000" w:sz="8" w:space="0"/>
              <w:right w:val="single" w:color="000000" w:sz="8" w:space="0"/>
            </w:tcBorders>
            <w:shd w:val="clear" w:color="auto" w:fill="00B0F0"/>
            <w:noWrap/>
            <w:vAlign w:val="center"/>
          </w:tcPr>
          <w:p w14:paraId="0A64D960">
            <w:pPr>
              <w:pStyle w:val="71"/>
              <w:bidi w:val="0"/>
              <w:rPr>
                <w:rFonts w:hint="default" w:ascii="Times New Roman" w:hAnsi="Times New Roman" w:cs="Times New Roman"/>
                <w:color w:val="auto"/>
                <w:highlight w:val="none"/>
              </w:rPr>
            </w:pPr>
          </w:p>
        </w:tc>
      </w:tr>
    </w:tbl>
    <w:p w14:paraId="07E95453">
      <w:pPr>
        <w:kinsoku/>
        <w:spacing w:line="560" w:lineRule="exact"/>
        <w:ind w:right="31"/>
        <w:rPr>
          <w:rFonts w:hint="default" w:ascii="Times New Roman" w:hAnsi="Times New Roman" w:eastAsia="宋体" w:cs="Times New Roman"/>
          <w:smallCaps w:val="0"/>
          <w:color w:val="auto"/>
          <w:spacing w:val="0"/>
          <w:w w:val="100"/>
          <w:sz w:val="30"/>
          <w:szCs w:val="30"/>
          <w:highlight w:val="none"/>
          <w:lang w:eastAsia="zh-CN"/>
        </w:rPr>
        <w:sectPr>
          <w:pgSz w:w="16838" w:h="11900" w:orient="landscape"/>
          <w:pgMar w:top="1587" w:right="1134" w:bottom="1417" w:left="1134" w:header="862" w:footer="992" w:gutter="0"/>
          <w:pgBorders>
            <w:top w:val="none" w:sz="0" w:space="0"/>
            <w:left w:val="none" w:sz="0" w:space="0"/>
            <w:bottom w:val="none" w:sz="0" w:space="0"/>
            <w:right w:val="none" w:sz="0" w:space="0"/>
          </w:pgBorders>
          <w:pgNumType w:fmt="numberInDash"/>
          <w:cols w:space="0" w:num="1"/>
          <w:rtlGutter w:val="0"/>
          <w:docGrid w:linePitch="0" w:charSpace="0"/>
        </w:sectPr>
      </w:pPr>
    </w:p>
    <w:p w14:paraId="09AF8CBD">
      <w:pPr>
        <w:pStyle w:val="4"/>
        <w:spacing w:before="0" w:after="0" w:line="560" w:lineRule="exact"/>
        <w:outlineLvl w:val="2"/>
        <w:rPr>
          <w:rFonts w:hint="default" w:ascii="Times New Roman" w:hAnsi="Times New Roman" w:eastAsia="宋体" w:cs="Times New Roman"/>
          <w:smallCaps w:val="0"/>
          <w:color w:val="auto"/>
          <w:spacing w:val="0"/>
          <w:w w:val="100"/>
          <w:highlight w:val="none"/>
          <w:lang w:eastAsia="zh-CN"/>
        </w:rPr>
      </w:pPr>
      <w:bookmarkStart w:id="256" w:name="_Toc4839"/>
      <w:bookmarkStart w:id="257" w:name="_Toc23964"/>
      <w:r>
        <w:rPr>
          <w:rFonts w:hint="eastAsia" w:ascii="Times New Roman" w:hAnsi="Times New Roman" w:eastAsia="宋体" w:cs="Times New Roman"/>
          <w:smallCaps w:val="0"/>
          <w:color w:val="auto"/>
          <w:spacing w:val="0"/>
          <w:w w:val="100"/>
          <w:highlight w:val="none"/>
          <w:lang w:val="en-US" w:eastAsia="zh-CN"/>
        </w:rPr>
        <w:t>6.2.4</w:t>
      </w:r>
      <w:r>
        <w:rPr>
          <w:rFonts w:hint="eastAsia" w:ascii="Times New Roman" w:hAnsi="Times New Roman" w:eastAsia="宋体" w:cs="Times New Roman"/>
          <w:smallCaps w:val="0"/>
          <w:color w:val="auto"/>
          <w:spacing w:val="0"/>
          <w:w w:val="100"/>
          <w:highlight w:val="none"/>
          <w:lang w:eastAsia="zh-CN"/>
        </w:rPr>
        <w:t>施工导流</w:t>
      </w:r>
      <w:bookmarkEnd w:id="256"/>
    </w:p>
    <w:p w14:paraId="6ACF0F0C">
      <w:pPr>
        <w:pStyle w:val="5"/>
        <w:spacing w:before="0" w:after="0" w:line="560" w:lineRule="exact"/>
        <w:outlineLvl w:val="3"/>
        <w:rPr>
          <w:rFonts w:hint="default" w:ascii="Times New Roman" w:hAnsi="Times New Roman" w:eastAsia="宋体" w:cs="Times New Roman"/>
          <w:smallCaps w:val="0"/>
          <w:color w:val="auto"/>
          <w:spacing w:val="0"/>
          <w:w w:val="100"/>
          <w:highlight w:val="none"/>
          <w:lang w:eastAsia="zh-CN"/>
        </w:rPr>
      </w:pPr>
      <w:r>
        <w:rPr>
          <w:rFonts w:hint="eastAsia" w:ascii="Times New Roman" w:hAnsi="Times New Roman" w:eastAsia="宋体" w:cs="Times New Roman"/>
          <w:smallCaps w:val="0"/>
          <w:color w:val="auto"/>
          <w:spacing w:val="0"/>
          <w:w w:val="100"/>
          <w:highlight w:val="none"/>
          <w:lang w:val="en-US" w:eastAsia="zh-CN"/>
        </w:rPr>
        <w:t>6.2.4.1</w:t>
      </w:r>
      <w:r>
        <w:rPr>
          <w:rFonts w:hint="eastAsia" w:ascii="Times New Roman" w:hAnsi="Times New Roman" w:eastAsia="宋体" w:cs="Times New Roman"/>
          <w:smallCaps w:val="0"/>
          <w:color w:val="auto"/>
          <w:spacing w:val="0"/>
          <w:w w:val="100"/>
          <w:highlight w:val="none"/>
          <w:lang w:eastAsia="zh-CN"/>
        </w:rPr>
        <w:t>导流标准</w:t>
      </w:r>
    </w:p>
    <w:p w14:paraId="13CBA14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本工程主要建筑物为5级，相应临时建筑物为5级。</w:t>
      </w:r>
      <w:r>
        <w:rPr>
          <w:rFonts w:hint="eastAsia" w:ascii="Times New Roman" w:hAnsi="Times New Roman" w:eastAsia="宋体" w:cs="Times New Roman"/>
          <w:smallCaps w:val="0"/>
          <w:color w:val="auto"/>
          <w:spacing w:val="0"/>
          <w:w w:val="100"/>
          <w:sz w:val="30"/>
          <w:szCs w:val="30"/>
          <w:highlight w:val="none"/>
          <w:lang w:eastAsia="zh-CN"/>
        </w:rPr>
        <w:t>导流临时建筑物根据《水利水电水利水电施工组织设计规范》（</w:t>
      </w:r>
      <w:r>
        <w:rPr>
          <w:rFonts w:hint="default" w:ascii="Times New Roman" w:hAnsi="Times New Roman" w:eastAsia="宋体" w:cs="Times New Roman"/>
          <w:smallCaps w:val="0"/>
          <w:color w:val="auto"/>
          <w:spacing w:val="0"/>
          <w:w w:val="100"/>
          <w:sz w:val="30"/>
          <w:szCs w:val="30"/>
          <w:highlight w:val="none"/>
          <w:lang w:eastAsia="zh-CN"/>
        </w:rPr>
        <w:t>SL303-20</w:t>
      </w:r>
      <w:r>
        <w:rPr>
          <w:rFonts w:hint="eastAsia" w:ascii="Times New Roman" w:hAnsi="Times New Roman" w:eastAsia="宋体" w:cs="Times New Roman"/>
          <w:smallCaps w:val="0"/>
          <w:color w:val="auto"/>
          <w:spacing w:val="0"/>
          <w:w w:val="100"/>
          <w:sz w:val="30"/>
          <w:szCs w:val="30"/>
          <w:highlight w:val="none"/>
          <w:lang w:eastAsia="zh-CN"/>
        </w:rPr>
        <w:t>17）中导流建筑物级别划分，临时建筑物为</w:t>
      </w:r>
      <w:r>
        <w:rPr>
          <w:rFonts w:hint="default" w:ascii="Times New Roman" w:hAnsi="Times New Roman" w:eastAsia="宋体" w:cs="Times New Roman"/>
          <w:smallCaps w:val="0"/>
          <w:color w:val="auto"/>
          <w:spacing w:val="0"/>
          <w:w w:val="100"/>
          <w:sz w:val="30"/>
          <w:szCs w:val="30"/>
          <w:highlight w:val="none"/>
          <w:lang w:eastAsia="zh-CN"/>
        </w:rPr>
        <w:t>5</w:t>
      </w:r>
      <w:r>
        <w:rPr>
          <w:rFonts w:hint="eastAsia" w:ascii="Times New Roman" w:hAnsi="Times New Roman" w:eastAsia="宋体" w:cs="Times New Roman"/>
          <w:smallCaps w:val="0"/>
          <w:color w:val="auto"/>
          <w:spacing w:val="0"/>
          <w:w w:val="100"/>
          <w:sz w:val="30"/>
          <w:szCs w:val="30"/>
          <w:highlight w:val="none"/>
          <w:lang w:eastAsia="zh-CN"/>
        </w:rPr>
        <w:t>级建筑物，对于土石围堰，其导流设计洪水标准为5~10年洪水重现期。</w:t>
      </w:r>
    </w:p>
    <w:p w14:paraId="2B9D294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eastAsia" w:ascii="Times New Roman" w:hAnsi="Times New Roman" w:eastAsia="宋体" w:cs="Times New Roman"/>
          <w:smallCaps w:val="0"/>
          <w:color w:val="auto"/>
          <w:spacing w:val="0"/>
          <w:w w:val="100"/>
          <w:sz w:val="30"/>
          <w:szCs w:val="30"/>
          <w:highlight w:val="none"/>
          <w:lang w:eastAsia="zh-CN"/>
        </w:rPr>
        <w:t>本工程</w:t>
      </w:r>
      <w:r>
        <w:rPr>
          <w:rFonts w:hint="eastAsia" w:ascii="Times New Roman" w:hAnsi="Times New Roman" w:eastAsia="宋体" w:cs="Times New Roman"/>
          <w:smallCaps w:val="0"/>
          <w:color w:val="auto"/>
          <w:spacing w:val="0"/>
          <w:w w:val="100"/>
          <w:sz w:val="30"/>
          <w:szCs w:val="30"/>
          <w:highlight w:val="none"/>
          <w:lang w:val="en-US" w:eastAsia="zh-CN"/>
        </w:rPr>
        <w:t>拦水坝</w:t>
      </w:r>
      <w:r>
        <w:rPr>
          <w:rFonts w:hint="eastAsia" w:ascii="Times New Roman" w:hAnsi="Times New Roman" w:eastAsia="宋体" w:cs="Times New Roman"/>
          <w:smallCaps w:val="0"/>
          <w:color w:val="auto"/>
          <w:spacing w:val="0"/>
          <w:w w:val="100"/>
          <w:sz w:val="30"/>
          <w:szCs w:val="30"/>
          <w:highlight w:val="none"/>
          <w:lang w:eastAsia="zh-CN"/>
        </w:rPr>
        <w:t>主要安排在</w:t>
      </w:r>
      <w:r>
        <w:rPr>
          <w:rFonts w:hint="eastAsia" w:ascii="Times New Roman" w:hAnsi="Times New Roman" w:eastAsia="宋体" w:cs="Times New Roman"/>
          <w:smallCaps w:val="0"/>
          <w:color w:val="auto"/>
          <w:spacing w:val="0"/>
          <w:w w:val="100"/>
          <w:sz w:val="30"/>
          <w:szCs w:val="30"/>
          <w:highlight w:val="none"/>
          <w:lang w:val="en-US" w:eastAsia="zh-CN"/>
        </w:rPr>
        <w:t>7</w:t>
      </w:r>
      <w:r>
        <w:rPr>
          <w:rFonts w:hint="eastAsia" w:ascii="Times New Roman" w:hAnsi="Times New Roman" w:eastAsia="宋体" w:cs="Times New Roman"/>
          <w:smallCaps w:val="0"/>
          <w:color w:val="auto"/>
          <w:spacing w:val="0"/>
          <w:w w:val="100"/>
          <w:sz w:val="30"/>
          <w:szCs w:val="30"/>
          <w:highlight w:val="none"/>
          <w:lang w:eastAsia="zh-CN"/>
        </w:rPr>
        <w:t>月施工。综合考虑工程规模、导流成本及工程施工进度，导流标准采用</w:t>
      </w:r>
      <w:r>
        <w:rPr>
          <w:rFonts w:hint="eastAsia" w:ascii="Times New Roman" w:hAnsi="Times New Roman" w:eastAsia="宋体" w:cs="Times New Roman"/>
          <w:smallCaps w:val="0"/>
          <w:color w:val="auto"/>
          <w:spacing w:val="0"/>
          <w:w w:val="100"/>
          <w:sz w:val="30"/>
          <w:szCs w:val="30"/>
          <w:highlight w:val="none"/>
          <w:lang w:val="en-US" w:eastAsia="zh-CN"/>
        </w:rPr>
        <w:t>5</w:t>
      </w:r>
      <w:r>
        <w:rPr>
          <w:rFonts w:hint="eastAsia" w:ascii="Times New Roman" w:hAnsi="Times New Roman" w:eastAsia="宋体" w:cs="Times New Roman"/>
          <w:smallCaps w:val="0"/>
          <w:color w:val="auto"/>
          <w:spacing w:val="0"/>
          <w:w w:val="100"/>
          <w:sz w:val="30"/>
          <w:szCs w:val="30"/>
          <w:highlight w:val="none"/>
          <w:lang w:eastAsia="zh-CN"/>
        </w:rPr>
        <w:t>年一遇洪水重现期进行设计。</w:t>
      </w:r>
    </w:p>
    <w:p w14:paraId="5328B4E7">
      <w:pPr>
        <w:pStyle w:val="5"/>
        <w:spacing w:before="0" w:after="0" w:line="560" w:lineRule="exact"/>
        <w:outlineLvl w:val="3"/>
        <w:rPr>
          <w:rFonts w:hint="default" w:ascii="Times New Roman" w:hAnsi="Times New Roman" w:eastAsia="宋体" w:cs="Times New Roman"/>
          <w:smallCaps w:val="0"/>
          <w:color w:val="auto"/>
          <w:spacing w:val="0"/>
          <w:w w:val="100"/>
          <w:highlight w:val="none"/>
          <w:lang w:eastAsia="zh-CN"/>
        </w:rPr>
      </w:pPr>
      <w:r>
        <w:rPr>
          <w:rFonts w:hint="eastAsia" w:ascii="Times New Roman" w:hAnsi="Times New Roman" w:eastAsia="宋体" w:cs="Times New Roman"/>
          <w:smallCaps w:val="0"/>
          <w:color w:val="auto"/>
          <w:spacing w:val="0"/>
          <w:w w:val="100"/>
          <w:highlight w:val="none"/>
          <w:lang w:val="en-US" w:eastAsia="zh-CN"/>
        </w:rPr>
        <w:t>6.2.4.2</w:t>
      </w:r>
      <w:r>
        <w:rPr>
          <w:rFonts w:hint="eastAsia" w:ascii="Times New Roman" w:hAnsi="Times New Roman" w:eastAsia="宋体" w:cs="Times New Roman"/>
          <w:smallCaps w:val="0"/>
          <w:color w:val="auto"/>
          <w:spacing w:val="0"/>
          <w:w w:val="100"/>
          <w:highlight w:val="none"/>
          <w:lang w:eastAsia="zh-CN"/>
        </w:rPr>
        <w:t>导流时段及导流流量</w:t>
      </w:r>
    </w:p>
    <w:p w14:paraId="2F54E14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eastAsia" w:ascii="Times New Roman" w:hAnsi="Times New Roman" w:eastAsia="宋体" w:cs="Times New Roman"/>
          <w:smallCaps w:val="0"/>
          <w:color w:val="auto"/>
          <w:spacing w:val="0"/>
          <w:w w:val="100"/>
          <w:sz w:val="30"/>
          <w:szCs w:val="30"/>
          <w:highlight w:val="none"/>
          <w:lang w:eastAsia="zh-CN"/>
        </w:rPr>
        <w:t>为尽可能的减少导流成本，将取水口施工工期安排在</w:t>
      </w:r>
      <w:r>
        <w:rPr>
          <w:rFonts w:hint="eastAsia" w:ascii="Times New Roman" w:hAnsi="Times New Roman" w:eastAsia="宋体" w:cs="Times New Roman"/>
          <w:smallCaps w:val="0"/>
          <w:color w:val="auto"/>
          <w:spacing w:val="0"/>
          <w:w w:val="100"/>
          <w:sz w:val="30"/>
          <w:szCs w:val="30"/>
          <w:highlight w:val="none"/>
          <w:lang w:val="en-US" w:eastAsia="zh-CN"/>
        </w:rPr>
        <w:t>10</w:t>
      </w:r>
      <w:r>
        <w:rPr>
          <w:rFonts w:hint="eastAsia" w:ascii="Times New Roman" w:hAnsi="Times New Roman" w:eastAsia="宋体" w:cs="Times New Roman"/>
          <w:smallCaps w:val="0"/>
          <w:color w:val="auto"/>
          <w:spacing w:val="0"/>
          <w:w w:val="100"/>
          <w:sz w:val="30"/>
          <w:szCs w:val="30"/>
          <w:highlight w:val="none"/>
          <w:lang w:eastAsia="zh-CN"/>
        </w:rPr>
        <w:t>月。</w:t>
      </w:r>
    </w:p>
    <w:p w14:paraId="2CFA9981">
      <w:pPr>
        <w:pStyle w:val="5"/>
        <w:spacing w:before="0" w:after="0" w:line="560" w:lineRule="exact"/>
        <w:outlineLvl w:val="3"/>
        <w:rPr>
          <w:rFonts w:hint="default" w:ascii="Times New Roman" w:hAnsi="Times New Roman" w:eastAsia="宋体" w:cs="Times New Roman"/>
          <w:smallCaps w:val="0"/>
          <w:color w:val="auto"/>
          <w:spacing w:val="0"/>
          <w:w w:val="100"/>
          <w:highlight w:val="none"/>
          <w:lang w:eastAsia="zh-CN"/>
        </w:rPr>
      </w:pPr>
      <w:r>
        <w:rPr>
          <w:rFonts w:hint="eastAsia" w:ascii="Times New Roman" w:hAnsi="Times New Roman" w:eastAsia="宋体" w:cs="Times New Roman"/>
          <w:smallCaps w:val="0"/>
          <w:color w:val="auto"/>
          <w:spacing w:val="0"/>
          <w:w w:val="100"/>
          <w:highlight w:val="none"/>
          <w:lang w:val="en-US" w:eastAsia="zh-CN"/>
        </w:rPr>
        <w:t>6.2.4.3</w:t>
      </w:r>
      <w:r>
        <w:rPr>
          <w:rFonts w:hint="eastAsia" w:ascii="Times New Roman" w:hAnsi="Times New Roman" w:eastAsia="宋体" w:cs="Times New Roman"/>
          <w:smallCaps w:val="0"/>
          <w:color w:val="auto"/>
          <w:spacing w:val="0"/>
          <w:w w:val="100"/>
          <w:highlight w:val="none"/>
          <w:lang w:eastAsia="zh-CN"/>
        </w:rPr>
        <w:t>度汛方式</w:t>
      </w:r>
    </w:p>
    <w:p w14:paraId="17A820D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eastAsia" w:ascii="Times New Roman" w:hAnsi="Times New Roman" w:eastAsia="宋体" w:cs="Times New Roman"/>
          <w:smallCaps w:val="0"/>
          <w:color w:val="auto"/>
          <w:spacing w:val="0"/>
          <w:w w:val="100"/>
          <w:sz w:val="30"/>
          <w:szCs w:val="30"/>
          <w:highlight w:val="none"/>
          <w:lang w:eastAsia="zh-CN"/>
        </w:rPr>
        <w:t>根据施工进度计划，取水口部分安排在一个枯期施工完毕，无需进行施工度汛。</w:t>
      </w:r>
    </w:p>
    <w:p w14:paraId="422DB8E9">
      <w:pPr>
        <w:pStyle w:val="5"/>
        <w:spacing w:before="0" w:after="0" w:line="560" w:lineRule="exact"/>
        <w:outlineLvl w:val="3"/>
        <w:rPr>
          <w:rFonts w:hint="default" w:ascii="Times New Roman" w:hAnsi="Times New Roman" w:eastAsia="宋体" w:cs="Times New Roman"/>
          <w:smallCaps w:val="0"/>
          <w:color w:val="auto"/>
          <w:spacing w:val="0"/>
          <w:w w:val="100"/>
          <w:highlight w:val="none"/>
          <w:lang w:eastAsia="zh-CN"/>
        </w:rPr>
      </w:pPr>
      <w:r>
        <w:rPr>
          <w:rFonts w:hint="eastAsia" w:ascii="Times New Roman" w:hAnsi="Times New Roman" w:eastAsia="宋体" w:cs="Times New Roman"/>
          <w:smallCaps w:val="0"/>
          <w:color w:val="auto"/>
          <w:spacing w:val="0"/>
          <w:w w:val="100"/>
          <w:highlight w:val="none"/>
          <w:lang w:val="en-US" w:eastAsia="zh-CN"/>
        </w:rPr>
        <w:t>6.2.4.4</w:t>
      </w:r>
      <w:r>
        <w:rPr>
          <w:rFonts w:hint="eastAsia" w:ascii="Times New Roman" w:hAnsi="Times New Roman" w:eastAsia="宋体" w:cs="Times New Roman"/>
          <w:smallCaps w:val="0"/>
          <w:color w:val="auto"/>
          <w:spacing w:val="0"/>
          <w:w w:val="100"/>
          <w:highlight w:val="none"/>
          <w:lang w:eastAsia="zh-CN"/>
        </w:rPr>
        <w:t>导流建筑物设计</w:t>
      </w:r>
    </w:p>
    <w:p w14:paraId="6BB33BE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eastAsia" w:ascii="Times New Roman" w:hAnsi="Times New Roman" w:eastAsia="宋体" w:cs="Times New Roman"/>
          <w:smallCaps w:val="0"/>
          <w:color w:val="auto"/>
          <w:spacing w:val="0"/>
          <w:w w:val="100"/>
          <w:sz w:val="30"/>
          <w:szCs w:val="30"/>
          <w:highlight w:val="none"/>
          <w:lang w:eastAsia="zh-CN"/>
        </w:rPr>
        <w:t>由于</w:t>
      </w:r>
      <w:r>
        <w:rPr>
          <w:rFonts w:hint="eastAsia" w:ascii="Times New Roman" w:hAnsi="Times New Roman" w:eastAsia="宋体" w:cs="Times New Roman"/>
          <w:smallCaps w:val="0"/>
          <w:color w:val="auto"/>
          <w:spacing w:val="0"/>
          <w:w w:val="100"/>
          <w:sz w:val="30"/>
          <w:szCs w:val="30"/>
          <w:highlight w:val="none"/>
          <w:lang w:val="en-US" w:eastAsia="zh-CN"/>
        </w:rPr>
        <w:t>本</w:t>
      </w:r>
      <w:r>
        <w:rPr>
          <w:rFonts w:hint="eastAsia" w:ascii="Times New Roman" w:hAnsi="Times New Roman" w:eastAsia="宋体" w:cs="Times New Roman"/>
          <w:smallCaps w:val="0"/>
          <w:color w:val="auto"/>
          <w:spacing w:val="0"/>
          <w:w w:val="100"/>
          <w:sz w:val="30"/>
          <w:szCs w:val="30"/>
          <w:highlight w:val="none"/>
          <w:lang w:eastAsia="zh-CN"/>
        </w:rPr>
        <w:t>工程取水口均位于河道上，且河道均为山区型河道，雨季流量较大，因此本次施工期选择于1</w:t>
      </w:r>
      <w:r>
        <w:rPr>
          <w:rFonts w:hint="eastAsia" w:ascii="Times New Roman" w:hAnsi="Times New Roman" w:eastAsia="宋体" w:cs="Times New Roman"/>
          <w:smallCaps w:val="0"/>
          <w:color w:val="auto"/>
          <w:spacing w:val="0"/>
          <w:w w:val="100"/>
          <w:sz w:val="30"/>
          <w:szCs w:val="30"/>
          <w:highlight w:val="none"/>
          <w:lang w:val="en-US" w:eastAsia="zh-CN"/>
        </w:rPr>
        <w:t>0</w:t>
      </w:r>
      <w:r>
        <w:rPr>
          <w:rFonts w:hint="eastAsia" w:ascii="Times New Roman" w:hAnsi="Times New Roman" w:eastAsia="宋体" w:cs="Times New Roman"/>
          <w:smallCaps w:val="0"/>
          <w:color w:val="auto"/>
          <w:spacing w:val="0"/>
          <w:w w:val="100"/>
          <w:sz w:val="30"/>
          <w:szCs w:val="30"/>
          <w:highlight w:val="none"/>
          <w:lang w:eastAsia="zh-CN"/>
        </w:rPr>
        <w:t>月（枯水期）。围堰垂直于河道方向布置，堰体采用编织袋装土，利用建筑物开挖料填筑，围堰顶宽2.0m，底宽为8m，边坡为1：1.5，考虑一定的安全超高等，围堰最大高度2m。</w:t>
      </w:r>
      <w:r>
        <w:rPr>
          <w:rFonts w:hint="default" w:ascii="Times New Roman" w:hAnsi="Times New Roman" w:eastAsia="宋体" w:cs="Times New Roman"/>
          <w:smallCaps w:val="0"/>
          <w:color w:val="auto"/>
          <w:spacing w:val="0"/>
          <w:w w:val="100"/>
          <w:sz w:val="30"/>
          <w:szCs w:val="30"/>
          <w:highlight w:val="none"/>
          <w:lang w:eastAsia="zh-CN"/>
        </w:rPr>
        <w:t xml:space="preserve"> </w:t>
      </w:r>
    </w:p>
    <w:p w14:paraId="4A59B62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eastAsia" w:ascii="Times New Roman" w:hAnsi="Times New Roman" w:eastAsia="宋体" w:cs="Times New Roman"/>
          <w:smallCaps w:val="0"/>
          <w:color w:val="auto"/>
          <w:spacing w:val="0"/>
          <w:w w:val="100"/>
          <w:sz w:val="30"/>
          <w:szCs w:val="30"/>
          <w:highlight w:val="none"/>
          <w:lang w:eastAsia="zh-CN"/>
        </w:rPr>
        <w:t>本治理工程导流工程量见表</w:t>
      </w:r>
      <w:r>
        <w:rPr>
          <w:rFonts w:hint="default" w:ascii="Times New Roman" w:hAnsi="Times New Roman" w:eastAsia="宋体" w:cs="Times New Roman"/>
          <w:smallCaps w:val="0"/>
          <w:color w:val="auto"/>
          <w:spacing w:val="0"/>
          <w:w w:val="100"/>
          <w:sz w:val="30"/>
          <w:szCs w:val="30"/>
          <w:highlight w:val="none"/>
          <w:lang w:eastAsia="zh-CN"/>
        </w:rPr>
        <w:t>7.2.4</w:t>
      </w:r>
      <w:r>
        <w:rPr>
          <w:rFonts w:hint="eastAsia" w:ascii="Times New Roman" w:hAnsi="Times New Roman" w:eastAsia="宋体" w:cs="Times New Roman"/>
          <w:smallCaps w:val="0"/>
          <w:color w:val="auto"/>
          <w:spacing w:val="0"/>
          <w:w w:val="100"/>
          <w:sz w:val="30"/>
          <w:szCs w:val="30"/>
          <w:highlight w:val="none"/>
          <w:lang w:eastAsia="zh-CN"/>
        </w:rPr>
        <w:t>。</w:t>
      </w:r>
    </w:p>
    <w:p w14:paraId="134A69AF">
      <w:pPr>
        <w:ind w:firstLine="482"/>
        <w:jc w:val="center"/>
        <w:rPr>
          <w:b/>
          <w:bCs/>
          <w:color w:val="auto"/>
          <w:highlight w:val="none"/>
        </w:rPr>
      </w:pPr>
      <w:r>
        <w:rPr>
          <w:b/>
          <w:bCs/>
          <w:color w:val="auto"/>
          <w:highlight w:val="none"/>
        </w:rPr>
        <w:t>表7.2.4</w:t>
      </w:r>
      <w:r>
        <w:rPr>
          <w:rFonts w:hint="eastAsia"/>
          <w:b/>
          <w:bCs/>
          <w:color w:val="auto"/>
          <w:highlight w:val="none"/>
        </w:rPr>
        <w:t xml:space="preserve">   工程</w:t>
      </w:r>
      <w:r>
        <w:rPr>
          <w:b/>
          <w:bCs/>
          <w:color w:val="auto"/>
          <w:highlight w:val="none"/>
        </w:rPr>
        <w:t>导流工程量表</w:t>
      </w:r>
    </w:p>
    <w:tbl>
      <w:tblPr>
        <w:tblStyle w:val="18"/>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55"/>
        <w:gridCol w:w="1623"/>
        <w:gridCol w:w="1712"/>
        <w:gridCol w:w="1712"/>
        <w:gridCol w:w="2378"/>
      </w:tblGrid>
      <w:tr w14:paraId="0E5F9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9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71C45">
            <w:pPr>
              <w:pStyle w:val="71"/>
              <w:bidi w:val="0"/>
              <w:rPr>
                <w:rFonts w:hint="eastAsia"/>
                <w:color w:val="auto"/>
                <w:highlight w:val="none"/>
              </w:rPr>
            </w:pPr>
            <w:r>
              <w:rPr>
                <w:rFonts w:hint="eastAsia"/>
                <w:color w:val="auto"/>
                <w:highlight w:val="none"/>
                <w:lang w:val="en-US" w:eastAsia="zh-CN"/>
              </w:rPr>
              <w:t>工程部位</w:t>
            </w: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E8B63">
            <w:pPr>
              <w:pStyle w:val="71"/>
              <w:bidi w:val="0"/>
              <w:rPr>
                <w:rFonts w:hint="eastAsia"/>
                <w:color w:val="auto"/>
                <w:highlight w:val="none"/>
              </w:rPr>
            </w:pPr>
            <w:r>
              <w:rPr>
                <w:rFonts w:hint="eastAsia"/>
                <w:color w:val="auto"/>
                <w:highlight w:val="none"/>
                <w:lang w:val="en-US" w:eastAsia="zh-CN"/>
              </w:rPr>
              <w:t>长度</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DA0AFF">
            <w:pPr>
              <w:pStyle w:val="71"/>
              <w:bidi w:val="0"/>
              <w:rPr>
                <w:rFonts w:hint="eastAsia"/>
                <w:color w:val="auto"/>
                <w:highlight w:val="none"/>
              </w:rPr>
            </w:pPr>
            <w:r>
              <w:rPr>
                <w:rFonts w:hint="eastAsia"/>
                <w:color w:val="auto"/>
                <w:highlight w:val="none"/>
                <w:lang w:val="en-US" w:eastAsia="zh-CN"/>
              </w:rPr>
              <w:t>编制袋装土</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E9A85C">
            <w:pPr>
              <w:pStyle w:val="71"/>
              <w:bidi w:val="0"/>
              <w:rPr>
                <w:rFonts w:hint="eastAsia"/>
                <w:color w:val="auto"/>
                <w:highlight w:val="none"/>
              </w:rPr>
            </w:pPr>
            <w:r>
              <w:rPr>
                <w:rFonts w:hint="eastAsia"/>
                <w:color w:val="auto"/>
                <w:highlight w:val="none"/>
                <w:lang w:val="en-US" w:eastAsia="zh-CN"/>
              </w:rPr>
              <w:t>围堰拆除</w:t>
            </w:r>
          </w:p>
        </w:tc>
        <w:tc>
          <w:tcPr>
            <w:tcW w:w="12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8202A9">
            <w:pPr>
              <w:pStyle w:val="71"/>
              <w:bidi w:val="0"/>
              <w:rPr>
                <w:rFonts w:hint="eastAsia"/>
                <w:color w:val="auto"/>
                <w:highlight w:val="none"/>
              </w:rPr>
            </w:pPr>
            <w:r>
              <w:rPr>
                <w:rFonts w:hint="eastAsia"/>
                <w:color w:val="auto"/>
                <w:highlight w:val="none"/>
                <w:lang w:val="en-US" w:eastAsia="zh-CN"/>
              </w:rPr>
              <w:t>防渗土工膜（</w:t>
            </w:r>
            <w:r>
              <w:rPr>
                <w:rFonts w:hint="default"/>
                <w:color w:val="auto"/>
                <w:highlight w:val="none"/>
                <w:lang w:val="en-US" w:eastAsia="zh-CN"/>
              </w:rPr>
              <w:t>500g/m2</w:t>
            </w:r>
            <w:r>
              <w:rPr>
                <w:rFonts w:hint="eastAsia"/>
                <w:color w:val="auto"/>
                <w:highlight w:val="none"/>
                <w:lang w:val="en-US" w:eastAsia="zh-CN"/>
              </w:rPr>
              <w:t>）</w:t>
            </w:r>
          </w:p>
        </w:tc>
      </w:tr>
      <w:tr w14:paraId="4C61B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9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1DDB0">
            <w:pPr>
              <w:pStyle w:val="71"/>
              <w:bidi w:val="0"/>
              <w:rPr>
                <w:rFonts w:hint="eastAsia"/>
                <w:color w:val="auto"/>
                <w:highlight w:val="none"/>
              </w:rPr>
            </w:pPr>
          </w:p>
        </w:tc>
        <w:tc>
          <w:tcPr>
            <w:tcW w:w="8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F7BAA">
            <w:pPr>
              <w:pStyle w:val="71"/>
              <w:bidi w:val="0"/>
              <w:rPr>
                <w:rFonts w:hint="eastAsia"/>
                <w:color w:val="auto"/>
                <w:highlight w:val="none"/>
              </w:rPr>
            </w:pPr>
            <w:r>
              <w:rPr>
                <w:rFonts w:hint="eastAsia"/>
                <w:color w:val="auto"/>
                <w:highlight w:val="none"/>
                <w:lang w:val="en-US" w:eastAsia="zh-CN"/>
              </w:rPr>
              <w:t>（</w:t>
            </w:r>
            <w:r>
              <w:rPr>
                <w:rFonts w:hint="default"/>
                <w:color w:val="auto"/>
                <w:highlight w:val="none"/>
                <w:lang w:val="en-US" w:eastAsia="zh-CN"/>
              </w:rPr>
              <w:t>m</w:t>
            </w:r>
            <w:r>
              <w:rPr>
                <w:rFonts w:hint="eastAsia"/>
                <w:color w:val="auto"/>
                <w:highlight w:val="none"/>
                <w:lang w:val="en-US" w:eastAsia="zh-CN"/>
              </w:rPr>
              <w:t>）</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3C1A7">
            <w:pPr>
              <w:pStyle w:val="71"/>
              <w:bidi w:val="0"/>
              <w:rPr>
                <w:rFonts w:hint="eastAsia"/>
                <w:color w:val="auto"/>
                <w:highlight w:val="none"/>
              </w:rPr>
            </w:pPr>
            <w:r>
              <w:rPr>
                <w:rFonts w:hint="eastAsia"/>
                <w:color w:val="auto"/>
                <w:highlight w:val="none"/>
                <w:lang w:val="en-US" w:eastAsia="zh-CN"/>
              </w:rPr>
              <w:t>（</w:t>
            </w:r>
            <w:r>
              <w:rPr>
                <w:rFonts w:hint="default"/>
                <w:color w:val="auto"/>
                <w:highlight w:val="none"/>
                <w:lang w:val="en-US" w:eastAsia="zh-CN"/>
              </w:rPr>
              <w:t>m3</w:t>
            </w:r>
            <w:r>
              <w:rPr>
                <w:rFonts w:hint="eastAsia"/>
                <w:color w:val="auto"/>
                <w:highlight w:val="none"/>
                <w:lang w:val="en-US" w:eastAsia="zh-CN"/>
              </w:rPr>
              <w:t>）</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C3F57">
            <w:pPr>
              <w:pStyle w:val="71"/>
              <w:bidi w:val="0"/>
              <w:rPr>
                <w:rFonts w:hint="eastAsia"/>
                <w:color w:val="auto"/>
                <w:highlight w:val="none"/>
              </w:rPr>
            </w:pPr>
            <w:r>
              <w:rPr>
                <w:rFonts w:hint="eastAsia"/>
                <w:color w:val="auto"/>
                <w:highlight w:val="none"/>
                <w:lang w:val="en-US" w:eastAsia="zh-CN"/>
              </w:rPr>
              <w:t>（</w:t>
            </w:r>
            <w:r>
              <w:rPr>
                <w:rFonts w:hint="default"/>
                <w:color w:val="auto"/>
                <w:highlight w:val="none"/>
                <w:lang w:val="en-US" w:eastAsia="zh-CN"/>
              </w:rPr>
              <w:t>m3</w:t>
            </w:r>
            <w:r>
              <w:rPr>
                <w:rFonts w:hint="eastAsia"/>
                <w:color w:val="auto"/>
                <w:highlight w:val="none"/>
                <w:lang w:val="en-US" w:eastAsia="zh-CN"/>
              </w:rPr>
              <w:t>）</w:t>
            </w:r>
          </w:p>
        </w:tc>
        <w:tc>
          <w:tcPr>
            <w:tcW w:w="12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16EFDF">
            <w:pPr>
              <w:pStyle w:val="71"/>
              <w:bidi w:val="0"/>
              <w:rPr>
                <w:rFonts w:hint="eastAsia"/>
                <w:color w:val="auto"/>
                <w:highlight w:val="none"/>
              </w:rPr>
            </w:pPr>
          </w:p>
        </w:tc>
      </w:tr>
      <w:tr w14:paraId="5BE3F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D9965">
            <w:pPr>
              <w:pStyle w:val="71"/>
              <w:bidi w:val="0"/>
              <w:rPr>
                <w:rFonts w:hint="eastAsia"/>
                <w:color w:val="auto"/>
                <w:highlight w:val="none"/>
              </w:rPr>
            </w:pPr>
            <w:r>
              <w:rPr>
                <w:rFonts w:hint="eastAsia"/>
                <w:color w:val="auto"/>
                <w:highlight w:val="none"/>
                <w:lang w:val="en-US" w:eastAsia="zh-CN"/>
              </w:rPr>
              <w:t>拦水坝</w:t>
            </w: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0C93A">
            <w:pPr>
              <w:pStyle w:val="71"/>
              <w:bidi w:val="0"/>
              <w:rPr>
                <w:rFonts w:hint="default"/>
                <w:color w:val="auto"/>
                <w:highlight w:val="none"/>
              </w:rPr>
            </w:pPr>
            <w:r>
              <w:rPr>
                <w:rFonts w:hint="default"/>
                <w:color w:val="auto"/>
                <w:highlight w:val="none"/>
                <w:lang w:val="en-US" w:eastAsia="zh-CN"/>
              </w:rPr>
              <w:t>30</w:t>
            </w:r>
          </w:p>
        </w:tc>
        <w:tc>
          <w:tcPr>
            <w:tcW w:w="9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063B8">
            <w:pPr>
              <w:pStyle w:val="71"/>
              <w:bidi w:val="0"/>
              <w:rPr>
                <w:rFonts w:hint="default"/>
                <w:color w:val="auto"/>
                <w:highlight w:val="none"/>
              </w:rPr>
            </w:pPr>
            <w:r>
              <w:rPr>
                <w:rFonts w:hint="default"/>
                <w:color w:val="auto"/>
                <w:highlight w:val="none"/>
                <w:lang w:val="en-US" w:eastAsia="zh-CN"/>
              </w:rPr>
              <w:t>78.76</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E4189">
            <w:pPr>
              <w:pStyle w:val="71"/>
              <w:bidi w:val="0"/>
              <w:rPr>
                <w:rFonts w:hint="default"/>
                <w:color w:val="auto"/>
                <w:highlight w:val="none"/>
              </w:rPr>
            </w:pPr>
            <w:r>
              <w:rPr>
                <w:rFonts w:hint="default"/>
                <w:color w:val="auto"/>
                <w:highlight w:val="none"/>
                <w:lang w:val="en-US" w:eastAsia="zh-CN"/>
              </w:rPr>
              <w:t>78.76</w:t>
            </w:r>
          </w:p>
        </w:tc>
        <w:tc>
          <w:tcPr>
            <w:tcW w:w="12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9131D">
            <w:pPr>
              <w:pStyle w:val="71"/>
              <w:bidi w:val="0"/>
              <w:rPr>
                <w:rFonts w:hint="default"/>
                <w:color w:val="auto"/>
                <w:highlight w:val="none"/>
              </w:rPr>
            </w:pPr>
            <w:r>
              <w:rPr>
                <w:rFonts w:hint="default"/>
                <w:color w:val="auto"/>
                <w:highlight w:val="none"/>
                <w:lang w:val="en-US" w:eastAsia="zh-CN"/>
              </w:rPr>
              <w:t>64.8</w:t>
            </w:r>
          </w:p>
        </w:tc>
      </w:tr>
      <w:tr w14:paraId="78295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B7847">
            <w:pPr>
              <w:pStyle w:val="71"/>
              <w:bidi w:val="0"/>
              <w:rPr>
                <w:rFonts w:hint="eastAsia"/>
                <w:color w:val="auto"/>
                <w:highlight w:val="none"/>
              </w:rPr>
            </w:pPr>
            <w:r>
              <w:rPr>
                <w:rFonts w:hint="eastAsia"/>
                <w:color w:val="auto"/>
                <w:highlight w:val="none"/>
                <w:lang w:val="en-US" w:eastAsia="zh-CN"/>
              </w:rPr>
              <w:t>合计</w:t>
            </w: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F449B">
            <w:pPr>
              <w:pStyle w:val="71"/>
              <w:bidi w:val="0"/>
              <w:rPr>
                <w:rFonts w:hint="default"/>
                <w:color w:val="auto"/>
                <w:highlight w:val="none"/>
              </w:rPr>
            </w:pPr>
            <w:r>
              <w:rPr>
                <w:rFonts w:hint="default"/>
                <w:color w:val="auto"/>
                <w:highlight w:val="none"/>
                <w:lang w:val="en-US" w:eastAsia="zh-CN"/>
              </w:rPr>
              <w:t>30</w:t>
            </w:r>
          </w:p>
        </w:tc>
        <w:tc>
          <w:tcPr>
            <w:tcW w:w="9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03DC7">
            <w:pPr>
              <w:pStyle w:val="71"/>
              <w:bidi w:val="0"/>
              <w:rPr>
                <w:rFonts w:hint="default"/>
                <w:color w:val="auto"/>
                <w:highlight w:val="none"/>
              </w:rPr>
            </w:pPr>
            <w:r>
              <w:rPr>
                <w:rFonts w:hint="default"/>
                <w:color w:val="auto"/>
                <w:highlight w:val="none"/>
                <w:lang w:val="en-US" w:eastAsia="zh-CN"/>
              </w:rPr>
              <w:t>78.76</w:t>
            </w:r>
          </w:p>
        </w:tc>
        <w:tc>
          <w:tcPr>
            <w:tcW w:w="9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0FBCB">
            <w:pPr>
              <w:pStyle w:val="71"/>
              <w:bidi w:val="0"/>
              <w:rPr>
                <w:rFonts w:hint="default"/>
                <w:color w:val="auto"/>
                <w:highlight w:val="none"/>
              </w:rPr>
            </w:pPr>
            <w:r>
              <w:rPr>
                <w:rFonts w:hint="default"/>
                <w:color w:val="auto"/>
                <w:highlight w:val="none"/>
                <w:lang w:val="en-US" w:eastAsia="zh-CN"/>
              </w:rPr>
              <w:t>78.76</w:t>
            </w:r>
          </w:p>
        </w:tc>
        <w:tc>
          <w:tcPr>
            <w:tcW w:w="12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2DA07">
            <w:pPr>
              <w:pStyle w:val="71"/>
              <w:bidi w:val="0"/>
              <w:rPr>
                <w:rFonts w:hint="default"/>
                <w:color w:val="auto"/>
                <w:highlight w:val="none"/>
              </w:rPr>
            </w:pPr>
            <w:r>
              <w:rPr>
                <w:rFonts w:hint="default"/>
                <w:color w:val="auto"/>
                <w:highlight w:val="none"/>
                <w:lang w:val="en-US" w:eastAsia="zh-CN"/>
              </w:rPr>
              <w:t>64.8</w:t>
            </w:r>
          </w:p>
        </w:tc>
      </w:tr>
    </w:tbl>
    <w:p w14:paraId="460CA457">
      <w:pPr>
        <w:pStyle w:val="4"/>
        <w:spacing w:before="0" w:after="0" w:line="560" w:lineRule="exact"/>
        <w:outlineLvl w:val="2"/>
        <w:rPr>
          <w:rFonts w:hint="default" w:ascii="Times New Roman" w:hAnsi="Times New Roman" w:eastAsia="宋体" w:cs="Times New Roman"/>
          <w:smallCaps w:val="0"/>
          <w:color w:val="auto"/>
          <w:spacing w:val="0"/>
          <w:w w:val="100"/>
          <w:highlight w:val="none"/>
        </w:rPr>
      </w:pPr>
      <w:r>
        <w:rPr>
          <w:rFonts w:hint="default" w:ascii="Times New Roman" w:hAnsi="Times New Roman" w:eastAsia="宋体" w:cs="Times New Roman"/>
          <w:smallCaps w:val="0"/>
          <w:color w:val="auto"/>
          <w:spacing w:val="0"/>
          <w:w w:val="100"/>
          <w:highlight w:val="none"/>
        </w:rPr>
        <w:t>6.2.</w:t>
      </w:r>
      <w:r>
        <w:rPr>
          <w:rFonts w:hint="eastAsia" w:ascii="Times New Roman" w:hAnsi="Times New Roman" w:cs="Times New Roman"/>
          <w:smallCaps w:val="0"/>
          <w:color w:val="auto"/>
          <w:spacing w:val="0"/>
          <w:w w:val="100"/>
          <w:highlight w:val="none"/>
          <w:lang w:val="en-US" w:eastAsia="zh-CN"/>
        </w:rPr>
        <w:t>5</w:t>
      </w:r>
      <w:r>
        <w:rPr>
          <w:rFonts w:hint="default" w:ascii="Times New Roman" w:hAnsi="Times New Roman" w:eastAsia="宋体" w:cs="Times New Roman"/>
          <w:smallCaps w:val="0"/>
          <w:color w:val="auto"/>
          <w:spacing w:val="0"/>
          <w:w w:val="100"/>
          <w:highlight w:val="none"/>
        </w:rPr>
        <w:t xml:space="preserve">  主要工程施工</w:t>
      </w:r>
      <w:bookmarkEnd w:id="257"/>
    </w:p>
    <w:p w14:paraId="3AED99FF">
      <w:pPr>
        <w:kinsoku/>
        <w:spacing w:line="560" w:lineRule="exact"/>
        <w:ind w:left="44" w:right="105" w:firstLine="59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本项目农田基础设施工程施工主要包括：田块整治、灌溉与排水、田间道路、农田防护与生态环境保护等。</w:t>
      </w:r>
    </w:p>
    <w:p w14:paraId="36136E4B">
      <w:pPr>
        <w:pStyle w:val="5"/>
        <w:spacing w:before="0" w:after="0" w:line="560" w:lineRule="exact"/>
        <w:outlineLvl w:val="3"/>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highlight w:val="none"/>
          <w:lang w:eastAsia="zh-CN"/>
        </w:rPr>
        <w:t>6.2.</w:t>
      </w:r>
      <w:r>
        <w:rPr>
          <w:rFonts w:hint="eastAsia" w:ascii="Times New Roman" w:hAnsi="Times New Roman" w:eastAsia="宋体" w:cs="Times New Roman"/>
          <w:smallCaps w:val="0"/>
          <w:color w:val="auto"/>
          <w:spacing w:val="0"/>
          <w:w w:val="100"/>
          <w:highlight w:val="none"/>
          <w:lang w:val="en-US" w:eastAsia="zh-CN"/>
        </w:rPr>
        <w:t>5</w:t>
      </w:r>
      <w:r>
        <w:rPr>
          <w:rFonts w:hint="default" w:ascii="Times New Roman" w:hAnsi="Times New Roman" w:eastAsia="宋体" w:cs="Times New Roman"/>
          <w:smallCaps w:val="0"/>
          <w:color w:val="auto"/>
          <w:spacing w:val="0"/>
          <w:w w:val="100"/>
          <w:highlight w:val="none"/>
          <w:lang w:eastAsia="zh-CN"/>
        </w:rPr>
        <w:t>.1田（</w:t>
      </w:r>
      <w:r>
        <w:rPr>
          <w:rFonts w:hint="default" w:ascii="Times New Roman" w:hAnsi="Times New Roman" w:eastAsia="宋体" w:cs="Times New Roman"/>
          <w:smallCaps w:val="0"/>
          <w:color w:val="auto"/>
          <w:spacing w:val="0"/>
          <w:w w:val="100"/>
          <w:highlight w:val="none"/>
          <w:lang w:val="en-US" w:eastAsia="zh-CN"/>
        </w:rPr>
        <w:t>地）</w:t>
      </w:r>
      <w:r>
        <w:rPr>
          <w:rFonts w:hint="default" w:ascii="Times New Roman" w:hAnsi="Times New Roman" w:eastAsia="宋体" w:cs="Times New Roman"/>
          <w:smallCaps w:val="0"/>
          <w:color w:val="auto"/>
          <w:spacing w:val="0"/>
          <w:w w:val="100"/>
          <w:highlight w:val="none"/>
          <w:lang w:eastAsia="zh-CN"/>
        </w:rPr>
        <w:t>块整治工程</w:t>
      </w:r>
    </w:p>
    <w:p w14:paraId="227B0A9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1.施工流程</w:t>
      </w:r>
    </w:p>
    <w:p w14:paraId="6552FAE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测量放线→耕作层剥离→挖高填低→夯筑土埂→底土平整→耕作层复位→田面平整</w:t>
      </w:r>
    </w:p>
    <w:p w14:paraId="3B716AC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2.施工放样</w:t>
      </w:r>
    </w:p>
    <w:p w14:paraId="0919565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据已知坐标点，使用全站仪放出田块内沟渠坐标，确定各结构物的位置，沟渠网布好后，结合实际地形进行田块分割，控制各田块高程，既保证各田块灌溉、排水畅通，又要使各田块间挖、填土方量基本达到平衡，同时也保证各田（地）块布置整齐有序，田埂平直。田块分割好后，进行平整作业。</w:t>
      </w:r>
    </w:p>
    <w:p w14:paraId="2C12147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w:t>
      </w:r>
      <w:r>
        <w:rPr>
          <w:rFonts w:hint="default" w:ascii="Times New Roman" w:hAnsi="Times New Roman" w:eastAsia="宋体" w:cs="Times New Roman"/>
          <w:smallCaps w:val="0"/>
          <w:color w:val="auto"/>
          <w:spacing w:val="0"/>
          <w:w w:val="100"/>
          <w:sz w:val="30"/>
          <w:szCs w:val="30"/>
          <w:highlight w:val="none"/>
          <w:lang w:val="en-US" w:eastAsia="zh-CN"/>
        </w:rPr>
        <w:t>地</w:t>
      </w:r>
      <w:r>
        <w:rPr>
          <w:rFonts w:hint="default" w:ascii="Times New Roman" w:hAnsi="Times New Roman" w:eastAsia="宋体" w:cs="Times New Roman"/>
          <w:smallCaps w:val="0"/>
          <w:color w:val="auto"/>
          <w:spacing w:val="0"/>
          <w:w w:val="100"/>
          <w:sz w:val="30"/>
          <w:szCs w:val="30"/>
          <w:highlight w:val="none"/>
          <w:lang w:eastAsia="zh-CN"/>
        </w:rPr>
        <w:t>块整治</w:t>
      </w:r>
    </w:p>
    <w:p w14:paraId="4CA89A7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（1）测量放线。以原有自然台位为基础，分台放线，大弯随弯，小弯裁直；台位不明显、地坡零碎、坡度大的地方，沿等高线放线；撒灰线，定台位，确定筑埂、耕作层堆放位置以及起土开厢边线。</w:t>
      </w:r>
    </w:p>
    <w:p w14:paraId="7B3A6A4B">
      <w:pPr>
        <w:kinsoku/>
        <w:spacing w:line="560" w:lineRule="exact"/>
        <w:ind w:left="42" w:right="105"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（2）耕作层削离。办法有：一为横向中带聚土法，把地块横向等分三带，中带为不动土区，把上下两带的耕作层聚于中带；二为竖向分厢聚土法，竖向分厢，厢宽3～5m，每两厢为一组，相互翻土。</w:t>
      </w:r>
    </w:p>
    <w:p w14:paraId="1E3D6B0D">
      <w:pPr>
        <w:kinsoku/>
        <w:spacing w:line="560" w:lineRule="exact"/>
        <w:ind w:left="42" w:right="105"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（3）夯筑田埂：结合灌排沟渠的布置田块调形，归并原有田埂，切小并大，按照规划设计重新制埂，田坎不得使用有机质及淤泥夯筑。</w:t>
      </w:r>
    </w:p>
    <w:p w14:paraId="0B0CBFC0">
      <w:pPr>
        <w:kinsoku/>
        <w:spacing w:line="560" w:lineRule="exact"/>
        <w:ind w:left="42" w:right="105"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制埂要求：清除表土，铲除废弃土埂，田坎设计参照《水土保持综合治理技术规范》（GB/T16453－2008），按10年一遇6小时最大暴雨设计。根据项目区实际地形，田坎原则上沿原陡坎线布设，部分地段截弯取直。田埂较高的地方，采用M7.5浆砌块石护埂，外边坡比为1:0.25，块石之间应互相嵌实咬紧，石缝错开，分层砌筑，从而保证石坎稳定，不垮塌。块石坎基础必须置于坚硬的基岩或土质上。</w:t>
      </w:r>
    </w:p>
    <w:p w14:paraId="0324F003">
      <w:pPr>
        <w:kinsoku/>
        <w:spacing w:line="560" w:lineRule="exact"/>
        <w:ind w:left="42" w:right="105"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（4）底土平整：对剥离耕作层后的田面用机械方法挖高填低，底土有填方的地方，厚度应加大10%以上，并进行压实以使沉陷后能保持原设计高程，达到平整度要求。</w:t>
      </w:r>
    </w:p>
    <w:p w14:paraId="3B184C9A">
      <w:pPr>
        <w:kinsoku/>
        <w:spacing w:line="560" w:lineRule="exact"/>
        <w:ind w:left="42" w:right="105"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（5）耕作层回填。底土平整后，应将外运耕作层均匀地回覆于平整好的底土表面。采用逐台下翻或逐台上翻的办法，在同一台面内平整地面，建成水平梯地。</w:t>
      </w:r>
    </w:p>
    <w:p w14:paraId="4AA0802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地表石头清理</w:t>
      </w:r>
    </w:p>
    <w:p w14:paraId="0426C58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根据现场实地调查，项目区部分耕作地块存在大小不一的砾石分布，砾石的存在不仅破坏土壤耕作层结构、阻碍农作物根系伸展，还会影响农业机械作业效率（易造成农机具磨损、作业受阻），导致土壤保水保肥能力下降，最终制约农业生产提质增效与粮食产量提升。为彻底改善地块耕作条件，保障后续农业生产与农机化作业顺利开展，结合地块实际情况，优化地表砾石清理设计方案，明确清理流程、技术要求与质量标准，具体内容如下：</w:t>
      </w:r>
    </w:p>
    <w:p w14:paraId="37FAEDC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1）、清理原则 坚持“因地制宜、分类处置、彻底清理、生态优先、熟土保护、质量可控”的原则，结合砾石大小、分布密度，采用“机械为主、人工为辅、分轮推进”的清理方式，兼顾清理效率与耕作需求，确保清理后地块满足农业生产及农机化作业标准，同时避免过度扰动土壤，保护耕作层。 2）、清理范围与对象 ①清理范围：项目区所有存在砾石影响的设计捡石的地块，，确保清理范围无遗漏、无死角。 ②清理对象：地块地表所有影响农业生产、农机作业的砾石，包括直径≥5cm的较大石块、零散碎石及砾石碎屑，重点清理易造成农机卡阻、根系损伤的块状砾石。 ③、优化清理流程与操作要求 采用“分轮清理、分级处置”的流程，先处理大型砾石，再清理零散碎石，全程做好质量管控，具体操作如下： （一）第一轮：大型砾石机械清理处置 1. 前期勘察标记：清理前，组织人员对地块进行逐片勘察，采用标杆标记、分区划分的方式，明确大型砾石（直径≥50cm）的分布位置、数量，避免清理过程中遗漏或重复作业，同时规划农机作业路线，减少土壤扰动。 2. 大型砾石破碎/爆破处理：针对地块内直径≥50cm、无法直接清运的大型砾石，根据现场地形及安全要求，优先采用破碎锤进行破碎处理，将其分解为直径≤20cm的碎石块；对位于地块边缘、远离居民区及作物区域，且破碎作业难度较大的大型砾石，可采用机械撬移至弃置点方式处理。 3. 机械清运清理：大型砾石破碎后，采用挖掘机配合拖拉机开展集中清运清理作业。挖掘机负责将破碎后的碎石块及地块内直径5-50cm的中型砾石集中归集，堆放于地块临时堆放点，临时堆放点选择地块边缘、不影响后续耕作及农机通行的区域，做好防尘、防流失措施；拖拉机配合拖车，将临时堆放的砾石统一清运至项目指定弃置点，清运过程中避免砾石散落，防止二次污染地块。 4. 地块初步平整：大型砾石清运完成后，采用拖拉机配套旋耕机对地块进行初步平整，平整后地块地表无明显坑洼凸起，农机作业无卡阻，确保后续人工捡石作业顺利开展。 （二）第二轮：零散碎石人工二次清理 1. 人工捡石作业：第一轮机械清理完成后，组织专业作业人员开展人工二次捡石，重点清理地块内散落的直径≥5cm的碎石、砾石碎屑，以及机械清理过程中遗漏的小型砾石。作业时采用“分片作业、逐行排查”的方式，作业人员手持铁锹、竹筐等工具，将碎石逐一捡拾、归集，确保无遗漏。 2. 碎石二次清运：人工捡拾的碎石集中堆放于临时堆放点，定期采用拖拉机拖车清运至指定弃置点，严禁随意堆放于地块边缘、田间道路或灌溉渠道旁，避免影响农业生产、交通及灌溉。 （三）清理后地块修整 二次捡石完成后，再次采用拖拉机配套旋耕机对地块进行深耕、平整，深耕深度控制在15-20cm，确保土壤耕作层疏松、平整，砾石分布均匀，同时清理地块内的杂草、杂物，为后续播种、农机作业奠定基础。 四、质量控制标准 1. 砾石含量标准：地表及耕作层（0-30cm）砾石含量≤15%，其中直径≥5cm的砾石不得留存，确保土壤耕作层满足农作物生长及农机化作业要求。 2. 地块平整标准：清理后地块地表平整，无明显坑洼、凸起，地表坡度≤5°，无碎石堆、</w:t>
      </w:r>
    </w:p>
    <w:p w14:paraId="32F589E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3. 弃置标准：清理的砾石需全部清运至项目指定弃置点，弃置点需做好防护措施，避免砾石流失、污染周边环境，严禁随意丢弃。</w:t>
      </w:r>
    </w:p>
    <w:p w14:paraId="23573F6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4. 质量验收要求：清理工作完成后，采用“随机抽样检测”的方式进行验收，抽样密度为每50亩抽取3个检测点，每个检测点取样面积1㎡，深度30cm，检测砾石含量及清理质量，验收合格后方可进入下一环节作业；不合格地块需限期整改，重新清理后再次验收，直至合格。</w:t>
      </w:r>
    </w:p>
    <w:p w14:paraId="5CCCC6A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3.</w:t>
      </w:r>
      <w:r>
        <w:rPr>
          <w:rFonts w:hint="eastAsia" w:ascii="Times New Roman" w:hAnsi="Times New Roman" w:eastAsia="宋体" w:cs="Times New Roman"/>
          <w:smallCaps w:val="0"/>
          <w:color w:val="auto"/>
          <w:spacing w:val="0"/>
          <w:w w:val="100"/>
          <w:sz w:val="30"/>
          <w:szCs w:val="30"/>
          <w:highlight w:val="none"/>
          <w:lang w:val="en-US" w:eastAsia="zh-CN"/>
        </w:rPr>
        <w:t>机械平整</w:t>
      </w:r>
    </w:p>
    <w:p w14:paraId="63BF6C8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采用机械覆土时，土壤被压得很实，一般来说，疏松土层有利于农作物根系的发育、生长，也有助于土壤渗水，减少地面径流，所以机械平整后，压实部分经过翻耕耙犁，捣碎土块，有利于达到疏松土壤的目的。所以，土地平整施工后，地块部分面积表土被机械压实，应进行翻耕耙犁工序。</w:t>
      </w:r>
    </w:p>
    <w:p w14:paraId="2EBB99F9">
      <w:pPr>
        <w:pStyle w:val="5"/>
        <w:spacing w:before="0" w:after="0" w:line="560" w:lineRule="exact"/>
        <w:outlineLvl w:val="3"/>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highlight w:val="none"/>
          <w:lang w:eastAsia="zh-CN"/>
        </w:rPr>
        <w:t>6.2.</w:t>
      </w:r>
      <w:r>
        <w:rPr>
          <w:rFonts w:hint="eastAsia" w:ascii="Times New Roman" w:hAnsi="Times New Roman" w:eastAsia="宋体" w:cs="Times New Roman"/>
          <w:smallCaps w:val="0"/>
          <w:color w:val="auto"/>
          <w:spacing w:val="0"/>
          <w:w w:val="100"/>
          <w:highlight w:val="none"/>
          <w:lang w:val="en-US" w:eastAsia="zh-CN"/>
        </w:rPr>
        <w:t>5</w:t>
      </w:r>
      <w:r>
        <w:rPr>
          <w:rFonts w:hint="default" w:ascii="Times New Roman" w:hAnsi="Times New Roman" w:eastAsia="宋体" w:cs="Times New Roman"/>
          <w:smallCaps w:val="0"/>
          <w:color w:val="auto"/>
          <w:spacing w:val="0"/>
          <w:w w:val="100"/>
          <w:highlight w:val="none"/>
          <w:lang w:eastAsia="zh-CN"/>
        </w:rPr>
        <w:t>.2灌溉与排水工程</w:t>
      </w:r>
    </w:p>
    <w:p w14:paraId="23D2E49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1.</w:t>
      </w:r>
      <w:r>
        <w:rPr>
          <w:rFonts w:hint="default" w:ascii="Times New Roman" w:hAnsi="Times New Roman" w:eastAsia="宋体" w:cs="Times New Roman"/>
          <w:smallCaps w:val="0"/>
          <w:color w:val="auto"/>
          <w:spacing w:val="0"/>
          <w:w w:val="100"/>
          <w:sz w:val="30"/>
          <w:szCs w:val="30"/>
          <w:highlight w:val="none"/>
          <w:lang w:eastAsia="zh-CN"/>
        </w:rPr>
        <w:t>蓄水池</w:t>
      </w:r>
    </w:p>
    <w:p w14:paraId="0D1BD0E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1）施工流程</w:t>
      </w:r>
    </w:p>
    <w:p w14:paraId="7F2AE6F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施工准备→基础开挖及处理→底板施工→池墙施工→闭水试验→附属设施施工→交工验收。</w:t>
      </w:r>
    </w:p>
    <w:p w14:paraId="43B052F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2）土石方工程施工</w:t>
      </w:r>
    </w:p>
    <w:p w14:paraId="5E6AB32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土方</w:t>
      </w:r>
      <w:r>
        <w:rPr>
          <w:rFonts w:hint="default" w:ascii="Times New Roman" w:hAnsi="Times New Roman" w:eastAsia="宋体" w:cs="Times New Roman"/>
          <w:smallCaps w:val="0"/>
          <w:color w:val="auto"/>
          <w:spacing w:val="0"/>
          <w:w w:val="100"/>
          <w:sz w:val="30"/>
          <w:szCs w:val="30"/>
          <w:highlight w:val="none"/>
          <w:lang w:val="en-US" w:eastAsia="zh-CN"/>
        </w:rPr>
        <w:t>工程采用1m³单斗挖掘机配合</w:t>
      </w:r>
      <w:r>
        <w:rPr>
          <w:rFonts w:hint="eastAsia" w:ascii="Times New Roman" w:hAnsi="Times New Roman" w:eastAsia="宋体" w:cs="Times New Roman"/>
          <w:smallCaps w:val="0"/>
          <w:color w:val="auto"/>
          <w:spacing w:val="0"/>
          <w:w w:val="100"/>
          <w:sz w:val="30"/>
          <w:szCs w:val="30"/>
          <w:highlight w:val="none"/>
          <w:lang w:val="en-US" w:eastAsia="zh-CN"/>
        </w:rPr>
        <w:t>人工胶轮车</w:t>
      </w:r>
      <w:r>
        <w:rPr>
          <w:rFonts w:hint="default" w:ascii="Times New Roman" w:hAnsi="Times New Roman" w:eastAsia="宋体" w:cs="Times New Roman"/>
          <w:smallCaps w:val="0"/>
          <w:color w:val="auto"/>
          <w:spacing w:val="0"/>
          <w:w w:val="100"/>
          <w:sz w:val="30"/>
          <w:szCs w:val="30"/>
          <w:highlight w:val="none"/>
          <w:lang w:val="en-US" w:eastAsia="zh-CN"/>
        </w:rPr>
        <w:t>运输土方，石方工程采用人工手持风镐开挖</w:t>
      </w:r>
      <w:r>
        <w:rPr>
          <w:rFonts w:hint="default" w:ascii="Times New Roman" w:hAnsi="Times New Roman" w:eastAsia="宋体" w:cs="Times New Roman"/>
          <w:smallCaps w:val="0"/>
          <w:color w:val="auto"/>
          <w:spacing w:val="0"/>
          <w:w w:val="100"/>
          <w:sz w:val="30"/>
          <w:szCs w:val="30"/>
          <w:highlight w:val="none"/>
          <w:lang w:eastAsia="zh-CN"/>
        </w:rPr>
        <w:t>。沟、渠和道路先开挖平台，再开挖渠槽和基坑。对石方开挖较大的地段，采用电钻钻孔、胶轮车运渣开挖，弃土要在指定地点堆放并合理利用消化，做到挖填平衡。开挖接近设计尺寸时，预留 20cm的保护层，以防止地基土扰动、风化，待砌筑前再将此层土挖去。基坑的尺寸标准应严格掌握，既不能超挖增加工程量，也不能少挖降低工程标准，</w:t>
      </w:r>
    </w:p>
    <w:p w14:paraId="315215B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3）现浇混凝土蓄水池</w:t>
      </w:r>
    </w:p>
    <w:p w14:paraId="766950A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 1 \* GB3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①</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混凝土宜采用有抗渗配合比的混凝土。混凝土底板不设施工缝。</w:t>
      </w:r>
    </w:p>
    <w:p w14:paraId="4148990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 2 \* GB3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②</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按要求预埋（预留）进、出水管（孔）及其他管道孔，并做好防渗（防腐）处理。</w:t>
      </w:r>
    </w:p>
    <w:p w14:paraId="1923512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 3 \* GB3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③</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池壁混凝土浇筑应连续进行，每次浇筑高度不应超过20cm，并用软轴振捣棒振捣密实。</w:t>
      </w:r>
    </w:p>
    <w:p w14:paraId="7AEBF93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 4 \* GB3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④</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混凝土终凝后应洒水养护不少于7d，炎热天气洒水不少于4次/d。其他混凝土、钢筋及模板施工工艺按相关内容执行。</w:t>
      </w:r>
    </w:p>
    <w:p w14:paraId="71F00BB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 5 \* GB3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⑤</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渗漏试验：首先进行底板渗漏试验，充水高度30cm左右，充水结束后稳定2d，观察渗漏指标是否满足设计要求，如达不到要求及时进行修补至满足设计要求。池壁渗漏试验分三次充水，每次充水1/3设计深度，每次充水结束后均按上述方法进行观察，如达不到设计指标则及时修补。如池壁需抹灰，应在抹灰前进行水池渗漏试验。</w:t>
      </w:r>
    </w:p>
    <w:p w14:paraId="20FE549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4）其他结构（进口拦污栅和沉砂池等）做好与蓄水池施工工艺协调衔接。</w:t>
      </w:r>
    </w:p>
    <w:p w14:paraId="5800922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5）蓄水池池壁砂浆强度达到设计强度75%后，可进行池壁背土回填，回填时应对称均匀分层回填，采用人工配合小型机具压实，分层厚度不宜超过20cm。</w:t>
      </w:r>
    </w:p>
    <w:p w14:paraId="28F3C5D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6）安全防护</w:t>
      </w:r>
    </w:p>
    <w:p w14:paraId="2AF8F97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在显著位置加设安全警示标识。</w:t>
      </w:r>
    </w:p>
    <w:p w14:paraId="459F70A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2.渠道工程</w:t>
      </w:r>
    </w:p>
    <w:p w14:paraId="639BAC9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1）施工流程</w:t>
      </w:r>
    </w:p>
    <w:p w14:paraId="577913D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施工准备→备料（水泥、砂、</w:t>
      </w:r>
      <w:r>
        <w:rPr>
          <w:rFonts w:hint="default" w:ascii="Times New Roman" w:hAnsi="Times New Roman" w:eastAsia="宋体" w:cs="Times New Roman"/>
          <w:smallCaps w:val="0"/>
          <w:color w:val="auto"/>
          <w:spacing w:val="0"/>
          <w:w w:val="100"/>
          <w:sz w:val="30"/>
          <w:szCs w:val="30"/>
          <w:highlight w:val="none"/>
          <w:lang w:val="en-US" w:eastAsia="zh-CN"/>
        </w:rPr>
        <w:t>砼块</w:t>
      </w:r>
      <w:r>
        <w:rPr>
          <w:rFonts w:hint="default" w:ascii="Times New Roman" w:hAnsi="Times New Roman" w:eastAsia="宋体" w:cs="Times New Roman"/>
          <w:smallCaps w:val="0"/>
          <w:color w:val="auto"/>
          <w:spacing w:val="0"/>
          <w:w w:val="100"/>
          <w:sz w:val="30"/>
          <w:szCs w:val="30"/>
          <w:highlight w:val="none"/>
          <w:lang w:eastAsia="zh-CN"/>
        </w:rPr>
        <w:t>等材料）→测量放样→土方开挖→验槽→渠底和渠墙基础施工→渠底保养、验收→渠墙砌筑→断面欠方回填土→渠道外观检测、放水检验→交工验收</w:t>
      </w:r>
    </w:p>
    <w:p w14:paraId="5C00321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2）土方工程施工</w:t>
      </w:r>
    </w:p>
    <w:p w14:paraId="6365A3E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土方</w:t>
      </w:r>
      <w:r>
        <w:rPr>
          <w:rFonts w:hint="default" w:ascii="Times New Roman" w:hAnsi="Times New Roman" w:eastAsia="宋体" w:cs="Times New Roman"/>
          <w:smallCaps w:val="0"/>
          <w:color w:val="auto"/>
          <w:spacing w:val="0"/>
          <w:w w:val="100"/>
          <w:sz w:val="30"/>
          <w:szCs w:val="30"/>
          <w:highlight w:val="none"/>
          <w:lang w:val="en-US" w:eastAsia="zh-CN"/>
        </w:rPr>
        <w:t>工程采用1m³单斗挖掘机配合</w:t>
      </w:r>
      <w:r>
        <w:rPr>
          <w:rFonts w:hint="eastAsia" w:ascii="Times New Roman" w:hAnsi="Times New Roman" w:eastAsia="宋体" w:cs="Times New Roman"/>
          <w:smallCaps w:val="0"/>
          <w:color w:val="auto"/>
          <w:spacing w:val="0"/>
          <w:w w:val="100"/>
          <w:sz w:val="30"/>
          <w:szCs w:val="30"/>
          <w:highlight w:val="none"/>
          <w:lang w:val="en-US" w:eastAsia="zh-CN"/>
        </w:rPr>
        <w:t>人工胶轮车</w:t>
      </w:r>
      <w:r>
        <w:rPr>
          <w:rFonts w:hint="default" w:ascii="Times New Roman" w:hAnsi="Times New Roman" w:eastAsia="宋体" w:cs="Times New Roman"/>
          <w:smallCaps w:val="0"/>
          <w:color w:val="auto"/>
          <w:spacing w:val="0"/>
          <w:w w:val="100"/>
          <w:sz w:val="30"/>
          <w:szCs w:val="30"/>
          <w:highlight w:val="none"/>
          <w:lang w:val="en-US" w:eastAsia="zh-CN"/>
        </w:rPr>
        <w:t>运输土方，石方工程采用人工手持风镐开挖</w:t>
      </w:r>
      <w:r>
        <w:rPr>
          <w:rFonts w:hint="default" w:ascii="Times New Roman" w:hAnsi="Times New Roman" w:eastAsia="宋体" w:cs="Times New Roman"/>
          <w:smallCaps w:val="0"/>
          <w:color w:val="auto"/>
          <w:spacing w:val="0"/>
          <w:w w:val="100"/>
          <w:sz w:val="30"/>
          <w:szCs w:val="30"/>
          <w:highlight w:val="none"/>
          <w:lang w:eastAsia="zh-CN"/>
        </w:rPr>
        <w:t>。沟、渠和道路先开挖平台，再开挖渠槽和基坑。对石方开挖较大的地段，采用电钻钻孔爆破、胶轮车运渣开挖，弃土要在指定地点堆放并合理利用消化，做到挖填平衡。开挖接近设计尺寸时，预留20</w:t>
      </w:r>
      <w:r>
        <w:rPr>
          <w:rFonts w:hint="default" w:ascii="Times New Roman" w:hAnsi="Times New Roman" w:eastAsia="宋体" w:cs="Times New Roman"/>
          <w:smallCaps w:val="0"/>
          <w:color w:val="auto"/>
          <w:spacing w:val="0"/>
          <w:w w:val="100"/>
          <w:sz w:val="30"/>
          <w:szCs w:val="30"/>
          <w:highlight w:val="none"/>
          <w:lang w:val="en-US" w:eastAsia="zh-CN"/>
        </w:rPr>
        <w:t>厘米</w:t>
      </w:r>
      <w:r>
        <w:rPr>
          <w:rFonts w:hint="default" w:ascii="Times New Roman" w:hAnsi="Times New Roman" w:eastAsia="宋体" w:cs="Times New Roman"/>
          <w:smallCaps w:val="0"/>
          <w:color w:val="auto"/>
          <w:spacing w:val="0"/>
          <w:w w:val="100"/>
          <w:sz w:val="30"/>
          <w:szCs w:val="30"/>
          <w:highlight w:val="none"/>
          <w:lang w:eastAsia="zh-CN"/>
        </w:rPr>
        <w:t>的保护层，以防止地基土扰动、风化，待砌筑前再将此层土挖去。基坑的尺寸标准应严格掌握，既不能超挖增加工程量，也不能少挖降低工程标准。</w:t>
      </w:r>
    </w:p>
    <w:p w14:paraId="71A9307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土方回填时要严格控制回填土料的土质标准，土料含水量要适中，分层浇筑，每层厚度不超过30</w:t>
      </w:r>
      <w:r>
        <w:rPr>
          <w:rFonts w:hint="default" w:ascii="Times New Roman" w:hAnsi="Times New Roman" w:eastAsia="宋体" w:cs="Times New Roman"/>
          <w:smallCaps w:val="0"/>
          <w:color w:val="auto"/>
          <w:spacing w:val="0"/>
          <w:w w:val="100"/>
          <w:sz w:val="30"/>
          <w:szCs w:val="30"/>
          <w:highlight w:val="none"/>
          <w:lang w:val="en-US" w:eastAsia="zh-CN"/>
        </w:rPr>
        <w:t>厘米</w:t>
      </w:r>
      <w:r>
        <w:rPr>
          <w:rFonts w:hint="default" w:ascii="Times New Roman" w:hAnsi="Times New Roman" w:eastAsia="宋体" w:cs="Times New Roman"/>
          <w:smallCaps w:val="0"/>
          <w:color w:val="auto"/>
          <w:spacing w:val="0"/>
          <w:w w:val="100"/>
          <w:sz w:val="30"/>
          <w:szCs w:val="30"/>
          <w:highlight w:val="none"/>
          <w:lang w:eastAsia="zh-CN"/>
        </w:rPr>
        <w:t>，用蛙式打夯机夯实，打夯应不少于4遍。压实后的土料应在现场取样试验，干容重γd≥1.65</w:t>
      </w:r>
      <w:r>
        <w:rPr>
          <w:rFonts w:hint="default" w:ascii="Times New Roman" w:hAnsi="Times New Roman" w:eastAsia="宋体" w:cs="Times New Roman"/>
          <w:smallCaps w:val="0"/>
          <w:color w:val="auto"/>
          <w:spacing w:val="0"/>
          <w:w w:val="100"/>
          <w:sz w:val="30"/>
          <w:szCs w:val="30"/>
          <w:highlight w:val="none"/>
          <w:lang w:val="en-US" w:eastAsia="zh-CN"/>
        </w:rPr>
        <w:t>克</w:t>
      </w: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立方厘米</w:t>
      </w:r>
      <w:r>
        <w:rPr>
          <w:rFonts w:hint="default" w:ascii="Times New Roman" w:hAnsi="Times New Roman" w:eastAsia="宋体" w:cs="Times New Roman"/>
          <w:smallCaps w:val="0"/>
          <w:color w:val="auto"/>
          <w:spacing w:val="0"/>
          <w:w w:val="100"/>
          <w:sz w:val="30"/>
          <w:szCs w:val="30"/>
          <w:highlight w:val="none"/>
          <w:lang w:eastAsia="zh-CN"/>
        </w:rPr>
        <w:t>，含水量控制在12%～18%之间，若土料含水量过小，要适当加水夯填。</w:t>
      </w:r>
    </w:p>
    <w:p w14:paraId="3175DF4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渠道地基处理：新建过沟填方渠道，可采用浸水预沉法处理，沉陷稳定的标准为连续5日内平均下沉量小于1.0</w:t>
      </w:r>
      <w:r>
        <w:rPr>
          <w:rFonts w:hint="default" w:ascii="Times New Roman" w:hAnsi="Times New Roman" w:eastAsia="宋体" w:cs="Times New Roman"/>
          <w:smallCaps w:val="0"/>
          <w:color w:val="auto"/>
          <w:spacing w:val="0"/>
          <w:w w:val="100"/>
          <w:sz w:val="30"/>
          <w:szCs w:val="30"/>
          <w:highlight w:val="none"/>
          <w:lang w:val="en-US" w:eastAsia="zh-CN"/>
        </w:rPr>
        <w:t>毫米</w:t>
      </w:r>
      <w:r>
        <w:rPr>
          <w:rFonts w:hint="default" w:ascii="Times New Roman" w:hAnsi="Times New Roman" w:eastAsia="宋体" w:cs="Times New Roman"/>
          <w:smallCaps w:val="0"/>
          <w:color w:val="auto"/>
          <w:spacing w:val="0"/>
          <w:w w:val="100"/>
          <w:sz w:val="30"/>
          <w:szCs w:val="30"/>
          <w:highlight w:val="none"/>
          <w:lang w:eastAsia="zh-CN"/>
        </w:rPr>
        <w:t>、2.0</w:t>
      </w:r>
      <w:r>
        <w:rPr>
          <w:rFonts w:hint="default" w:ascii="Times New Roman" w:hAnsi="Times New Roman" w:eastAsia="宋体" w:cs="Times New Roman"/>
          <w:smallCaps w:val="0"/>
          <w:color w:val="auto"/>
          <w:spacing w:val="0"/>
          <w:w w:val="100"/>
          <w:sz w:val="30"/>
          <w:szCs w:val="30"/>
          <w:highlight w:val="none"/>
          <w:lang w:val="en-US" w:eastAsia="zh-CN"/>
        </w:rPr>
        <w:t>毫米</w:t>
      </w:r>
      <w:r>
        <w:rPr>
          <w:rFonts w:hint="default" w:ascii="Times New Roman" w:hAnsi="Times New Roman" w:eastAsia="宋体" w:cs="Times New Roman"/>
          <w:smallCaps w:val="0"/>
          <w:color w:val="auto"/>
          <w:spacing w:val="0"/>
          <w:w w:val="100"/>
          <w:sz w:val="30"/>
          <w:szCs w:val="30"/>
          <w:highlight w:val="none"/>
          <w:lang w:eastAsia="zh-CN"/>
        </w:rPr>
        <w:t>。强湿性地基可采用深翻回填地基，重锤夯压或强力夯实的方法处理。对软弱的地基，可采用换填法处理。换填材料应经监理工程师同意，换填砂浆石时，压实系数不小于0.93。改建防渗渠道的地基，应特别注意渠道新老土的结合。填筑时应将老渠坡挖成台阶状，再在上面夯填新土，整修成设计要求的渠道断面。</w:t>
      </w:r>
    </w:p>
    <w:p w14:paraId="4B6327A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w:t>
      </w:r>
      <w:bookmarkStart w:id="258" w:name="_Toc59507520"/>
      <w:bookmarkStart w:id="259" w:name="_Toc181992487"/>
      <w:r>
        <w:rPr>
          <w:rFonts w:hint="default" w:ascii="Times New Roman" w:hAnsi="Times New Roman" w:eastAsia="宋体" w:cs="Times New Roman"/>
          <w:smallCaps w:val="0"/>
          <w:color w:val="auto"/>
          <w:spacing w:val="0"/>
          <w:w w:val="100"/>
          <w:sz w:val="30"/>
          <w:szCs w:val="30"/>
          <w:highlight w:val="none"/>
          <w:lang w:eastAsia="zh-CN"/>
        </w:rPr>
        <w:t>）</w:t>
      </w:r>
      <w:bookmarkEnd w:id="258"/>
      <w:bookmarkEnd w:id="259"/>
      <w:r>
        <w:rPr>
          <w:rFonts w:hint="default" w:ascii="Times New Roman" w:hAnsi="Times New Roman" w:eastAsia="宋体" w:cs="Times New Roman"/>
          <w:smallCaps w:val="0"/>
          <w:color w:val="auto"/>
          <w:spacing w:val="0"/>
          <w:w w:val="100"/>
          <w:sz w:val="30"/>
          <w:szCs w:val="30"/>
          <w:highlight w:val="none"/>
          <w:lang w:eastAsia="zh-CN"/>
        </w:rPr>
        <w:t>混凝土</w:t>
      </w:r>
      <w:r>
        <w:rPr>
          <w:rFonts w:hint="default" w:ascii="Times New Roman" w:hAnsi="Times New Roman" w:eastAsia="宋体" w:cs="Times New Roman"/>
          <w:smallCaps w:val="0"/>
          <w:color w:val="auto"/>
          <w:spacing w:val="0"/>
          <w:w w:val="100"/>
          <w:sz w:val="30"/>
          <w:szCs w:val="30"/>
          <w:highlight w:val="none"/>
          <w:lang w:val="en-US" w:eastAsia="zh-CN"/>
        </w:rPr>
        <w:t>施工</w:t>
      </w:r>
    </w:p>
    <w:p w14:paraId="5FC7043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1.</w:t>
      </w:r>
      <w:r>
        <w:rPr>
          <w:rFonts w:hint="default" w:ascii="Times New Roman" w:hAnsi="Times New Roman" w:eastAsia="宋体" w:cs="Times New Roman"/>
          <w:smallCaps w:val="0"/>
          <w:color w:val="auto"/>
          <w:spacing w:val="0"/>
          <w:w w:val="100"/>
          <w:sz w:val="30"/>
          <w:szCs w:val="30"/>
          <w:highlight w:val="none"/>
          <w:lang w:eastAsia="zh-CN"/>
        </w:rPr>
        <w:t>水泥强度等级不低于 P.O.42.5 ，采用普通硅酸盐水泥。</w:t>
      </w:r>
    </w:p>
    <w:p w14:paraId="7B40896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混凝土粗、细骨料应满足下列要求：</w:t>
      </w:r>
    </w:p>
    <w:p w14:paraId="33DE096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①骨料应质地坚硬、洁净、级配良好。</w:t>
      </w:r>
    </w:p>
    <w:p w14:paraId="0994362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②细骨料的细度模数在 2.4～2.8 范围内，混凝土砂率为</w:t>
      </w:r>
      <w:r>
        <w:rPr>
          <w:rFonts w:hint="eastAsia" w:ascii="Times New Roman" w:hAnsi="Times New Roman" w:eastAsia="宋体" w:cs="Times New Roman"/>
          <w:smallCaps w:val="0"/>
          <w:color w:val="auto"/>
          <w:spacing w:val="0"/>
          <w:w w:val="100"/>
          <w:sz w:val="30"/>
          <w:szCs w:val="30"/>
          <w:highlight w:val="none"/>
          <w:lang w:eastAsia="zh-CN"/>
        </w:rPr>
        <w:t>35%～40%</w:t>
      </w:r>
      <w:r>
        <w:rPr>
          <w:rFonts w:hint="default" w:ascii="Times New Roman" w:hAnsi="Times New Roman" w:eastAsia="宋体" w:cs="Times New Roman"/>
          <w:smallCaps w:val="0"/>
          <w:color w:val="auto"/>
          <w:spacing w:val="0"/>
          <w:w w:val="100"/>
          <w:sz w:val="30"/>
          <w:szCs w:val="30"/>
          <w:highlight w:val="none"/>
          <w:lang w:eastAsia="zh-CN"/>
        </w:rPr>
        <w:t>。</w:t>
      </w:r>
    </w:p>
    <w:p w14:paraId="7FBD485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③粗骨料级配：当最大粒径为 40mm  时，分成 5～20mm  和 20～40mm  两级。</w:t>
      </w:r>
    </w:p>
    <w:p w14:paraId="744CED4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④所采用骨料的品质应符合《水工混凝土施工规范》（SL667）的有关要求。</w:t>
      </w:r>
    </w:p>
    <w:p w14:paraId="0722BA5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3.</w:t>
      </w:r>
      <w:r>
        <w:rPr>
          <w:rFonts w:hint="default" w:ascii="Times New Roman" w:hAnsi="Times New Roman" w:eastAsia="宋体" w:cs="Times New Roman"/>
          <w:smallCaps w:val="0"/>
          <w:color w:val="auto"/>
          <w:spacing w:val="0"/>
          <w:w w:val="100"/>
          <w:sz w:val="30"/>
          <w:szCs w:val="30"/>
          <w:highlight w:val="none"/>
          <w:lang w:eastAsia="zh-CN"/>
        </w:rPr>
        <w:t>外加剂的使用应满足下列要求：</w:t>
      </w:r>
    </w:p>
    <w:p w14:paraId="324F38C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①外加剂应选用经过国家及其授权的有关部门鉴定，并在有关水利工地成功应用 的、符合本工程特点的品种。</w:t>
      </w:r>
    </w:p>
    <w:p w14:paraId="667D81D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②所选用的外加剂必须与本工程采用的</w:t>
      </w:r>
      <w:r>
        <w:rPr>
          <w:rFonts w:hint="eastAsia" w:ascii="Times New Roman" w:hAnsi="Times New Roman" w:eastAsia="宋体" w:cs="Times New Roman"/>
          <w:smallCaps w:val="0"/>
          <w:color w:val="auto"/>
          <w:spacing w:val="0"/>
          <w:w w:val="100"/>
          <w:sz w:val="30"/>
          <w:szCs w:val="30"/>
          <w:highlight w:val="none"/>
          <w:lang w:eastAsia="zh-CN"/>
        </w:rPr>
        <w:t>其他原材料</w:t>
      </w:r>
      <w:r>
        <w:rPr>
          <w:rFonts w:hint="default" w:ascii="Times New Roman" w:hAnsi="Times New Roman" w:eastAsia="宋体" w:cs="Times New Roman"/>
          <w:smallCaps w:val="0"/>
          <w:color w:val="auto"/>
          <w:spacing w:val="0"/>
          <w:w w:val="100"/>
          <w:sz w:val="30"/>
          <w:szCs w:val="30"/>
          <w:highlight w:val="none"/>
          <w:lang w:eastAsia="zh-CN"/>
        </w:rPr>
        <w:t>相容，其品质必须满足《水工 混凝土施工规范》（SL667）的要求。</w:t>
      </w:r>
    </w:p>
    <w:p w14:paraId="7B3EAA0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③必要时，经论证后，可在混凝土中掺入适量的速凝剂。</w:t>
      </w:r>
    </w:p>
    <w:p w14:paraId="2F6A199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混凝土配合比应通过现场试验确定，报工程师审批后方可采用。</w:t>
      </w:r>
    </w:p>
    <w:p w14:paraId="14F7E31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拌和所有混凝土、砂浆应使用可饮用水或其他清洁水，不得使用含有油、酸、 盐类、有机物的水源及工业废水。</w:t>
      </w:r>
    </w:p>
    <w:p w14:paraId="6A94FC0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混凝土拌合</w:t>
      </w:r>
    </w:p>
    <w:p w14:paraId="03DD694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①</w:t>
      </w:r>
      <w:r>
        <w:rPr>
          <w:rFonts w:hint="default" w:ascii="Times New Roman" w:hAnsi="Times New Roman" w:eastAsia="宋体" w:cs="Times New Roman"/>
          <w:smallCaps w:val="0"/>
          <w:color w:val="auto"/>
          <w:spacing w:val="0"/>
          <w:w w:val="100"/>
          <w:sz w:val="30"/>
          <w:szCs w:val="30"/>
          <w:highlight w:val="none"/>
          <w:lang w:eastAsia="zh-CN"/>
        </w:rPr>
        <w:t>拌和设备投入混凝土生产前，应按经批准的混凝土施工配合比进行最佳投料 顺序和拌和时间的试验。</w:t>
      </w:r>
    </w:p>
    <w:p w14:paraId="18FEE54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②</w:t>
      </w:r>
      <w:r>
        <w:rPr>
          <w:rFonts w:hint="default" w:ascii="Times New Roman" w:hAnsi="Times New Roman" w:eastAsia="宋体" w:cs="Times New Roman"/>
          <w:smallCaps w:val="0"/>
          <w:color w:val="auto"/>
          <w:spacing w:val="0"/>
          <w:w w:val="100"/>
          <w:sz w:val="30"/>
          <w:szCs w:val="30"/>
          <w:highlight w:val="none"/>
          <w:lang w:eastAsia="zh-CN"/>
        </w:rPr>
        <w:t>必须按经过批准的配料单进行配料，严禁擅自更改。</w:t>
      </w:r>
    </w:p>
    <w:p w14:paraId="0E8BB2F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③</w:t>
      </w:r>
      <w:r>
        <w:rPr>
          <w:rFonts w:hint="default" w:ascii="Times New Roman" w:hAnsi="Times New Roman" w:eastAsia="宋体" w:cs="Times New Roman"/>
          <w:smallCaps w:val="0"/>
          <w:color w:val="auto"/>
          <w:spacing w:val="0"/>
          <w:w w:val="100"/>
          <w:sz w:val="30"/>
          <w:szCs w:val="30"/>
          <w:highlight w:val="none"/>
          <w:lang w:eastAsia="zh-CN"/>
        </w:rPr>
        <w:t>混凝土组成材料的</w:t>
      </w:r>
      <w:r>
        <w:rPr>
          <w:rFonts w:hint="eastAsia" w:ascii="Times New Roman" w:hAnsi="Times New Roman" w:eastAsia="宋体" w:cs="Times New Roman"/>
          <w:smallCaps w:val="0"/>
          <w:color w:val="auto"/>
          <w:spacing w:val="0"/>
          <w:w w:val="100"/>
          <w:sz w:val="30"/>
          <w:szCs w:val="30"/>
          <w:highlight w:val="none"/>
          <w:lang w:eastAsia="zh-CN"/>
        </w:rPr>
        <w:t>配料秤量</w:t>
      </w:r>
      <w:r>
        <w:rPr>
          <w:rFonts w:hint="default" w:ascii="Times New Roman" w:hAnsi="Times New Roman" w:eastAsia="宋体" w:cs="Times New Roman"/>
          <w:smallCaps w:val="0"/>
          <w:color w:val="auto"/>
          <w:spacing w:val="0"/>
          <w:w w:val="100"/>
          <w:sz w:val="30"/>
          <w:szCs w:val="30"/>
          <w:highlight w:val="none"/>
          <w:lang w:eastAsia="zh-CN"/>
        </w:rPr>
        <w:t>的允许重量偏差对于水泥、水和外加剂溶液为±1%， 对于砂、石骨料为±2%。</w:t>
      </w:r>
    </w:p>
    <w:p w14:paraId="002FE72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④</w:t>
      </w:r>
      <w:r>
        <w:rPr>
          <w:rFonts w:hint="default" w:ascii="Times New Roman" w:hAnsi="Times New Roman" w:eastAsia="宋体" w:cs="Times New Roman"/>
          <w:smallCaps w:val="0"/>
          <w:color w:val="auto"/>
          <w:spacing w:val="0"/>
          <w:w w:val="100"/>
          <w:sz w:val="30"/>
          <w:szCs w:val="30"/>
          <w:highlight w:val="none"/>
          <w:lang w:eastAsia="zh-CN"/>
        </w:rPr>
        <w:t>混凝土拌和时间应通过试验确定。</w:t>
      </w:r>
    </w:p>
    <w:p w14:paraId="5C9B525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⑤</w:t>
      </w:r>
      <w:r>
        <w:rPr>
          <w:rFonts w:hint="default" w:ascii="Times New Roman" w:hAnsi="Times New Roman" w:eastAsia="宋体" w:cs="Times New Roman"/>
          <w:smallCaps w:val="0"/>
          <w:color w:val="auto"/>
          <w:spacing w:val="0"/>
          <w:w w:val="100"/>
          <w:sz w:val="30"/>
          <w:szCs w:val="30"/>
          <w:highlight w:val="none"/>
          <w:lang w:eastAsia="zh-CN"/>
        </w:rPr>
        <w:t>卸料斗的出口与运输设备之间的落差不宜大于 2m。</w:t>
      </w:r>
    </w:p>
    <w:p w14:paraId="76970DD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7.</w:t>
      </w:r>
      <w:r>
        <w:rPr>
          <w:rFonts w:hint="default" w:ascii="Times New Roman" w:hAnsi="Times New Roman" w:eastAsia="宋体" w:cs="Times New Roman"/>
          <w:smallCaps w:val="0"/>
          <w:color w:val="auto"/>
          <w:spacing w:val="0"/>
          <w:w w:val="100"/>
          <w:sz w:val="30"/>
          <w:szCs w:val="30"/>
          <w:highlight w:val="none"/>
          <w:lang w:eastAsia="zh-CN"/>
        </w:rPr>
        <w:t>混凝土运输</w:t>
      </w:r>
    </w:p>
    <w:p w14:paraId="4B08301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混凝土采用</w:t>
      </w:r>
      <w:r>
        <w:rPr>
          <w:rFonts w:hint="default" w:ascii="Times New Roman" w:hAnsi="Times New Roman" w:eastAsia="宋体" w:cs="Times New Roman"/>
          <w:smallCaps w:val="0"/>
          <w:color w:val="auto"/>
          <w:spacing w:val="0"/>
          <w:w w:val="100"/>
          <w:sz w:val="30"/>
          <w:szCs w:val="30"/>
          <w:highlight w:val="none"/>
          <w:lang w:val="en-US" w:eastAsia="zh-CN"/>
        </w:rPr>
        <w:t>0.4m³搅拌机搅拌</w:t>
      </w:r>
      <w:r>
        <w:rPr>
          <w:rFonts w:hint="default" w:ascii="Times New Roman" w:hAnsi="Times New Roman" w:eastAsia="宋体" w:cs="Times New Roman"/>
          <w:smallCaps w:val="0"/>
          <w:color w:val="auto"/>
          <w:spacing w:val="0"/>
          <w:w w:val="100"/>
          <w:sz w:val="30"/>
          <w:szCs w:val="30"/>
          <w:highlight w:val="none"/>
          <w:lang w:eastAsia="zh-CN"/>
        </w:rPr>
        <w:t>，局部需转胶轮车二次运输入仓，胶轮车二次运输入仓综合运距</w:t>
      </w: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00m。混凝土采用人工架立模板，人工平仓，平板振捣器或插入式振捣器振捣。 混凝土施工应符合《水工混凝土施工规范》（SL677）的相关要求</w:t>
      </w:r>
    </w:p>
    <w:p w14:paraId="683F680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①</w:t>
      </w:r>
      <w:r>
        <w:rPr>
          <w:rFonts w:hint="default" w:ascii="Times New Roman" w:hAnsi="Times New Roman" w:eastAsia="宋体" w:cs="Times New Roman"/>
          <w:smallCaps w:val="0"/>
          <w:color w:val="auto"/>
          <w:spacing w:val="0"/>
          <w:w w:val="100"/>
          <w:sz w:val="30"/>
          <w:szCs w:val="30"/>
          <w:highlight w:val="none"/>
          <w:lang w:eastAsia="zh-CN"/>
        </w:rPr>
        <w:t>混凝土在运输过程中应尽量缩短运输时间及减少转料次数，应确保混凝土在 运输过程中不发生分离、漏浆、严重泌水及过多降低坍落度等。</w:t>
      </w:r>
    </w:p>
    <w:p w14:paraId="321172B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②</w:t>
      </w:r>
      <w:r>
        <w:rPr>
          <w:rFonts w:hint="default" w:ascii="Times New Roman" w:hAnsi="Times New Roman" w:eastAsia="宋体" w:cs="Times New Roman"/>
          <w:smallCaps w:val="0"/>
          <w:color w:val="auto"/>
          <w:spacing w:val="0"/>
          <w:w w:val="100"/>
          <w:sz w:val="30"/>
          <w:szCs w:val="30"/>
          <w:highlight w:val="none"/>
          <w:lang w:eastAsia="zh-CN"/>
        </w:rPr>
        <w:t>混凝土运输时间按下表控制。若混凝土已初凝，应作废料处理，严禁擅自向</w:t>
      </w:r>
    </w:p>
    <w:p w14:paraId="3D61D42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混凝土内加水。</w:t>
      </w:r>
    </w:p>
    <w:p w14:paraId="18D0D7F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 xml:space="preserve">表 </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1</w:t>
      </w:r>
      <w:r>
        <w:rPr>
          <w:rFonts w:hint="default" w:ascii="Times New Roman" w:hAnsi="Times New Roman" w:eastAsia="宋体" w:cs="Times New Roman"/>
          <w:smallCaps w:val="0"/>
          <w:color w:val="auto"/>
          <w:spacing w:val="0"/>
          <w:w w:val="100"/>
          <w:sz w:val="30"/>
          <w:szCs w:val="30"/>
          <w:highlight w:val="none"/>
          <w:lang w:eastAsia="zh-CN"/>
        </w:rPr>
        <w:t xml:space="preserve">                      混凝土运输时间</w:t>
      </w:r>
    </w:p>
    <w:tbl>
      <w:tblPr>
        <w:tblStyle w:val="26"/>
        <w:tblW w:w="900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78"/>
        <w:gridCol w:w="4824"/>
      </w:tblGrid>
      <w:tr w14:paraId="63D6BE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4178" w:type="dxa"/>
            <w:tcBorders>
              <w:top w:val="single" w:color="auto" w:sz="4" w:space="0"/>
              <w:left w:val="single" w:color="auto" w:sz="4" w:space="0"/>
              <w:bottom w:val="single" w:color="auto" w:sz="4" w:space="0"/>
              <w:right w:val="single" w:color="auto" w:sz="4" w:space="0"/>
            </w:tcBorders>
            <w:vAlign w:val="top"/>
          </w:tcPr>
          <w:p w14:paraId="774D003B">
            <w:pPr>
              <w:pStyle w:val="71"/>
              <w:bidi w:val="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 xml:space="preserve">气温 </w:t>
            </w:r>
            <w:r>
              <w:rPr>
                <w:rFonts w:hint="eastAsia" w:cs="Times New Roman"/>
                <w:color w:val="auto"/>
                <w:highlight w:val="none"/>
                <w:lang w:eastAsia="zh-CN"/>
              </w:rPr>
              <w:t>（</w:t>
            </w:r>
            <w:r>
              <w:rPr>
                <w:rFonts w:hint="default" w:ascii="Times New Roman" w:hAnsi="Times New Roman" w:cs="Times New Roman"/>
                <w:color w:val="auto"/>
                <w:highlight w:val="none"/>
                <w:lang w:eastAsia="zh-CN"/>
              </w:rPr>
              <w:t>℃</w:t>
            </w:r>
            <w:r>
              <w:rPr>
                <w:rFonts w:hint="eastAsia" w:cs="Times New Roman"/>
                <w:color w:val="auto"/>
                <w:highlight w:val="none"/>
                <w:lang w:eastAsia="zh-CN"/>
              </w:rPr>
              <w:t>）</w:t>
            </w:r>
          </w:p>
        </w:tc>
        <w:tc>
          <w:tcPr>
            <w:tcW w:w="4824" w:type="dxa"/>
            <w:tcBorders>
              <w:top w:val="single" w:color="auto" w:sz="4" w:space="0"/>
              <w:left w:val="single" w:color="auto" w:sz="4" w:space="0"/>
              <w:bottom w:val="single" w:color="auto" w:sz="4" w:space="0"/>
              <w:right w:val="single" w:color="auto" w:sz="4" w:space="0"/>
            </w:tcBorders>
            <w:vAlign w:val="top"/>
          </w:tcPr>
          <w:p w14:paraId="5601B2A9">
            <w:pPr>
              <w:pStyle w:val="71"/>
              <w:bidi w:val="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混凝土运输时间（分）</w:t>
            </w:r>
          </w:p>
        </w:tc>
      </w:tr>
      <w:tr w14:paraId="6C9469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atLeast"/>
        </w:trPr>
        <w:tc>
          <w:tcPr>
            <w:tcW w:w="4178" w:type="dxa"/>
            <w:tcBorders>
              <w:top w:val="single" w:color="auto" w:sz="4" w:space="0"/>
              <w:left w:val="single" w:color="auto" w:sz="4" w:space="0"/>
              <w:bottom w:val="single" w:color="auto" w:sz="4" w:space="0"/>
              <w:right w:val="single" w:color="auto" w:sz="4" w:space="0"/>
            </w:tcBorders>
            <w:vAlign w:val="top"/>
          </w:tcPr>
          <w:p w14:paraId="3B093754">
            <w:pPr>
              <w:pStyle w:val="71"/>
              <w:bidi w:val="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20</w:t>
            </w:r>
            <w:r>
              <w:rPr>
                <w:rFonts w:hint="eastAsia" w:cs="Times New Roman"/>
                <w:color w:val="auto"/>
                <w:highlight w:val="none"/>
                <w:lang w:eastAsia="zh-CN"/>
              </w:rPr>
              <w:t>~</w:t>
            </w:r>
            <w:r>
              <w:rPr>
                <w:rFonts w:hint="default" w:ascii="Times New Roman" w:hAnsi="Times New Roman" w:cs="Times New Roman"/>
                <w:color w:val="auto"/>
                <w:highlight w:val="none"/>
                <w:lang w:eastAsia="zh-CN"/>
              </w:rPr>
              <w:t>30</w:t>
            </w:r>
          </w:p>
        </w:tc>
        <w:tc>
          <w:tcPr>
            <w:tcW w:w="4824" w:type="dxa"/>
            <w:tcBorders>
              <w:top w:val="single" w:color="auto" w:sz="4" w:space="0"/>
              <w:left w:val="single" w:color="auto" w:sz="4" w:space="0"/>
              <w:bottom w:val="single" w:color="auto" w:sz="4" w:space="0"/>
              <w:right w:val="single" w:color="auto" w:sz="4" w:space="0"/>
            </w:tcBorders>
            <w:vAlign w:val="top"/>
          </w:tcPr>
          <w:p w14:paraId="2361C023">
            <w:pPr>
              <w:pStyle w:val="71"/>
              <w:bidi w:val="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45</w:t>
            </w:r>
          </w:p>
        </w:tc>
      </w:tr>
      <w:tr w14:paraId="1AFCA5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atLeast"/>
        </w:trPr>
        <w:tc>
          <w:tcPr>
            <w:tcW w:w="4178" w:type="dxa"/>
            <w:tcBorders>
              <w:top w:val="single" w:color="auto" w:sz="4" w:space="0"/>
              <w:left w:val="single" w:color="auto" w:sz="4" w:space="0"/>
              <w:bottom w:val="single" w:color="auto" w:sz="4" w:space="0"/>
              <w:right w:val="single" w:color="auto" w:sz="4" w:space="0"/>
            </w:tcBorders>
            <w:vAlign w:val="top"/>
          </w:tcPr>
          <w:p w14:paraId="527DF865">
            <w:pPr>
              <w:pStyle w:val="71"/>
              <w:bidi w:val="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10</w:t>
            </w:r>
            <w:r>
              <w:rPr>
                <w:rFonts w:hint="eastAsia" w:cs="Times New Roman"/>
                <w:color w:val="auto"/>
                <w:highlight w:val="none"/>
                <w:lang w:eastAsia="zh-CN"/>
              </w:rPr>
              <w:t>~</w:t>
            </w:r>
            <w:r>
              <w:rPr>
                <w:rFonts w:hint="default" w:ascii="Times New Roman" w:hAnsi="Times New Roman" w:cs="Times New Roman"/>
                <w:color w:val="auto"/>
                <w:highlight w:val="none"/>
                <w:lang w:eastAsia="zh-CN"/>
              </w:rPr>
              <w:t>20</w:t>
            </w:r>
          </w:p>
        </w:tc>
        <w:tc>
          <w:tcPr>
            <w:tcW w:w="4824" w:type="dxa"/>
            <w:tcBorders>
              <w:top w:val="single" w:color="auto" w:sz="4" w:space="0"/>
              <w:left w:val="single" w:color="auto" w:sz="4" w:space="0"/>
              <w:bottom w:val="single" w:color="auto" w:sz="4" w:space="0"/>
              <w:right w:val="single" w:color="auto" w:sz="4" w:space="0"/>
            </w:tcBorders>
            <w:vAlign w:val="top"/>
          </w:tcPr>
          <w:p w14:paraId="77E365AB">
            <w:pPr>
              <w:pStyle w:val="71"/>
              <w:bidi w:val="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60</w:t>
            </w:r>
          </w:p>
        </w:tc>
      </w:tr>
      <w:tr w14:paraId="06640D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4178" w:type="dxa"/>
            <w:tcBorders>
              <w:top w:val="single" w:color="auto" w:sz="4" w:space="0"/>
              <w:left w:val="single" w:color="auto" w:sz="4" w:space="0"/>
              <w:bottom w:val="single" w:color="auto" w:sz="4" w:space="0"/>
              <w:right w:val="single" w:color="auto" w:sz="4" w:space="0"/>
            </w:tcBorders>
            <w:vAlign w:val="top"/>
          </w:tcPr>
          <w:p w14:paraId="79083A4A">
            <w:pPr>
              <w:pStyle w:val="71"/>
              <w:bidi w:val="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5</w:t>
            </w:r>
            <w:r>
              <w:rPr>
                <w:rFonts w:hint="eastAsia" w:cs="Times New Roman"/>
                <w:color w:val="auto"/>
                <w:highlight w:val="none"/>
                <w:lang w:eastAsia="zh-CN"/>
              </w:rPr>
              <w:t>~</w:t>
            </w:r>
            <w:r>
              <w:rPr>
                <w:rFonts w:hint="default" w:ascii="Times New Roman" w:hAnsi="Times New Roman" w:cs="Times New Roman"/>
                <w:color w:val="auto"/>
                <w:highlight w:val="none"/>
                <w:lang w:eastAsia="zh-CN"/>
              </w:rPr>
              <w:t>10</w:t>
            </w:r>
          </w:p>
        </w:tc>
        <w:tc>
          <w:tcPr>
            <w:tcW w:w="4824" w:type="dxa"/>
            <w:tcBorders>
              <w:top w:val="single" w:color="auto" w:sz="4" w:space="0"/>
              <w:left w:val="single" w:color="auto" w:sz="4" w:space="0"/>
              <w:bottom w:val="single" w:color="auto" w:sz="4" w:space="0"/>
              <w:right w:val="single" w:color="auto" w:sz="4" w:space="0"/>
            </w:tcBorders>
            <w:vAlign w:val="top"/>
          </w:tcPr>
          <w:p w14:paraId="74F6F912">
            <w:pPr>
              <w:pStyle w:val="71"/>
              <w:bidi w:val="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90</w:t>
            </w:r>
          </w:p>
        </w:tc>
      </w:tr>
    </w:tbl>
    <w:p w14:paraId="4FC3CEC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③</w:t>
      </w:r>
      <w:r>
        <w:rPr>
          <w:rFonts w:hint="default" w:ascii="Times New Roman" w:hAnsi="Times New Roman" w:eastAsia="宋体" w:cs="Times New Roman"/>
          <w:smallCaps w:val="0"/>
          <w:color w:val="auto"/>
          <w:spacing w:val="0"/>
          <w:w w:val="100"/>
          <w:sz w:val="30"/>
          <w:szCs w:val="30"/>
          <w:highlight w:val="none"/>
          <w:lang w:eastAsia="zh-CN"/>
        </w:rPr>
        <w:t>混凝土自由下落高度应控制在 2m 以内，否则应采取缓降措施，防止骨料分 离。</w:t>
      </w:r>
    </w:p>
    <w:p w14:paraId="3CF9D94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8.</w:t>
      </w:r>
      <w:r>
        <w:rPr>
          <w:rFonts w:hint="default" w:ascii="Times New Roman" w:hAnsi="Times New Roman" w:eastAsia="宋体" w:cs="Times New Roman"/>
          <w:smallCaps w:val="0"/>
          <w:color w:val="auto"/>
          <w:spacing w:val="0"/>
          <w:w w:val="100"/>
          <w:sz w:val="30"/>
          <w:szCs w:val="30"/>
          <w:highlight w:val="none"/>
          <w:lang w:eastAsia="zh-CN"/>
        </w:rPr>
        <w:t>混凝土浇筑</w:t>
      </w:r>
    </w:p>
    <w:p w14:paraId="40CA5D5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①</w:t>
      </w:r>
      <w:r>
        <w:rPr>
          <w:rFonts w:hint="default" w:ascii="Times New Roman" w:hAnsi="Times New Roman" w:eastAsia="宋体" w:cs="Times New Roman"/>
          <w:smallCaps w:val="0"/>
          <w:color w:val="auto"/>
          <w:spacing w:val="0"/>
          <w:w w:val="100"/>
          <w:sz w:val="30"/>
          <w:szCs w:val="30"/>
          <w:highlight w:val="none"/>
          <w:lang w:eastAsia="zh-CN"/>
        </w:rPr>
        <w:t>进行混凝土浇筑时基础必须验收合格；仓面准备工作完</w:t>
      </w:r>
      <w:r>
        <w:rPr>
          <w:rFonts w:hint="eastAsia" w:ascii="Times New Roman" w:hAnsi="Times New Roman" w:eastAsia="宋体" w:cs="Times New Roman"/>
          <w:smallCaps w:val="0"/>
          <w:color w:val="auto"/>
          <w:spacing w:val="0"/>
          <w:w w:val="100"/>
          <w:sz w:val="30"/>
          <w:szCs w:val="30"/>
          <w:highlight w:val="none"/>
          <w:lang w:eastAsia="zh-CN"/>
        </w:rPr>
        <w:t>成后</w:t>
      </w:r>
      <w:r>
        <w:rPr>
          <w:rFonts w:hint="default" w:ascii="Times New Roman" w:hAnsi="Times New Roman" w:eastAsia="宋体" w:cs="Times New Roman"/>
          <w:smallCaps w:val="0"/>
          <w:color w:val="auto"/>
          <w:spacing w:val="0"/>
          <w:w w:val="100"/>
          <w:sz w:val="30"/>
          <w:szCs w:val="30"/>
          <w:highlight w:val="none"/>
          <w:lang w:eastAsia="zh-CN"/>
        </w:rPr>
        <w:t>经工程师验收通过， 并签发开仓证后，才能开始浇筑。</w:t>
      </w:r>
    </w:p>
    <w:p w14:paraId="138FE32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②</w:t>
      </w:r>
      <w:r>
        <w:rPr>
          <w:rFonts w:hint="default" w:ascii="Times New Roman" w:hAnsi="Times New Roman" w:eastAsia="宋体" w:cs="Times New Roman"/>
          <w:smallCaps w:val="0"/>
          <w:color w:val="auto"/>
          <w:spacing w:val="0"/>
          <w:w w:val="100"/>
          <w:sz w:val="30"/>
          <w:szCs w:val="30"/>
          <w:highlight w:val="none"/>
          <w:lang w:eastAsia="zh-CN"/>
        </w:rPr>
        <w:t>已入仓的混凝土应随浇随平仓。仓内泌水应及时排出，混凝土浇筑应保持连 续性。因故停仓超过允许间歇时间，则应按工作缝处理。</w:t>
      </w:r>
    </w:p>
    <w:p w14:paraId="7A2BA61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③</w:t>
      </w:r>
      <w:r>
        <w:rPr>
          <w:rFonts w:hint="default" w:ascii="Times New Roman" w:hAnsi="Times New Roman" w:eastAsia="宋体" w:cs="Times New Roman"/>
          <w:smallCaps w:val="0"/>
          <w:color w:val="auto"/>
          <w:spacing w:val="0"/>
          <w:w w:val="100"/>
          <w:sz w:val="30"/>
          <w:szCs w:val="30"/>
          <w:highlight w:val="none"/>
          <w:lang w:eastAsia="zh-CN"/>
        </w:rPr>
        <w:t>混凝土振捣必须保证内实外光，防止架空等，不得漏振、欠振或过振。</w:t>
      </w:r>
    </w:p>
    <w:p w14:paraId="31475E1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④</w:t>
      </w:r>
      <w:r>
        <w:rPr>
          <w:rFonts w:hint="default" w:ascii="Times New Roman" w:hAnsi="Times New Roman" w:eastAsia="宋体" w:cs="Times New Roman"/>
          <w:smallCaps w:val="0"/>
          <w:color w:val="auto"/>
          <w:spacing w:val="0"/>
          <w:w w:val="100"/>
          <w:sz w:val="30"/>
          <w:szCs w:val="30"/>
          <w:highlight w:val="none"/>
          <w:lang w:eastAsia="zh-CN"/>
        </w:rPr>
        <w:t>混凝土施工缝处理的技术措施按《水工混凝土施工规范》的要求进行。混凝 土的冷缝面按施工缝处理。</w:t>
      </w:r>
    </w:p>
    <w:p w14:paraId="28EC33B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9.</w:t>
      </w:r>
      <w:r>
        <w:rPr>
          <w:rFonts w:hint="default" w:ascii="Times New Roman" w:hAnsi="Times New Roman" w:eastAsia="宋体" w:cs="Times New Roman"/>
          <w:smallCaps w:val="0"/>
          <w:color w:val="auto"/>
          <w:spacing w:val="0"/>
          <w:w w:val="100"/>
          <w:sz w:val="30"/>
          <w:szCs w:val="30"/>
          <w:highlight w:val="none"/>
          <w:lang w:eastAsia="zh-CN"/>
        </w:rPr>
        <w:t>混凝土养护</w:t>
      </w:r>
    </w:p>
    <w:p w14:paraId="6F1368C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①</w:t>
      </w:r>
      <w:r>
        <w:rPr>
          <w:rFonts w:hint="default" w:ascii="Times New Roman" w:hAnsi="Times New Roman" w:eastAsia="宋体" w:cs="Times New Roman"/>
          <w:smallCaps w:val="0"/>
          <w:color w:val="auto"/>
          <w:spacing w:val="0"/>
          <w:w w:val="100"/>
          <w:sz w:val="30"/>
          <w:szCs w:val="30"/>
          <w:highlight w:val="none"/>
          <w:lang w:eastAsia="zh-CN"/>
        </w:rPr>
        <w:t>应在浇筑完毕后的12h以内对混凝土加以覆盖并保湿养护；</w:t>
      </w:r>
    </w:p>
    <w:p w14:paraId="48ED1E3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②</w:t>
      </w:r>
      <w:r>
        <w:rPr>
          <w:rFonts w:hint="default" w:ascii="Times New Roman" w:hAnsi="Times New Roman" w:eastAsia="宋体" w:cs="Times New Roman"/>
          <w:smallCaps w:val="0"/>
          <w:color w:val="auto"/>
          <w:spacing w:val="0"/>
          <w:w w:val="100"/>
          <w:sz w:val="30"/>
          <w:szCs w:val="30"/>
          <w:highlight w:val="none"/>
          <w:lang w:eastAsia="zh-CN"/>
        </w:rPr>
        <w:t>混凝土</w:t>
      </w:r>
      <w:r>
        <w:rPr>
          <w:rFonts w:hint="eastAsia" w:ascii="Times New Roman" w:hAnsi="Times New Roman" w:eastAsia="宋体" w:cs="Times New Roman"/>
          <w:smallCaps w:val="0"/>
          <w:color w:val="auto"/>
          <w:spacing w:val="0"/>
          <w:w w:val="100"/>
          <w:sz w:val="30"/>
          <w:szCs w:val="30"/>
          <w:highlight w:val="none"/>
          <w:lang w:val="en-US" w:eastAsia="zh-CN"/>
        </w:rPr>
        <w:t>洒</w:t>
      </w:r>
      <w:r>
        <w:rPr>
          <w:rFonts w:hint="default" w:ascii="Times New Roman" w:hAnsi="Times New Roman" w:eastAsia="宋体" w:cs="Times New Roman"/>
          <w:smallCaps w:val="0"/>
          <w:color w:val="auto"/>
          <w:spacing w:val="0"/>
          <w:w w:val="100"/>
          <w:sz w:val="30"/>
          <w:szCs w:val="30"/>
          <w:highlight w:val="none"/>
          <w:lang w:eastAsia="zh-CN"/>
        </w:rPr>
        <w:t>水养护的时间不得少于14d；</w:t>
      </w:r>
    </w:p>
    <w:p w14:paraId="00B9741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③</w:t>
      </w:r>
      <w:r>
        <w:rPr>
          <w:rFonts w:hint="default" w:ascii="Times New Roman" w:hAnsi="Times New Roman" w:eastAsia="宋体" w:cs="Times New Roman"/>
          <w:smallCaps w:val="0"/>
          <w:color w:val="auto"/>
          <w:spacing w:val="0"/>
          <w:w w:val="100"/>
          <w:sz w:val="30"/>
          <w:szCs w:val="30"/>
          <w:highlight w:val="none"/>
          <w:lang w:eastAsia="zh-CN"/>
        </w:rPr>
        <w:t>浇水洒水养护间隔时间以能保持混凝土处于湿润状态为准，混凝土养护用水 应与拌制用水相同；</w:t>
      </w:r>
    </w:p>
    <w:p w14:paraId="2000DA1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④</w:t>
      </w:r>
      <w:r>
        <w:rPr>
          <w:rFonts w:hint="default" w:ascii="Times New Roman" w:hAnsi="Times New Roman" w:eastAsia="宋体" w:cs="Times New Roman"/>
          <w:smallCaps w:val="0"/>
          <w:color w:val="auto"/>
          <w:spacing w:val="0"/>
          <w:w w:val="100"/>
          <w:sz w:val="30"/>
          <w:szCs w:val="30"/>
          <w:highlight w:val="none"/>
          <w:lang w:eastAsia="zh-CN"/>
        </w:rPr>
        <w:t>采用塑料布覆盖养护的混凝土，其敞露的全部表面应覆盖严密，并应保持塑 料布内有凝结水；</w:t>
      </w:r>
    </w:p>
    <w:p w14:paraId="7ABAF00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⑤</w:t>
      </w:r>
      <w:r>
        <w:rPr>
          <w:rFonts w:hint="default" w:ascii="Times New Roman" w:hAnsi="Times New Roman" w:eastAsia="宋体" w:cs="Times New Roman"/>
          <w:smallCaps w:val="0"/>
          <w:color w:val="auto"/>
          <w:spacing w:val="0"/>
          <w:w w:val="100"/>
          <w:sz w:val="30"/>
          <w:szCs w:val="30"/>
          <w:highlight w:val="none"/>
          <w:lang w:eastAsia="zh-CN"/>
        </w:rPr>
        <w:t>混凝土强度达到 1.2N/mm2 前，不得在其上踩踏或安装模板及支架。</w:t>
      </w:r>
    </w:p>
    <w:p w14:paraId="1E36C9B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10.</w:t>
      </w:r>
      <w:r>
        <w:rPr>
          <w:rFonts w:hint="default" w:ascii="Times New Roman" w:hAnsi="Times New Roman" w:eastAsia="宋体" w:cs="Times New Roman"/>
          <w:smallCaps w:val="0"/>
          <w:color w:val="auto"/>
          <w:spacing w:val="0"/>
          <w:w w:val="100"/>
          <w:sz w:val="30"/>
          <w:szCs w:val="30"/>
          <w:highlight w:val="none"/>
          <w:lang w:eastAsia="zh-CN"/>
        </w:rPr>
        <w:t>混凝土试样制作</w:t>
      </w:r>
    </w:p>
    <w:p w14:paraId="28D7A0D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根据《混凝土结构工程施工质量验收规范》的规定，混凝土结构工程施工应按规 定留置标准养护混凝土强度试块。混凝土强度试件应在混凝土的浇筑地点随机抽取。 取样与试件留置应符合下列规定：</w:t>
      </w:r>
    </w:p>
    <w:p w14:paraId="513A22F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①</w:t>
      </w:r>
      <w:r>
        <w:rPr>
          <w:rFonts w:hint="default" w:ascii="Times New Roman" w:hAnsi="Times New Roman" w:eastAsia="宋体" w:cs="Times New Roman"/>
          <w:smallCaps w:val="0"/>
          <w:color w:val="auto"/>
          <w:spacing w:val="0"/>
          <w:w w:val="100"/>
          <w:sz w:val="30"/>
          <w:szCs w:val="30"/>
          <w:highlight w:val="none"/>
          <w:lang w:eastAsia="zh-CN"/>
        </w:rPr>
        <w:t>每拌制 100 盘且不超过 100m³的同配合比的混凝土，取样不得少于一次；</w:t>
      </w:r>
    </w:p>
    <w:p w14:paraId="4CC0794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②</w:t>
      </w:r>
      <w:r>
        <w:rPr>
          <w:rFonts w:hint="default" w:ascii="Times New Roman" w:hAnsi="Times New Roman" w:eastAsia="宋体" w:cs="Times New Roman"/>
          <w:smallCaps w:val="0"/>
          <w:color w:val="auto"/>
          <w:spacing w:val="0"/>
          <w:w w:val="100"/>
          <w:sz w:val="30"/>
          <w:szCs w:val="30"/>
          <w:highlight w:val="none"/>
          <w:lang w:eastAsia="zh-CN"/>
        </w:rPr>
        <w:t>每工作班拌制的同一配合比的混凝土不足 100 盘时，取样不得少于一次；</w:t>
      </w:r>
    </w:p>
    <w:p w14:paraId="09240CC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③</w:t>
      </w:r>
      <w:r>
        <w:rPr>
          <w:rFonts w:hint="default" w:ascii="Times New Roman" w:hAnsi="Times New Roman" w:eastAsia="宋体" w:cs="Times New Roman"/>
          <w:smallCaps w:val="0"/>
          <w:color w:val="auto"/>
          <w:spacing w:val="0"/>
          <w:w w:val="100"/>
          <w:sz w:val="30"/>
          <w:szCs w:val="30"/>
          <w:highlight w:val="none"/>
          <w:lang w:eastAsia="zh-CN"/>
        </w:rPr>
        <w:t>同一配合比的混凝土，取样不得少于一次；</w:t>
      </w:r>
    </w:p>
    <w:p w14:paraId="61B2905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④</w:t>
      </w:r>
      <w:r>
        <w:rPr>
          <w:rFonts w:hint="default" w:ascii="Times New Roman" w:hAnsi="Times New Roman" w:eastAsia="宋体" w:cs="Times New Roman"/>
          <w:smallCaps w:val="0"/>
          <w:color w:val="auto"/>
          <w:spacing w:val="0"/>
          <w:w w:val="100"/>
          <w:sz w:val="30"/>
          <w:szCs w:val="30"/>
          <w:highlight w:val="none"/>
          <w:lang w:eastAsia="zh-CN"/>
        </w:rPr>
        <w:t>每次取样应至少留置一组标准养护试件，同条件养护试件的留置组数应根据 实际需要确定。</w:t>
      </w:r>
    </w:p>
    <w:p w14:paraId="70AC0A0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⑤</w:t>
      </w:r>
      <w:r>
        <w:rPr>
          <w:rFonts w:hint="default" w:ascii="Times New Roman" w:hAnsi="Times New Roman" w:eastAsia="宋体" w:cs="Times New Roman"/>
          <w:smallCaps w:val="0"/>
          <w:color w:val="auto"/>
          <w:spacing w:val="0"/>
          <w:w w:val="100"/>
          <w:sz w:val="30"/>
          <w:szCs w:val="30"/>
          <w:highlight w:val="none"/>
          <w:lang w:eastAsia="zh-CN"/>
        </w:rPr>
        <w:t>普通混凝土的物理力学性能和长期性能，耐久性能试验试块，除抗渗，疲劳 试验外，均以 3 块为一组。</w:t>
      </w:r>
    </w:p>
    <w:p w14:paraId="4783B560">
      <w:pPr>
        <w:numPr>
          <w:ilvl w:val="0"/>
          <w:numId w:val="2"/>
        </w:num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拦河坝</w:t>
      </w:r>
      <w:r>
        <w:rPr>
          <w:rFonts w:hint="default" w:ascii="Times New Roman" w:hAnsi="Times New Roman" w:eastAsia="宋体" w:cs="Times New Roman"/>
          <w:smallCaps w:val="0"/>
          <w:color w:val="auto"/>
          <w:spacing w:val="0"/>
          <w:w w:val="100"/>
          <w:sz w:val="30"/>
          <w:szCs w:val="30"/>
          <w:highlight w:val="none"/>
          <w:lang w:val="en-US" w:eastAsia="zh-CN"/>
        </w:rPr>
        <w:t>工程</w:t>
      </w:r>
    </w:p>
    <w:p w14:paraId="4984536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1</w:t>
      </w:r>
      <w:r>
        <w:rPr>
          <w:rFonts w:hint="eastAsia" w:ascii="Times New Roman" w:hAnsi="Times New Roman" w:eastAsia="宋体" w:cs="Times New Roman"/>
          <w:smallCaps w:val="0"/>
          <w:color w:val="auto"/>
          <w:spacing w:val="0"/>
          <w:w w:val="100"/>
          <w:sz w:val="30"/>
          <w:szCs w:val="30"/>
          <w:highlight w:val="none"/>
          <w:lang w:val="en-US" w:eastAsia="zh-CN"/>
        </w:rPr>
        <w:t>）</w:t>
      </w:r>
      <w:r>
        <w:rPr>
          <w:rFonts w:hint="default" w:ascii="Times New Roman" w:hAnsi="Times New Roman" w:eastAsia="宋体" w:cs="Times New Roman"/>
          <w:smallCaps w:val="0"/>
          <w:color w:val="auto"/>
          <w:spacing w:val="0"/>
          <w:w w:val="100"/>
          <w:sz w:val="30"/>
          <w:szCs w:val="30"/>
          <w:highlight w:val="none"/>
          <w:lang w:val="en-US" w:eastAsia="zh-CN"/>
        </w:rPr>
        <w:t>土石方开挖</w:t>
      </w:r>
    </w:p>
    <w:p w14:paraId="680C36D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土方开挖采用1.0m3液压单斗挖掘机，石方开挖采用手风钻、钢钎、铁锤进行施工，</w:t>
      </w:r>
      <w:r>
        <w:rPr>
          <w:rFonts w:hint="eastAsia" w:ascii="Times New Roman" w:hAnsi="Times New Roman" w:eastAsia="宋体" w:cs="Times New Roman"/>
          <w:smallCaps w:val="0"/>
          <w:color w:val="auto"/>
          <w:spacing w:val="0"/>
          <w:w w:val="100"/>
          <w:sz w:val="30"/>
          <w:szCs w:val="30"/>
          <w:highlight w:val="none"/>
          <w:lang w:val="en-US" w:eastAsia="zh-CN"/>
        </w:rPr>
        <w:t>人工胶轮车</w:t>
      </w:r>
      <w:r>
        <w:rPr>
          <w:rFonts w:hint="default" w:ascii="Times New Roman" w:hAnsi="Times New Roman" w:eastAsia="宋体" w:cs="Times New Roman"/>
          <w:smallCaps w:val="0"/>
          <w:color w:val="auto"/>
          <w:spacing w:val="0"/>
          <w:w w:val="100"/>
          <w:sz w:val="30"/>
          <w:szCs w:val="30"/>
          <w:highlight w:val="none"/>
          <w:lang w:val="en-US" w:eastAsia="zh-CN"/>
        </w:rPr>
        <w:t>运输土方。</w:t>
      </w:r>
    </w:p>
    <w:p w14:paraId="658F9B2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3）</w:t>
      </w:r>
      <w:r>
        <w:rPr>
          <w:rFonts w:hint="default" w:ascii="Times New Roman" w:hAnsi="Times New Roman" w:eastAsia="宋体" w:cs="Times New Roman"/>
          <w:smallCaps w:val="0"/>
          <w:color w:val="auto"/>
          <w:spacing w:val="0"/>
          <w:w w:val="100"/>
          <w:sz w:val="30"/>
          <w:szCs w:val="30"/>
          <w:highlight w:val="none"/>
          <w:lang w:val="en-US" w:eastAsia="zh-CN"/>
        </w:rPr>
        <w:t>土方回填</w:t>
      </w:r>
    </w:p>
    <w:p w14:paraId="61A34BB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土方回填通过</w:t>
      </w:r>
      <w:r>
        <w:rPr>
          <w:rFonts w:hint="eastAsia" w:ascii="Times New Roman" w:hAnsi="Times New Roman" w:eastAsia="宋体" w:cs="Times New Roman"/>
          <w:smallCaps w:val="0"/>
          <w:color w:val="auto"/>
          <w:spacing w:val="0"/>
          <w:w w:val="100"/>
          <w:sz w:val="30"/>
          <w:szCs w:val="30"/>
          <w:highlight w:val="none"/>
          <w:lang w:val="en-US" w:eastAsia="zh-CN"/>
        </w:rPr>
        <w:t>8</w:t>
      </w:r>
      <w:r>
        <w:rPr>
          <w:rFonts w:hint="default" w:ascii="Times New Roman" w:hAnsi="Times New Roman" w:eastAsia="宋体" w:cs="Times New Roman"/>
          <w:smallCaps w:val="0"/>
          <w:color w:val="auto"/>
          <w:spacing w:val="0"/>
          <w:w w:val="100"/>
          <w:sz w:val="30"/>
          <w:szCs w:val="30"/>
          <w:highlight w:val="none"/>
          <w:lang w:val="en-US" w:eastAsia="zh-CN"/>
        </w:rPr>
        <w:t>t自卸汽车运输至工作面，人工整平，采用2.8kW蛙式夯实机</w:t>
      </w:r>
      <w:r>
        <w:rPr>
          <w:rFonts w:hint="eastAsia" w:ascii="Times New Roman" w:hAnsi="Times New Roman" w:eastAsia="宋体" w:cs="Times New Roman"/>
          <w:smallCaps w:val="0"/>
          <w:color w:val="auto"/>
          <w:spacing w:val="0"/>
          <w:w w:val="100"/>
          <w:sz w:val="30"/>
          <w:szCs w:val="30"/>
          <w:highlight w:val="none"/>
          <w:lang w:val="en-US" w:eastAsia="zh-CN"/>
        </w:rPr>
        <w:t>配合74KW拖拉机</w:t>
      </w:r>
      <w:r>
        <w:rPr>
          <w:rFonts w:hint="default" w:ascii="Times New Roman" w:hAnsi="Times New Roman" w:eastAsia="宋体" w:cs="Times New Roman"/>
          <w:smallCaps w:val="0"/>
          <w:color w:val="auto"/>
          <w:spacing w:val="0"/>
          <w:w w:val="100"/>
          <w:sz w:val="30"/>
          <w:szCs w:val="30"/>
          <w:highlight w:val="none"/>
          <w:lang w:val="en-US" w:eastAsia="zh-CN"/>
        </w:rPr>
        <w:t>压实。</w:t>
      </w:r>
    </w:p>
    <w:p w14:paraId="1C21DB7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3）</w:t>
      </w:r>
      <w:r>
        <w:rPr>
          <w:rFonts w:hint="default" w:ascii="Times New Roman" w:hAnsi="Times New Roman" w:eastAsia="宋体" w:cs="Times New Roman"/>
          <w:smallCaps w:val="0"/>
          <w:color w:val="auto"/>
          <w:spacing w:val="0"/>
          <w:w w:val="100"/>
          <w:sz w:val="30"/>
          <w:szCs w:val="30"/>
          <w:highlight w:val="none"/>
          <w:lang w:val="en-US" w:eastAsia="zh-CN"/>
        </w:rPr>
        <w:t>砼工程</w:t>
      </w:r>
    </w:p>
    <w:p w14:paraId="54631E9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拦河坝</w:t>
      </w:r>
      <w:r>
        <w:rPr>
          <w:rFonts w:hint="default" w:ascii="Times New Roman" w:hAnsi="Times New Roman" w:eastAsia="宋体" w:cs="Times New Roman"/>
          <w:smallCaps w:val="0"/>
          <w:color w:val="auto"/>
          <w:spacing w:val="0"/>
          <w:w w:val="100"/>
          <w:sz w:val="30"/>
          <w:szCs w:val="30"/>
          <w:highlight w:val="none"/>
          <w:lang w:val="en-US" w:eastAsia="zh-CN"/>
        </w:rPr>
        <w:t>、护坡和铺盖底板砼衬砌和采用现场浇注砼方式进行。由</w:t>
      </w:r>
      <w:r>
        <w:rPr>
          <w:rFonts w:hint="eastAsia" w:ascii="Times New Roman" w:hAnsi="Times New Roman" w:eastAsia="宋体" w:cs="Times New Roman"/>
          <w:smallCaps w:val="0"/>
          <w:color w:val="auto"/>
          <w:spacing w:val="0"/>
          <w:w w:val="100"/>
          <w:sz w:val="30"/>
          <w:szCs w:val="30"/>
          <w:highlight w:val="none"/>
          <w:lang w:val="en-US" w:eastAsia="zh-CN"/>
        </w:rPr>
        <w:t>0.4</w:t>
      </w:r>
      <w:r>
        <w:rPr>
          <w:rFonts w:hint="default" w:ascii="Times New Roman" w:hAnsi="Times New Roman" w:eastAsia="宋体" w:cs="Times New Roman"/>
          <w:smallCaps w:val="0"/>
          <w:color w:val="auto"/>
          <w:spacing w:val="0"/>
          <w:w w:val="100"/>
          <w:sz w:val="30"/>
          <w:szCs w:val="30"/>
          <w:highlight w:val="none"/>
          <w:lang w:val="en-US" w:eastAsia="zh-CN"/>
        </w:rPr>
        <w:t>m3混凝土搅拌运输车运输至现场，手推胶轮斗车运输到仓面，人工平仓，用插入式震动器捣实，人工结面，待砼达到规范要求强度，人工进行模板拆除。浇筑时应按设计要求或监理人的要求收坡，并设置伸缩缝和排水孔。</w:t>
      </w:r>
    </w:p>
    <w:p w14:paraId="203ED141">
      <w:pPr>
        <w:numPr>
          <w:ilvl w:val="0"/>
          <w:numId w:val="2"/>
        </w:num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管道</w:t>
      </w:r>
      <w:r>
        <w:rPr>
          <w:rFonts w:hint="default" w:ascii="Times New Roman" w:hAnsi="Times New Roman" w:eastAsia="宋体" w:cs="Times New Roman"/>
          <w:smallCaps w:val="0"/>
          <w:color w:val="auto"/>
          <w:spacing w:val="0"/>
          <w:w w:val="100"/>
          <w:sz w:val="30"/>
          <w:szCs w:val="30"/>
          <w:highlight w:val="none"/>
          <w:lang w:val="en-US" w:eastAsia="zh-CN"/>
        </w:rPr>
        <w:t>工程</w:t>
      </w:r>
    </w:p>
    <w:p w14:paraId="6EEE779A">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1、管槽开挖</w:t>
      </w:r>
    </w:p>
    <w:p w14:paraId="1FAFD05F">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（1）开槽准备：开槽前应仔细测量放线，明确开挖的宽度、坡度和深度；了解管线走向障碍物的情况并作出标示，对于不能完全确定的地下障碍物应找勘探部门仔细的核实。</w:t>
      </w:r>
    </w:p>
    <w:p w14:paraId="6CCC9FD4">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（2）开槽的原则：</w:t>
      </w:r>
      <w:r>
        <w:rPr>
          <w:rFonts w:hint="default" w:ascii="Times New Roman" w:hAnsi="Times New Roman" w:eastAsia="宋体" w:cs="Times New Roman"/>
          <w:smallCaps w:val="0"/>
          <w:color w:val="auto"/>
          <w:spacing w:val="0"/>
          <w:w w:val="100"/>
          <w:sz w:val="30"/>
          <w:szCs w:val="30"/>
          <w:highlight w:val="none"/>
          <w:lang w:val="en-US" w:eastAsia="zh-CN"/>
        </w:rPr>
        <w:t>土方开挖采用1.0m3液压单斗挖掘机，石方开挖采用手风钻、钢钎、铁锤进行施工，</w:t>
      </w:r>
      <w:r>
        <w:rPr>
          <w:rFonts w:hint="eastAsia" w:ascii="Times New Roman" w:hAnsi="Times New Roman" w:eastAsia="宋体" w:cs="Times New Roman"/>
          <w:smallCaps w:val="0"/>
          <w:color w:val="auto"/>
          <w:spacing w:val="0"/>
          <w:w w:val="100"/>
          <w:sz w:val="30"/>
          <w:szCs w:val="30"/>
          <w:highlight w:val="none"/>
          <w:lang w:val="en-US" w:eastAsia="zh-CN"/>
        </w:rPr>
        <w:t>人工胶轮车</w:t>
      </w:r>
      <w:r>
        <w:rPr>
          <w:rFonts w:hint="default" w:ascii="Times New Roman" w:hAnsi="Times New Roman" w:eastAsia="宋体" w:cs="Times New Roman"/>
          <w:smallCaps w:val="0"/>
          <w:color w:val="auto"/>
          <w:spacing w:val="0"/>
          <w:w w:val="100"/>
          <w:sz w:val="30"/>
          <w:szCs w:val="30"/>
          <w:highlight w:val="none"/>
          <w:lang w:val="en-US" w:eastAsia="zh-CN"/>
        </w:rPr>
        <w:t>运输土方</w:t>
      </w:r>
      <w:r>
        <w:rPr>
          <w:rFonts w:hint="eastAsia" w:ascii="Times New Roman" w:hAnsi="Times New Roman" w:eastAsia="宋体" w:cs="Times New Roman"/>
          <w:smallCaps w:val="0"/>
          <w:color w:val="auto"/>
          <w:spacing w:val="0"/>
          <w:w w:val="100"/>
          <w:sz w:val="30"/>
          <w:szCs w:val="30"/>
          <w:highlight w:val="none"/>
          <w:lang w:val="en-US" w:eastAsia="zh-CN"/>
        </w:rPr>
        <w:t>，禁止扰动原土层。</w:t>
      </w:r>
    </w:p>
    <w:p w14:paraId="13F50A87">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（3）沟槽排水：当地下水位较高的地方应设置井点降水，将水位降至沟槽底以下0.5m。</w:t>
      </w:r>
    </w:p>
    <w:p w14:paraId="04FA8FA1">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（4）沟槽开挖的坡度根据土壤地区情况，地下水位及管沟的深度来确定，必要时沟槽还需进行支撑，以保证管道施工时不塌方不影响管道的下管工作。</w:t>
      </w:r>
    </w:p>
    <w:p w14:paraId="60137DE7">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2、管沟回填</w:t>
      </w:r>
    </w:p>
    <w:p w14:paraId="23193507">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p>
    <w:p w14:paraId="5B8DE20B">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（1）</w:t>
      </w:r>
      <w:r>
        <w:rPr>
          <w:rFonts w:hint="default" w:ascii="Times New Roman" w:hAnsi="Times New Roman" w:eastAsia="宋体" w:cs="Times New Roman"/>
          <w:smallCaps w:val="0"/>
          <w:color w:val="auto"/>
          <w:spacing w:val="0"/>
          <w:w w:val="100"/>
          <w:sz w:val="30"/>
          <w:szCs w:val="30"/>
          <w:highlight w:val="none"/>
          <w:lang w:val="en-US" w:eastAsia="zh-CN"/>
        </w:rPr>
        <w:t>土方回填通过</w:t>
      </w:r>
      <w:r>
        <w:rPr>
          <w:rFonts w:hint="eastAsia" w:ascii="Times New Roman" w:hAnsi="Times New Roman" w:eastAsia="宋体" w:cs="Times New Roman"/>
          <w:smallCaps w:val="0"/>
          <w:color w:val="auto"/>
          <w:spacing w:val="0"/>
          <w:w w:val="100"/>
          <w:sz w:val="30"/>
          <w:szCs w:val="30"/>
          <w:highlight w:val="none"/>
          <w:lang w:val="en-US" w:eastAsia="zh-CN"/>
        </w:rPr>
        <w:t>8</w:t>
      </w:r>
      <w:r>
        <w:rPr>
          <w:rFonts w:hint="default" w:ascii="Times New Roman" w:hAnsi="Times New Roman" w:eastAsia="宋体" w:cs="Times New Roman"/>
          <w:smallCaps w:val="0"/>
          <w:color w:val="auto"/>
          <w:spacing w:val="0"/>
          <w:w w:val="100"/>
          <w:sz w:val="30"/>
          <w:szCs w:val="30"/>
          <w:highlight w:val="none"/>
          <w:lang w:val="en-US" w:eastAsia="zh-CN"/>
        </w:rPr>
        <w:t>t自卸汽车运输至工作面，人工整平，采用2.8kW蛙式夯实机压实</w:t>
      </w:r>
    </w:p>
    <w:p w14:paraId="0C2B1907">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（2）管沟回填的一般原则：各种隐蔽工程检查合格，包括管道坐标、标高坡度、管基强度复测合格并经监理确认，施工记录齐全；压力管道在水压试验前，除接口外管道两侧及管顶以上400mm应予回填。</w:t>
      </w:r>
    </w:p>
    <w:p w14:paraId="2ABAD8C8">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（3）回填质量要求：管顶以下的回填土应为细粒土，不得含有机物、冻土及大于100mm的砖、石等硬物。</w:t>
      </w:r>
    </w:p>
    <w:p w14:paraId="0888ADE6">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（4）沟槽回填前清除槽内的杂物，保证沟槽内不得有积水，回填土从管道两侧均匀对称倒入，管顶以下回填土采用木夯分层轻压夯实，管顶400mm以上部分可采用蛙式夯等机械工具结合起来进行夯压。</w:t>
      </w:r>
    </w:p>
    <w:p w14:paraId="0E3D38D0">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3、管道安装</w:t>
      </w:r>
    </w:p>
    <w:p w14:paraId="4A9E6CAF">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本工程输水管道主要为PE管。</w:t>
      </w:r>
    </w:p>
    <w:p w14:paraId="57E28F89">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（1）施工顺序：挖沟槽→管道安装→部分回填→试压→全部回填。</w:t>
      </w:r>
    </w:p>
    <w:p w14:paraId="737FCE2F">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（2）开挖和垫层施工完成后，铺设管道，进行管道连接。</w:t>
      </w:r>
    </w:p>
    <w:p w14:paraId="45B874B0">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3）管道安装完毕应尽快回填，应保证管顶填土高度满足设计要求。从管底到管顶以上0.3m范围内的回填材料必须严格控制，可采用碎石屑、砂砾、中砂、粗砂或开挖出的良质土。对管顶以上0.4m范围内应轻夯压实，达到规定的压实度（压实度≥0.93）。夯实从管沟壁开始逐渐向管道靠近，两侧对称进行。雨季施工要及时排除沟槽积水，防止管道漂浮。管道回填土中不能夹有石块、砖块、草皮、树根等杂物。</w:t>
      </w:r>
    </w:p>
    <w:p w14:paraId="4EC3E801">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4、管道水压试验</w:t>
      </w:r>
    </w:p>
    <w:p w14:paraId="5A26F772">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（1）管道安装合格后，管道两侧按设计要求回填，接口处不得回填，分两段试压。</w:t>
      </w:r>
    </w:p>
    <w:p w14:paraId="0D61C00E">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2）系统注水时，应打开管道将空气排尽。待水灌满后，关闭排阀，用电动试压泵加压，压力应逐渐升高，加压到一定数值时，应停下来对管道进行检查，无问题时继续加压，一般分2～3次升到试验压力。当压力达到试验压力时停止加压，保持恒压10分钟，对接口管身检查无破损及漏水现象，认为管道强度试验合格。在试验压力下，10分钟压力下降不大于0.02MPa，可以认为严密性试验合格，试压质量优良。</w:t>
      </w:r>
    </w:p>
    <w:p w14:paraId="5B512976">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5、管道材料验收</w:t>
      </w:r>
    </w:p>
    <w:p w14:paraId="6989A86C">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（1）输水管道、管件及配套阀门需具有制造厂的合格证明书，并进行外观检查。应有输水管的牌号、规格等印证或标牌，并对阀门及管道附件按设计要求核对规格型号、材质。</w:t>
      </w:r>
    </w:p>
    <w:p w14:paraId="5D08D5D2">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2）阀门检验：阀门安装前，应进行强度和严密性试验。试验应在每批（同牌号、同型号、同规格）数量中抽查。阀门的强度试验压力为公称压力的1.5倍；严密性试验压力为公称压力的1.1倍。阀门的壳体压力试验和密封试验必须用洁净水进行，并做好《阀门试压记录》。</w:t>
      </w:r>
    </w:p>
    <w:p w14:paraId="6F83697E">
      <w:pPr>
        <w:kinsoku/>
        <w:spacing w:line="560" w:lineRule="exact"/>
        <w:ind w:left="41" w:right="105" w:firstLine="601"/>
        <w:rPr>
          <w:rFonts w:hint="eastAsia"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（3）法兰密封面应平整光滑，不得有毛刺及径向沟槽。凸凹面法兰应能自然嵌合。</w:t>
      </w:r>
    </w:p>
    <w:p w14:paraId="3669ECAD">
      <w:pPr>
        <w:pStyle w:val="5"/>
        <w:spacing w:before="0" w:after="0" w:line="560" w:lineRule="atLeast"/>
        <w:outlineLvl w:val="3"/>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highlight w:val="none"/>
          <w:lang w:eastAsia="zh-CN"/>
        </w:rPr>
        <w:t>6.2.</w:t>
      </w:r>
      <w:r>
        <w:rPr>
          <w:rFonts w:hint="eastAsia" w:ascii="Times New Roman" w:hAnsi="Times New Roman" w:eastAsia="宋体" w:cs="Times New Roman"/>
          <w:smallCaps w:val="0"/>
          <w:color w:val="auto"/>
          <w:spacing w:val="0"/>
          <w:w w:val="100"/>
          <w:highlight w:val="none"/>
          <w:lang w:val="en-US" w:eastAsia="zh-CN"/>
        </w:rPr>
        <w:t>5</w:t>
      </w:r>
      <w:r>
        <w:rPr>
          <w:rFonts w:hint="default" w:ascii="Times New Roman" w:hAnsi="Times New Roman" w:eastAsia="宋体" w:cs="Times New Roman"/>
          <w:smallCaps w:val="0"/>
          <w:color w:val="auto"/>
          <w:spacing w:val="0"/>
          <w:w w:val="100"/>
          <w:highlight w:val="none"/>
          <w:lang w:eastAsia="zh-CN"/>
        </w:rPr>
        <w:t>.3田间道路工程</w:t>
      </w:r>
    </w:p>
    <w:p w14:paraId="18A9686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1.路基施工</w:t>
      </w:r>
    </w:p>
    <w:p w14:paraId="3616790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本项目路基土石方开挖及回填宜采用人工与机械相结合的方法进行。</w:t>
      </w:r>
    </w:p>
    <w:p w14:paraId="172CE97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（1）挖方路基：</w:t>
      </w:r>
    </w:p>
    <w:p w14:paraId="310451D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1）不论开挖工程量和开挖深度大小，均应自上而下进行开挖，不得乱挖、超挖。</w:t>
      </w:r>
    </w:p>
    <w:p w14:paraId="0DC585D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2）严禁在坡面上挖洞取土。</w:t>
      </w:r>
    </w:p>
    <w:p w14:paraId="6DAD75C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3）挖除土石方应及时排除，不可堆积于坡面上，以免增加负荷后造成新的地质病害。</w:t>
      </w:r>
    </w:p>
    <w:p w14:paraId="328C553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4）路堑边坡开挖前，应首先考虑截水沟，将坡面水截流，以有利于边坡稳定。</w:t>
      </w:r>
    </w:p>
    <w:p w14:paraId="4CAE1DF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5）深路堑开挖宜采取分层纵挖法，即沿路堑全宽以深度不大的纵向分层挖掘前进的开挖方法。</w:t>
      </w:r>
    </w:p>
    <w:p w14:paraId="4EC121D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6）路堑边坡开挖应自上而下，高、长边坡应分段进行，开挖后应及时防护，对有特殊设计的边坡应分段及时防护。</w:t>
      </w:r>
    </w:p>
    <w:p w14:paraId="623B1D8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7）路堑边坡开挖，应有序组织施工周期，尽量避免雨季开挖。</w:t>
      </w:r>
    </w:p>
    <w:p w14:paraId="10E88C4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8）施工中，为确保边坡岩体不被大面积破坏，确保边坡稳定，严禁采用大爆破开挖。</w:t>
      </w:r>
    </w:p>
    <w:p w14:paraId="445A372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（2）填方路基</w:t>
      </w:r>
    </w:p>
    <w:p w14:paraId="5403290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1）填筑地表低洼处，应清除树根草皮或淤泥腐殖土，并排干地表积水，再行填筑。</w:t>
      </w:r>
    </w:p>
    <w:p w14:paraId="1849415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2）桥涵填方应采用渗水性较好的填筑石料，并设置横向盲沟，分层夯实，夯实厚度不得超过20cm，以满足压实度要求。</w:t>
      </w:r>
    </w:p>
    <w:p w14:paraId="4D5D6E7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3）路基填筑时，应随时对路基压实度进行检测，并定期观测路基沉陷，根据观测值来调整施工填筑方法和采取应对措施。</w:t>
      </w:r>
    </w:p>
    <w:p w14:paraId="1464AC3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4）当采用土石混填填筑路堤时，应将石块大面向下，</w:t>
      </w:r>
      <w:r>
        <w:rPr>
          <w:rFonts w:hint="default" w:ascii="Times New Roman" w:hAnsi="Times New Roman" w:eastAsia="宋体" w:cs="Times New Roman"/>
          <w:smallCaps w:val="0"/>
          <w:color w:val="auto"/>
          <w:spacing w:val="0"/>
          <w:w w:val="100"/>
          <w:sz w:val="30"/>
          <w:szCs w:val="30"/>
          <w:highlight w:val="none"/>
          <w:lang w:val="zh-CN" w:eastAsia="zh-CN"/>
        </w:rPr>
        <w:t>级配碎石垫层厚15cm</w:t>
      </w:r>
      <w:r>
        <w:rPr>
          <w:rFonts w:hint="default" w:ascii="Times New Roman" w:hAnsi="Times New Roman" w:eastAsia="宋体" w:cs="Times New Roman"/>
          <w:smallCaps w:val="0"/>
          <w:color w:val="auto"/>
          <w:spacing w:val="0"/>
          <w:w w:val="100"/>
          <w:sz w:val="30"/>
          <w:szCs w:val="30"/>
          <w:highlight w:val="none"/>
          <w:lang w:eastAsia="zh-CN"/>
        </w:rPr>
        <w:t>。</w:t>
      </w:r>
    </w:p>
    <w:p w14:paraId="752FAF0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5）位于滑坡地段的路基，施工前必须将地表水排除于边坡范围之外，采取有效措施禁止地表水或施工用水进入滑坡体中。因此，要求截水沟、急流槽应首先安排施工。</w:t>
      </w:r>
    </w:p>
    <w:p w14:paraId="415A220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2.碎石基层施工</w:t>
      </w:r>
    </w:p>
    <w:p w14:paraId="39D7CD2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下层复验合格后要及时摊铺，运到工地的碎石排平后，大小颗粒应分布均匀，虚铺厚度一致，按虚铺厚度一次铺平，不得多次找补。运料及摊铺应先远后近循序进行，所需材料按预先计算量分段分堆放置，应用人工配合机械进行摊铺，摊铺的碎石应级配分布均匀一致，无明显颗粒分离现象，严禁用四齿耙拉平料堆，造成粗细料局部集中。对摊铺时发生的粗细料集中情况应及时处理。摊铺虚厚按设计厚度乘压实系数，通过试验段确定压实系数，一般可按1.2-1.3之间的摊铺系数试压。摊铺时要严格控制高程和平整度，初压后必须立即检查并找补。碾压前断绝交通，保持摊铺清洁和施工安全。平整度不大于±15mm。</w:t>
      </w:r>
    </w:p>
    <w:p w14:paraId="26E5C82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3.混凝土浇筑</w:t>
      </w:r>
    </w:p>
    <w:p w14:paraId="681591A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1</w:t>
      </w:r>
      <w:r>
        <w:rPr>
          <w:rFonts w:hint="default" w:ascii="Times New Roman" w:hAnsi="Times New Roman" w:eastAsia="宋体" w:cs="Times New Roman"/>
          <w:smallCaps w:val="0"/>
          <w:color w:val="auto"/>
          <w:spacing w:val="0"/>
          <w:w w:val="100"/>
          <w:sz w:val="30"/>
          <w:szCs w:val="30"/>
          <w:highlight w:val="none"/>
          <w:lang w:eastAsia="zh-CN"/>
        </w:rPr>
        <w:t>）基层准备</w:t>
      </w:r>
    </w:p>
    <w:p w14:paraId="1E80844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在铺筑水泥混凝土面层前，应将基层上的浮石、杂物、尘土等全部清除，保证碎石基层表面整洁，并整理排水设施。</w:t>
      </w:r>
    </w:p>
    <w:p w14:paraId="435ECFB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）混凝土拌合与运输</w:t>
      </w:r>
    </w:p>
    <w:p w14:paraId="27535D0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混凝土采用商品混凝土，用商</w:t>
      </w:r>
      <w:r>
        <w:rPr>
          <w:rFonts w:hint="eastAsia" w:ascii="Times New Roman" w:hAnsi="Times New Roman" w:eastAsia="宋体" w:cs="Times New Roman"/>
          <w:smallCaps w:val="0"/>
          <w:color w:val="auto"/>
          <w:spacing w:val="0"/>
          <w:w w:val="100"/>
          <w:sz w:val="30"/>
          <w:szCs w:val="30"/>
          <w:highlight w:val="none"/>
          <w:lang w:eastAsia="zh-CN"/>
        </w:rPr>
        <w:t>混</w:t>
      </w:r>
      <w:r>
        <w:rPr>
          <w:rFonts w:hint="default" w:ascii="Times New Roman" w:hAnsi="Times New Roman" w:eastAsia="宋体" w:cs="Times New Roman"/>
          <w:smallCaps w:val="0"/>
          <w:color w:val="auto"/>
          <w:spacing w:val="0"/>
          <w:w w:val="100"/>
          <w:sz w:val="30"/>
          <w:szCs w:val="30"/>
          <w:highlight w:val="none"/>
          <w:lang w:eastAsia="zh-CN"/>
        </w:rPr>
        <w:t>罐车运至工地，用动力翻斗车和手拉车运至工点。</w:t>
      </w:r>
    </w:p>
    <w:p w14:paraId="4423815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3</w:t>
      </w:r>
      <w:r>
        <w:rPr>
          <w:rFonts w:hint="default" w:ascii="Times New Roman" w:hAnsi="Times New Roman" w:eastAsia="宋体" w:cs="Times New Roman"/>
          <w:smallCaps w:val="0"/>
          <w:color w:val="auto"/>
          <w:spacing w:val="0"/>
          <w:w w:val="100"/>
          <w:sz w:val="30"/>
          <w:szCs w:val="30"/>
          <w:highlight w:val="none"/>
          <w:lang w:eastAsia="zh-CN"/>
        </w:rPr>
        <w:t>）混凝土摊铺</w:t>
      </w:r>
    </w:p>
    <w:p w14:paraId="2125FD9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1）混凝土混合料摊铺前，应对传力杆、</w:t>
      </w: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HYPERLINK "http://zhidao.baidu.com/search?word=%E6%8B%89%E6%9D%86&amp;fr=qb_search_exp&amp;ie=utf8" \t "_blank"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拉杆</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安装位置进行全面检查。</w:t>
      </w:r>
    </w:p>
    <w:p w14:paraId="497E3D8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2）混凝土利用人工入仓方式平仓，摊铺连续进行，如因任何原因发生中途停工，应按设计要求设置</w:t>
      </w: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HYPERLINK "http://zhidao.baidu.com/search?word=%E6%96%BD%E5%B7%A5%E7%BC%9D&amp;fr=qb_search_exp&amp;ie=utf8" \t "_blank"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施工缝</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w:t>
      </w:r>
    </w:p>
    <w:p w14:paraId="0B0C572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3）拌好后的混凝土，用插入式振捣器充分振捣。振捣器不许接触接线装置及传力杆和</w:t>
      </w: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HYPERLINK "http://zhidao.baidu.com/search?word=%E6%8B%89%E6%9D%86&amp;fr=qb_search_exp&amp;ie=utf8" \t "_blank"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拉杆</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，在任一位置上，振捣时间不宜小于规范要求，再用平板振捣器振捣。</w:t>
      </w:r>
    </w:p>
    <w:p w14:paraId="7378B34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）表面修整</w:t>
      </w:r>
    </w:p>
    <w:p w14:paraId="7882C6D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1）混凝土摊铺、捣实、刮平作业完成后，应进一步整平，使混凝土表面达到要求的横</w:t>
      </w: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HYPERLINK "http://zhidao.baidu.com/search?word=%E5%9D%A1%E5%BA%A6&amp;fr=qb_search_exp&amp;ie=utf8" \t "_blank"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坡度</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和</w:t>
      </w: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HYPERLINK "http://zhidao.baidu.com/search?word=%E5%B9%B3%E6%95%B4%E5%BA%A6&amp;fr=qb_search_exp&amp;ie=utf8" \t "_blank"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平整度</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w:t>
      </w:r>
    </w:p>
    <w:p w14:paraId="4C141A4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2）修整作业时，不得在混凝土表面洒水。</w:t>
      </w:r>
    </w:p>
    <w:p w14:paraId="3A40D15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3）接缝和混凝土表面不规则处的人工修整作业，工作桥不得在</w:t>
      </w:r>
      <w:r>
        <w:rPr>
          <w:rFonts w:hint="default" w:ascii="Times New Roman" w:hAnsi="Times New Roman" w:eastAsia="宋体" w:cs="Times New Roman"/>
          <w:smallCaps w:val="0"/>
          <w:color w:val="auto"/>
          <w:spacing w:val="0"/>
          <w:w w:val="100"/>
          <w:sz w:val="30"/>
          <w:szCs w:val="30"/>
          <w:highlight w:val="none"/>
          <w:lang w:val="en-US" w:eastAsia="zh-CN"/>
        </w:rPr>
        <w:t>支撑</w:t>
      </w:r>
      <w:r>
        <w:rPr>
          <w:rFonts w:hint="default" w:ascii="Times New Roman" w:hAnsi="Times New Roman" w:eastAsia="宋体" w:cs="Times New Roman"/>
          <w:smallCaps w:val="0"/>
          <w:color w:val="auto"/>
          <w:spacing w:val="0"/>
          <w:w w:val="100"/>
          <w:sz w:val="30"/>
          <w:szCs w:val="30"/>
          <w:highlight w:val="none"/>
          <w:lang w:eastAsia="zh-CN"/>
        </w:rPr>
        <w:t>尚未达到要求强度的混凝土上。</w:t>
      </w:r>
    </w:p>
    <w:p w14:paraId="63AC9FC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4）修整作业在混凝土仍保持塑性和具有</w:t>
      </w: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HYPERLINK "http://zhidao.baidu.com/search?word=%E5%92%8C%E6%98%93%E6%80%A7&amp;fr=qb_search_exp&amp;ie=utf8" \t "_blank"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和易性</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的时候进行，以确保从混凝土表面上清除水分和浮浆。在表面低洼处，严禁洒水、撒干水泥，必须以新拌制的混凝土填补与修整。</w:t>
      </w:r>
    </w:p>
    <w:p w14:paraId="707A313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）接缝</w:t>
      </w:r>
    </w:p>
    <w:p w14:paraId="1ABFE7D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1）横胀缝</w:t>
      </w:r>
    </w:p>
    <w:p w14:paraId="4F2E3EE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①按图纸要求的型式设置胀缝，胀缝与路面中心线垂直，缝壁必须垂直。</w:t>
      </w:r>
    </w:p>
    <w:p w14:paraId="3C2F2FC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②传力杆与</w:t>
      </w: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HYPERLINK "http://zhidao.baidu.com/search?word=%E5%A5%97%E7%AD%92&amp;fr=qb_search_exp&amp;ie=utf8" \t "_blank"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套筒</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端部空隙部分填塞</w:t>
      </w: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HYPERLINK "http://zhidao.baidu.com/search?word=%E6%B2%A5%E9%9D%92&amp;fr=qb_search_exp&amp;ie=utf8" \t "_blank"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沥青</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麻絮。</w:t>
      </w:r>
    </w:p>
    <w:p w14:paraId="7948D0A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2）横缩缝</w:t>
      </w:r>
    </w:p>
    <w:p w14:paraId="7979EEC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①缩缝的形式、尺寸、间距应按图纸的规定要求设置。</w:t>
      </w:r>
    </w:p>
    <w:p w14:paraId="55C982F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②锯缝用混凝土锯缝机切割，锯缝时间根据使用水泥类型、气候条件来决定，一般在混凝土强度达到1～1.5MPa时锯缝为宜，每条的锯缝作业必须一次完成。</w:t>
      </w:r>
    </w:p>
    <w:p w14:paraId="2EB2D6C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3）横向施工缝</w:t>
      </w:r>
    </w:p>
    <w:p w14:paraId="1DE6C3A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①每天工作结束或当浇注工序中断超过30分钟时，则应设置垂直于路中线的平接施工缝。</w:t>
      </w:r>
    </w:p>
    <w:p w14:paraId="38ED717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②施工缝的位置尽可能与胀缝或缩缝相吻合，在胀缝处按胀缝形式施工。</w:t>
      </w:r>
    </w:p>
    <w:p w14:paraId="082746E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③按设计要求设传力杆或拉杆，传力杆或拉杆必须与路中心线平行并垂直缝壁。</w:t>
      </w:r>
    </w:p>
    <w:p w14:paraId="65D8409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④采用平缝加传力杆形式时。传力杆长度的一半锚固于混凝土中，另一半涂油脂或</w:t>
      </w: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HYPERLINK "http://zhidao.baidu.com/search?word=%E6%B6%A6%E6%BB%91%E5%89%82&amp;fr=qb_search_exp&amp;ie=utf8" \t "_blank"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润滑剂</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，允许活动；采用平缝加拉杆形式时，两端锚固。</w:t>
      </w:r>
    </w:p>
    <w:p w14:paraId="3431F86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⑤铺筑邻板时，对已</w:t>
      </w:r>
      <w:r>
        <w:rPr>
          <w:rFonts w:hint="default" w:ascii="Times New Roman" w:hAnsi="Times New Roman" w:eastAsia="宋体" w:cs="Times New Roman"/>
          <w:smallCaps w:val="0"/>
          <w:color w:val="auto"/>
          <w:spacing w:val="0"/>
          <w:w w:val="100"/>
          <w:sz w:val="30"/>
          <w:szCs w:val="30"/>
          <w:highlight w:val="none"/>
          <w:lang w:val="en-US" w:eastAsia="zh-CN"/>
        </w:rPr>
        <w:t>浇筑</w:t>
      </w:r>
      <w:r>
        <w:rPr>
          <w:rFonts w:hint="default" w:ascii="Times New Roman" w:hAnsi="Times New Roman" w:eastAsia="宋体" w:cs="Times New Roman"/>
          <w:smallCaps w:val="0"/>
          <w:color w:val="auto"/>
          <w:spacing w:val="0"/>
          <w:w w:val="100"/>
          <w:sz w:val="30"/>
          <w:szCs w:val="30"/>
          <w:highlight w:val="none"/>
          <w:lang w:eastAsia="zh-CN"/>
        </w:rPr>
        <w:t>混凝土面板的缝壁应涂</w:t>
      </w: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HYPERLINK "http://zhidao.baidu.com/search?word=%E6%B2%A5%E9%9D%92&amp;fr=qb_search_exp&amp;ie=utf8" \t "_blank"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沥青</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，但不得污染拉杆或传力杆。</w:t>
      </w:r>
    </w:p>
    <w:p w14:paraId="7C137FA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）养生和封缝：</w:t>
      </w:r>
    </w:p>
    <w:p w14:paraId="1315FE2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1）养生：</w:t>
      </w:r>
    </w:p>
    <w:p w14:paraId="4DC3934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水泥砼路面割缝完成后即可进行保温养护，采用</w:t>
      </w: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HYPERLINK "http://zhidao.baidu.com/search?word=%E5%9C%9F%E5%B7%A5%E5%B8%83&amp;fr=qb_search_exp&amp;ie=utf8" \t "_blank"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土工布</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浸湿后覆盖浇水养护，每天洒水次数根据气候而定，水泥砼面层一般养护期为14～21天，气温低时适当延长。养护期间禁止车辆运行，在达到设计强度后方可开放交通。</w:t>
      </w:r>
      <w:r>
        <w:rPr>
          <w:rFonts w:hint="default" w:ascii="Times New Roman" w:hAnsi="Times New Roman" w:eastAsia="宋体" w:cs="Times New Roman"/>
          <w:smallCaps w:val="0"/>
          <w:color w:val="auto"/>
          <w:spacing w:val="0"/>
          <w:w w:val="100"/>
          <w:sz w:val="30"/>
          <w:szCs w:val="30"/>
          <w:highlight w:val="none"/>
          <w:lang w:eastAsia="zh-CN"/>
        </w:rPr>
        <w:br w:type="textWrapping"/>
      </w:r>
      <w:r>
        <w:rPr>
          <w:rFonts w:hint="default" w:ascii="Times New Roman" w:hAnsi="Times New Roman" w:eastAsia="宋体" w:cs="Times New Roman"/>
          <w:smallCaps w:val="0"/>
          <w:color w:val="auto"/>
          <w:spacing w:val="0"/>
          <w:w w:val="100"/>
          <w:sz w:val="30"/>
          <w:szCs w:val="30"/>
          <w:highlight w:val="none"/>
          <w:lang w:eastAsia="zh-CN"/>
        </w:rPr>
        <w:t xml:space="preserve">    2）封缝：</w:t>
      </w:r>
    </w:p>
    <w:p w14:paraId="62F6E43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①混凝土面板中所有接缝缝槽均按设计图纸的要求和部位用填缝料封缝。</w:t>
      </w:r>
    </w:p>
    <w:p w14:paraId="349DD36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②接缝缝槽要求干燥、无尘土、无混凝土碎屑或其他杂物。</w:t>
      </w:r>
    </w:p>
    <w:p w14:paraId="25C3932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③填缝料要按照生产厂推荐的方法加热和灌缝；填缝料与混凝土缝壁黏附紧密不渗水。</w:t>
      </w:r>
    </w:p>
    <w:p w14:paraId="5AEFE66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④填缝料应由槽底部灌填至路表面，深度大于2.5cm的缝槽最少分两层填缝，每层厚度大致相等。</w:t>
      </w:r>
    </w:p>
    <w:p w14:paraId="4066C49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bCs/>
          <w:smallCaps w:val="0"/>
          <w:color w:val="auto"/>
          <w:spacing w:val="0"/>
          <w:w w:val="100"/>
          <w:sz w:val="30"/>
          <w:szCs w:val="30"/>
          <w:highlight w:val="none"/>
          <w:lang w:eastAsia="zh-CN"/>
        </w:rPr>
        <w:t>⑤</w:t>
      </w:r>
      <w:r>
        <w:rPr>
          <w:rFonts w:hint="default" w:ascii="Times New Roman" w:hAnsi="Times New Roman" w:eastAsia="宋体" w:cs="Times New Roman"/>
          <w:smallCaps w:val="0"/>
          <w:color w:val="auto"/>
          <w:spacing w:val="0"/>
          <w:w w:val="100"/>
          <w:sz w:val="30"/>
          <w:szCs w:val="30"/>
          <w:highlight w:val="none"/>
          <w:lang w:eastAsia="zh-CN"/>
        </w:rPr>
        <w:t>灌缝作业在高温季节使填缝料灌至路表面齐平，在低温季节则稍低于路表面。</w:t>
      </w:r>
    </w:p>
    <w:p w14:paraId="419110D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⑥填缝随工程的进度，在开放交通前，填缝料要有充分时间的硬结。</w:t>
      </w:r>
    </w:p>
    <w:p w14:paraId="75404AE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7</w:t>
      </w: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HYPERLINK "http://zhidao.baidu.com/search?word=%E8%B4%A8%E9%87%8F%E6%8E%A7%E5%88%B6&amp;fr=qb_search_exp&amp;ie=utf8" \t "_blank"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质量控制</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w:t>
      </w:r>
    </w:p>
    <w:p w14:paraId="010C4F1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浇筑前详细检查仓内模板、永久缝及浇筑准备工作等，验收合格后方可浇筑。</w:t>
      </w:r>
    </w:p>
    <w:p w14:paraId="28BA59D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砼浇筑前仓面清理干净且清水湿润，但不能有积水，浇筑过程中，及时排除砼泌水和积水，但不能在模板上开孔，防止灰浆流失。</w:t>
      </w:r>
    </w:p>
    <w:p w14:paraId="7F1C6B7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基岩面的浇筑和老砼上迎水面浇筑仓，在浇筑第一层前，必须先铺一层2～3厘米的水泥砂浆，其水灰比较砼的水灰比减少0.03—0.05，铺设的砂浆强度与砼强度一致，铺设的面积与砼浇筑速度相适应。</w:t>
      </w:r>
    </w:p>
    <w:p w14:paraId="309C216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下料高度较大时，采用溜筒等缓降措施或模板侧面预留浇筑窗口，使砼的自由落差不大于2米。</w:t>
      </w:r>
    </w:p>
    <w:p w14:paraId="5DAF495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大体积砼按一定厚度和方向，分层浇筑，浇筑面应大致水平，上下相邻两层同时浇筑，其前后距离不宜小于1.5米。</w:t>
      </w:r>
    </w:p>
    <w:p w14:paraId="4B6DA57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砼随浇随平，有粗骨料堆叠时，将其均匀地分布于砂浆较多处，严禁用砂浆覆盖。</w:t>
      </w:r>
    </w:p>
    <w:p w14:paraId="306F175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铺料均匀，每层厚度控制在50～60厘米，每次浇筑厚度不超过2米，砼浇筑坡度不大于10度。</w:t>
      </w:r>
    </w:p>
    <w:p w14:paraId="4797F11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及时清除黏附在模板、钢筋、预埋件表面的灰浆，浇筑到顶时立即抹平，排除泌水，待定浆后再抹一遍，防止产生松顶和表面缩缝、干裂。</w:t>
      </w:r>
    </w:p>
    <w:p w14:paraId="7F30B79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控制铺料间隔短于初凝时间，超过初凝时间的，如仍可重塑（持续振动30s，周围10厘米范围内泛浆且不再出现孔洞，即认为砼可以重塑），则继续浇筑，否则，作为施工缝处理。</w:t>
      </w:r>
    </w:p>
    <w:p w14:paraId="66A6607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及时排除泌水，但不得带走灰浆；随时检查模板支架等稳固情况，如有漏浆变形或沉陷，立即处理；检查钢筋、预埋件位置，发现移动及时校正。</w:t>
      </w:r>
    </w:p>
    <w:p w14:paraId="04D3B4C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振捣器平仓结合局部人工平仓，止水带、附近必须人工平仓，其余不影响模板稳定位置准确的部位使用振捣平仓；但振捣器平仓不能代替振捣。</w:t>
      </w:r>
    </w:p>
    <w:p w14:paraId="1AF4CDE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振捣器按一定顺序振捣，防止重振、漏振；移动间距应不大于振捣器有效半径的1.5倍。</w:t>
      </w:r>
    </w:p>
    <w:p w14:paraId="5FEA34A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振捣器机头宜垂直插入下层砼中5厘米左右，捣至砼无下沉，不出气泡，表面泛浆并不产生离析后徐徐提出，不留空间。</w:t>
      </w:r>
    </w:p>
    <w:p w14:paraId="215D1DA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8</w:t>
      </w:r>
      <w:r>
        <w:rPr>
          <w:rFonts w:hint="default" w:ascii="Times New Roman" w:hAnsi="Times New Roman" w:eastAsia="宋体" w:cs="Times New Roman"/>
          <w:smallCaps w:val="0"/>
          <w:color w:val="auto"/>
          <w:spacing w:val="0"/>
          <w:w w:val="100"/>
          <w:sz w:val="30"/>
          <w:szCs w:val="30"/>
          <w:highlight w:val="none"/>
          <w:lang w:eastAsia="zh-CN"/>
        </w:rPr>
        <w:t>）养护</w:t>
      </w:r>
    </w:p>
    <w:p w14:paraId="59AD4885">
      <w:pPr>
        <w:kinsoku/>
        <w:spacing w:line="560" w:lineRule="exact"/>
        <w:ind w:left="41" w:right="105" w:firstLine="601"/>
        <w:rPr>
          <w:rFonts w:hint="default" w:ascii="Times New Roman" w:hAnsi="Times New Roman" w:eastAsia="宋体" w:cs="Times New Roman"/>
          <w:bCs/>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1）砼浇筑完毕后及时覆盖，面层凝固后立即洒水养护</w:t>
      </w:r>
      <w:r>
        <w:rPr>
          <w:rFonts w:hint="default" w:ascii="Times New Roman" w:hAnsi="Times New Roman" w:eastAsia="宋体" w:cs="Times New Roman"/>
          <w:bCs/>
          <w:smallCaps w:val="0"/>
          <w:color w:val="auto"/>
          <w:spacing w:val="0"/>
          <w:w w:val="100"/>
          <w:sz w:val="30"/>
          <w:szCs w:val="30"/>
          <w:highlight w:val="none"/>
          <w:lang w:eastAsia="zh-CN"/>
        </w:rPr>
        <w:t>，使砼面和模板经常保持湿润状态。</w:t>
      </w:r>
    </w:p>
    <w:p w14:paraId="290E04A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2）砼连续湿润养护时间不少于28天，有温控防裂要求的部位，养护时间宜适当延长。</w:t>
      </w:r>
    </w:p>
    <w:p w14:paraId="23DC4D9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3）养护剂的选择、使用方法和涂刷时间按产品说明书通过试验确定。但砼表面不得使用有色养护剂。</w:t>
      </w:r>
    </w:p>
    <w:p w14:paraId="1160F58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4）砼养护设专人负责，建立砼养护检查制度，并做好养护记录。</w:t>
      </w:r>
    </w:p>
    <w:p w14:paraId="0ADA4FB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9</w:t>
      </w:r>
      <w:r>
        <w:rPr>
          <w:rFonts w:hint="default" w:ascii="Times New Roman" w:hAnsi="Times New Roman" w:eastAsia="宋体" w:cs="Times New Roman"/>
          <w:smallCaps w:val="0"/>
          <w:color w:val="auto"/>
          <w:spacing w:val="0"/>
          <w:w w:val="100"/>
          <w:sz w:val="30"/>
          <w:szCs w:val="30"/>
          <w:highlight w:val="none"/>
          <w:lang w:eastAsia="zh-CN"/>
        </w:rPr>
        <w:t>）施工缝的处理</w:t>
      </w:r>
    </w:p>
    <w:p w14:paraId="3CF3C2E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施工缝的位置和形式在无害于结构强度及外观的原则下设置。施工缝的处理符合下列要求：</w:t>
      </w:r>
    </w:p>
    <w:p w14:paraId="1BDBB401">
      <w:pPr>
        <w:kinsoku/>
        <w:spacing w:line="560" w:lineRule="exact"/>
        <w:ind w:left="41" w:right="105" w:firstLine="601"/>
        <w:rPr>
          <w:rFonts w:hint="default" w:ascii="Times New Roman" w:hAnsi="Times New Roman" w:eastAsia="宋体" w:cs="Times New Roman"/>
          <w:bCs/>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1）根据砼的硬化程度，采用凿毛、冲毛或刷毛等方法清除老砼表层的水泥浆薄膜和松弱</w:t>
      </w:r>
      <w:r>
        <w:rPr>
          <w:rFonts w:hint="default" w:ascii="Times New Roman" w:hAnsi="Times New Roman" w:eastAsia="宋体" w:cs="Times New Roman"/>
          <w:bCs/>
          <w:smallCaps w:val="0"/>
          <w:color w:val="auto"/>
          <w:spacing w:val="0"/>
          <w:w w:val="100"/>
          <w:sz w:val="30"/>
          <w:szCs w:val="30"/>
          <w:highlight w:val="none"/>
          <w:lang w:eastAsia="zh-CN"/>
        </w:rPr>
        <w:t>层，并冲洗干净，排除积水。</w:t>
      </w:r>
    </w:p>
    <w:p w14:paraId="2B11992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2）砼强度达到2.5Mpa后方可进行浇筑上层砼的准备工作。</w:t>
      </w:r>
    </w:p>
    <w:p w14:paraId="02C449C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3）浇筑前水平缝应铺一层厚1～2厘米的水泥砂浆，垂直缝应刷一遍净水泥浆，其水灰比较砼减少0.03-0.05。</w:t>
      </w:r>
    </w:p>
    <w:p w14:paraId="4A5C074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4）新老砼结合面应细致捣实。</w:t>
      </w:r>
    </w:p>
    <w:p w14:paraId="3424E7A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10</w:t>
      </w:r>
      <w:r>
        <w:rPr>
          <w:rFonts w:hint="default" w:ascii="Times New Roman" w:hAnsi="Times New Roman" w:eastAsia="宋体" w:cs="Times New Roman"/>
          <w:smallCaps w:val="0"/>
          <w:color w:val="auto"/>
          <w:spacing w:val="0"/>
          <w:w w:val="100"/>
          <w:sz w:val="30"/>
          <w:szCs w:val="30"/>
          <w:highlight w:val="none"/>
          <w:lang w:eastAsia="zh-CN"/>
        </w:rPr>
        <w:t>）质量控制及评定</w:t>
      </w:r>
    </w:p>
    <w:p w14:paraId="24AEFC4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为保证砼质量达到设计要求，对原材料、配合比施工过程中各主要环节及硬化后的砼质量进行控制和检查。</w:t>
      </w:r>
    </w:p>
    <w:p w14:paraId="335E443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凡进入高标准</w:t>
      </w:r>
      <w:r>
        <w:rPr>
          <w:rFonts w:hint="default" w:ascii="Times New Roman" w:hAnsi="Times New Roman" w:eastAsia="宋体" w:cs="Times New Roman"/>
          <w:smallCaps w:val="0"/>
          <w:color w:val="auto"/>
          <w:spacing w:val="0"/>
          <w:w w:val="100"/>
          <w:sz w:val="30"/>
          <w:szCs w:val="30"/>
          <w:highlight w:val="none"/>
          <w:lang w:val="en-US" w:eastAsia="zh-CN"/>
        </w:rPr>
        <w:t>农田建设</w:t>
      </w:r>
      <w:r>
        <w:rPr>
          <w:rFonts w:hint="default" w:ascii="Times New Roman" w:hAnsi="Times New Roman" w:eastAsia="宋体" w:cs="Times New Roman"/>
          <w:smallCaps w:val="0"/>
          <w:color w:val="auto"/>
          <w:spacing w:val="0"/>
          <w:w w:val="100"/>
          <w:sz w:val="30"/>
          <w:szCs w:val="30"/>
          <w:highlight w:val="none"/>
          <w:lang w:eastAsia="zh-CN"/>
        </w:rPr>
        <w:t>项目施工现场的建筑材料、构配件和设备应具有产品质量出厂合格证明或技术标准规定的进场试验报告。施工单位、监理单位应对原材料和中间材料见证取样和送检，并对构配件和设备等进行抽检，未经检验或经检验不合格的，不得投入使用。 </w:t>
      </w:r>
    </w:p>
    <w:p w14:paraId="4F15AC5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1）砂石料宜在料场取样，通过试验选择。到工地的砂石料每批至少检验一次。</w:t>
      </w:r>
    </w:p>
    <w:p w14:paraId="792CA3A7">
      <w:pPr>
        <w:kinsoku/>
        <w:spacing w:line="560" w:lineRule="exact"/>
        <w:ind w:left="41" w:right="105" w:firstLine="601"/>
        <w:rPr>
          <w:rFonts w:hint="default" w:ascii="Times New Roman" w:hAnsi="Times New Roman" w:eastAsia="宋体" w:cs="Times New Roman"/>
          <w:bCs/>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2）水泥、外加剂和混合材等有质量保证书</w:t>
      </w:r>
      <w:r>
        <w:rPr>
          <w:rFonts w:hint="default" w:ascii="Times New Roman" w:hAnsi="Times New Roman" w:eastAsia="宋体" w:cs="Times New Roman"/>
          <w:bCs/>
          <w:smallCaps w:val="0"/>
          <w:color w:val="auto"/>
          <w:spacing w:val="0"/>
          <w:w w:val="100"/>
          <w:sz w:val="30"/>
          <w:szCs w:val="30"/>
          <w:highlight w:val="none"/>
          <w:lang w:eastAsia="zh-CN"/>
        </w:rPr>
        <w:t>，并取样检验。袋装水泥储运时间超过3个月，使用前应重新检验。袋装水泥进库前应抽样检查包装。</w:t>
      </w:r>
    </w:p>
    <w:p w14:paraId="1E4D9F5D">
      <w:pPr>
        <w:shd w:val="clear" w:color="000000" w:fill="auto"/>
        <w:spacing w:line="560" w:lineRule="atLeast"/>
        <w:ind w:firstLine="600" w:firstLineChars="200"/>
        <w:rPr>
          <w:rFonts w:hint="default" w:ascii="Times New Roman" w:hAnsi="Times New Roman" w:eastAsia="宋体" w:cs="Times New Roman"/>
          <w:bCs/>
          <w:smallCaps w:val="0"/>
          <w:color w:val="auto"/>
          <w:spacing w:val="0"/>
          <w:w w:val="100"/>
          <w:sz w:val="30"/>
          <w:szCs w:val="30"/>
          <w:highlight w:val="none"/>
          <w:lang w:eastAsia="zh-CN"/>
        </w:rPr>
      </w:pPr>
      <w:r>
        <w:rPr>
          <w:rFonts w:hint="default" w:ascii="Times New Roman" w:hAnsi="Times New Roman" w:eastAsia="宋体" w:cs="Times New Roman"/>
          <w:bCs/>
          <w:smallCaps w:val="0"/>
          <w:color w:val="auto"/>
          <w:spacing w:val="0"/>
          <w:w w:val="100"/>
          <w:sz w:val="30"/>
          <w:szCs w:val="30"/>
          <w:highlight w:val="none"/>
          <w:lang w:eastAsia="zh-CN"/>
        </w:rPr>
        <w:t>3）砼拌合及养护用水如水源改变或对水质有怀疑时要重新检验。</w:t>
      </w:r>
    </w:p>
    <w:p w14:paraId="4AA574B4">
      <w:pPr>
        <w:shd w:val="clear" w:color="000000" w:fill="auto"/>
        <w:spacing w:line="560" w:lineRule="atLeast"/>
        <w:ind w:firstLine="600" w:firstLineChars="200"/>
        <w:rPr>
          <w:rFonts w:hint="default" w:ascii="Times New Roman" w:hAnsi="Times New Roman" w:eastAsia="宋体" w:cs="Times New Roman"/>
          <w:bCs/>
          <w:smallCaps w:val="0"/>
          <w:color w:val="auto"/>
          <w:spacing w:val="0"/>
          <w:w w:val="100"/>
          <w:sz w:val="30"/>
          <w:szCs w:val="30"/>
          <w:highlight w:val="none"/>
          <w:lang w:eastAsia="zh-CN"/>
        </w:rPr>
      </w:pPr>
      <w:r>
        <w:rPr>
          <w:rFonts w:hint="default" w:ascii="Times New Roman" w:hAnsi="Times New Roman" w:eastAsia="宋体" w:cs="Times New Roman"/>
          <w:bCs/>
          <w:smallCaps w:val="0"/>
          <w:color w:val="auto"/>
          <w:spacing w:val="0"/>
          <w:w w:val="100"/>
          <w:sz w:val="30"/>
          <w:szCs w:val="30"/>
          <w:highlight w:val="none"/>
          <w:lang w:eastAsia="zh-CN"/>
        </w:rPr>
        <w:t>4）砼各种原材料的配合量，要做好记录，衡器随时抽查，定期校正。</w:t>
      </w:r>
    </w:p>
    <w:p w14:paraId="4FC0BE51">
      <w:pPr>
        <w:shd w:val="clear" w:color="000000" w:fill="auto"/>
        <w:spacing w:line="560" w:lineRule="atLeast"/>
        <w:ind w:firstLine="600" w:firstLineChars="200"/>
        <w:rPr>
          <w:rFonts w:hint="default" w:ascii="Times New Roman" w:hAnsi="Times New Roman" w:eastAsia="宋体" w:cs="Times New Roman"/>
          <w:bCs/>
          <w:smallCaps w:val="0"/>
          <w:color w:val="auto"/>
          <w:spacing w:val="0"/>
          <w:w w:val="100"/>
          <w:sz w:val="30"/>
          <w:szCs w:val="30"/>
          <w:highlight w:val="none"/>
          <w:lang w:eastAsia="zh-CN"/>
        </w:rPr>
      </w:pPr>
      <w:r>
        <w:rPr>
          <w:rFonts w:hint="default" w:ascii="Times New Roman" w:hAnsi="Times New Roman" w:eastAsia="宋体" w:cs="Times New Roman"/>
          <w:bCs/>
          <w:smallCaps w:val="0"/>
          <w:color w:val="auto"/>
          <w:spacing w:val="0"/>
          <w:w w:val="100"/>
          <w:sz w:val="30"/>
          <w:szCs w:val="30"/>
          <w:highlight w:val="none"/>
          <w:lang w:eastAsia="zh-CN"/>
        </w:rPr>
        <w:t>5）砼坍落度，每班在机口至少检验2次，在仓面至少检验2次，制取试件时，同时测定坍落度。</w:t>
      </w:r>
    </w:p>
    <w:p w14:paraId="0FF57A5B">
      <w:pPr>
        <w:shd w:val="clear" w:color="000000" w:fill="auto"/>
        <w:spacing w:line="560" w:lineRule="atLeast"/>
        <w:ind w:firstLine="600" w:firstLineChars="200"/>
        <w:rPr>
          <w:rFonts w:hint="default" w:ascii="Times New Roman" w:hAnsi="Times New Roman" w:eastAsia="宋体" w:cs="Times New Roman"/>
          <w:bCs/>
          <w:smallCaps w:val="0"/>
          <w:color w:val="auto"/>
          <w:spacing w:val="0"/>
          <w:w w:val="100"/>
          <w:sz w:val="30"/>
          <w:szCs w:val="30"/>
          <w:highlight w:val="none"/>
          <w:lang w:eastAsia="zh-CN"/>
        </w:rPr>
      </w:pPr>
      <w:r>
        <w:rPr>
          <w:rFonts w:hint="default" w:ascii="Times New Roman" w:hAnsi="Times New Roman" w:eastAsia="宋体" w:cs="Times New Roman"/>
          <w:bCs/>
          <w:smallCaps w:val="0"/>
          <w:color w:val="auto"/>
          <w:spacing w:val="0"/>
          <w:w w:val="100"/>
          <w:sz w:val="30"/>
          <w:szCs w:val="30"/>
          <w:highlight w:val="none"/>
          <w:lang w:eastAsia="zh-CN"/>
        </w:rPr>
        <w:t>6）砼试件应在机口随机取样、成型，不得任意挑选，一组3个试件应取自同一盘砼中。</w:t>
      </w:r>
    </w:p>
    <w:p w14:paraId="280D8146">
      <w:pPr>
        <w:pStyle w:val="5"/>
        <w:spacing w:before="0" w:after="0" w:line="560" w:lineRule="atLeast"/>
        <w:outlineLvl w:val="3"/>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highlight w:val="none"/>
          <w:lang w:eastAsia="zh-CN"/>
        </w:rPr>
        <w:t>6.2.</w:t>
      </w:r>
      <w:r>
        <w:rPr>
          <w:rFonts w:hint="eastAsia" w:ascii="Times New Roman" w:hAnsi="Times New Roman" w:eastAsia="宋体" w:cs="Times New Roman"/>
          <w:smallCaps w:val="0"/>
          <w:color w:val="auto"/>
          <w:spacing w:val="0"/>
          <w:w w:val="100"/>
          <w:highlight w:val="none"/>
          <w:lang w:val="en-US" w:eastAsia="zh-CN"/>
        </w:rPr>
        <w:t>5</w:t>
      </w:r>
      <w:r>
        <w:rPr>
          <w:rFonts w:hint="default" w:ascii="Times New Roman" w:hAnsi="Times New Roman" w:eastAsia="宋体" w:cs="Times New Roman"/>
          <w:smallCaps w:val="0"/>
          <w:color w:val="auto"/>
          <w:spacing w:val="0"/>
          <w:w w:val="100"/>
          <w:highlight w:val="none"/>
          <w:lang w:eastAsia="zh-CN"/>
        </w:rPr>
        <w:t>.4农田防护和生态保护工程</w:t>
      </w:r>
    </w:p>
    <w:p w14:paraId="2925312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一、围栏工程施工</w:t>
      </w:r>
    </w:p>
    <w:p w14:paraId="12DA522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1.准备工作→测量、放线→确认安装基准→安装围栏→栏管连接部位防护处理→清理施工现场→检查验收。</w:t>
      </w:r>
    </w:p>
    <w:p w14:paraId="5C8F28A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2.围栏防腐处理</w:t>
      </w:r>
    </w:p>
    <w:p w14:paraId="7B17006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围栏表面的处理由生产厂家按规范要求处理。围栏开孔处、围栏表面的油污或者生锈的部分应去除后进一步加工。加工后的围栏表面应平整、光滑、无毛刺、裂纹、氧化等问题。</w:t>
      </w:r>
    </w:p>
    <w:p w14:paraId="3C78688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本项目锌钢围栏采用C1级防腐等级，护栏表面镀锌层厚度不得低于65μm，适用于一般室内环境或轻度腐蚀的室外环境。</w:t>
      </w:r>
    </w:p>
    <w:p w14:paraId="724F0AE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围栏经现场焊接和开孔后破坏原有镀锌保护层，应做相应的防腐处理，在焊接位置或开孔处进行防腐材料的喷涂，形成一层防腐蚀隔离膜，使焊缝不易被腐蚀；开孔位置在开孔后进行喷涂。</w:t>
      </w:r>
    </w:p>
    <w:p w14:paraId="5D618C5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在围栏立柱下部与基础的接触面，应注意加强围栏的防腐工艺，在原有未被破坏的镀锌层再涂刷冷镀锌材料增厚镀锌层。</w:t>
      </w:r>
    </w:p>
    <w:p w14:paraId="0252CD3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3.边角处理</w:t>
      </w:r>
    </w:p>
    <w:p w14:paraId="3D96788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（1）角部位置应按规范要求进行处理或采用特殊管件、构造、装饰。</w:t>
      </w:r>
    </w:p>
    <w:p w14:paraId="509A1DC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（2）围栏四个角、旁边的建筑物、障碍物或其他设施应采取隔离措施，以免影响围栏的使用寿命和外观。</w:t>
      </w:r>
    </w:p>
    <w:p w14:paraId="4374F9C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4.围栏下部处理</w:t>
      </w:r>
    </w:p>
    <w:p w14:paraId="799F917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围栏下部设置C20混凝土</w:t>
      </w:r>
      <w:r>
        <w:rPr>
          <w:rFonts w:hint="default" w:ascii="Times New Roman" w:hAnsi="Times New Roman" w:eastAsia="宋体" w:cs="Times New Roman"/>
          <w:smallCaps w:val="0"/>
          <w:color w:val="auto"/>
          <w:spacing w:val="0"/>
          <w:w w:val="100"/>
          <w:sz w:val="30"/>
          <w:szCs w:val="30"/>
          <w:highlight w:val="none"/>
          <w:lang w:val="en-US" w:eastAsia="zh-CN"/>
        </w:rPr>
        <w:t>基础</w:t>
      </w:r>
      <w:r>
        <w:rPr>
          <w:rFonts w:hint="default" w:ascii="Times New Roman" w:hAnsi="Times New Roman" w:eastAsia="宋体" w:cs="Times New Roman"/>
          <w:smallCaps w:val="0"/>
          <w:color w:val="auto"/>
          <w:spacing w:val="0"/>
          <w:w w:val="100"/>
          <w:sz w:val="30"/>
          <w:szCs w:val="30"/>
          <w:highlight w:val="none"/>
          <w:lang w:eastAsia="zh-CN"/>
        </w:rPr>
        <w:t>。</w:t>
      </w:r>
    </w:p>
    <w:p w14:paraId="799BC52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围栏立管和横管安装完成后，围栏留置150mm在C20混凝土中。</w:t>
      </w:r>
    </w:p>
    <w:p w14:paraId="67E7B4B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先安装围栏，再进行围栏下部混凝土浇筑。</w:t>
      </w:r>
    </w:p>
    <w:p w14:paraId="47F1D299">
      <w:pPr>
        <w:kinsoku/>
        <w:spacing w:line="560" w:lineRule="exact"/>
        <w:ind w:left="41" w:right="105" w:firstLine="601"/>
        <w:rPr>
          <w:rFonts w:hint="default"/>
          <w:color w:val="auto"/>
          <w:highlight w:val="none"/>
          <w:lang w:eastAsia="zh-CN"/>
        </w:rPr>
      </w:pPr>
      <w:r>
        <w:rPr>
          <w:rFonts w:hint="eastAsia" w:ascii="Times New Roman" w:hAnsi="Times New Roman" w:eastAsia="宋体" w:cs="Times New Roman"/>
          <w:smallCaps w:val="0"/>
          <w:color w:val="auto"/>
          <w:spacing w:val="0"/>
          <w:w w:val="100"/>
          <w:sz w:val="30"/>
          <w:szCs w:val="30"/>
          <w:highlight w:val="none"/>
          <w:lang w:val="en-US" w:eastAsia="zh-CN"/>
        </w:rPr>
        <w:t>围栏需埋入土层30cm深</w:t>
      </w:r>
      <w:r>
        <w:rPr>
          <w:rFonts w:hint="default" w:ascii="Times New Roman" w:hAnsi="Times New Roman" w:eastAsia="宋体" w:cs="Times New Roman"/>
          <w:smallCaps w:val="0"/>
          <w:color w:val="auto"/>
          <w:spacing w:val="0"/>
          <w:w w:val="100"/>
          <w:sz w:val="30"/>
          <w:szCs w:val="30"/>
          <w:highlight w:val="none"/>
          <w:lang w:eastAsia="zh-CN"/>
        </w:rPr>
        <w:t>。</w:t>
      </w:r>
    </w:p>
    <w:p w14:paraId="3F0DF12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5.安装注意事项</w:t>
      </w:r>
    </w:p>
    <w:p w14:paraId="14E96958">
      <w:pPr>
        <w:kinsoku/>
        <w:spacing w:line="560" w:lineRule="exact"/>
        <w:ind w:left="41" w:right="105" w:firstLine="601"/>
        <w:rPr>
          <w:rFonts w:hint="default" w:ascii="Times New Roman" w:hAnsi="Times New Roman" w:eastAsia="宋体" w:cs="Times New Roman"/>
          <w:bCs/>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（1）考虑提高材料装车效率和结合边界安装的便</w:t>
      </w:r>
      <w:r>
        <w:rPr>
          <w:rFonts w:hint="default" w:ascii="Times New Roman" w:hAnsi="Times New Roman" w:eastAsia="宋体" w:cs="Times New Roman"/>
          <w:bCs/>
          <w:smallCaps w:val="0"/>
          <w:color w:val="auto"/>
          <w:spacing w:val="0"/>
          <w:w w:val="100"/>
          <w:sz w:val="30"/>
          <w:szCs w:val="30"/>
          <w:highlight w:val="none"/>
          <w:lang w:eastAsia="zh-CN"/>
        </w:rPr>
        <w:t>利，立管、横管采用工厂预留卡口及穿孔连接后浇入混凝土之中，个别之处如间隙过大可现场补焊加强，立柱与立管、横管连接采用螺栓坚固连接。</w:t>
      </w:r>
    </w:p>
    <w:p w14:paraId="597B1854">
      <w:pPr>
        <w:shd w:val="clear" w:color="000000" w:fill="auto"/>
        <w:spacing w:line="560" w:lineRule="atLeast"/>
        <w:ind w:firstLine="600" w:firstLineChars="200"/>
        <w:rPr>
          <w:rFonts w:hint="default" w:ascii="Times New Roman" w:hAnsi="Times New Roman" w:eastAsia="宋体" w:cs="Times New Roman"/>
          <w:bCs/>
          <w:smallCaps w:val="0"/>
          <w:color w:val="auto"/>
          <w:spacing w:val="0"/>
          <w:w w:val="100"/>
          <w:sz w:val="30"/>
          <w:szCs w:val="30"/>
          <w:highlight w:val="none"/>
          <w:lang w:eastAsia="zh-CN"/>
        </w:rPr>
      </w:pPr>
      <w:r>
        <w:rPr>
          <w:rFonts w:hint="default" w:ascii="Times New Roman" w:hAnsi="Times New Roman" w:eastAsia="宋体" w:cs="Times New Roman"/>
          <w:bCs/>
          <w:smallCaps w:val="0"/>
          <w:color w:val="auto"/>
          <w:spacing w:val="0"/>
          <w:w w:val="100"/>
          <w:sz w:val="30"/>
          <w:szCs w:val="30"/>
          <w:highlight w:val="none"/>
          <w:lang w:eastAsia="zh-CN"/>
        </w:rPr>
        <w:t>（2）在围栏施工过程中，注意安全生产，防止人员受伤。</w:t>
      </w:r>
    </w:p>
    <w:p w14:paraId="626133AB">
      <w:pPr>
        <w:shd w:val="clear" w:color="000000" w:fill="auto"/>
        <w:spacing w:line="560" w:lineRule="atLeast"/>
        <w:ind w:firstLine="600" w:firstLineChars="200"/>
        <w:rPr>
          <w:rFonts w:hint="default" w:ascii="Times New Roman" w:hAnsi="Times New Roman" w:eastAsia="宋体" w:cs="Times New Roman"/>
          <w:bCs/>
          <w:smallCaps w:val="0"/>
          <w:color w:val="auto"/>
          <w:spacing w:val="0"/>
          <w:w w:val="100"/>
          <w:sz w:val="30"/>
          <w:szCs w:val="30"/>
          <w:highlight w:val="none"/>
          <w:lang w:eastAsia="zh-CN"/>
        </w:rPr>
      </w:pPr>
      <w:r>
        <w:rPr>
          <w:rFonts w:hint="default" w:ascii="Times New Roman" w:hAnsi="Times New Roman" w:eastAsia="宋体" w:cs="Times New Roman"/>
          <w:bCs/>
          <w:smallCaps w:val="0"/>
          <w:color w:val="auto"/>
          <w:spacing w:val="0"/>
          <w:w w:val="100"/>
          <w:sz w:val="30"/>
          <w:szCs w:val="30"/>
          <w:highlight w:val="none"/>
          <w:lang w:eastAsia="zh-CN"/>
        </w:rPr>
        <w:t>（3）围栏铺设时要保持围栏的稳定性、美观性。</w:t>
      </w:r>
    </w:p>
    <w:p w14:paraId="4608093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bCs/>
          <w:smallCaps w:val="0"/>
          <w:color w:val="auto"/>
          <w:spacing w:val="0"/>
          <w:w w:val="100"/>
          <w:sz w:val="30"/>
          <w:szCs w:val="30"/>
          <w:highlight w:val="none"/>
          <w:lang w:eastAsia="zh-CN"/>
        </w:rPr>
        <w:t>（4</w:t>
      </w:r>
      <w:r>
        <w:rPr>
          <w:rFonts w:hint="default" w:ascii="Times New Roman" w:hAnsi="Times New Roman" w:eastAsia="宋体" w:cs="Times New Roman"/>
          <w:smallCaps w:val="0"/>
          <w:color w:val="auto"/>
          <w:spacing w:val="0"/>
          <w:w w:val="100"/>
          <w:sz w:val="30"/>
          <w:szCs w:val="30"/>
          <w:highlight w:val="none"/>
          <w:lang w:eastAsia="zh-CN"/>
        </w:rPr>
        <w:t>）固定围栏所用的配件，应能承受力度和外力的压力。</w:t>
      </w:r>
    </w:p>
    <w:p w14:paraId="3D55E0D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（5）管材连接及连接材料按标准制作生产，验样合格后，进行安装。安装应结实牢固、美观，避免连接部位出现裂纹、变形或者缺陷。</w:t>
      </w:r>
    </w:p>
    <w:p w14:paraId="229E6BF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（6）围栏立管安装完成后，围栏下部的混凝土基本现浇。</w:t>
      </w:r>
    </w:p>
    <w:p w14:paraId="32A1E6B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（7）安装所用混凝土采用预拌砂浆和现浇混凝土。</w:t>
      </w:r>
    </w:p>
    <w:p w14:paraId="081C9C2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二、田间通行闸道施工</w:t>
      </w:r>
    </w:p>
    <w:p w14:paraId="4C9E407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准备工作→测量、放线→确认安装基准→安装闸道→校正→固定闸道框→安装闸道→清理、清洗门窗→检查验收</w:t>
      </w:r>
    </w:p>
    <w:p w14:paraId="6E1B914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各材料须持有产品合格证的厂家提供。</w:t>
      </w:r>
    </w:p>
    <w:p w14:paraId="3BC602E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p>
    <w:p w14:paraId="2D518E9B">
      <w:pPr>
        <w:kinsoku/>
        <w:spacing w:line="560" w:lineRule="exact"/>
        <w:ind w:right="105"/>
        <w:rPr>
          <w:rFonts w:hint="default" w:ascii="Times New Roman" w:hAnsi="Times New Roman" w:eastAsia="宋体" w:cs="Times New Roman"/>
          <w:smallCaps w:val="0"/>
          <w:color w:val="auto"/>
          <w:spacing w:val="0"/>
          <w:w w:val="100"/>
          <w:sz w:val="30"/>
          <w:szCs w:val="30"/>
          <w:highlight w:val="none"/>
          <w:lang w:eastAsia="zh-CN"/>
        </w:rPr>
      </w:pPr>
    </w:p>
    <w:p w14:paraId="3AFC2A80">
      <w:pPr>
        <w:kinsoku/>
        <w:spacing w:line="560" w:lineRule="exact"/>
        <w:ind w:left="42" w:right="105" w:firstLine="596"/>
        <w:rPr>
          <w:rFonts w:hint="default" w:ascii="Times New Roman" w:hAnsi="Times New Roman" w:eastAsia="宋体" w:cs="Times New Roman"/>
          <w:smallCaps w:val="0"/>
          <w:color w:val="auto"/>
          <w:spacing w:val="0"/>
          <w:w w:val="100"/>
          <w:sz w:val="30"/>
          <w:szCs w:val="30"/>
          <w:highlight w:val="none"/>
          <w:lang w:eastAsia="zh-CN"/>
        </w:rPr>
        <w:sectPr>
          <w:headerReference r:id="rId24" w:type="default"/>
          <w:footerReference r:id="rId25" w:type="default"/>
          <w:pgSz w:w="11900" w:h="16838"/>
          <w:pgMar w:top="1134" w:right="1417" w:bottom="1134" w:left="1417" w:header="862" w:footer="992" w:gutter="0"/>
          <w:pgBorders>
            <w:top w:val="none" w:sz="0" w:space="0"/>
            <w:left w:val="none" w:sz="0" w:space="0"/>
            <w:bottom w:val="none" w:sz="0" w:space="0"/>
            <w:right w:val="none" w:sz="0" w:space="0"/>
          </w:pgBorders>
          <w:pgNumType w:fmt="numberInDash"/>
          <w:cols w:space="0" w:num="1"/>
          <w:rtlGutter w:val="0"/>
          <w:docGrid w:linePitch="0" w:charSpace="0"/>
        </w:sectPr>
      </w:pPr>
    </w:p>
    <w:p w14:paraId="2447EC3E">
      <w:pPr>
        <w:kinsoku/>
        <w:spacing w:before="117" w:line="218" w:lineRule="auto"/>
        <w:ind w:left="1574" w:leftChars="0"/>
        <w:outlineLvl w:val="0"/>
        <w:rPr>
          <w:rFonts w:hint="default" w:ascii="Times New Roman" w:hAnsi="Times New Roman" w:eastAsia="宋体" w:cs="Times New Roman"/>
          <w:smallCaps w:val="0"/>
          <w:color w:val="auto"/>
          <w:spacing w:val="0"/>
          <w:w w:val="100"/>
          <w:sz w:val="36"/>
          <w:szCs w:val="36"/>
          <w:highlight w:val="none"/>
          <w:lang w:eastAsia="zh-CN"/>
        </w:rPr>
      </w:pPr>
      <w:bookmarkStart w:id="260" w:name="bookmark32"/>
      <w:bookmarkEnd w:id="260"/>
      <w:bookmarkStart w:id="261" w:name="_Toc23594"/>
      <w:bookmarkStart w:id="262" w:name="_Toc21188"/>
      <w:r>
        <w:rPr>
          <w:rFonts w:hint="default" w:ascii="Times New Roman" w:hAnsi="Times New Roman" w:eastAsia="宋体" w:cs="Times New Roman"/>
          <w:b/>
          <w:bCs/>
          <w:smallCaps w:val="0"/>
          <w:color w:val="auto"/>
          <w:spacing w:val="0"/>
          <w:w w:val="100"/>
          <w:sz w:val="36"/>
          <w:szCs w:val="36"/>
          <w:highlight w:val="none"/>
          <w:lang w:eastAsia="zh-CN"/>
        </w:rPr>
        <w:t>第七章</w:t>
      </w:r>
      <w:r>
        <w:rPr>
          <w:rFonts w:hint="default" w:ascii="Times New Roman" w:hAnsi="Times New Roman" w:eastAsia="宋体" w:cs="Times New Roman"/>
          <w:smallCaps w:val="0"/>
          <w:color w:val="auto"/>
          <w:spacing w:val="0"/>
          <w:w w:val="100"/>
          <w:sz w:val="36"/>
          <w:szCs w:val="36"/>
          <w:highlight w:val="none"/>
          <w:lang w:eastAsia="zh-CN"/>
        </w:rPr>
        <w:t xml:space="preserve"> </w:t>
      </w:r>
      <w:r>
        <w:rPr>
          <w:rFonts w:hint="default" w:ascii="Times New Roman" w:hAnsi="Times New Roman" w:eastAsia="宋体" w:cs="Times New Roman"/>
          <w:b/>
          <w:bCs/>
          <w:smallCaps w:val="0"/>
          <w:color w:val="auto"/>
          <w:spacing w:val="0"/>
          <w:w w:val="100"/>
          <w:sz w:val="36"/>
          <w:szCs w:val="36"/>
          <w:highlight w:val="none"/>
          <w:lang w:eastAsia="zh-CN"/>
        </w:rPr>
        <w:t>水土保持与环境影响评价</w:t>
      </w:r>
      <w:bookmarkEnd w:id="261"/>
      <w:bookmarkEnd w:id="262"/>
    </w:p>
    <w:p w14:paraId="763ECEFA">
      <w:pPr>
        <w:kinsoku/>
        <w:spacing w:before="225" w:line="220" w:lineRule="auto"/>
        <w:ind w:left="39" w:leftChars="0"/>
        <w:outlineLvl w:val="1"/>
        <w:rPr>
          <w:rFonts w:hint="default" w:ascii="Times New Roman" w:hAnsi="Times New Roman" w:eastAsia="宋体" w:cs="Times New Roman"/>
          <w:smallCaps w:val="0"/>
          <w:color w:val="auto"/>
          <w:spacing w:val="0"/>
          <w:w w:val="100"/>
          <w:sz w:val="30"/>
          <w:szCs w:val="30"/>
          <w:highlight w:val="none"/>
        </w:rPr>
      </w:pPr>
      <w:bookmarkStart w:id="263" w:name="bookmark33"/>
      <w:bookmarkEnd w:id="263"/>
      <w:bookmarkStart w:id="264" w:name="_Toc17947"/>
      <w:bookmarkStart w:id="265" w:name="_Toc31361"/>
      <w:r>
        <w:rPr>
          <w:rFonts w:hint="default" w:ascii="Times New Roman" w:hAnsi="Times New Roman" w:eastAsia="宋体" w:cs="Times New Roman"/>
          <w:b/>
          <w:bCs/>
          <w:smallCaps w:val="0"/>
          <w:color w:val="auto"/>
          <w:spacing w:val="0"/>
          <w:w w:val="100"/>
          <w:sz w:val="30"/>
          <w:szCs w:val="30"/>
          <w:highlight w:val="none"/>
        </w:rPr>
        <w:t>7.1 水土保持</w:t>
      </w:r>
      <w:bookmarkEnd w:id="264"/>
      <w:bookmarkEnd w:id="265"/>
    </w:p>
    <w:p w14:paraId="3427CD51">
      <w:pPr>
        <w:kinsoku/>
        <w:spacing w:before="266" w:line="220" w:lineRule="auto"/>
        <w:ind w:left="663" w:leftChars="0"/>
        <w:outlineLvl w:val="2"/>
        <w:rPr>
          <w:rFonts w:hint="default" w:ascii="Times New Roman" w:hAnsi="Times New Roman" w:eastAsia="宋体" w:cs="Times New Roman"/>
          <w:b/>
          <w:bCs/>
          <w:smallCaps w:val="0"/>
          <w:color w:val="auto"/>
          <w:spacing w:val="0"/>
          <w:w w:val="100"/>
          <w:sz w:val="30"/>
          <w:szCs w:val="30"/>
          <w:highlight w:val="none"/>
          <w:lang w:eastAsia="zh-CN"/>
        </w:rPr>
      </w:pPr>
      <w:bookmarkStart w:id="266" w:name="_Toc15776"/>
      <w:r>
        <w:rPr>
          <w:rFonts w:hint="default" w:ascii="Times New Roman" w:hAnsi="Times New Roman" w:eastAsia="宋体" w:cs="Times New Roman"/>
          <w:b/>
          <w:bCs/>
          <w:smallCaps w:val="0"/>
          <w:color w:val="auto"/>
          <w:spacing w:val="0"/>
          <w:w w:val="100"/>
          <w:sz w:val="30"/>
          <w:szCs w:val="30"/>
          <w:highlight w:val="none"/>
          <w:lang w:val="en-US" w:eastAsia="zh-CN"/>
        </w:rPr>
        <w:t>7.1.</w:t>
      </w:r>
      <w:r>
        <w:rPr>
          <w:rFonts w:hint="default" w:ascii="Times New Roman" w:hAnsi="Times New Roman" w:eastAsia="宋体" w:cs="Times New Roman"/>
          <w:b/>
          <w:bCs/>
          <w:smallCaps w:val="0"/>
          <w:color w:val="auto"/>
          <w:spacing w:val="0"/>
          <w:w w:val="100"/>
          <w:sz w:val="30"/>
          <w:szCs w:val="30"/>
          <w:highlight w:val="none"/>
          <w:lang w:eastAsia="zh-CN"/>
        </w:rPr>
        <w:t>1</w:t>
      </w:r>
      <w:r>
        <w:rPr>
          <w:rFonts w:hint="default" w:ascii="Times New Roman" w:hAnsi="Times New Roman" w:eastAsia="宋体" w:cs="Times New Roman"/>
          <w:b/>
          <w:bCs/>
          <w:smallCaps w:val="0"/>
          <w:color w:val="auto"/>
          <w:spacing w:val="0"/>
          <w:w w:val="100"/>
          <w:sz w:val="30"/>
          <w:szCs w:val="30"/>
          <w:highlight w:val="none"/>
          <w:lang w:val="en-US" w:eastAsia="zh-CN"/>
        </w:rPr>
        <w:t xml:space="preserve"> </w:t>
      </w:r>
      <w:r>
        <w:rPr>
          <w:rFonts w:hint="default" w:ascii="Times New Roman" w:hAnsi="Times New Roman" w:eastAsia="宋体" w:cs="Times New Roman"/>
          <w:b/>
          <w:bCs/>
          <w:smallCaps w:val="0"/>
          <w:color w:val="auto"/>
          <w:spacing w:val="0"/>
          <w:w w:val="100"/>
          <w:sz w:val="30"/>
          <w:szCs w:val="30"/>
          <w:highlight w:val="none"/>
          <w:lang w:eastAsia="zh-CN"/>
        </w:rPr>
        <w:t>水土流失分析</w:t>
      </w:r>
      <w:bookmarkEnd w:id="266"/>
    </w:p>
    <w:p w14:paraId="75FC60A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项目区植被较为丰富，生态环境良好，本片区属于川西高山高原区，本身水土流失现象较少，但项目实施期间，在局部地区可能出现短时间的土地裸露、表土质量下降，土质发生变化、水土流失加剧现象。</w:t>
      </w:r>
    </w:p>
    <w:p w14:paraId="6E16059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据本项目的实际情况，本项目在建设过程中水土流失主要发生在项目建设区施工期土方开挖、填筑过程中扰动原地貌，造成土体结构疏松，使其水土保持功能降低或丧失，加剧了区域内水土流失的发生和发展。本工程可能造成的水土流失主要有：水源工程、管道工程。该项目建设生产过程中产生的新增水土流失 其主要特点如下：</w:t>
      </w:r>
    </w:p>
    <w:p w14:paraId="5DE27BE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（1）土方开挖及搬运量大</w:t>
      </w:r>
    </w:p>
    <w:p w14:paraId="54B8305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本项目需埋设管道，土方在开挖后，土质松软，黏结度降低，在同等侵蚀力作用下较原土壤更易发生水土流失。</w:t>
      </w:r>
    </w:p>
    <w:p w14:paraId="3923A19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（2）地表扰动范围呈线状分布</w:t>
      </w:r>
    </w:p>
    <w:p w14:paraId="26FB273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本工程所扰动地表面积较其他项目相对集中，扰动区域集中在项目建设区内，扰动区域带状分布。</w:t>
      </w:r>
    </w:p>
    <w:p w14:paraId="0C1BA75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（3）扰动区水土流失以水力侵蚀为主</w:t>
      </w:r>
    </w:p>
    <w:p w14:paraId="1BEFB05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按全国土壤侵蚀类型区划标准，项目区属以水力侵蚀为主的西南土石山区，容许土壤流失量为 500t/km².a ，施工期间的水土流失以水力侵蚀为主。</w:t>
      </w:r>
    </w:p>
    <w:p w14:paraId="554BC2A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（4）水土流失时段集中</w:t>
      </w:r>
    </w:p>
    <w:p w14:paraId="567684F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在工程施工期间，地表可蚀性加强，在雨水等水土流失外力作用下将产生严重的水土流失，同时，大量土石方堆置不当也会造成严重的水土流失。</w:t>
      </w:r>
    </w:p>
    <w:p w14:paraId="1BD7AF7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总体来说，在水土保持工程和植物措施有效发挥作用后，灌区内的水土流失可得到完全控制，项目建设区的水土流失可达到轻度以下水平，工程建设造成的水土流失可得到基本治理，并使工程占地区域内水土流失状况得到明显改善。本项目区水分和光热条件较好，植被恢复迅速，随着植物的生长，覆盖度增加，水土流失将会逐渐得到控制，并降低到允许水土流失强度或以下。不良地质路段在采取了防治措施以后，水土流失基本可以控制。</w:t>
      </w:r>
    </w:p>
    <w:p w14:paraId="3C73BA8E">
      <w:pPr>
        <w:kinsoku/>
        <w:spacing w:line="560" w:lineRule="exact"/>
        <w:ind w:left="635" w:leftChars="0"/>
        <w:outlineLvl w:val="2"/>
        <w:rPr>
          <w:rFonts w:hint="default" w:ascii="Times New Roman" w:hAnsi="Times New Roman" w:eastAsia="宋体" w:cs="Times New Roman"/>
          <w:b/>
          <w:bCs/>
          <w:smallCaps w:val="0"/>
          <w:color w:val="auto"/>
          <w:spacing w:val="0"/>
          <w:w w:val="100"/>
          <w:sz w:val="30"/>
          <w:szCs w:val="30"/>
          <w:highlight w:val="none"/>
          <w:lang w:eastAsia="zh-CN"/>
        </w:rPr>
      </w:pPr>
      <w:bookmarkStart w:id="267" w:name="_Toc5488"/>
      <w:r>
        <w:rPr>
          <w:rFonts w:hint="default" w:ascii="Times New Roman" w:hAnsi="Times New Roman" w:eastAsia="宋体" w:cs="Times New Roman"/>
          <w:b/>
          <w:bCs/>
          <w:smallCaps w:val="0"/>
          <w:color w:val="auto"/>
          <w:spacing w:val="0"/>
          <w:w w:val="100"/>
          <w:sz w:val="30"/>
          <w:szCs w:val="30"/>
          <w:highlight w:val="none"/>
          <w:lang w:val="en-US" w:eastAsia="zh-CN"/>
        </w:rPr>
        <w:t>7.1.2</w:t>
      </w:r>
      <w:r>
        <w:rPr>
          <w:rFonts w:hint="default" w:ascii="Times New Roman" w:hAnsi="Times New Roman" w:eastAsia="宋体" w:cs="Times New Roman"/>
          <w:b/>
          <w:bCs/>
          <w:smallCaps w:val="0"/>
          <w:color w:val="auto"/>
          <w:spacing w:val="0"/>
          <w:w w:val="100"/>
          <w:sz w:val="30"/>
          <w:szCs w:val="30"/>
          <w:highlight w:val="none"/>
          <w:lang w:eastAsia="zh-CN"/>
        </w:rPr>
        <w:t xml:space="preserve"> </w:t>
      </w:r>
      <w:r>
        <w:rPr>
          <w:rFonts w:hint="default" w:ascii="Times New Roman" w:hAnsi="Times New Roman" w:eastAsia="宋体" w:cs="Times New Roman"/>
          <w:b/>
          <w:bCs/>
          <w:smallCaps w:val="0"/>
          <w:color w:val="auto"/>
          <w:spacing w:val="0"/>
          <w:w w:val="100"/>
          <w:sz w:val="30"/>
          <w:szCs w:val="30"/>
          <w:highlight w:val="none"/>
          <w:lang w:val="en-US" w:eastAsia="zh-CN"/>
        </w:rPr>
        <w:t xml:space="preserve"> </w:t>
      </w:r>
      <w:r>
        <w:rPr>
          <w:rFonts w:hint="default" w:ascii="Times New Roman" w:hAnsi="Times New Roman" w:eastAsia="宋体" w:cs="Times New Roman"/>
          <w:b/>
          <w:bCs/>
          <w:smallCaps w:val="0"/>
          <w:color w:val="auto"/>
          <w:spacing w:val="0"/>
          <w:w w:val="100"/>
          <w:sz w:val="30"/>
          <w:szCs w:val="30"/>
          <w:highlight w:val="none"/>
          <w:lang w:eastAsia="zh-CN"/>
        </w:rPr>
        <w:t>对策与保护措施</w:t>
      </w:r>
      <w:bookmarkEnd w:id="267"/>
    </w:p>
    <w:p w14:paraId="3EC8AE4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根据《生产建设项目水土保持技术标准》GB 50433-2018《生产建设项目水土流失防治标准》GB/T 50434-2018有关规定，本工程水土流失防治总目标为：预防和治理本工程水土流失防治责任范围内的水土流失，通过水保措施的实施促进工程安全运行和当地生态环境的改善。具体为：</w:t>
      </w:r>
    </w:p>
    <w:p w14:paraId="33D1D73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对工程建设中受开挖、填筑、占压等活动影响而降低或丧失水土保持功能的土地，及时采取有效的工程措施与植物措施恢复和改善其水土保持功能，控制和减少新增水土流失，并着力改善原生水土流失状况，保护生态环境。</w:t>
      </w:r>
    </w:p>
    <w:p w14:paraId="14395C0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（2）规范物料（包括管道、施工便道、施工场地等区域）堆放，按照</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先挡后弃</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的原则并根据物料堆放类型及时对堆放过程中形成的松散堆积体采取措施防护，有效防治物料流失。</w:t>
      </w:r>
    </w:p>
    <w:p w14:paraId="778B46B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（3）在主体工程施工工艺、施工时序评价的基础上，根据各防治区水土流失特点，采用永久和临时相结合的防治措施，控制施工期和建设期的水土流失。</w:t>
      </w:r>
    </w:p>
    <w:p w14:paraId="3525993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）工程措施</w:t>
      </w:r>
    </w:p>
    <w:p w14:paraId="7E74148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除管道开挖区域外其余为临时堆土或者伴行道路区域，临时堆土与伴行道路区域不进行表土剥离，施工结束后直接进行翻耕。</w:t>
      </w:r>
    </w:p>
    <w:p w14:paraId="464412F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）植物措施</w:t>
      </w:r>
    </w:p>
    <w:p w14:paraId="3C98C09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对于工程占地范围内原始植被为林草地及裸地的部分，在管 道铺设后采用撒草籽的方式进行迹地恢复。</w:t>
      </w:r>
    </w:p>
    <w:p w14:paraId="4B21041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6</w:t>
      </w:r>
      <w:r>
        <w:rPr>
          <w:rFonts w:hint="default" w:ascii="Times New Roman" w:hAnsi="Times New Roman" w:eastAsia="宋体" w:cs="Times New Roman"/>
          <w:smallCaps w:val="0"/>
          <w:color w:val="auto"/>
          <w:spacing w:val="0"/>
          <w:w w:val="100"/>
          <w:sz w:val="30"/>
          <w:szCs w:val="30"/>
          <w:highlight w:val="none"/>
          <w:lang w:eastAsia="zh-CN"/>
        </w:rPr>
        <w:t>）临时措施</w:t>
      </w:r>
    </w:p>
    <w:p w14:paraId="4CA60E9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临时堆土覆盖，经统计，管道区域需剥离表土，限于本工程 特殊的施工条件，因此表土与开挖土方一并堆放，表土堆放最底层。为了防止降雨对临时堆放土石方的冲刷，拟对临时堆土体进行无纺布覆盖。由于本项目为分段施工，且施工期安排已尽力避开雨季，且无纺布可重复利用，因此对临时堆土体表面按照 30% 估计无纺布需求量。</w:t>
      </w:r>
    </w:p>
    <w:p w14:paraId="198B8257">
      <w:pPr>
        <w:pStyle w:val="3"/>
        <w:spacing w:before="0" w:after="0" w:line="560" w:lineRule="exact"/>
        <w:outlineLvl w:val="1"/>
        <w:rPr>
          <w:rFonts w:hint="default" w:ascii="Times New Roman" w:hAnsi="Times New Roman" w:eastAsia="宋体" w:cs="Times New Roman"/>
          <w:smallCaps w:val="0"/>
          <w:color w:val="auto"/>
          <w:spacing w:val="0"/>
          <w:w w:val="100"/>
          <w:highlight w:val="none"/>
          <w:lang w:eastAsia="zh-CN"/>
        </w:rPr>
      </w:pPr>
      <w:bookmarkStart w:id="268" w:name="bookmark34"/>
      <w:bookmarkEnd w:id="268"/>
      <w:bookmarkStart w:id="269" w:name="_Toc178518669"/>
      <w:bookmarkStart w:id="270" w:name="_Toc12682"/>
      <w:bookmarkStart w:id="271" w:name="_Toc8602"/>
      <w:bookmarkStart w:id="272" w:name="_Toc29824"/>
      <w:bookmarkStart w:id="273" w:name="_Toc31207"/>
      <w:r>
        <w:rPr>
          <w:rFonts w:hint="default" w:ascii="Times New Roman" w:hAnsi="Times New Roman" w:eastAsia="宋体" w:cs="Times New Roman"/>
          <w:smallCaps w:val="0"/>
          <w:color w:val="auto"/>
          <w:spacing w:val="0"/>
          <w:w w:val="100"/>
          <w:highlight w:val="none"/>
          <w:lang w:eastAsia="zh-CN"/>
        </w:rPr>
        <w:t>7.2环境影响</w:t>
      </w:r>
      <w:bookmarkEnd w:id="269"/>
      <w:bookmarkEnd w:id="270"/>
      <w:bookmarkEnd w:id="271"/>
      <w:bookmarkEnd w:id="272"/>
      <w:bookmarkEnd w:id="273"/>
    </w:p>
    <w:p w14:paraId="18140D43">
      <w:pPr>
        <w:pStyle w:val="4"/>
        <w:shd w:val="clear" w:color="010000" w:fill="auto"/>
        <w:spacing w:before="0" w:after="0" w:line="560" w:lineRule="exact"/>
        <w:outlineLvl w:val="2"/>
        <w:rPr>
          <w:rFonts w:hint="default" w:ascii="Times New Roman" w:hAnsi="Times New Roman" w:eastAsia="宋体" w:cs="Times New Roman"/>
          <w:smallCaps w:val="0"/>
          <w:color w:val="auto"/>
          <w:spacing w:val="0"/>
          <w:w w:val="100"/>
          <w:highlight w:val="none"/>
        </w:rPr>
      </w:pPr>
      <w:bookmarkStart w:id="274" w:name="_Toc19473"/>
      <w:bookmarkStart w:id="275" w:name="_Toc41138421"/>
      <w:bookmarkStart w:id="276" w:name="_Toc23161"/>
      <w:r>
        <w:rPr>
          <w:rFonts w:hint="default" w:ascii="Times New Roman" w:hAnsi="Times New Roman" w:eastAsia="宋体" w:cs="Times New Roman"/>
          <w:smallCaps w:val="0"/>
          <w:color w:val="auto"/>
          <w:spacing w:val="0"/>
          <w:w w:val="100"/>
          <w:highlight w:val="none"/>
        </w:rPr>
        <w:t>7.2.1项目实施对环境的影响</w:t>
      </w:r>
      <w:bookmarkEnd w:id="274"/>
      <w:bookmarkEnd w:id="275"/>
      <w:bookmarkEnd w:id="276"/>
    </w:p>
    <w:p w14:paraId="544D8C0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从建设和发展情况来看，它对周围环境影响可分为项目建设期和运营期两阶段。</w:t>
      </w:r>
    </w:p>
    <w:p w14:paraId="3E017D0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1.建设期影响</w:t>
      </w:r>
    </w:p>
    <w:p w14:paraId="5A25330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（1）废水。主要为施工人员所产生的生活污水和施工废水。</w:t>
      </w:r>
    </w:p>
    <w:p w14:paraId="60237F1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（2）大气污染。主要来自施工现场的扬尘，它主要包括汽车运输、材料搅拌及平整土地、挖土填方、建造建筑物过程等产生的扬尘。</w:t>
      </w:r>
    </w:p>
    <w:p w14:paraId="4CCE7BC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（3）固体废弃物。主要为施工人员日常生活产生的生活垃圾和施工中的废弃材料。</w:t>
      </w:r>
    </w:p>
    <w:p w14:paraId="286E670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（4）噪声。主要来自各种施工机械和车辆运输产生的作业噪声，以及材料运输车的作业噪声。</w:t>
      </w:r>
    </w:p>
    <w:p w14:paraId="2E72DE5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（5）生态环境。直接占用土地、对场区地表植被破坏、水土流失对河道以及周边农田的影响。</w:t>
      </w:r>
    </w:p>
    <w:p w14:paraId="07C994C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2.运行期影响</w:t>
      </w:r>
    </w:p>
    <w:p w14:paraId="5B5DDEA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运行期主要环境影响来自废弃秸秆、叶果藤蔓及废弃农药瓶等固体废弃物的影响，以及会有少量进出车辆以及农机操作时产生的废气及噪声污染，同时还可能产生农民滥施化肥、农药对土壤和地表水和地下水污染。</w:t>
      </w:r>
    </w:p>
    <w:p w14:paraId="3B337B45">
      <w:pPr>
        <w:pStyle w:val="4"/>
        <w:shd w:val="clear" w:color="010000" w:fill="auto"/>
        <w:spacing w:before="0" w:after="0" w:line="560" w:lineRule="exact"/>
        <w:outlineLvl w:val="2"/>
        <w:rPr>
          <w:rFonts w:hint="default" w:ascii="Times New Roman" w:hAnsi="Times New Roman" w:eastAsia="宋体" w:cs="Times New Roman"/>
          <w:smallCaps w:val="0"/>
          <w:color w:val="auto"/>
          <w:spacing w:val="0"/>
          <w:w w:val="100"/>
          <w:highlight w:val="none"/>
        </w:rPr>
      </w:pPr>
      <w:bookmarkStart w:id="277" w:name="_Toc41138422"/>
      <w:bookmarkStart w:id="278" w:name="_Toc32247"/>
      <w:bookmarkStart w:id="279" w:name="_Toc22993"/>
      <w:r>
        <w:rPr>
          <w:rFonts w:hint="default" w:ascii="Times New Roman" w:hAnsi="Times New Roman" w:eastAsia="宋体" w:cs="Times New Roman"/>
          <w:smallCaps w:val="0"/>
          <w:color w:val="auto"/>
          <w:spacing w:val="0"/>
          <w:w w:val="100"/>
          <w:highlight w:val="none"/>
        </w:rPr>
        <w:t>7.2.2环境保护措施</w:t>
      </w:r>
      <w:bookmarkEnd w:id="277"/>
      <w:bookmarkEnd w:id="278"/>
      <w:bookmarkEnd w:id="279"/>
    </w:p>
    <w:p w14:paraId="410CCE4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为了减少项目建设期和运营期对周围环境的影响，项目在建设期和运营期要对污染物排放和污染防治实施全过程管理，在不同时期采取以下相应的环保措施。</w:t>
      </w:r>
    </w:p>
    <w:p w14:paraId="2353175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1.施工期措施</w:t>
      </w:r>
    </w:p>
    <w:p w14:paraId="45B36DB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（1）水污染防治</w:t>
      </w:r>
    </w:p>
    <w:p w14:paraId="0F853B7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在施工期间，应该在施工人员驻地设置简易厕所和化粪池，并定期清运，严禁随地排放。施工单位也应注意对施工废水的处理，确保施工场地废水及雨水在沉淀池内充分沉淀处理后方可外排，以减少沉淀物对河道、农田的污染；含油污水经沉淀去油污后才能排出。</w:t>
      </w:r>
    </w:p>
    <w:p w14:paraId="0547BF6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（2）大气污染防治</w:t>
      </w:r>
    </w:p>
    <w:p w14:paraId="2C8633C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周边有村庄，为减少施工扬尘对周边居民点，项目物料堆场应尽量设置在远离保护目标的地方（至少距离150m）。同时对易起尘的材料不应堆放在露天，而应加盖篷布或库内堆放；并加强对物料堆场和区内运输道路定期洒水；加强施工期间运输扬尘污染的控制，对来往于各施工场地的卡车上的多尘物料均应用帆布覆盖。</w:t>
      </w:r>
    </w:p>
    <w:p w14:paraId="337D019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（3）固体废弃物防治</w:t>
      </w:r>
    </w:p>
    <w:p w14:paraId="5DB3668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对施工人员产生的生活垃圾，施工单位应加强管理，设临时垃圾箱妥善安排收集工地内产生的生活垃圾并统一处理。此外，还有施工过程中丢弃的废建材、包装袋等建筑废料应进行分拣进行综合利用，严禁随意运输，随意倾倒。</w:t>
      </w:r>
    </w:p>
    <w:p w14:paraId="467062D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（4）噪声防治</w:t>
      </w:r>
    </w:p>
    <w:p w14:paraId="608CB53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有部分项目建设地距离村庄较近，这些地方施工单位应尽量避免夜间施工，必要的夜间施工必须在施工前向当地环保部门申请审批（</w:t>
      </w:r>
      <w:r>
        <w:rPr>
          <w:rFonts w:hint="default" w:ascii="Times New Roman" w:hAnsi="Times New Roman" w:eastAsia="宋体" w:cs="Times New Roman"/>
          <w:smallCaps w:val="0"/>
          <w:color w:val="auto"/>
          <w:spacing w:val="0"/>
          <w:w w:val="100"/>
          <w:sz w:val="30"/>
          <w:szCs w:val="30"/>
          <w:highlight w:val="none"/>
          <w:lang w:val="en-US" w:eastAsia="zh-CN"/>
        </w:rPr>
        <w:t>住建局。公安局等备案）</w:t>
      </w:r>
      <w:r>
        <w:rPr>
          <w:rFonts w:hint="default" w:ascii="Times New Roman" w:hAnsi="Times New Roman" w:eastAsia="宋体" w:cs="Times New Roman"/>
          <w:smallCaps w:val="0"/>
          <w:color w:val="auto"/>
          <w:spacing w:val="0"/>
          <w:w w:val="100"/>
          <w:sz w:val="30"/>
          <w:szCs w:val="30"/>
          <w:highlight w:val="none"/>
          <w:lang w:eastAsia="zh-CN"/>
        </w:rPr>
        <w:t>。施工机械应选用低噪声施工设备。建议使用商品混凝土、固定的高噪声施工机械应加设工棚；在施工期间，加强施工管理，落实各项防震降噪措施，最大限度地减轻噪声对周边居民的影响程度。</w:t>
      </w:r>
    </w:p>
    <w:p w14:paraId="1111A48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（5）生态环境保护</w:t>
      </w:r>
    </w:p>
    <w:p w14:paraId="6CE2825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建设地位于农村，且项目建设区域内大都是基本农田，因此在建设过程中，尽量减少对农田的破坏和临时占用；在建设时造成植被的破坏要及时进行恢复和治理、减少雨季施工，防止水土流失；对废弃的土方将统一堆放、整平，做好排水设施，以避免冲刷水土流失；在河道旁进行土建工程时，采取切实可行的水土保持措施，使水土流失控制在最小的范围内，逐步消除工程建设造成的不利影响。</w:t>
      </w:r>
    </w:p>
    <w:p w14:paraId="48AE807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2.运营期措施</w:t>
      </w:r>
    </w:p>
    <w:p w14:paraId="69835F05">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（1）水污染防护措施</w:t>
      </w:r>
    </w:p>
    <w:p w14:paraId="6FE1447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运行期会有农药、化肥不当使用对水体产生污染的可能，因此在项目运行期，各级政府及有关部门在资金投入上给予大力扶持，实行系列倾斜政策，强化群众环保意识，通过采用增施有机肥，推广配方施肥技术，加强土壤肥料监测和管理注重管理，施用化肥增效剂、改进施肥方法等措施减少化肥使用不当对水体、土壤的污染，并在生产过程中要采取多种形式把粮农、菜农等组织起来，按照科学的病虫测报技术和先进的病虫害防治技术实行统一防治、合理选药、科学用药、并严格标准用药，以减少农药污染。通过采取合理种植模式，营造良好的生态环境，净化大气和水土污染，减轻病虫害的危害程度。高标准农田范围内病虫害防治应由化防为主逐渐转向生态平衡的综合治理，提高生物防治、农业防治在植保中的地位和作用。</w:t>
      </w:r>
    </w:p>
    <w:p w14:paraId="300B860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（2）固体废弃物处理措施</w:t>
      </w:r>
    </w:p>
    <w:p w14:paraId="4521B8C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固体废弃物主要包括植物秸秆、废弃叶果藤蔓和废弃农药瓶等。植物秸秆主要有水稻秸秆、油菜秸秆等，大部分秸秆通过做压块燃料（供生物质电厂、小锅炉）、食用菌基料、制草帘、养殖场垫料等方式资源化利用，同时引导、鼓励企业用秸秆生产造纸、制造建材、酒精和一次性包装盒等其他资源化利用方式，其他秸秆通过机械化粉碎方式还田，提高土壤肥力。</w:t>
      </w:r>
    </w:p>
    <w:p w14:paraId="299FE2EB">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废弃叶果藤蔓采用生物反应堆技术，使之定向转化成植物生长所需的CO2、有机和无机养料。解决对周边环境的污染；废弃农药瓶及其它废弃物集中收集处理；从而实现农用固体废弃物的资源化和无害化。</w:t>
      </w:r>
    </w:p>
    <w:p w14:paraId="5A96929A">
      <w:pPr>
        <w:kinsoku/>
        <w:spacing w:line="560" w:lineRule="exact"/>
        <w:rPr>
          <w:rFonts w:hint="default" w:ascii="Times New Roman" w:hAnsi="Times New Roman" w:eastAsia="宋体" w:cs="Times New Roman"/>
          <w:smallCaps w:val="0"/>
          <w:color w:val="auto"/>
          <w:spacing w:val="0"/>
          <w:w w:val="100"/>
          <w:sz w:val="30"/>
          <w:szCs w:val="30"/>
          <w:highlight w:val="none"/>
          <w:lang w:eastAsia="zh-CN"/>
        </w:rPr>
        <w:sectPr>
          <w:headerReference r:id="rId26" w:type="default"/>
          <w:footerReference r:id="rId27" w:type="default"/>
          <w:type w:val="nextColumn"/>
          <w:pgSz w:w="11900" w:h="16838"/>
          <w:pgMar w:top="1134" w:right="1417" w:bottom="1134" w:left="1417" w:header="862" w:footer="992" w:gutter="0"/>
          <w:pgBorders>
            <w:top w:val="none" w:sz="0" w:space="0"/>
            <w:left w:val="none" w:sz="0" w:space="0"/>
            <w:bottom w:val="none" w:sz="0" w:space="0"/>
            <w:right w:val="none" w:sz="0" w:space="0"/>
          </w:pgBorders>
          <w:pgNumType w:fmt="numberInDash"/>
          <w:cols w:space="0" w:num="1"/>
          <w:rtlGutter w:val="0"/>
          <w:docGrid w:linePitch="0" w:charSpace="0"/>
        </w:sectPr>
      </w:pPr>
    </w:p>
    <w:p w14:paraId="2E5BFF8D">
      <w:pPr>
        <w:kinsoku/>
        <w:spacing w:line="560" w:lineRule="exact"/>
        <w:ind w:left="39" w:leftChars="0"/>
        <w:jc w:val="center"/>
        <w:outlineLvl w:val="0"/>
        <w:rPr>
          <w:rFonts w:hint="default" w:ascii="Times New Roman" w:hAnsi="Times New Roman" w:eastAsia="宋体" w:cs="Times New Roman"/>
          <w:b/>
          <w:bCs/>
          <w:smallCaps w:val="0"/>
          <w:color w:val="auto"/>
          <w:spacing w:val="0"/>
          <w:w w:val="100"/>
          <w:sz w:val="30"/>
          <w:szCs w:val="30"/>
          <w:highlight w:val="none"/>
          <w:lang w:eastAsia="zh-CN"/>
        </w:rPr>
      </w:pPr>
      <w:bookmarkStart w:id="280" w:name="bookmark36"/>
      <w:bookmarkEnd w:id="280"/>
      <w:bookmarkStart w:id="281" w:name="_Toc22479"/>
      <w:bookmarkStart w:id="282" w:name="_Toc2856"/>
      <w:r>
        <w:rPr>
          <w:rFonts w:hint="default" w:ascii="Times New Roman" w:hAnsi="Times New Roman" w:eastAsia="宋体" w:cs="Times New Roman"/>
          <w:b/>
          <w:bCs/>
          <w:smallCaps w:val="0"/>
          <w:color w:val="auto"/>
          <w:spacing w:val="0"/>
          <w:w w:val="100"/>
          <w:sz w:val="36"/>
          <w:szCs w:val="36"/>
          <w:highlight w:val="none"/>
          <w:lang w:eastAsia="zh-CN"/>
        </w:rPr>
        <w:t>第</w:t>
      </w:r>
      <w:r>
        <w:rPr>
          <w:rFonts w:hint="default" w:ascii="Times New Roman" w:hAnsi="Times New Roman" w:eastAsia="宋体" w:cs="Times New Roman"/>
          <w:b/>
          <w:bCs/>
          <w:smallCaps w:val="0"/>
          <w:color w:val="auto"/>
          <w:spacing w:val="0"/>
          <w:w w:val="100"/>
          <w:sz w:val="36"/>
          <w:szCs w:val="36"/>
          <w:highlight w:val="none"/>
          <w:lang w:val="en-US" w:eastAsia="zh-CN"/>
        </w:rPr>
        <w:t>八</w:t>
      </w:r>
      <w:r>
        <w:rPr>
          <w:rFonts w:hint="default" w:ascii="Times New Roman" w:hAnsi="Times New Roman" w:eastAsia="宋体" w:cs="Times New Roman"/>
          <w:b/>
          <w:bCs/>
          <w:smallCaps w:val="0"/>
          <w:color w:val="auto"/>
          <w:spacing w:val="0"/>
          <w:w w:val="100"/>
          <w:sz w:val="36"/>
          <w:szCs w:val="36"/>
          <w:highlight w:val="none"/>
          <w:lang w:eastAsia="zh-CN"/>
        </w:rPr>
        <w:t>章</w:t>
      </w:r>
      <w:r>
        <w:rPr>
          <w:rFonts w:hint="default" w:ascii="Times New Roman" w:hAnsi="Times New Roman" w:eastAsia="宋体" w:cs="Times New Roman"/>
          <w:smallCaps w:val="0"/>
          <w:color w:val="auto"/>
          <w:spacing w:val="0"/>
          <w:w w:val="100"/>
          <w:sz w:val="36"/>
          <w:szCs w:val="36"/>
          <w:highlight w:val="none"/>
          <w:lang w:eastAsia="zh-CN"/>
        </w:rPr>
        <w:t xml:space="preserve"> </w:t>
      </w:r>
      <w:r>
        <w:rPr>
          <w:rFonts w:hint="default" w:ascii="Times New Roman" w:hAnsi="Times New Roman" w:eastAsia="宋体" w:cs="Times New Roman"/>
          <w:b/>
          <w:bCs/>
          <w:smallCaps w:val="0"/>
          <w:color w:val="auto"/>
          <w:spacing w:val="0"/>
          <w:w w:val="100"/>
          <w:sz w:val="36"/>
          <w:szCs w:val="36"/>
          <w:highlight w:val="none"/>
          <w:lang w:eastAsia="zh-CN"/>
        </w:rPr>
        <w:t>设计概算和资金筹措</w:t>
      </w:r>
      <w:bookmarkEnd w:id="281"/>
      <w:bookmarkEnd w:id="282"/>
    </w:p>
    <w:p w14:paraId="19AABA7E">
      <w:pPr>
        <w:kinsoku/>
        <w:spacing w:line="560" w:lineRule="exact"/>
        <w:ind w:left="39" w:leftChars="0"/>
        <w:outlineLvl w:val="1"/>
        <w:rPr>
          <w:rFonts w:hint="default" w:ascii="Times New Roman" w:hAnsi="Times New Roman" w:eastAsia="宋体" w:cs="Times New Roman"/>
          <w:smallCaps w:val="0"/>
          <w:color w:val="auto"/>
          <w:spacing w:val="0"/>
          <w:w w:val="100"/>
          <w:sz w:val="30"/>
          <w:szCs w:val="30"/>
          <w:highlight w:val="none"/>
          <w:lang w:eastAsia="zh-CN"/>
        </w:rPr>
      </w:pPr>
      <w:bookmarkStart w:id="283" w:name="_Toc9090"/>
      <w:bookmarkStart w:id="284" w:name="_Toc3125"/>
      <w:r>
        <w:rPr>
          <w:rFonts w:hint="default" w:ascii="Times New Roman" w:hAnsi="Times New Roman" w:eastAsia="宋体" w:cs="Times New Roman"/>
          <w:b/>
          <w:bCs/>
          <w:smallCaps w:val="0"/>
          <w:color w:val="auto"/>
          <w:spacing w:val="0"/>
          <w:w w:val="100"/>
          <w:sz w:val="30"/>
          <w:szCs w:val="30"/>
          <w:highlight w:val="none"/>
          <w:lang w:eastAsia="zh-CN"/>
        </w:rPr>
        <w:t>8.1 编制说明</w:t>
      </w:r>
      <w:bookmarkEnd w:id="283"/>
      <w:bookmarkEnd w:id="284"/>
    </w:p>
    <w:p w14:paraId="17419A7A">
      <w:pPr>
        <w:kinsoku/>
        <w:spacing w:line="560" w:lineRule="exact"/>
        <w:ind w:left="36" w:right="107" w:firstLine="60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项目区海拔处于3</w:t>
      </w:r>
      <w:r>
        <w:rPr>
          <w:rFonts w:hint="default" w:ascii="Times New Roman" w:hAnsi="Times New Roman" w:eastAsia="宋体" w:cs="Times New Roman"/>
          <w:smallCaps w:val="0"/>
          <w:color w:val="auto"/>
          <w:spacing w:val="0"/>
          <w:w w:val="100"/>
          <w:sz w:val="30"/>
          <w:szCs w:val="30"/>
          <w:highlight w:val="none"/>
          <w:lang w:val="en-US" w:eastAsia="zh-CN"/>
        </w:rPr>
        <w:t>0</w:t>
      </w:r>
      <w:r>
        <w:rPr>
          <w:rFonts w:hint="default" w:ascii="Times New Roman" w:hAnsi="Times New Roman" w:eastAsia="宋体" w:cs="Times New Roman"/>
          <w:smallCaps w:val="0"/>
          <w:color w:val="auto"/>
          <w:spacing w:val="0"/>
          <w:w w:val="100"/>
          <w:sz w:val="30"/>
          <w:szCs w:val="30"/>
          <w:highlight w:val="none"/>
          <w:lang w:eastAsia="zh-CN"/>
        </w:rPr>
        <w:t>00</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3500</w:t>
      </w:r>
      <w:r>
        <w:rPr>
          <w:rFonts w:hint="default" w:ascii="Times New Roman" w:hAnsi="Times New Roman" w:eastAsia="宋体" w:cs="Times New Roman"/>
          <w:smallCaps w:val="0"/>
          <w:color w:val="auto"/>
          <w:spacing w:val="0"/>
          <w:w w:val="100"/>
          <w:sz w:val="30"/>
          <w:szCs w:val="30"/>
          <w:highlight w:val="none"/>
          <w:lang w:eastAsia="zh-CN"/>
        </w:rPr>
        <w:t>米，在艰苦边远地区划分中甘孜县属于五类区，根据冬季施工气温区划分表，甘孜县属于冬二区Ⅰ副区，根据四川省雨季施工雨量区及雨季期划分，甘孜县雨量区为Ⅰ区，雨季期为4个月。</w:t>
      </w:r>
    </w:p>
    <w:p w14:paraId="2158ADE7">
      <w:pPr>
        <w:pStyle w:val="4"/>
        <w:spacing w:before="0" w:after="0" w:line="560" w:lineRule="exact"/>
        <w:outlineLvl w:val="2"/>
        <w:rPr>
          <w:rFonts w:hint="default" w:ascii="Times New Roman" w:hAnsi="Times New Roman" w:eastAsia="宋体" w:cs="Times New Roman"/>
          <w:smallCaps w:val="0"/>
          <w:color w:val="auto"/>
          <w:spacing w:val="0"/>
          <w:w w:val="100"/>
          <w:highlight w:val="none"/>
        </w:rPr>
      </w:pPr>
      <w:bookmarkStart w:id="285" w:name="_Toc15510"/>
      <w:r>
        <w:rPr>
          <w:rFonts w:hint="default" w:ascii="Times New Roman" w:hAnsi="Times New Roman" w:eastAsia="宋体" w:cs="Times New Roman"/>
          <w:smallCaps w:val="0"/>
          <w:color w:val="auto"/>
          <w:spacing w:val="0"/>
          <w:w w:val="100"/>
          <w:highlight w:val="none"/>
        </w:rPr>
        <w:t>8.1.1  工程概况及投资</w:t>
      </w:r>
      <w:bookmarkEnd w:id="285"/>
    </w:p>
    <w:p w14:paraId="621439FA">
      <w:pPr>
        <w:kinsoku/>
        <w:spacing w:line="560" w:lineRule="exact"/>
        <w:ind w:left="36" w:right="107" w:firstLine="60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本次项目主要建设内容：</w:t>
      </w:r>
    </w:p>
    <w:p w14:paraId="6DAC505A">
      <w:pPr>
        <w:kinsoku/>
        <w:spacing w:line="560" w:lineRule="exact"/>
        <w:ind w:left="36" w:right="107" w:firstLine="60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1）田（地）块整治工程：</w:t>
      </w:r>
      <w:r>
        <w:rPr>
          <w:rFonts w:hint="eastAsia" w:ascii="Times New Roman" w:hAnsi="Times New Roman" w:eastAsia="宋体" w:cs="Times New Roman"/>
          <w:smallCaps w:val="0"/>
          <w:color w:val="auto"/>
          <w:spacing w:val="0"/>
          <w:w w:val="100"/>
          <w:sz w:val="30"/>
          <w:szCs w:val="30"/>
          <w:highlight w:val="none"/>
          <w:lang w:eastAsia="zh-CN"/>
        </w:rPr>
        <w:t>地块整治面积413.70亩</w:t>
      </w:r>
      <w:r>
        <w:rPr>
          <w:rFonts w:hint="default" w:ascii="Times New Roman" w:hAnsi="Times New Roman" w:eastAsia="宋体" w:cs="Times New Roman"/>
          <w:smallCaps w:val="0"/>
          <w:color w:val="auto"/>
          <w:spacing w:val="0"/>
          <w:w w:val="100"/>
          <w:sz w:val="30"/>
          <w:szCs w:val="30"/>
          <w:highlight w:val="none"/>
          <w:lang w:eastAsia="zh-CN"/>
        </w:rPr>
        <w:t>，捡石面积</w:t>
      </w:r>
      <w:r>
        <w:rPr>
          <w:rFonts w:hint="default" w:ascii="Times New Roman" w:hAnsi="Times New Roman" w:eastAsia="宋体" w:cs="Times New Roman"/>
          <w:smallCaps w:val="0"/>
          <w:color w:val="auto"/>
          <w:spacing w:val="0"/>
          <w:w w:val="100"/>
          <w:sz w:val="30"/>
          <w:szCs w:val="30"/>
          <w:highlight w:val="none"/>
          <w:lang w:val="en-US" w:eastAsia="zh-CN"/>
        </w:rPr>
        <w:t>1101</w:t>
      </w:r>
      <w:r>
        <w:rPr>
          <w:rFonts w:hint="default" w:ascii="Times New Roman" w:hAnsi="Times New Roman" w:eastAsia="宋体" w:cs="Times New Roman"/>
          <w:smallCaps w:val="0"/>
          <w:color w:val="auto"/>
          <w:spacing w:val="0"/>
          <w:w w:val="100"/>
          <w:sz w:val="30"/>
          <w:szCs w:val="30"/>
          <w:highlight w:val="none"/>
          <w:lang w:eastAsia="zh-CN"/>
        </w:rPr>
        <w:t>亩。</w:t>
      </w:r>
    </w:p>
    <w:p w14:paraId="5A88B5AA">
      <w:pPr>
        <w:kinsoku/>
        <w:spacing w:line="560" w:lineRule="exact"/>
        <w:ind w:left="36" w:right="107" w:firstLine="608"/>
        <w:jc w:val="both"/>
        <w:rPr>
          <w:rFonts w:hint="default" w:ascii="Times New Roman" w:hAnsi="Times New Roman" w:eastAsia="宋体" w:cs="Times New Roman"/>
          <w:smallCaps w:val="0"/>
          <w:color w:val="auto"/>
          <w:spacing w:val="0"/>
          <w:w w:val="100"/>
          <w:sz w:val="30"/>
          <w:szCs w:val="30"/>
          <w:highlight w:val="none"/>
          <w:lang w:eastAsia="zh-CN"/>
        </w:rPr>
      </w:pPr>
      <w:r>
        <w:rPr>
          <w:rFonts w:hint="eastAsia" w:ascii="Times New Roman" w:hAnsi="Times New Roman" w:eastAsia="宋体" w:cs="Times New Roman"/>
          <w:smallCaps w:val="0"/>
          <w:color w:val="auto"/>
          <w:spacing w:val="0"/>
          <w:w w:val="100"/>
          <w:sz w:val="30"/>
          <w:szCs w:val="30"/>
          <w:highlight w:val="none"/>
          <w:lang w:eastAsia="zh-CN"/>
        </w:rPr>
        <w:t>2）农田地力提升工程：土壤改良面积10000亩，增施商品有机肥2875.89t（300kg/亩），增施有机-无机复混肥I型33.096t(80KG/亩）（地块整治区域施撒有机-无机复混肥I型，其余区域施撒商品有机肥）。</w:t>
      </w:r>
    </w:p>
    <w:p w14:paraId="49B012C7">
      <w:pPr>
        <w:kinsoku/>
        <w:spacing w:line="560" w:lineRule="exact"/>
        <w:ind w:left="36" w:right="107" w:firstLine="60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3）灌溉与排水工程：新建300m³蓄水池1口，</w:t>
      </w:r>
      <w:r>
        <w:rPr>
          <w:rFonts w:hint="eastAsia" w:ascii="Times New Roman" w:hAnsi="Times New Roman" w:eastAsia="宋体" w:cs="Times New Roman"/>
          <w:smallCaps w:val="0"/>
          <w:color w:val="auto"/>
          <w:spacing w:val="0"/>
          <w:w w:val="100"/>
          <w:sz w:val="30"/>
          <w:szCs w:val="30"/>
          <w:highlight w:val="none"/>
          <w:lang w:eastAsia="zh-CN"/>
        </w:rPr>
        <w:t>整治排水渠</w:t>
      </w:r>
      <w:r>
        <w:rPr>
          <w:rFonts w:hint="default" w:ascii="Times New Roman" w:hAnsi="Times New Roman" w:eastAsia="宋体" w:cs="Times New Roman"/>
          <w:smallCaps w:val="0"/>
          <w:color w:val="auto"/>
          <w:spacing w:val="0"/>
          <w:w w:val="100"/>
          <w:sz w:val="30"/>
          <w:szCs w:val="30"/>
          <w:highlight w:val="none"/>
          <w:lang w:eastAsia="zh-CN"/>
        </w:rPr>
        <w:t>2765米，新建拦河坝1座，DN200主管61</w:t>
      </w:r>
      <w:r>
        <w:rPr>
          <w:rFonts w:hint="default" w:ascii="Times New Roman" w:hAnsi="Times New Roman" w:eastAsia="宋体" w:cs="Times New Roman"/>
          <w:smallCaps w:val="0"/>
          <w:color w:val="auto"/>
          <w:spacing w:val="0"/>
          <w:w w:val="100"/>
          <w:sz w:val="30"/>
          <w:szCs w:val="30"/>
          <w:highlight w:val="none"/>
          <w:lang w:val="en-US" w:eastAsia="zh-CN"/>
        </w:rPr>
        <w:t>7</w:t>
      </w:r>
      <w:r>
        <w:rPr>
          <w:rFonts w:hint="default" w:ascii="Times New Roman" w:hAnsi="Times New Roman" w:eastAsia="宋体" w:cs="Times New Roman"/>
          <w:smallCaps w:val="0"/>
          <w:color w:val="auto"/>
          <w:spacing w:val="0"/>
          <w:w w:val="100"/>
          <w:sz w:val="30"/>
          <w:szCs w:val="30"/>
          <w:highlight w:val="none"/>
          <w:lang w:eastAsia="zh-CN"/>
        </w:rPr>
        <w:t>1m，</w:t>
      </w:r>
      <w:r>
        <w:rPr>
          <w:rFonts w:hint="eastAsia" w:ascii="Times New Roman" w:hAnsi="Times New Roman" w:eastAsia="宋体" w:cs="Times New Roman"/>
          <w:smallCaps w:val="0"/>
          <w:color w:val="auto"/>
          <w:spacing w:val="0"/>
          <w:w w:val="100"/>
          <w:sz w:val="30"/>
          <w:szCs w:val="30"/>
          <w:highlight w:val="none"/>
          <w:lang w:eastAsia="zh-CN"/>
        </w:rPr>
        <w:t>DN75支管</w:t>
      </w:r>
      <w:r>
        <w:rPr>
          <w:rFonts w:hint="default" w:ascii="Times New Roman" w:hAnsi="Times New Roman" w:eastAsia="宋体" w:cs="Times New Roman"/>
          <w:smallCaps w:val="0"/>
          <w:color w:val="auto"/>
          <w:spacing w:val="0"/>
          <w:w w:val="100"/>
          <w:sz w:val="30"/>
          <w:szCs w:val="30"/>
          <w:highlight w:val="none"/>
          <w:lang w:eastAsia="zh-CN"/>
        </w:rPr>
        <w:t>21263m。</w:t>
      </w:r>
    </w:p>
    <w:p w14:paraId="3370BFCC">
      <w:pPr>
        <w:kinsoku/>
        <w:spacing w:line="560" w:lineRule="exact"/>
        <w:ind w:left="36" w:right="107" w:firstLine="60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4）田间道路工程：整治机耕道</w:t>
      </w:r>
      <w:r>
        <w:rPr>
          <w:rFonts w:hint="default" w:ascii="Times New Roman" w:hAnsi="Times New Roman" w:eastAsia="宋体" w:cs="Times New Roman"/>
          <w:smallCaps w:val="0"/>
          <w:color w:val="auto"/>
          <w:spacing w:val="0"/>
          <w:w w:val="100"/>
          <w:sz w:val="30"/>
          <w:szCs w:val="30"/>
          <w:highlight w:val="none"/>
          <w:lang w:val="en-US" w:eastAsia="zh-CN"/>
        </w:rPr>
        <w:t>7813</w:t>
      </w:r>
      <w:r>
        <w:rPr>
          <w:rFonts w:hint="default" w:ascii="Times New Roman" w:hAnsi="Times New Roman" w:eastAsia="宋体" w:cs="Times New Roman"/>
          <w:smallCaps w:val="0"/>
          <w:color w:val="auto"/>
          <w:spacing w:val="0"/>
          <w:w w:val="100"/>
          <w:sz w:val="30"/>
          <w:szCs w:val="30"/>
          <w:highlight w:val="none"/>
          <w:lang w:eastAsia="zh-CN"/>
        </w:rPr>
        <w:t>米。</w:t>
      </w:r>
    </w:p>
    <w:p w14:paraId="6770164A">
      <w:pPr>
        <w:kinsoku/>
        <w:spacing w:line="560" w:lineRule="exact"/>
        <w:ind w:left="36" w:right="107" w:firstLine="60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5）农田防护与生态保护工程：新建农田防护围栏</w:t>
      </w:r>
      <w:r>
        <w:rPr>
          <w:rFonts w:hint="eastAsia" w:ascii="Times New Roman" w:hAnsi="Times New Roman" w:eastAsia="宋体" w:cs="Times New Roman"/>
          <w:smallCaps w:val="0"/>
          <w:color w:val="auto"/>
          <w:spacing w:val="0"/>
          <w:w w:val="100"/>
          <w:sz w:val="30"/>
          <w:szCs w:val="30"/>
          <w:highlight w:val="none"/>
          <w:lang w:val="en-US" w:eastAsia="zh-CN"/>
        </w:rPr>
        <w:t>39874</w:t>
      </w:r>
      <w:r>
        <w:rPr>
          <w:rFonts w:hint="default" w:ascii="Times New Roman" w:hAnsi="Times New Roman" w:eastAsia="宋体" w:cs="Times New Roman"/>
          <w:smallCaps w:val="0"/>
          <w:color w:val="auto"/>
          <w:spacing w:val="0"/>
          <w:w w:val="100"/>
          <w:sz w:val="30"/>
          <w:szCs w:val="30"/>
          <w:highlight w:val="none"/>
          <w:lang w:eastAsia="zh-CN"/>
        </w:rPr>
        <w:t>米。</w:t>
      </w:r>
    </w:p>
    <w:p w14:paraId="1747832E">
      <w:pPr>
        <w:kinsoku/>
        <w:spacing w:line="560" w:lineRule="exact"/>
        <w:ind w:left="36" w:right="107" w:firstLine="60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6）其他工程：新建项目公示牌1个，标识牌</w:t>
      </w:r>
      <w:r>
        <w:rPr>
          <w:rFonts w:hint="default" w:ascii="Times New Roman" w:hAnsi="Times New Roman" w:eastAsia="宋体" w:cs="Times New Roman"/>
          <w:smallCaps w:val="0"/>
          <w:color w:val="auto"/>
          <w:spacing w:val="0"/>
          <w:w w:val="100"/>
          <w:sz w:val="30"/>
          <w:szCs w:val="30"/>
          <w:highlight w:val="none"/>
          <w:lang w:val="en-US" w:eastAsia="zh-CN"/>
        </w:rPr>
        <w:t>78</w:t>
      </w:r>
      <w:r>
        <w:rPr>
          <w:rFonts w:hint="default" w:ascii="Times New Roman" w:hAnsi="Times New Roman" w:eastAsia="宋体" w:cs="Times New Roman"/>
          <w:smallCaps w:val="0"/>
          <w:color w:val="auto"/>
          <w:spacing w:val="0"/>
          <w:w w:val="100"/>
          <w:sz w:val="30"/>
          <w:szCs w:val="30"/>
          <w:highlight w:val="none"/>
          <w:lang w:eastAsia="zh-CN"/>
        </w:rPr>
        <w:t>块。</w:t>
      </w:r>
    </w:p>
    <w:p w14:paraId="2D473448">
      <w:pPr>
        <w:kinsoku/>
        <w:spacing w:line="560" w:lineRule="exact"/>
        <w:ind w:left="36" w:right="107" w:firstLine="60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项目总投资</w:t>
      </w:r>
      <w:r>
        <w:rPr>
          <w:rFonts w:hint="default" w:ascii="Times New Roman" w:hAnsi="Times New Roman" w:eastAsia="宋体" w:cs="Times New Roman"/>
          <w:smallCaps w:val="0"/>
          <w:color w:val="auto"/>
          <w:spacing w:val="0"/>
          <w:w w:val="100"/>
          <w:sz w:val="30"/>
          <w:szCs w:val="30"/>
          <w:highlight w:val="none"/>
          <w:lang w:val="en-US" w:eastAsia="zh-CN"/>
        </w:rPr>
        <w:t>3500</w:t>
      </w:r>
      <w:r>
        <w:rPr>
          <w:rFonts w:hint="default" w:ascii="Times New Roman" w:hAnsi="Times New Roman" w:eastAsia="宋体" w:cs="Times New Roman"/>
          <w:smallCaps w:val="0"/>
          <w:color w:val="auto"/>
          <w:spacing w:val="0"/>
          <w:w w:val="100"/>
          <w:sz w:val="30"/>
          <w:szCs w:val="30"/>
          <w:highlight w:val="none"/>
          <w:lang w:eastAsia="zh-CN"/>
        </w:rPr>
        <w:t>万元。</w:t>
      </w:r>
    </w:p>
    <w:p w14:paraId="67C41C75">
      <w:pPr>
        <w:keepNext w:val="0"/>
        <w:keepLines w:val="0"/>
        <w:widowControl/>
        <w:suppressLineNumbers w:val="0"/>
        <w:kinsoku w:val="0"/>
        <w:autoSpaceDE w:val="0"/>
        <w:autoSpaceDN w:val="0"/>
        <w:adjustRightInd w:val="0"/>
        <w:snapToGrid w:val="0"/>
        <w:spacing w:before="265" w:beforeAutospacing="0" w:after="0" w:afterAutospacing="0" w:line="374" w:lineRule="auto"/>
        <w:ind w:left="41" w:right="84" w:firstLine="626"/>
        <w:jc w:val="both"/>
        <w:textAlignment w:val="baseline"/>
        <w:rPr>
          <w:rFonts w:hint="default" w:ascii="Times New Roman" w:hAnsi="Times New Roman" w:eastAsia="宋体" w:cs="Times New Roman"/>
          <w:color w:val="auto"/>
          <w:spacing w:val="0"/>
          <w:w w:val="100"/>
          <w:sz w:val="30"/>
          <w:szCs w:val="30"/>
          <w:highlight w:val="none"/>
        </w:rPr>
      </w:pPr>
      <w:r>
        <w:rPr>
          <w:rFonts w:hint="default" w:ascii="Times New Roman" w:hAnsi="Times New Roman" w:eastAsia="宋体" w:cs="Times New Roman"/>
          <w:smallCaps w:val="0"/>
          <w:color w:val="auto"/>
          <w:spacing w:val="0"/>
          <w:w w:val="100"/>
          <w:sz w:val="30"/>
          <w:szCs w:val="30"/>
          <w:highlight w:val="none"/>
          <w:lang w:val="en-GB" w:eastAsia="zh-CN"/>
        </w:rPr>
        <w:t>高标准农田建设专项资金投资</w:t>
      </w:r>
      <w:r>
        <w:rPr>
          <w:rFonts w:hint="default" w:ascii="Times New Roman" w:hAnsi="Times New Roman" w:eastAsia="宋体" w:cs="Times New Roman"/>
          <w:smallCaps w:val="0"/>
          <w:color w:val="auto"/>
          <w:spacing w:val="0"/>
          <w:w w:val="100"/>
          <w:sz w:val="30"/>
          <w:szCs w:val="30"/>
          <w:highlight w:val="none"/>
          <w:lang w:val="en-US" w:eastAsia="zh-CN"/>
        </w:rPr>
        <w:t>3500</w:t>
      </w:r>
      <w:r>
        <w:rPr>
          <w:rFonts w:hint="default" w:ascii="Times New Roman" w:hAnsi="Times New Roman" w:eastAsia="宋体" w:cs="Times New Roman"/>
          <w:smallCaps w:val="0"/>
          <w:color w:val="auto"/>
          <w:spacing w:val="0"/>
          <w:w w:val="100"/>
          <w:sz w:val="30"/>
          <w:szCs w:val="30"/>
          <w:highlight w:val="none"/>
          <w:lang w:val="en-GB" w:eastAsia="zh-CN"/>
        </w:rPr>
        <w:t>万元。</w:t>
      </w:r>
      <w:r>
        <w:rPr>
          <w:rFonts w:hint="eastAsia" w:ascii="宋体" w:hAnsi="宋体" w:eastAsia="宋体" w:cs="宋体"/>
          <w:snapToGrid w:val="0"/>
          <w:color w:val="auto"/>
          <w:spacing w:val="0"/>
          <w:w w:val="100"/>
          <w:kern w:val="0"/>
          <w:sz w:val="30"/>
          <w:szCs w:val="30"/>
          <w:highlight w:val="none"/>
          <w:lang w:val="en-US" w:eastAsia="zh-CN" w:bidi="ar"/>
        </w:rPr>
        <w:t>具体为：第一部分建筑工程投资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3061.40</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87.49%</w:t>
      </w:r>
      <w:r>
        <w:rPr>
          <w:rFonts w:hint="eastAsia" w:ascii="宋体" w:hAnsi="宋体" w:eastAsia="宋体" w:cs="宋体"/>
          <w:snapToGrid w:val="0"/>
          <w:color w:val="auto"/>
          <w:spacing w:val="0"/>
          <w:w w:val="100"/>
          <w:kern w:val="0"/>
          <w:sz w:val="30"/>
          <w:szCs w:val="30"/>
          <w:highlight w:val="none"/>
          <w:lang w:val="en-US" w:eastAsia="zh-CN" w:bidi="ar"/>
        </w:rPr>
        <w:t>（其中：田（地）块整治工程投资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533.5</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15.23%</w:t>
      </w:r>
      <w:r>
        <w:rPr>
          <w:rFonts w:hint="eastAsia" w:ascii="宋体" w:hAnsi="宋体" w:eastAsia="宋体" w:cs="宋体"/>
          <w:snapToGrid w:val="0"/>
          <w:color w:val="auto"/>
          <w:spacing w:val="0"/>
          <w:w w:val="100"/>
          <w:kern w:val="0"/>
          <w:sz w:val="30"/>
          <w:szCs w:val="30"/>
          <w:highlight w:val="none"/>
          <w:lang w:val="en-US" w:eastAsia="zh-CN" w:bidi="ar"/>
        </w:rPr>
        <w:t>；土壤改良工程投资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503.38</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14.38%</w:t>
      </w:r>
      <w:r>
        <w:rPr>
          <w:rFonts w:hint="eastAsia" w:ascii="宋体" w:hAnsi="宋体" w:eastAsia="宋体" w:cs="宋体"/>
          <w:snapToGrid w:val="0"/>
          <w:color w:val="auto"/>
          <w:spacing w:val="0"/>
          <w:w w:val="100"/>
          <w:kern w:val="0"/>
          <w:sz w:val="30"/>
          <w:szCs w:val="30"/>
          <w:highlight w:val="none"/>
          <w:lang w:val="en-US" w:eastAsia="zh-CN" w:bidi="ar"/>
        </w:rPr>
        <w:t>；灌溉与排水工程投资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1345.74</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38.45%</w:t>
      </w:r>
      <w:r>
        <w:rPr>
          <w:rFonts w:hint="eastAsia" w:ascii="宋体" w:hAnsi="宋体" w:eastAsia="宋体" w:cs="宋体"/>
          <w:snapToGrid w:val="0"/>
          <w:color w:val="auto"/>
          <w:spacing w:val="0"/>
          <w:w w:val="100"/>
          <w:kern w:val="0"/>
          <w:sz w:val="30"/>
          <w:szCs w:val="30"/>
          <w:highlight w:val="none"/>
          <w:lang w:val="en-US" w:eastAsia="zh-CN" w:bidi="ar"/>
        </w:rPr>
        <w:t>；田间道路工程投资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328.85</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9.40%</w:t>
      </w:r>
      <w:r>
        <w:rPr>
          <w:rFonts w:hint="eastAsia" w:ascii="宋体" w:hAnsi="宋体" w:eastAsia="宋体" w:cs="宋体"/>
          <w:snapToGrid w:val="0"/>
          <w:color w:val="auto"/>
          <w:spacing w:val="0"/>
          <w:w w:val="100"/>
          <w:kern w:val="0"/>
          <w:sz w:val="30"/>
          <w:szCs w:val="30"/>
          <w:highlight w:val="none"/>
          <w:lang w:val="en-US" w:eastAsia="zh-CN" w:bidi="ar"/>
        </w:rPr>
        <w:t>；农田防护与生态保护工程投资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350.38</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10.01%</w:t>
      </w:r>
      <w:r>
        <w:rPr>
          <w:rFonts w:hint="eastAsia" w:ascii="宋体" w:hAnsi="宋体" w:eastAsia="宋体" w:cs="宋体"/>
          <w:snapToGrid w:val="0"/>
          <w:color w:val="auto"/>
          <w:spacing w:val="0"/>
          <w:w w:val="100"/>
          <w:kern w:val="0"/>
          <w:sz w:val="30"/>
          <w:szCs w:val="30"/>
          <w:highlight w:val="none"/>
          <w:lang w:val="en-US" w:eastAsia="zh-CN" w:bidi="ar"/>
        </w:rPr>
        <w:t>）；第四部分施工临时工程投资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19.06</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0.54%</w:t>
      </w:r>
      <w:r>
        <w:rPr>
          <w:rFonts w:hint="eastAsia" w:ascii="宋体" w:hAnsi="宋体" w:eastAsia="宋体" w:cs="宋体"/>
          <w:snapToGrid w:val="0"/>
          <w:color w:val="auto"/>
          <w:spacing w:val="0"/>
          <w:w w:val="100"/>
          <w:kern w:val="0"/>
          <w:sz w:val="30"/>
          <w:szCs w:val="30"/>
          <w:highlight w:val="none"/>
          <w:lang w:val="en-US" w:eastAsia="zh-CN" w:bidi="ar"/>
        </w:rPr>
        <w:t>；第五部分独立费用投资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252.87</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7.22%</w:t>
      </w:r>
      <w:r>
        <w:rPr>
          <w:rFonts w:hint="eastAsia" w:ascii="宋体" w:hAnsi="宋体" w:eastAsia="宋体" w:cs="宋体"/>
          <w:snapToGrid w:val="0"/>
          <w:color w:val="auto"/>
          <w:spacing w:val="0"/>
          <w:w w:val="100"/>
          <w:kern w:val="0"/>
          <w:sz w:val="30"/>
          <w:szCs w:val="30"/>
          <w:highlight w:val="none"/>
          <w:lang w:val="en-US" w:eastAsia="zh-CN" w:bidi="ar"/>
        </w:rPr>
        <w:t>（建设管理费</w:t>
      </w:r>
      <w:r>
        <w:rPr>
          <w:rFonts w:hint="default" w:ascii="Times New Roman" w:hAnsi="Times New Roman" w:eastAsia="宋体" w:cs="Times New Roman"/>
          <w:snapToGrid w:val="0"/>
          <w:color w:val="auto"/>
          <w:spacing w:val="0"/>
          <w:w w:val="100"/>
          <w:kern w:val="0"/>
          <w:sz w:val="30"/>
          <w:szCs w:val="30"/>
          <w:highlight w:val="none"/>
          <w:lang w:val="en-US" w:eastAsia="zh-CN" w:bidi="ar"/>
        </w:rPr>
        <w:t>73.85</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2.11%</w:t>
      </w:r>
      <w:r>
        <w:rPr>
          <w:rFonts w:hint="eastAsia" w:ascii="宋体" w:hAnsi="宋体" w:eastAsia="宋体" w:cs="宋体"/>
          <w:snapToGrid w:val="0"/>
          <w:color w:val="auto"/>
          <w:spacing w:val="0"/>
          <w:w w:val="100"/>
          <w:kern w:val="0"/>
          <w:sz w:val="30"/>
          <w:szCs w:val="30"/>
          <w:highlight w:val="none"/>
          <w:lang w:val="en-US" w:eastAsia="zh-CN" w:bidi="ar"/>
        </w:rPr>
        <w:t>；经济技术咨询费</w:t>
      </w:r>
      <w:r>
        <w:rPr>
          <w:rFonts w:hint="default" w:ascii="Times New Roman" w:hAnsi="Times New Roman" w:eastAsia="宋体" w:cs="Times New Roman"/>
          <w:snapToGrid w:val="0"/>
          <w:color w:val="auto"/>
          <w:spacing w:val="0"/>
          <w:w w:val="100"/>
          <w:kern w:val="0"/>
          <w:sz w:val="30"/>
          <w:szCs w:val="30"/>
          <w:highlight w:val="none"/>
          <w:lang w:val="en-US" w:eastAsia="zh-CN" w:bidi="ar"/>
        </w:rPr>
        <w:t>30.80</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0.88%</w:t>
      </w:r>
      <w:r>
        <w:rPr>
          <w:rFonts w:hint="eastAsia" w:ascii="宋体" w:hAnsi="宋体" w:eastAsia="宋体" w:cs="宋体"/>
          <w:snapToGrid w:val="0"/>
          <w:color w:val="auto"/>
          <w:spacing w:val="0"/>
          <w:w w:val="100"/>
          <w:kern w:val="0"/>
          <w:sz w:val="30"/>
          <w:szCs w:val="30"/>
          <w:highlight w:val="none"/>
          <w:lang w:val="en-US" w:eastAsia="zh-CN" w:bidi="ar"/>
        </w:rPr>
        <w:t>；工程监理费</w:t>
      </w:r>
      <w:r>
        <w:rPr>
          <w:rFonts w:hint="default" w:ascii="Times New Roman" w:hAnsi="Times New Roman" w:eastAsia="宋体" w:cs="Times New Roman"/>
          <w:snapToGrid w:val="0"/>
          <w:color w:val="auto"/>
          <w:spacing w:val="0"/>
          <w:w w:val="100"/>
          <w:kern w:val="0"/>
          <w:sz w:val="30"/>
          <w:szCs w:val="30"/>
          <w:highlight w:val="none"/>
          <w:lang w:val="en-US" w:eastAsia="zh-CN" w:bidi="ar"/>
        </w:rPr>
        <w:t>54.28</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1.55%</w:t>
      </w:r>
      <w:r>
        <w:rPr>
          <w:rFonts w:hint="eastAsia" w:ascii="宋体" w:hAnsi="宋体" w:eastAsia="宋体" w:cs="宋体"/>
          <w:snapToGrid w:val="0"/>
          <w:color w:val="auto"/>
          <w:spacing w:val="0"/>
          <w:w w:val="100"/>
          <w:kern w:val="0"/>
          <w:sz w:val="30"/>
          <w:szCs w:val="30"/>
          <w:highlight w:val="none"/>
          <w:lang w:val="en-US" w:eastAsia="zh-CN" w:bidi="ar"/>
        </w:rPr>
        <w:t>；工程勘测设计费</w:t>
      </w:r>
      <w:r>
        <w:rPr>
          <w:rFonts w:hint="default" w:ascii="Times New Roman" w:hAnsi="Times New Roman" w:eastAsia="宋体" w:cs="Times New Roman"/>
          <w:snapToGrid w:val="0"/>
          <w:color w:val="auto"/>
          <w:spacing w:val="0"/>
          <w:w w:val="100"/>
          <w:kern w:val="0"/>
          <w:sz w:val="30"/>
          <w:szCs w:val="30"/>
          <w:highlight w:val="none"/>
          <w:lang w:val="en-US" w:eastAsia="zh-CN" w:bidi="ar"/>
        </w:rPr>
        <w:t>70.84</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2.02%</w:t>
      </w:r>
      <w:r>
        <w:rPr>
          <w:rFonts w:hint="eastAsia" w:ascii="宋体" w:hAnsi="宋体" w:eastAsia="宋体" w:cs="宋体"/>
          <w:snapToGrid w:val="0"/>
          <w:color w:val="auto"/>
          <w:spacing w:val="0"/>
          <w:w w:val="100"/>
          <w:kern w:val="0"/>
          <w:sz w:val="30"/>
          <w:szCs w:val="30"/>
          <w:highlight w:val="none"/>
          <w:lang w:val="en-US" w:eastAsia="zh-CN" w:bidi="ar"/>
        </w:rPr>
        <w:t>；其他投资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23.1</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0.66%</w:t>
      </w:r>
      <w:r>
        <w:rPr>
          <w:rFonts w:hint="eastAsia" w:ascii="宋体" w:hAnsi="宋体" w:eastAsia="宋体" w:cs="宋体"/>
          <w:snapToGrid w:val="0"/>
          <w:color w:val="auto"/>
          <w:spacing w:val="0"/>
          <w:w w:val="100"/>
          <w:kern w:val="0"/>
          <w:sz w:val="30"/>
          <w:szCs w:val="30"/>
          <w:highlight w:val="none"/>
          <w:lang w:val="en-US" w:eastAsia="zh-CN" w:bidi="ar"/>
        </w:rPr>
        <w:t>）基本预备费</w:t>
      </w:r>
      <w:r>
        <w:rPr>
          <w:rFonts w:hint="default" w:ascii="Times New Roman" w:hAnsi="Times New Roman" w:eastAsia="宋体" w:cs="Times New Roman"/>
          <w:snapToGrid w:val="0"/>
          <w:color w:val="auto"/>
          <w:spacing w:val="0"/>
          <w:w w:val="100"/>
          <w:kern w:val="0"/>
          <w:sz w:val="30"/>
          <w:szCs w:val="30"/>
          <w:highlight w:val="none"/>
          <w:lang w:val="en-US" w:eastAsia="zh-CN" w:bidi="ar"/>
        </w:rPr>
        <w:t>166.67</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4.76%</w:t>
      </w:r>
      <w:r>
        <w:rPr>
          <w:rFonts w:hint="eastAsia" w:ascii="宋体" w:hAnsi="宋体" w:eastAsia="宋体" w:cs="宋体"/>
          <w:snapToGrid w:val="0"/>
          <w:color w:val="auto"/>
          <w:spacing w:val="0"/>
          <w:w w:val="100"/>
          <w:kern w:val="0"/>
          <w:sz w:val="30"/>
          <w:szCs w:val="30"/>
          <w:highlight w:val="none"/>
          <w:lang w:val="en-US" w:eastAsia="zh-CN" w:bidi="ar"/>
        </w:rPr>
        <w:t>。</w:t>
      </w:r>
    </w:p>
    <w:p w14:paraId="71D421FA">
      <w:pPr>
        <w:pStyle w:val="17"/>
        <w:ind w:left="0" w:leftChars="0" w:firstLine="0" w:firstLineChars="0"/>
        <w:jc w:val="center"/>
        <w:rPr>
          <w:rFonts w:hint="eastAsia" w:ascii="Times New Roman" w:hAnsi="Times New Roman" w:eastAsia="宋体" w:cs="Times New Roman"/>
          <w:smallCaps w:val="0"/>
          <w:color w:val="auto"/>
          <w:spacing w:val="0"/>
          <w:w w:val="100"/>
          <w:sz w:val="28"/>
          <w:szCs w:val="28"/>
          <w:highlight w:val="none"/>
          <w:lang w:val="en-US" w:eastAsia="zh-CN"/>
        </w:rPr>
      </w:pPr>
      <w:r>
        <w:rPr>
          <w:rFonts w:hint="default" w:ascii="Times New Roman" w:hAnsi="Times New Roman" w:eastAsia="宋体" w:cs="Times New Roman"/>
          <w:b/>
          <w:bCs/>
          <w:smallCaps w:val="0"/>
          <w:color w:val="auto"/>
          <w:spacing w:val="0"/>
          <w:w w:val="100"/>
          <w:sz w:val="30"/>
          <w:szCs w:val="30"/>
          <w:highlight w:val="none"/>
          <w:lang w:eastAsia="zh-CN"/>
        </w:rPr>
        <w:t>工程</w:t>
      </w:r>
      <w:r>
        <w:rPr>
          <w:rFonts w:hint="default" w:ascii="Times New Roman" w:hAnsi="Times New Roman" w:eastAsia="宋体" w:cs="Times New Roman"/>
          <w:b/>
          <w:bCs/>
          <w:smallCaps w:val="0"/>
          <w:color w:val="auto"/>
          <w:spacing w:val="0"/>
          <w:w w:val="100"/>
          <w:sz w:val="30"/>
          <w:szCs w:val="30"/>
          <w:highlight w:val="none"/>
          <w:lang w:val="en-US" w:eastAsia="zh-CN"/>
        </w:rPr>
        <w:t>预算</w:t>
      </w:r>
      <w:r>
        <w:rPr>
          <w:rFonts w:hint="default" w:ascii="Times New Roman" w:hAnsi="Times New Roman" w:eastAsia="宋体" w:cs="Times New Roman"/>
          <w:b/>
          <w:bCs/>
          <w:smallCaps w:val="0"/>
          <w:color w:val="auto"/>
          <w:spacing w:val="0"/>
          <w:w w:val="100"/>
          <w:sz w:val="30"/>
          <w:szCs w:val="30"/>
          <w:highlight w:val="none"/>
          <w:lang w:eastAsia="zh-CN"/>
        </w:rPr>
        <w:t>总表</w:t>
      </w:r>
      <w:r>
        <w:rPr>
          <w:rFonts w:hint="default" w:ascii="Times New Roman" w:hAnsi="Times New Roman" w:eastAsia="宋体" w:cs="Times New Roman"/>
          <w:smallCaps w:val="0"/>
          <w:color w:val="auto"/>
          <w:spacing w:val="0"/>
          <w:w w:val="100"/>
          <w:sz w:val="28"/>
          <w:szCs w:val="28"/>
          <w:highlight w:val="none"/>
          <w:lang w:eastAsia="zh-CN"/>
        </w:rPr>
        <w:t xml:space="preserve">                                                                                            </w:t>
      </w:r>
      <w:r>
        <w:rPr>
          <w:rFonts w:hint="eastAsia" w:ascii="Times New Roman" w:hAnsi="Times New Roman" w:eastAsia="宋体" w:cs="Times New Roman"/>
          <w:smallCaps w:val="0"/>
          <w:color w:val="auto"/>
          <w:spacing w:val="0"/>
          <w:w w:val="100"/>
          <w:sz w:val="28"/>
          <w:szCs w:val="28"/>
          <w:highlight w:val="none"/>
          <w:lang w:val="en-US" w:eastAsia="zh-CN"/>
        </w:rPr>
        <w:t xml:space="preserve">    </w:t>
      </w:r>
    </w:p>
    <w:p w14:paraId="6BCC53A8">
      <w:pPr>
        <w:pStyle w:val="17"/>
        <w:ind w:left="0" w:leftChars="0" w:firstLine="0" w:firstLineChars="0"/>
        <w:jc w:val="right"/>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单位：万元</w:t>
      </w:r>
    </w:p>
    <w:tbl>
      <w:tblPr>
        <w:tblStyle w:val="18"/>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4"/>
        <w:gridCol w:w="3814"/>
        <w:gridCol w:w="1207"/>
        <w:gridCol w:w="1207"/>
        <w:gridCol w:w="1207"/>
        <w:gridCol w:w="1207"/>
      </w:tblGrid>
      <w:tr w14:paraId="79F5A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182B3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序号</w:t>
            </w:r>
          </w:p>
        </w:tc>
        <w:tc>
          <w:tcPr>
            <w:tcW w:w="20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EB78E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工程或费用名称</w:t>
            </w:r>
          </w:p>
        </w:tc>
        <w:tc>
          <w:tcPr>
            <w:tcW w:w="6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3EBCE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建安</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工程费</w:t>
            </w:r>
          </w:p>
        </w:tc>
        <w:tc>
          <w:tcPr>
            <w:tcW w:w="6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637E0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设备</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购置费</w:t>
            </w:r>
          </w:p>
        </w:tc>
        <w:tc>
          <w:tcPr>
            <w:tcW w:w="6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3041E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独立</w:t>
            </w:r>
            <w:r>
              <w:rPr>
                <w:rFonts w:hint="eastAsia" w:ascii="宋体" w:hAnsi="宋体" w:eastAsia="宋体" w:cs="宋体"/>
                <w:i w:val="0"/>
                <w:iCs w:val="0"/>
                <w:snapToGrid w:val="0"/>
                <w:color w:val="auto"/>
                <w:kern w:val="0"/>
                <w:sz w:val="18"/>
                <w:szCs w:val="18"/>
                <w:highlight w:val="none"/>
                <w:u w:val="none"/>
                <w:lang w:val="en-US" w:eastAsia="zh-CN" w:bidi="ar"/>
              </w:rPr>
              <w:br w:type="textWrapping"/>
            </w:r>
            <w:r>
              <w:rPr>
                <w:rFonts w:hint="eastAsia" w:ascii="宋体" w:hAnsi="宋体" w:eastAsia="宋体" w:cs="宋体"/>
                <w:i w:val="0"/>
                <w:iCs w:val="0"/>
                <w:snapToGrid w:val="0"/>
                <w:color w:val="auto"/>
                <w:kern w:val="0"/>
                <w:sz w:val="18"/>
                <w:szCs w:val="18"/>
                <w:highlight w:val="none"/>
                <w:u w:val="none"/>
                <w:lang w:val="en-US" w:eastAsia="zh-CN" w:bidi="ar"/>
              </w:rPr>
              <w:t>费用</w:t>
            </w:r>
          </w:p>
        </w:tc>
        <w:tc>
          <w:tcPr>
            <w:tcW w:w="6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49B6F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合计</w:t>
            </w:r>
          </w:p>
        </w:tc>
      </w:tr>
      <w:tr w14:paraId="52146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538BAF">
            <w:pPr>
              <w:jc w:val="center"/>
              <w:rPr>
                <w:rFonts w:hint="eastAsia" w:ascii="宋体" w:hAnsi="宋体" w:eastAsia="宋体" w:cs="宋体"/>
                <w:i w:val="0"/>
                <w:iCs w:val="0"/>
                <w:color w:val="auto"/>
                <w:sz w:val="18"/>
                <w:szCs w:val="18"/>
                <w:highlight w:val="none"/>
                <w:u w:val="none"/>
              </w:rPr>
            </w:pPr>
          </w:p>
        </w:tc>
        <w:tc>
          <w:tcPr>
            <w:tcW w:w="20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3F7EE">
            <w:pPr>
              <w:jc w:val="center"/>
              <w:rPr>
                <w:rFonts w:hint="eastAsia" w:ascii="宋体" w:hAnsi="宋体" w:eastAsia="宋体" w:cs="宋体"/>
                <w:i w:val="0"/>
                <w:iCs w:val="0"/>
                <w:color w:val="auto"/>
                <w:sz w:val="18"/>
                <w:szCs w:val="18"/>
                <w:highlight w:val="none"/>
                <w:u w:val="none"/>
              </w:rPr>
            </w:pPr>
          </w:p>
        </w:tc>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65978D">
            <w:pPr>
              <w:jc w:val="center"/>
              <w:rPr>
                <w:rFonts w:hint="eastAsia" w:ascii="宋体" w:hAnsi="宋体" w:eastAsia="宋体" w:cs="宋体"/>
                <w:i w:val="0"/>
                <w:iCs w:val="0"/>
                <w:color w:val="auto"/>
                <w:sz w:val="18"/>
                <w:szCs w:val="18"/>
                <w:highlight w:val="none"/>
                <w:u w:val="none"/>
              </w:rPr>
            </w:pPr>
          </w:p>
        </w:tc>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E8062E">
            <w:pPr>
              <w:jc w:val="center"/>
              <w:rPr>
                <w:rFonts w:hint="eastAsia" w:ascii="宋体" w:hAnsi="宋体" w:eastAsia="宋体" w:cs="宋体"/>
                <w:i w:val="0"/>
                <w:iCs w:val="0"/>
                <w:color w:val="auto"/>
                <w:sz w:val="18"/>
                <w:szCs w:val="18"/>
                <w:highlight w:val="none"/>
                <w:u w:val="none"/>
              </w:rPr>
            </w:pPr>
          </w:p>
        </w:tc>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5303E4">
            <w:pPr>
              <w:jc w:val="center"/>
              <w:rPr>
                <w:rFonts w:hint="eastAsia" w:ascii="宋体" w:hAnsi="宋体" w:eastAsia="宋体" w:cs="宋体"/>
                <w:i w:val="0"/>
                <w:iCs w:val="0"/>
                <w:color w:val="auto"/>
                <w:sz w:val="18"/>
                <w:szCs w:val="18"/>
                <w:highlight w:val="none"/>
                <w:u w:val="none"/>
              </w:rPr>
            </w:pPr>
          </w:p>
        </w:tc>
        <w:tc>
          <w:tcPr>
            <w:tcW w:w="6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696138">
            <w:pPr>
              <w:jc w:val="center"/>
              <w:rPr>
                <w:rFonts w:hint="eastAsia" w:ascii="宋体" w:hAnsi="宋体" w:eastAsia="宋体" w:cs="宋体"/>
                <w:i w:val="0"/>
                <w:iCs w:val="0"/>
                <w:color w:val="auto"/>
                <w:sz w:val="18"/>
                <w:szCs w:val="18"/>
                <w:highlight w:val="none"/>
                <w:u w:val="none"/>
              </w:rPr>
            </w:pPr>
          </w:p>
        </w:tc>
      </w:tr>
      <w:tr w14:paraId="7B7B2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03AA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Ⅰ</w:t>
            </w: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067E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工程部分投资</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1549B">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AD7ED">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EA24C">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4B9EE">
            <w:pPr>
              <w:jc w:val="right"/>
              <w:rPr>
                <w:rFonts w:hint="eastAsia" w:ascii="宋体" w:hAnsi="宋体" w:eastAsia="宋体" w:cs="宋体"/>
                <w:i w:val="0"/>
                <w:iCs w:val="0"/>
                <w:color w:val="auto"/>
                <w:sz w:val="18"/>
                <w:szCs w:val="18"/>
                <w:highlight w:val="none"/>
                <w:u w:val="none"/>
              </w:rPr>
            </w:pPr>
          </w:p>
        </w:tc>
      </w:tr>
      <w:tr w14:paraId="3F0B1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D9AB5">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B6DB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第一部分 建筑工程</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ADFB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3061.40</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C19A7">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DAC5F">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A392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3061.40</w:t>
            </w:r>
          </w:p>
        </w:tc>
      </w:tr>
      <w:tr w14:paraId="7A9CB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8E7E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一</w:t>
            </w: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2972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田块整治</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74A8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533.05</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1FDCA">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FA649">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6FA93">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533.05</w:t>
            </w:r>
          </w:p>
        </w:tc>
      </w:tr>
      <w:tr w14:paraId="63609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637D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二</w:t>
            </w: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7771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土壤改良</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833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503.38</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BF905">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FC39A">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E75D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503.38</w:t>
            </w:r>
          </w:p>
        </w:tc>
      </w:tr>
      <w:tr w14:paraId="2A893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44B6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三</w:t>
            </w: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410E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灌溉与排水工程</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771F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1345.74</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A6E8F">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FB222">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F72E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1345.74</w:t>
            </w:r>
          </w:p>
        </w:tc>
      </w:tr>
      <w:tr w14:paraId="233F2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5F1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四</w:t>
            </w: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6B23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田间道路</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A1BB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328.85</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CB69EB">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CBBBB">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CA08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328.85</w:t>
            </w:r>
          </w:p>
        </w:tc>
      </w:tr>
      <w:tr w14:paraId="7D083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8874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五</w:t>
            </w: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D62D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其他工程</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E3089">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350.38</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A6581">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78D82">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4378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350.38</w:t>
            </w:r>
          </w:p>
        </w:tc>
      </w:tr>
      <w:tr w14:paraId="45C48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68F82">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F577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第二部分 机电设备及安装工程</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A3B19">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86595">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1237E">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B8B66">
            <w:pPr>
              <w:jc w:val="right"/>
              <w:rPr>
                <w:rFonts w:hint="eastAsia" w:ascii="宋体" w:hAnsi="宋体" w:eastAsia="宋体" w:cs="宋体"/>
                <w:i w:val="0"/>
                <w:iCs w:val="0"/>
                <w:color w:val="auto"/>
                <w:sz w:val="18"/>
                <w:szCs w:val="18"/>
                <w:highlight w:val="none"/>
                <w:u w:val="none"/>
              </w:rPr>
            </w:pPr>
          </w:p>
        </w:tc>
      </w:tr>
      <w:tr w14:paraId="6C6C4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A4757">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F673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第三部分 金属结构设备及安装工程</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231A9">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0B439">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9D5C4">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728CE">
            <w:pPr>
              <w:jc w:val="right"/>
              <w:rPr>
                <w:rFonts w:hint="eastAsia" w:ascii="宋体" w:hAnsi="宋体" w:eastAsia="宋体" w:cs="宋体"/>
                <w:i w:val="0"/>
                <w:iCs w:val="0"/>
                <w:color w:val="auto"/>
                <w:sz w:val="18"/>
                <w:szCs w:val="18"/>
                <w:highlight w:val="none"/>
                <w:u w:val="none"/>
              </w:rPr>
            </w:pPr>
          </w:p>
        </w:tc>
      </w:tr>
      <w:tr w14:paraId="1915C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1F8E66">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B8F1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第四部分 施工临时工程</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7DE0E">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19.06</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A3CD9">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4E3C1">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6A20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19.06</w:t>
            </w:r>
          </w:p>
        </w:tc>
      </w:tr>
      <w:tr w14:paraId="53C1B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3150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一</w:t>
            </w: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E11A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施工房屋建筑工程</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C2974">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1.60</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9A00D">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B1A33">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7170B">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1.60</w:t>
            </w:r>
          </w:p>
        </w:tc>
      </w:tr>
      <w:tr w14:paraId="5D628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C651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二</w:t>
            </w: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0A79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导流工程</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08DF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4.67</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E625F">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3DA5A">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9967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4.67</w:t>
            </w:r>
          </w:p>
        </w:tc>
      </w:tr>
      <w:tr w14:paraId="5FBBA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34218">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F628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导流工程</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F010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12.79</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8175A">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9D561">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AA94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12.79</w:t>
            </w:r>
          </w:p>
        </w:tc>
      </w:tr>
      <w:tr w14:paraId="09BC1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A92B9">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A401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第五部分 独立费用</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8060D">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C7798">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D183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252.87</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0DA1F">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252.87</w:t>
            </w:r>
          </w:p>
        </w:tc>
      </w:tr>
      <w:tr w14:paraId="3A552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8826B">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A724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一、建设管理费</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C2510">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CB561">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F54D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73.85</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A4D3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73.85</w:t>
            </w:r>
          </w:p>
        </w:tc>
      </w:tr>
      <w:tr w14:paraId="346B3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D904A">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0CD3C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二、招标代理服务费</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19B1E">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BDCE75">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284B7">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2B7BD">
            <w:pPr>
              <w:jc w:val="right"/>
              <w:rPr>
                <w:rFonts w:hint="eastAsia" w:ascii="宋体" w:hAnsi="宋体" w:eastAsia="宋体" w:cs="宋体"/>
                <w:i w:val="0"/>
                <w:iCs w:val="0"/>
                <w:color w:val="auto"/>
                <w:sz w:val="18"/>
                <w:szCs w:val="18"/>
                <w:highlight w:val="none"/>
                <w:u w:val="none"/>
              </w:rPr>
            </w:pPr>
          </w:p>
        </w:tc>
      </w:tr>
      <w:tr w14:paraId="0777E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525E9">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C71E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三、经济技术咨询费</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54A29">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E8531">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3C6E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30.80</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D18A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30.80</w:t>
            </w:r>
          </w:p>
        </w:tc>
      </w:tr>
      <w:tr w14:paraId="3E140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F73E6">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AC25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四、工程建设监理费</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D005B">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043D5">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714D1">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54.28</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5C0CA">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54.28</w:t>
            </w:r>
          </w:p>
        </w:tc>
      </w:tr>
      <w:tr w14:paraId="0633E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37E6A4">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6F5A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五、联合试运转费</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89C47">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01629">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91015">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30769">
            <w:pPr>
              <w:jc w:val="right"/>
              <w:rPr>
                <w:rFonts w:hint="eastAsia" w:ascii="宋体" w:hAnsi="宋体" w:eastAsia="宋体" w:cs="宋体"/>
                <w:i w:val="0"/>
                <w:iCs w:val="0"/>
                <w:color w:val="auto"/>
                <w:sz w:val="18"/>
                <w:szCs w:val="18"/>
                <w:highlight w:val="none"/>
                <w:u w:val="none"/>
              </w:rPr>
            </w:pPr>
          </w:p>
        </w:tc>
      </w:tr>
      <w:tr w14:paraId="1192B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C641E">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504A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六、工程勘测设计费</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DC1C0">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765EF">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AE14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70.84</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446D8">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70.84</w:t>
            </w:r>
          </w:p>
        </w:tc>
      </w:tr>
      <w:tr w14:paraId="649DC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900FD">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862D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 xml:space="preserve">  七、其他</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6A9FE">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EC85D">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07247">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23.10</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7CE4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23.10</w:t>
            </w:r>
          </w:p>
        </w:tc>
      </w:tr>
      <w:tr w14:paraId="3FEE4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17DC5">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E4F3C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一至五部分合计</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6216D">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3080.46</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41665">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23836">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252.87</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77E4C">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3333.33</w:t>
            </w:r>
          </w:p>
        </w:tc>
      </w:tr>
      <w:tr w14:paraId="5B5F8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80E54">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0D13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基本预备费</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E0DFC">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5C41A">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37C91">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597C0">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166.67</w:t>
            </w:r>
          </w:p>
        </w:tc>
      </w:tr>
      <w:tr w14:paraId="1F241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970E5">
            <w:pPr>
              <w:jc w:val="center"/>
              <w:rPr>
                <w:rFonts w:hint="eastAsia" w:ascii="宋体" w:hAnsi="宋体" w:eastAsia="宋体" w:cs="宋体"/>
                <w:i w:val="0"/>
                <w:iCs w:val="0"/>
                <w:color w:val="auto"/>
                <w:sz w:val="18"/>
                <w:szCs w:val="18"/>
                <w:highlight w:val="none"/>
                <w:u w:val="none"/>
              </w:rPr>
            </w:pPr>
          </w:p>
        </w:tc>
        <w:tc>
          <w:tcPr>
            <w:tcW w:w="20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5845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静态投资</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AC616">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6872E">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DE2DC">
            <w:pPr>
              <w:jc w:val="right"/>
              <w:rPr>
                <w:rFonts w:hint="eastAsia" w:ascii="宋体" w:hAnsi="宋体" w:eastAsia="宋体" w:cs="宋体"/>
                <w:i w:val="0"/>
                <w:iCs w:val="0"/>
                <w:color w:val="auto"/>
                <w:sz w:val="18"/>
                <w:szCs w:val="18"/>
                <w:highlight w:val="none"/>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9A415">
            <w:pPr>
              <w:keepNext w:val="0"/>
              <w:keepLines w:val="0"/>
              <w:widowControl/>
              <w:suppressLineNumbers w:val="0"/>
              <w:jc w:val="righ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3500.00</w:t>
            </w:r>
          </w:p>
        </w:tc>
      </w:tr>
    </w:tbl>
    <w:p w14:paraId="48ED21DB">
      <w:pPr>
        <w:pStyle w:val="4"/>
        <w:spacing w:before="0" w:after="0" w:line="560" w:lineRule="exact"/>
        <w:outlineLvl w:val="2"/>
        <w:rPr>
          <w:rFonts w:hint="default" w:ascii="Times New Roman" w:hAnsi="Times New Roman" w:eastAsia="宋体" w:cs="Times New Roman"/>
          <w:smallCaps w:val="0"/>
          <w:color w:val="auto"/>
          <w:spacing w:val="0"/>
          <w:w w:val="100"/>
          <w:highlight w:val="none"/>
        </w:rPr>
      </w:pPr>
      <w:bookmarkStart w:id="286" w:name="_Toc30885"/>
      <w:r>
        <w:rPr>
          <w:rFonts w:hint="default" w:ascii="Times New Roman" w:hAnsi="Times New Roman" w:eastAsia="宋体" w:cs="Times New Roman"/>
          <w:smallCaps w:val="0"/>
          <w:color w:val="auto"/>
          <w:spacing w:val="0"/>
          <w:w w:val="100"/>
          <w:highlight w:val="none"/>
        </w:rPr>
        <w:t>8.1.2  概算编制说明</w:t>
      </w:r>
      <w:bookmarkEnd w:id="286"/>
    </w:p>
    <w:p w14:paraId="7055EFC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1.编制依据</w:t>
      </w:r>
    </w:p>
    <w:p w14:paraId="2BDCA2B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本工程投资概算主要执行四川省水利厅现行有关规定、办 法、定额、费率标准，以甘孜县202</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val="en-US" w:eastAsia="zh-CN"/>
        </w:rPr>
        <w:t>1</w:t>
      </w:r>
      <w:r>
        <w:rPr>
          <w:rFonts w:hint="eastAsia"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月作为价格水平年进行编制，并结合项目区的实情进行概算。主要依据：</w:t>
      </w:r>
    </w:p>
    <w:p w14:paraId="4A5B6FB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（1）《四川省水利厅关于颁发〈四川省水利水电工程设计概（估）算编制规定〉的通知》（四川省水利厅川水发〔2015〕9号）；</w:t>
      </w:r>
    </w:p>
    <w:p w14:paraId="30DAB26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（2）四川省水利厅关于印发《增值税税率调整后四川省水 利水电工程设计概（估）算编制规定相应调整办法》的通知（川 水办〔2019〕610号）；</w:t>
      </w:r>
    </w:p>
    <w:p w14:paraId="50F9EB5C">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（3）水利部办公厅办财务函关于调整水利工程增值税计算 标准的通知（〔2019〕448号文）；</w:t>
      </w:r>
    </w:p>
    <w:p w14:paraId="1EC7042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（4）四川省水利厅（川水发〔2007〕20 号）文颁发的《四川</w:t>
      </w:r>
    </w:p>
    <w:p w14:paraId="53F672C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省水利水电建筑工程预算定额》；</w:t>
      </w:r>
    </w:p>
    <w:p w14:paraId="309E21BF">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）本项目工程设计图纸及工程量。</w:t>
      </w:r>
    </w:p>
    <w:p w14:paraId="3D8173F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2.基础单价</w:t>
      </w:r>
    </w:p>
    <w:p w14:paraId="2A4B24A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 人工预算单价</w:t>
      </w:r>
    </w:p>
    <w:p w14:paraId="1FC8C9B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按照川水发〔2015〕9号文规定，人工预算单价按工长、高级工、中级工、初级工分别计算，其指标采用及计算结果如下：</w:t>
      </w:r>
    </w:p>
    <w:p w14:paraId="2D79A99B">
      <w:pPr>
        <w:kinsoku/>
        <w:spacing w:line="560" w:lineRule="exact"/>
        <w:ind w:left="129" w:right="88" w:firstLine="597"/>
        <w:jc w:val="center"/>
        <w:rPr>
          <w:rFonts w:hint="default" w:ascii="Times New Roman" w:hAnsi="Times New Roman" w:eastAsia="宋体" w:cs="Times New Roman"/>
          <w:b/>
          <w:bCs/>
          <w:smallCaps w:val="0"/>
          <w:color w:val="auto"/>
          <w:spacing w:val="0"/>
          <w:w w:val="100"/>
          <w:sz w:val="30"/>
          <w:szCs w:val="30"/>
          <w:highlight w:val="none"/>
          <w:lang w:eastAsia="zh-CN"/>
        </w:rPr>
      </w:pPr>
      <w:bookmarkStart w:id="287" w:name="_Hlk178937259"/>
      <w:r>
        <w:rPr>
          <w:rFonts w:hint="default" w:ascii="Times New Roman" w:hAnsi="Times New Roman" w:eastAsia="宋体" w:cs="Times New Roman"/>
          <w:b/>
          <w:bCs/>
          <w:smallCaps w:val="0"/>
          <w:color w:val="auto"/>
          <w:spacing w:val="0"/>
          <w:w w:val="100"/>
          <w:sz w:val="30"/>
          <w:szCs w:val="30"/>
          <w:highlight w:val="none"/>
          <w:lang w:eastAsia="zh-CN"/>
        </w:rPr>
        <w:t>人工预算单价表</w:t>
      </w:r>
    </w:p>
    <w:p w14:paraId="05F6E7F2">
      <w:pPr>
        <w:kinsoku/>
        <w:spacing w:line="560" w:lineRule="exact"/>
        <w:ind w:right="88"/>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表8.1.2-1</w:t>
      </w:r>
    </w:p>
    <w:bookmarkEnd w:id="287"/>
    <w:tbl>
      <w:tblPr>
        <w:tblStyle w:val="26"/>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0"/>
        <w:gridCol w:w="1669"/>
        <w:gridCol w:w="2125"/>
        <w:gridCol w:w="3312"/>
      </w:tblGrid>
      <w:tr w14:paraId="010FB2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1420" w:type="dxa"/>
          </w:tcPr>
          <w:p w14:paraId="2B8A7AC1">
            <w:pPr>
              <w:kinsoku/>
              <w:spacing w:before="176" w:line="221" w:lineRule="auto"/>
              <w:ind w:left="436"/>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序号</w:t>
            </w:r>
          </w:p>
        </w:tc>
        <w:tc>
          <w:tcPr>
            <w:tcW w:w="1669" w:type="dxa"/>
          </w:tcPr>
          <w:p w14:paraId="7A9405E4">
            <w:pPr>
              <w:kinsoku/>
              <w:spacing w:before="176" w:line="222" w:lineRule="auto"/>
              <w:ind w:left="566"/>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名称</w:t>
            </w:r>
          </w:p>
        </w:tc>
        <w:tc>
          <w:tcPr>
            <w:tcW w:w="2125" w:type="dxa"/>
          </w:tcPr>
          <w:p w14:paraId="1BB2FC7C">
            <w:pPr>
              <w:kinsoku/>
              <w:spacing w:before="175" w:line="221" w:lineRule="auto"/>
              <w:ind w:left="792"/>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单位</w:t>
            </w:r>
          </w:p>
        </w:tc>
        <w:tc>
          <w:tcPr>
            <w:tcW w:w="3312" w:type="dxa"/>
          </w:tcPr>
          <w:p w14:paraId="3C8CCFE1">
            <w:pPr>
              <w:kinsoku/>
              <w:spacing w:before="175" w:line="219" w:lineRule="auto"/>
              <w:ind w:left="546"/>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人工工时预算单价</w:t>
            </w:r>
          </w:p>
        </w:tc>
      </w:tr>
      <w:tr w14:paraId="4CED69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1420" w:type="dxa"/>
          </w:tcPr>
          <w:p w14:paraId="523AB2DD">
            <w:pPr>
              <w:kinsoku/>
              <w:spacing w:before="218" w:line="187" w:lineRule="auto"/>
              <w:ind w:left="671"/>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1</w:t>
            </w:r>
          </w:p>
        </w:tc>
        <w:tc>
          <w:tcPr>
            <w:tcW w:w="1669" w:type="dxa"/>
          </w:tcPr>
          <w:p w14:paraId="30ECA5A6">
            <w:pPr>
              <w:kinsoku/>
              <w:spacing w:before="172" w:line="224" w:lineRule="auto"/>
              <w:ind w:left="566"/>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工长</w:t>
            </w:r>
          </w:p>
        </w:tc>
        <w:tc>
          <w:tcPr>
            <w:tcW w:w="2125" w:type="dxa"/>
          </w:tcPr>
          <w:p w14:paraId="019B9CB0">
            <w:pPr>
              <w:kinsoku/>
              <w:spacing w:before="172" w:line="221" w:lineRule="auto"/>
              <w:ind w:left="612"/>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元/工时</w:t>
            </w:r>
          </w:p>
        </w:tc>
        <w:tc>
          <w:tcPr>
            <w:tcW w:w="3312" w:type="dxa"/>
          </w:tcPr>
          <w:p w14:paraId="49D6B513">
            <w:pPr>
              <w:kinsoku/>
              <w:spacing w:before="218" w:line="187" w:lineRule="auto"/>
              <w:ind w:left="1370"/>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4"/>
                <w:szCs w:val="24"/>
                <w:highlight w:val="none"/>
              </w:rPr>
              <w:t>10.46</w:t>
            </w:r>
          </w:p>
        </w:tc>
      </w:tr>
      <w:tr w14:paraId="6454FB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1420" w:type="dxa"/>
          </w:tcPr>
          <w:p w14:paraId="4AE30FA7">
            <w:pPr>
              <w:kinsoku/>
              <w:spacing w:before="220" w:line="187" w:lineRule="auto"/>
              <w:ind w:left="644"/>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2</w:t>
            </w:r>
          </w:p>
        </w:tc>
        <w:tc>
          <w:tcPr>
            <w:tcW w:w="1669" w:type="dxa"/>
          </w:tcPr>
          <w:p w14:paraId="03DC58E8">
            <w:pPr>
              <w:kinsoku/>
              <w:spacing w:before="174" w:line="220" w:lineRule="auto"/>
              <w:ind w:left="429"/>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高级工</w:t>
            </w:r>
          </w:p>
        </w:tc>
        <w:tc>
          <w:tcPr>
            <w:tcW w:w="2125" w:type="dxa"/>
          </w:tcPr>
          <w:p w14:paraId="374B6A96">
            <w:pPr>
              <w:kinsoku/>
              <w:spacing w:before="174" w:line="221" w:lineRule="auto"/>
              <w:ind w:left="612"/>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元/工时</w:t>
            </w:r>
          </w:p>
        </w:tc>
        <w:tc>
          <w:tcPr>
            <w:tcW w:w="3312" w:type="dxa"/>
          </w:tcPr>
          <w:p w14:paraId="6344E012">
            <w:pPr>
              <w:kinsoku/>
              <w:spacing w:before="220" w:line="187" w:lineRule="auto"/>
              <w:ind w:left="1418"/>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4"/>
                <w:szCs w:val="24"/>
                <w:highlight w:val="none"/>
              </w:rPr>
              <w:t>9.78</w:t>
            </w:r>
          </w:p>
        </w:tc>
      </w:tr>
      <w:tr w14:paraId="62639A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1420" w:type="dxa"/>
          </w:tcPr>
          <w:p w14:paraId="2B4A5C66">
            <w:pPr>
              <w:kinsoku/>
              <w:spacing w:before="224" w:line="186" w:lineRule="auto"/>
              <w:ind w:left="649"/>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3</w:t>
            </w:r>
          </w:p>
        </w:tc>
        <w:tc>
          <w:tcPr>
            <w:tcW w:w="1669" w:type="dxa"/>
          </w:tcPr>
          <w:p w14:paraId="5EC78D9E">
            <w:pPr>
              <w:kinsoku/>
              <w:spacing w:before="177" w:line="221" w:lineRule="auto"/>
              <w:ind w:left="448"/>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中级工</w:t>
            </w:r>
          </w:p>
        </w:tc>
        <w:tc>
          <w:tcPr>
            <w:tcW w:w="2125" w:type="dxa"/>
          </w:tcPr>
          <w:p w14:paraId="2890DB10">
            <w:pPr>
              <w:kinsoku/>
              <w:spacing w:before="177" w:line="221" w:lineRule="auto"/>
              <w:ind w:left="612"/>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元/工时</w:t>
            </w:r>
          </w:p>
        </w:tc>
        <w:tc>
          <w:tcPr>
            <w:tcW w:w="3312" w:type="dxa"/>
          </w:tcPr>
          <w:p w14:paraId="5830C788">
            <w:pPr>
              <w:kinsoku/>
              <w:spacing w:before="223" w:line="187" w:lineRule="auto"/>
              <w:ind w:left="1417"/>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4"/>
                <w:szCs w:val="24"/>
                <w:highlight w:val="none"/>
              </w:rPr>
              <w:t>7.91</w:t>
            </w:r>
          </w:p>
        </w:tc>
      </w:tr>
      <w:tr w14:paraId="348E97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1420" w:type="dxa"/>
          </w:tcPr>
          <w:p w14:paraId="222FCD62">
            <w:pPr>
              <w:kinsoku/>
              <w:spacing w:before="222" w:line="187" w:lineRule="auto"/>
              <w:ind w:left="642"/>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4</w:t>
            </w:r>
          </w:p>
        </w:tc>
        <w:tc>
          <w:tcPr>
            <w:tcW w:w="1669" w:type="dxa"/>
          </w:tcPr>
          <w:p w14:paraId="1EE6F99A">
            <w:pPr>
              <w:kinsoku/>
              <w:spacing w:before="176" w:line="222" w:lineRule="auto"/>
              <w:ind w:left="420"/>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初级工</w:t>
            </w:r>
          </w:p>
        </w:tc>
        <w:tc>
          <w:tcPr>
            <w:tcW w:w="2125" w:type="dxa"/>
          </w:tcPr>
          <w:p w14:paraId="1E0249FC">
            <w:pPr>
              <w:kinsoku/>
              <w:spacing w:before="175" w:line="221" w:lineRule="auto"/>
              <w:ind w:left="612"/>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8"/>
                <w:szCs w:val="28"/>
                <w:highlight w:val="none"/>
              </w:rPr>
              <w:t>元/工时</w:t>
            </w:r>
          </w:p>
        </w:tc>
        <w:tc>
          <w:tcPr>
            <w:tcW w:w="3312" w:type="dxa"/>
          </w:tcPr>
          <w:p w14:paraId="58DD157F">
            <w:pPr>
              <w:kinsoku/>
              <w:spacing w:before="221" w:line="187" w:lineRule="auto"/>
              <w:ind w:left="1419"/>
              <w:rPr>
                <w:rFonts w:hint="default" w:ascii="Times New Roman" w:hAnsi="Times New Roman" w:eastAsia="宋体" w:cs="Times New Roman"/>
                <w:smallCaps w:val="0"/>
                <w:color w:val="auto"/>
                <w:spacing w:val="0"/>
                <w:w w:val="100"/>
                <w:sz w:val="28"/>
                <w:szCs w:val="28"/>
                <w:highlight w:val="none"/>
              </w:rPr>
            </w:pPr>
            <w:r>
              <w:rPr>
                <w:rFonts w:hint="default" w:ascii="Times New Roman" w:hAnsi="Times New Roman" w:eastAsia="宋体" w:cs="Times New Roman"/>
                <w:smallCaps w:val="0"/>
                <w:color w:val="auto"/>
                <w:spacing w:val="0"/>
                <w:w w:val="100"/>
                <w:sz w:val="24"/>
                <w:szCs w:val="24"/>
                <w:highlight w:val="none"/>
              </w:rPr>
              <w:t>6.02</w:t>
            </w:r>
          </w:p>
        </w:tc>
      </w:tr>
    </w:tbl>
    <w:p w14:paraId="022E807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（2）材料预算价格</w:t>
      </w:r>
    </w:p>
    <w:p w14:paraId="4D037F18">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材料价格采用四川省工程造价信息（202</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年</w:t>
      </w:r>
      <w:r>
        <w:rPr>
          <w:rFonts w:hint="default" w:ascii="Times New Roman" w:hAnsi="Times New Roman" w:eastAsia="宋体" w:cs="Times New Roman"/>
          <w:smallCaps w:val="0"/>
          <w:color w:val="auto"/>
          <w:spacing w:val="0"/>
          <w:w w:val="100"/>
          <w:sz w:val="30"/>
          <w:szCs w:val="30"/>
          <w:highlight w:val="none"/>
          <w:lang w:val="en-US" w:eastAsia="zh-CN"/>
        </w:rPr>
        <w:t>1</w:t>
      </w:r>
      <w:r>
        <w:rPr>
          <w:rFonts w:hint="eastAsia"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月）甘孜县材料信息价格。</w:t>
      </w:r>
    </w:p>
    <w:p w14:paraId="1A2F8D1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bookmarkStart w:id="288" w:name="bookmark69"/>
      <w:bookmarkEnd w:id="288"/>
      <w:r>
        <w:rPr>
          <w:rFonts w:hint="default" w:ascii="Times New Roman" w:hAnsi="Times New Roman" w:eastAsia="宋体" w:cs="Times New Roman"/>
          <w:smallCaps w:val="0"/>
          <w:color w:val="auto"/>
          <w:spacing w:val="0"/>
          <w:w w:val="100"/>
          <w:sz w:val="30"/>
          <w:szCs w:val="30"/>
          <w:highlight w:val="none"/>
          <w:lang w:eastAsia="zh-CN"/>
        </w:rPr>
        <w:t>（3）施工用风、水、电价格</w:t>
      </w:r>
    </w:p>
    <w:p w14:paraId="2D44A63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依据四川省发展和改革委员会关于调整我省目录销售电价有关事项的通知（川发改价格〔2021〕401号）《四川省电网企业代理购电工作实施方案》（川发改价格〔2021〕544号）、《四川省发展和改革委员会关于调整地方电网目录销售电价有关事项的通知》（川发改价格〔2022〕49号）、《四川省省级执行1.5倍代理购电价格工商业用户电价表》（执行时间：202</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年9月1日—202</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年9月30日）规定的1-10kV电度电价0.</w:t>
      </w:r>
      <w:r>
        <w:rPr>
          <w:rFonts w:hint="default" w:ascii="Times New Roman" w:hAnsi="Times New Roman" w:eastAsia="宋体" w:cs="Times New Roman"/>
          <w:smallCaps w:val="0"/>
          <w:color w:val="auto"/>
          <w:spacing w:val="0"/>
          <w:w w:val="100"/>
          <w:sz w:val="30"/>
          <w:szCs w:val="30"/>
          <w:highlight w:val="none"/>
          <w:lang w:val="en-US" w:eastAsia="zh-CN"/>
        </w:rPr>
        <w:t>6224</w:t>
      </w:r>
      <w:r>
        <w:rPr>
          <w:rFonts w:hint="default" w:ascii="Times New Roman" w:hAnsi="Times New Roman" w:eastAsia="宋体" w:cs="Times New Roman"/>
          <w:smallCaps w:val="0"/>
          <w:color w:val="auto"/>
          <w:spacing w:val="0"/>
          <w:w w:val="100"/>
          <w:sz w:val="30"/>
          <w:szCs w:val="30"/>
          <w:highlight w:val="none"/>
          <w:lang w:eastAsia="zh-CN"/>
        </w:rPr>
        <w:t>元/kW·h。本工程施工用电</w:t>
      </w:r>
      <w:r>
        <w:rPr>
          <w:rFonts w:hint="default" w:ascii="Times New Roman" w:hAnsi="Times New Roman" w:eastAsia="宋体" w:cs="Times New Roman"/>
          <w:smallCaps w:val="0"/>
          <w:color w:val="auto"/>
          <w:spacing w:val="0"/>
          <w:w w:val="100"/>
          <w:sz w:val="30"/>
          <w:szCs w:val="30"/>
          <w:highlight w:val="none"/>
          <w:lang w:val="en-US" w:eastAsia="zh-CN"/>
        </w:rPr>
        <w:t>10</w:t>
      </w:r>
      <w:r>
        <w:rPr>
          <w:rFonts w:hint="default" w:ascii="Times New Roman" w:hAnsi="Times New Roman" w:eastAsia="宋体" w:cs="Times New Roman"/>
          <w:smallCaps w:val="0"/>
          <w:color w:val="auto"/>
          <w:spacing w:val="0"/>
          <w:w w:val="100"/>
          <w:sz w:val="30"/>
          <w:szCs w:val="30"/>
          <w:highlight w:val="none"/>
          <w:lang w:eastAsia="zh-CN"/>
        </w:rPr>
        <w:t>%由电网供电，</w:t>
      </w:r>
      <w:r>
        <w:rPr>
          <w:rFonts w:hint="default" w:ascii="Times New Roman" w:hAnsi="Times New Roman" w:eastAsia="宋体" w:cs="Times New Roman"/>
          <w:smallCaps w:val="0"/>
          <w:color w:val="auto"/>
          <w:spacing w:val="0"/>
          <w:w w:val="100"/>
          <w:sz w:val="30"/>
          <w:szCs w:val="30"/>
          <w:highlight w:val="none"/>
          <w:lang w:val="en-US" w:eastAsia="zh-CN"/>
        </w:rPr>
        <w:t>9</w:t>
      </w:r>
      <w:r>
        <w:rPr>
          <w:rFonts w:hint="default" w:ascii="Times New Roman" w:hAnsi="Times New Roman" w:eastAsia="宋体" w:cs="Times New Roman"/>
          <w:smallCaps w:val="0"/>
          <w:color w:val="auto"/>
          <w:spacing w:val="0"/>
          <w:w w:val="100"/>
          <w:sz w:val="30"/>
          <w:szCs w:val="30"/>
          <w:highlight w:val="none"/>
          <w:lang w:eastAsia="zh-CN"/>
        </w:rPr>
        <w:t>0%由施工时自主发电，根据 施工组织设计提供相关资料进行计算，经计算预算价格为</w:t>
      </w:r>
      <w:r>
        <w:rPr>
          <w:rFonts w:hint="default" w:ascii="Times New Roman" w:hAnsi="Times New Roman" w:eastAsia="宋体" w:cs="Times New Roman"/>
          <w:smallCaps w:val="0"/>
          <w:color w:val="auto"/>
          <w:spacing w:val="0"/>
          <w:w w:val="100"/>
          <w:sz w:val="30"/>
          <w:szCs w:val="30"/>
          <w:highlight w:val="none"/>
          <w:lang w:val="en-US" w:eastAsia="zh-CN"/>
        </w:rPr>
        <w:t>4.562</w:t>
      </w:r>
      <w:r>
        <w:rPr>
          <w:rFonts w:hint="default" w:ascii="Times New Roman" w:hAnsi="Times New Roman" w:eastAsia="宋体" w:cs="Times New Roman"/>
          <w:smallCaps w:val="0"/>
          <w:color w:val="auto"/>
          <w:spacing w:val="0"/>
          <w:w w:val="100"/>
          <w:sz w:val="30"/>
          <w:szCs w:val="30"/>
          <w:highlight w:val="none"/>
          <w:lang w:eastAsia="zh-CN"/>
        </w:rPr>
        <w:t>元/kW·h。</w:t>
      </w:r>
    </w:p>
    <w:p w14:paraId="3DAA47C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风价：采用移动式空压机供风，预算价格为：0.</w:t>
      </w:r>
      <w:r>
        <w:rPr>
          <w:rFonts w:hint="default" w:ascii="Times New Roman" w:hAnsi="Times New Roman" w:eastAsia="宋体" w:cs="Times New Roman"/>
          <w:smallCaps w:val="0"/>
          <w:color w:val="auto"/>
          <w:spacing w:val="0"/>
          <w:w w:val="100"/>
          <w:sz w:val="30"/>
          <w:szCs w:val="30"/>
          <w:highlight w:val="none"/>
          <w:lang w:val="en-US" w:eastAsia="zh-CN"/>
        </w:rPr>
        <w:t>958</w:t>
      </w:r>
      <w:r>
        <w:rPr>
          <w:rFonts w:hint="default" w:ascii="Times New Roman" w:hAnsi="Times New Roman" w:eastAsia="宋体" w:cs="Times New Roman"/>
          <w:smallCaps w:val="0"/>
          <w:color w:val="auto"/>
          <w:spacing w:val="0"/>
          <w:w w:val="100"/>
          <w:sz w:val="30"/>
          <w:szCs w:val="30"/>
          <w:highlight w:val="none"/>
          <w:lang w:eastAsia="zh-CN"/>
        </w:rPr>
        <w:t xml:space="preserve">元/m³ ；  </w:t>
      </w:r>
    </w:p>
    <w:p w14:paraId="489174EA">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水价：施工用水采用自备供水系统，预算价格为：</w:t>
      </w:r>
      <w:r>
        <w:rPr>
          <w:rFonts w:hint="default" w:ascii="Times New Roman" w:hAnsi="Times New Roman" w:eastAsia="宋体" w:cs="Times New Roman"/>
          <w:smallCaps w:val="0"/>
          <w:color w:val="auto"/>
          <w:spacing w:val="0"/>
          <w:w w:val="100"/>
          <w:sz w:val="30"/>
          <w:szCs w:val="30"/>
          <w:highlight w:val="none"/>
          <w:lang w:val="en-US" w:eastAsia="zh-CN"/>
        </w:rPr>
        <w:t>3.65</w:t>
      </w:r>
      <w:r>
        <w:rPr>
          <w:rFonts w:hint="default" w:ascii="Times New Roman" w:hAnsi="Times New Roman" w:eastAsia="宋体" w:cs="Times New Roman"/>
          <w:smallCaps w:val="0"/>
          <w:color w:val="auto"/>
          <w:spacing w:val="0"/>
          <w:w w:val="100"/>
          <w:sz w:val="30"/>
          <w:szCs w:val="30"/>
          <w:highlight w:val="none"/>
          <w:lang w:eastAsia="zh-CN"/>
        </w:rPr>
        <w:t>元/ m³。</w:t>
      </w:r>
    </w:p>
    <w:p w14:paraId="0F3F0F0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（4）取费标准</w:t>
      </w:r>
    </w:p>
    <w:p w14:paraId="012F2C4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按照川水发〔2015〕9号文规定，其他直接费、间接费、企业利润、税金取费详见下表。</w:t>
      </w:r>
    </w:p>
    <w:p w14:paraId="18A4CB10">
      <w:pPr>
        <w:kinsoku/>
        <w:spacing w:before="60" w:line="220" w:lineRule="auto"/>
        <w:ind w:left="3744"/>
        <w:rPr>
          <w:rFonts w:hint="default" w:ascii="Times New Roman" w:hAnsi="Times New Roman" w:eastAsia="宋体" w:cs="Times New Roman"/>
          <w:b/>
          <w:bCs/>
          <w:smallCaps w:val="0"/>
          <w:color w:val="auto"/>
          <w:spacing w:val="0"/>
          <w:w w:val="100"/>
          <w:sz w:val="30"/>
          <w:szCs w:val="30"/>
          <w:highlight w:val="none"/>
          <w:lang w:eastAsia="zh-CN"/>
        </w:rPr>
      </w:pPr>
      <w:bookmarkStart w:id="289" w:name="_Hlk178937288"/>
      <w:r>
        <w:rPr>
          <w:rFonts w:hint="default" w:ascii="Times New Roman" w:hAnsi="Times New Roman" w:eastAsia="宋体" w:cs="Times New Roman"/>
          <w:b/>
          <w:bCs/>
          <w:smallCaps w:val="0"/>
          <w:color w:val="auto"/>
          <w:spacing w:val="0"/>
          <w:w w:val="100"/>
          <w:sz w:val="30"/>
          <w:szCs w:val="30"/>
          <w:highlight w:val="none"/>
          <w:lang w:eastAsia="zh-CN"/>
        </w:rPr>
        <w:t>取费费率表</w:t>
      </w:r>
    </w:p>
    <w:p w14:paraId="057326D8">
      <w:pPr>
        <w:kinsoku/>
        <w:spacing w:before="266" w:line="371" w:lineRule="auto"/>
        <w:ind w:right="182"/>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表 8.1.2-2</w:t>
      </w:r>
    </w:p>
    <w:bookmarkEnd w:id="289"/>
    <w:tbl>
      <w:tblPr>
        <w:tblStyle w:val="18"/>
        <w:tblW w:w="8980" w:type="dxa"/>
        <w:tblInd w:w="-91" w:type="dxa"/>
        <w:tblLayout w:type="fixed"/>
        <w:tblCellMar>
          <w:top w:w="0" w:type="dxa"/>
          <w:left w:w="15" w:type="dxa"/>
          <w:bottom w:w="0" w:type="dxa"/>
          <w:right w:w="15" w:type="dxa"/>
        </w:tblCellMar>
      </w:tblPr>
      <w:tblGrid>
        <w:gridCol w:w="1037"/>
        <w:gridCol w:w="1216"/>
        <w:gridCol w:w="1041"/>
        <w:gridCol w:w="1249"/>
        <w:gridCol w:w="1129"/>
        <w:gridCol w:w="1007"/>
        <w:gridCol w:w="1151"/>
        <w:gridCol w:w="1150"/>
      </w:tblGrid>
      <w:tr w14:paraId="338F76E0">
        <w:tblPrEx>
          <w:tblCellMar>
            <w:top w:w="0" w:type="dxa"/>
            <w:left w:w="15" w:type="dxa"/>
            <w:bottom w:w="0" w:type="dxa"/>
            <w:right w:w="15" w:type="dxa"/>
          </w:tblCellMar>
        </w:tblPrEx>
        <w:trPr>
          <w:trHeight w:val="369" w:hRule="atLeast"/>
        </w:trPr>
        <w:tc>
          <w:tcPr>
            <w:tcW w:w="1037" w:type="dxa"/>
            <w:tcBorders>
              <w:top w:val="single" w:color="000000" w:sz="4" w:space="0"/>
              <w:left w:val="single" w:color="000000" w:sz="4" w:space="0"/>
              <w:bottom w:val="single" w:color="000000" w:sz="4" w:space="0"/>
              <w:right w:val="single" w:color="000000" w:sz="4" w:space="0"/>
            </w:tcBorders>
            <w:vAlign w:val="center"/>
          </w:tcPr>
          <w:p w14:paraId="421331B5">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取费项目</w:t>
            </w:r>
          </w:p>
        </w:tc>
        <w:tc>
          <w:tcPr>
            <w:tcW w:w="1216" w:type="dxa"/>
            <w:tcBorders>
              <w:top w:val="single" w:color="000000" w:sz="4" w:space="0"/>
              <w:left w:val="single" w:color="000000" w:sz="4" w:space="0"/>
              <w:bottom w:val="single" w:color="000000" w:sz="4" w:space="0"/>
              <w:right w:val="single" w:color="000000" w:sz="4" w:space="0"/>
            </w:tcBorders>
            <w:vAlign w:val="center"/>
          </w:tcPr>
          <w:p w14:paraId="7566B50F">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土方工程</w:t>
            </w:r>
          </w:p>
        </w:tc>
        <w:tc>
          <w:tcPr>
            <w:tcW w:w="1041" w:type="dxa"/>
            <w:tcBorders>
              <w:top w:val="single" w:color="000000" w:sz="4" w:space="0"/>
              <w:left w:val="single" w:color="000000" w:sz="4" w:space="0"/>
              <w:bottom w:val="single" w:color="000000" w:sz="4" w:space="0"/>
              <w:right w:val="single" w:color="000000" w:sz="4" w:space="0"/>
            </w:tcBorders>
            <w:vAlign w:val="center"/>
          </w:tcPr>
          <w:p w14:paraId="003CE528">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石方工程</w:t>
            </w:r>
          </w:p>
        </w:tc>
        <w:tc>
          <w:tcPr>
            <w:tcW w:w="1249" w:type="dxa"/>
            <w:tcBorders>
              <w:top w:val="single" w:color="000000" w:sz="4" w:space="0"/>
              <w:left w:val="single" w:color="000000" w:sz="4" w:space="0"/>
              <w:bottom w:val="single" w:color="000000" w:sz="4" w:space="0"/>
              <w:right w:val="single" w:color="000000" w:sz="4" w:space="0"/>
            </w:tcBorders>
            <w:vAlign w:val="center"/>
          </w:tcPr>
          <w:p w14:paraId="3B2FE7CE">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砌石工程</w:t>
            </w:r>
          </w:p>
        </w:tc>
        <w:tc>
          <w:tcPr>
            <w:tcW w:w="1129" w:type="dxa"/>
            <w:tcBorders>
              <w:top w:val="single" w:color="000000" w:sz="4" w:space="0"/>
              <w:left w:val="single" w:color="000000" w:sz="4" w:space="0"/>
              <w:bottom w:val="single" w:color="000000" w:sz="4" w:space="0"/>
              <w:right w:val="single" w:color="000000" w:sz="4" w:space="0"/>
            </w:tcBorders>
            <w:vAlign w:val="center"/>
          </w:tcPr>
          <w:p w14:paraId="37DC8D20">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混凝土工程</w:t>
            </w:r>
          </w:p>
        </w:tc>
        <w:tc>
          <w:tcPr>
            <w:tcW w:w="1007" w:type="dxa"/>
            <w:tcBorders>
              <w:top w:val="single" w:color="000000" w:sz="4" w:space="0"/>
              <w:left w:val="single" w:color="000000" w:sz="4" w:space="0"/>
              <w:bottom w:val="single" w:color="000000" w:sz="4" w:space="0"/>
              <w:right w:val="single" w:color="000000" w:sz="4" w:space="0"/>
            </w:tcBorders>
            <w:vAlign w:val="center"/>
          </w:tcPr>
          <w:p w14:paraId="231ECAD6">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模板工程</w:t>
            </w:r>
          </w:p>
        </w:tc>
        <w:tc>
          <w:tcPr>
            <w:tcW w:w="1151" w:type="dxa"/>
            <w:tcBorders>
              <w:top w:val="single" w:color="000000" w:sz="4" w:space="0"/>
              <w:left w:val="single" w:color="000000" w:sz="4" w:space="0"/>
              <w:bottom w:val="single" w:color="000000" w:sz="4" w:space="0"/>
              <w:right w:val="single" w:color="000000" w:sz="4" w:space="0"/>
            </w:tcBorders>
            <w:vAlign w:val="center"/>
          </w:tcPr>
          <w:p w14:paraId="6F582EC8">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钢筋工程</w:t>
            </w:r>
          </w:p>
        </w:tc>
        <w:tc>
          <w:tcPr>
            <w:tcW w:w="1150" w:type="dxa"/>
            <w:tcBorders>
              <w:top w:val="single" w:color="000000" w:sz="4" w:space="0"/>
              <w:left w:val="single" w:color="000000" w:sz="4" w:space="0"/>
              <w:bottom w:val="single" w:color="000000" w:sz="4" w:space="0"/>
              <w:right w:val="single" w:color="000000" w:sz="4" w:space="0"/>
            </w:tcBorders>
            <w:vAlign w:val="center"/>
          </w:tcPr>
          <w:p w14:paraId="2507B3F5">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其他工程</w:t>
            </w:r>
          </w:p>
        </w:tc>
      </w:tr>
      <w:tr w14:paraId="7BE447F6">
        <w:tblPrEx>
          <w:tblCellMar>
            <w:top w:w="0" w:type="dxa"/>
            <w:left w:w="15" w:type="dxa"/>
            <w:bottom w:w="0" w:type="dxa"/>
            <w:right w:w="15" w:type="dxa"/>
          </w:tblCellMar>
        </w:tblPrEx>
        <w:trPr>
          <w:trHeight w:val="369" w:hRule="atLeast"/>
        </w:trPr>
        <w:tc>
          <w:tcPr>
            <w:tcW w:w="1037" w:type="dxa"/>
            <w:tcBorders>
              <w:top w:val="single" w:color="000000" w:sz="4" w:space="0"/>
              <w:left w:val="single" w:color="000000" w:sz="4" w:space="0"/>
              <w:bottom w:val="single" w:color="000000" w:sz="4" w:space="0"/>
              <w:right w:val="single" w:color="000000" w:sz="4" w:space="0"/>
            </w:tcBorders>
            <w:vAlign w:val="center"/>
          </w:tcPr>
          <w:p w14:paraId="21D0440C">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其他直接费</w:t>
            </w:r>
          </w:p>
        </w:tc>
        <w:tc>
          <w:tcPr>
            <w:tcW w:w="1216" w:type="dxa"/>
            <w:tcBorders>
              <w:top w:val="single" w:color="000000" w:sz="4" w:space="0"/>
              <w:left w:val="single" w:color="000000" w:sz="4" w:space="0"/>
              <w:bottom w:val="single" w:color="000000" w:sz="4" w:space="0"/>
              <w:right w:val="single" w:color="000000" w:sz="4" w:space="0"/>
            </w:tcBorders>
            <w:vAlign w:val="center"/>
          </w:tcPr>
          <w:p w14:paraId="4DCF3D93">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val="en-US" w:eastAsia="zh-CN"/>
              </w:rPr>
              <w:t>5.2</w:t>
            </w:r>
            <w:r>
              <w:rPr>
                <w:rFonts w:hint="default" w:ascii="Times New Roman" w:hAnsi="Times New Roman" w:eastAsia="宋体" w:cs="Times New Roman"/>
                <w:smallCaps w:val="0"/>
                <w:snapToGrid/>
                <w:color w:val="auto"/>
                <w:spacing w:val="0"/>
                <w:w w:val="100"/>
                <w:kern w:val="2"/>
                <w:sz w:val="24"/>
                <w:szCs w:val="24"/>
                <w:highlight w:val="none"/>
                <w:lang w:eastAsia="zh-CN"/>
              </w:rPr>
              <w:t>0%</w:t>
            </w:r>
          </w:p>
        </w:tc>
        <w:tc>
          <w:tcPr>
            <w:tcW w:w="1041" w:type="dxa"/>
            <w:tcBorders>
              <w:top w:val="single" w:color="000000" w:sz="4" w:space="0"/>
              <w:left w:val="single" w:color="000000" w:sz="4" w:space="0"/>
              <w:bottom w:val="single" w:color="000000" w:sz="4" w:space="0"/>
              <w:right w:val="single" w:color="000000" w:sz="4" w:space="0"/>
            </w:tcBorders>
            <w:vAlign w:val="center"/>
          </w:tcPr>
          <w:p w14:paraId="227A199B">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val="en-US" w:eastAsia="zh-CN"/>
              </w:rPr>
              <w:t>5.2</w:t>
            </w:r>
            <w:r>
              <w:rPr>
                <w:rFonts w:hint="default" w:ascii="Times New Roman" w:hAnsi="Times New Roman" w:eastAsia="宋体" w:cs="Times New Roman"/>
                <w:smallCaps w:val="0"/>
                <w:snapToGrid/>
                <w:color w:val="auto"/>
                <w:spacing w:val="0"/>
                <w:w w:val="100"/>
                <w:kern w:val="2"/>
                <w:sz w:val="24"/>
                <w:szCs w:val="24"/>
                <w:highlight w:val="none"/>
                <w:lang w:eastAsia="zh-CN"/>
              </w:rPr>
              <w:t>0%</w:t>
            </w:r>
          </w:p>
        </w:tc>
        <w:tc>
          <w:tcPr>
            <w:tcW w:w="1249" w:type="dxa"/>
            <w:tcBorders>
              <w:top w:val="single" w:color="000000" w:sz="4" w:space="0"/>
              <w:left w:val="single" w:color="000000" w:sz="4" w:space="0"/>
              <w:bottom w:val="single" w:color="000000" w:sz="4" w:space="0"/>
              <w:right w:val="single" w:color="000000" w:sz="4" w:space="0"/>
            </w:tcBorders>
            <w:vAlign w:val="center"/>
          </w:tcPr>
          <w:p w14:paraId="413503AF">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val="en-US" w:eastAsia="zh-CN"/>
              </w:rPr>
              <w:t>5.2</w:t>
            </w:r>
            <w:r>
              <w:rPr>
                <w:rFonts w:hint="default" w:ascii="Times New Roman" w:hAnsi="Times New Roman" w:eastAsia="宋体" w:cs="Times New Roman"/>
                <w:smallCaps w:val="0"/>
                <w:snapToGrid/>
                <w:color w:val="auto"/>
                <w:spacing w:val="0"/>
                <w:w w:val="100"/>
                <w:kern w:val="2"/>
                <w:sz w:val="24"/>
                <w:szCs w:val="24"/>
                <w:highlight w:val="none"/>
                <w:lang w:eastAsia="zh-CN"/>
              </w:rPr>
              <w:t>0%</w:t>
            </w:r>
          </w:p>
        </w:tc>
        <w:tc>
          <w:tcPr>
            <w:tcW w:w="1129" w:type="dxa"/>
            <w:tcBorders>
              <w:top w:val="single" w:color="000000" w:sz="4" w:space="0"/>
              <w:left w:val="single" w:color="000000" w:sz="4" w:space="0"/>
              <w:bottom w:val="single" w:color="000000" w:sz="4" w:space="0"/>
              <w:right w:val="single" w:color="000000" w:sz="4" w:space="0"/>
            </w:tcBorders>
            <w:vAlign w:val="center"/>
          </w:tcPr>
          <w:p w14:paraId="29DB2924">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val="en-US" w:eastAsia="zh-CN"/>
              </w:rPr>
              <w:t>5.2</w:t>
            </w:r>
            <w:r>
              <w:rPr>
                <w:rFonts w:hint="default" w:ascii="Times New Roman" w:hAnsi="Times New Roman" w:eastAsia="宋体" w:cs="Times New Roman"/>
                <w:smallCaps w:val="0"/>
                <w:snapToGrid/>
                <w:color w:val="auto"/>
                <w:spacing w:val="0"/>
                <w:w w:val="100"/>
                <w:kern w:val="2"/>
                <w:sz w:val="24"/>
                <w:szCs w:val="24"/>
                <w:highlight w:val="none"/>
                <w:lang w:eastAsia="zh-CN"/>
              </w:rPr>
              <w:t>0%</w:t>
            </w:r>
          </w:p>
        </w:tc>
        <w:tc>
          <w:tcPr>
            <w:tcW w:w="1007" w:type="dxa"/>
            <w:tcBorders>
              <w:top w:val="single" w:color="000000" w:sz="4" w:space="0"/>
              <w:left w:val="single" w:color="000000" w:sz="4" w:space="0"/>
              <w:bottom w:val="single" w:color="000000" w:sz="4" w:space="0"/>
              <w:right w:val="single" w:color="000000" w:sz="4" w:space="0"/>
            </w:tcBorders>
            <w:vAlign w:val="center"/>
          </w:tcPr>
          <w:p w14:paraId="57C61861">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val="en-US" w:eastAsia="zh-CN"/>
              </w:rPr>
              <w:t>5.20</w:t>
            </w:r>
            <w:r>
              <w:rPr>
                <w:rFonts w:hint="default" w:ascii="Times New Roman" w:hAnsi="Times New Roman" w:eastAsia="宋体" w:cs="Times New Roman"/>
                <w:smallCaps w:val="0"/>
                <w:snapToGrid/>
                <w:color w:val="auto"/>
                <w:spacing w:val="0"/>
                <w:w w:val="100"/>
                <w:kern w:val="2"/>
                <w:sz w:val="24"/>
                <w:szCs w:val="24"/>
                <w:highlight w:val="none"/>
                <w:lang w:eastAsia="zh-CN"/>
              </w:rPr>
              <w:t>%</w:t>
            </w:r>
          </w:p>
        </w:tc>
        <w:tc>
          <w:tcPr>
            <w:tcW w:w="1151" w:type="dxa"/>
            <w:tcBorders>
              <w:top w:val="single" w:color="000000" w:sz="4" w:space="0"/>
              <w:left w:val="single" w:color="000000" w:sz="4" w:space="0"/>
              <w:bottom w:val="single" w:color="000000" w:sz="4" w:space="0"/>
              <w:right w:val="single" w:color="000000" w:sz="4" w:space="0"/>
            </w:tcBorders>
            <w:vAlign w:val="center"/>
          </w:tcPr>
          <w:p w14:paraId="65A213F5">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val="en-US" w:eastAsia="zh-CN"/>
              </w:rPr>
              <w:t>5.2</w:t>
            </w:r>
            <w:r>
              <w:rPr>
                <w:rFonts w:hint="default" w:ascii="Times New Roman" w:hAnsi="Times New Roman" w:eastAsia="宋体" w:cs="Times New Roman"/>
                <w:smallCaps w:val="0"/>
                <w:snapToGrid/>
                <w:color w:val="auto"/>
                <w:spacing w:val="0"/>
                <w:w w:val="100"/>
                <w:kern w:val="2"/>
                <w:sz w:val="24"/>
                <w:szCs w:val="24"/>
                <w:highlight w:val="none"/>
                <w:lang w:eastAsia="zh-CN"/>
              </w:rPr>
              <w:t>0%</w:t>
            </w:r>
          </w:p>
        </w:tc>
        <w:tc>
          <w:tcPr>
            <w:tcW w:w="1150" w:type="dxa"/>
            <w:tcBorders>
              <w:top w:val="single" w:color="000000" w:sz="4" w:space="0"/>
              <w:left w:val="single" w:color="000000" w:sz="4" w:space="0"/>
              <w:bottom w:val="single" w:color="000000" w:sz="4" w:space="0"/>
              <w:right w:val="single" w:color="000000" w:sz="4" w:space="0"/>
            </w:tcBorders>
            <w:vAlign w:val="center"/>
          </w:tcPr>
          <w:p w14:paraId="15E48C3A">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val="en-US" w:eastAsia="zh-CN"/>
              </w:rPr>
              <w:t>5.2</w:t>
            </w:r>
            <w:r>
              <w:rPr>
                <w:rFonts w:hint="default" w:ascii="Times New Roman" w:hAnsi="Times New Roman" w:eastAsia="宋体" w:cs="Times New Roman"/>
                <w:smallCaps w:val="0"/>
                <w:snapToGrid/>
                <w:color w:val="auto"/>
                <w:spacing w:val="0"/>
                <w:w w:val="100"/>
                <w:kern w:val="2"/>
                <w:sz w:val="24"/>
                <w:szCs w:val="24"/>
                <w:highlight w:val="none"/>
                <w:lang w:eastAsia="zh-CN"/>
              </w:rPr>
              <w:t>0%</w:t>
            </w:r>
          </w:p>
        </w:tc>
      </w:tr>
      <w:tr w14:paraId="32105920">
        <w:tblPrEx>
          <w:tblCellMar>
            <w:top w:w="0" w:type="dxa"/>
            <w:left w:w="15" w:type="dxa"/>
            <w:bottom w:w="0" w:type="dxa"/>
            <w:right w:w="15" w:type="dxa"/>
          </w:tblCellMar>
        </w:tblPrEx>
        <w:trPr>
          <w:trHeight w:val="369" w:hRule="atLeast"/>
        </w:trPr>
        <w:tc>
          <w:tcPr>
            <w:tcW w:w="1037" w:type="dxa"/>
            <w:tcBorders>
              <w:top w:val="single" w:color="000000" w:sz="4" w:space="0"/>
              <w:left w:val="single" w:color="000000" w:sz="4" w:space="0"/>
              <w:bottom w:val="single" w:color="000000" w:sz="4" w:space="0"/>
              <w:right w:val="single" w:color="000000" w:sz="4" w:space="0"/>
            </w:tcBorders>
            <w:vAlign w:val="center"/>
          </w:tcPr>
          <w:p w14:paraId="7FA99FB9">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间接费</w:t>
            </w:r>
          </w:p>
        </w:tc>
        <w:tc>
          <w:tcPr>
            <w:tcW w:w="1216" w:type="dxa"/>
            <w:tcBorders>
              <w:top w:val="single" w:color="000000" w:sz="4" w:space="0"/>
              <w:left w:val="single" w:color="000000" w:sz="4" w:space="0"/>
              <w:bottom w:val="single" w:color="000000" w:sz="4" w:space="0"/>
              <w:right w:val="single" w:color="000000" w:sz="4" w:space="0"/>
            </w:tcBorders>
            <w:vAlign w:val="center"/>
          </w:tcPr>
          <w:p w14:paraId="29618A0C">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4.50%</w:t>
            </w:r>
          </w:p>
        </w:tc>
        <w:tc>
          <w:tcPr>
            <w:tcW w:w="1041" w:type="dxa"/>
            <w:tcBorders>
              <w:top w:val="single" w:color="000000" w:sz="4" w:space="0"/>
              <w:left w:val="single" w:color="000000" w:sz="4" w:space="0"/>
              <w:bottom w:val="single" w:color="000000" w:sz="4" w:space="0"/>
              <w:right w:val="single" w:color="000000" w:sz="4" w:space="0"/>
            </w:tcBorders>
            <w:vAlign w:val="center"/>
          </w:tcPr>
          <w:p w14:paraId="1DF9C25B">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7.50%</w:t>
            </w:r>
          </w:p>
        </w:tc>
        <w:tc>
          <w:tcPr>
            <w:tcW w:w="1249" w:type="dxa"/>
            <w:tcBorders>
              <w:top w:val="single" w:color="000000" w:sz="4" w:space="0"/>
              <w:left w:val="single" w:color="000000" w:sz="4" w:space="0"/>
              <w:bottom w:val="single" w:color="000000" w:sz="4" w:space="0"/>
              <w:right w:val="single" w:color="000000" w:sz="4" w:space="0"/>
            </w:tcBorders>
            <w:vAlign w:val="center"/>
          </w:tcPr>
          <w:p w14:paraId="11A1E84A">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7.50%</w:t>
            </w:r>
          </w:p>
        </w:tc>
        <w:tc>
          <w:tcPr>
            <w:tcW w:w="1129" w:type="dxa"/>
            <w:tcBorders>
              <w:top w:val="single" w:color="000000" w:sz="4" w:space="0"/>
              <w:left w:val="single" w:color="000000" w:sz="4" w:space="0"/>
              <w:bottom w:val="single" w:color="000000" w:sz="4" w:space="0"/>
              <w:right w:val="single" w:color="000000" w:sz="4" w:space="0"/>
            </w:tcBorders>
            <w:vAlign w:val="center"/>
          </w:tcPr>
          <w:p w14:paraId="0B592073">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6.50%</w:t>
            </w:r>
          </w:p>
        </w:tc>
        <w:tc>
          <w:tcPr>
            <w:tcW w:w="1007" w:type="dxa"/>
            <w:tcBorders>
              <w:top w:val="single" w:color="000000" w:sz="4" w:space="0"/>
              <w:left w:val="single" w:color="000000" w:sz="4" w:space="0"/>
              <w:bottom w:val="single" w:color="000000" w:sz="4" w:space="0"/>
              <w:right w:val="single" w:color="000000" w:sz="4" w:space="0"/>
            </w:tcBorders>
            <w:vAlign w:val="center"/>
          </w:tcPr>
          <w:p w14:paraId="753E8CC7">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5.50%</w:t>
            </w:r>
          </w:p>
        </w:tc>
        <w:tc>
          <w:tcPr>
            <w:tcW w:w="1151" w:type="dxa"/>
            <w:tcBorders>
              <w:top w:val="single" w:color="000000" w:sz="4" w:space="0"/>
              <w:left w:val="single" w:color="000000" w:sz="4" w:space="0"/>
              <w:bottom w:val="single" w:color="000000" w:sz="4" w:space="0"/>
              <w:right w:val="single" w:color="000000" w:sz="4" w:space="0"/>
            </w:tcBorders>
            <w:vAlign w:val="center"/>
          </w:tcPr>
          <w:p w14:paraId="7BABA68D">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4.00%</w:t>
            </w:r>
          </w:p>
        </w:tc>
        <w:tc>
          <w:tcPr>
            <w:tcW w:w="1150" w:type="dxa"/>
            <w:tcBorders>
              <w:top w:val="single" w:color="000000" w:sz="4" w:space="0"/>
              <w:left w:val="single" w:color="000000" w:sz="4" w:space="0"/>
              <w:bottom w:val="single" w:color="000000" w:sz="4" w:space="0"/>
              <w:right w:val="single" w:color="000000" w:sz="4" w:space="0"/>
            </w:tcBorders>
            <w:vAlign w:val="center"/>
          </w:tcPr>
          <w:p w14:paraId="03215D99">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5.50%</w:t>
            </w:r>
          </w:p>
        </w:tc>
      </w:tr>
      <w:tr w14:paraId="2BC1E1F4">
        <w:tblPrEx>
          <w:tblCellMar>
            <w:top w:w="0" w:type="dxa"/>
            <w:left w:w="15" w:type="dxa"/>
            <w:bottom w:w="0" w:type="dxa"/>
            <w:right w:w="15" w:type="dxa"/>
          </w:tblCellMar>
        </w:tblPrEx>
        <w:trPr>
          <w:trHeight w:val="369" w:hRule="atLeast"/>
        </w:trPr>
        <w:tc>
          <w:tcPr>
            <w:tcW w:w="1037" w:type="dxa"/>
            <w:tcBorders>
              <w:top w:val="single" w:color="000000" w:sz="4" w:space="0"/>
              <w:left w:val="single" w:color="000000" w:sz="4" w:space="0"/>
              <w:bottom w:val="single" w:color="000000" w:sz="4" w:space="0"/>
              <w:right w:val="single" w:color="000000" w:sz="4" w:space="0"/>
            </w:tcBorders>
            <w:vAlign w:val="center"/>
          </w:tcPr>
          <w:p w14:paraId="3837F05A">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利润</w:t>
            </w:r>
          </w:p>
        </w:tc>
        <w:tc>
          <w:tcPr>
            <w:tcW w:w="1216" w:type="dxa"/>
            <w:tcBorders>
              <w:top w:val="single" w:color="000000" w:sz="4" w:space="0"/>
              <w:left w:val="single" w:color="000000" w:sz="4" w:space="0"/>
              <w:bottom w:val="single" w:color="000000" w:sz="4" w:space="0"/>
              <w:right w:val="single" w:color="000000" w:sz="4" w:space="0"/>
            </w:tcBorders>
            <w:vAlign w:val="center"/>
          </w:tcPr>
          <w:p w14:paraId="550C815D">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7%</w:t>
            </w:r>
          </w:p>
        </w:tc>
        <w:tc>
          <w:tcPr>
            <w:tcW w:w="1041" w:type="dxa"/>
            <w:tcBorders>
              <w:top w:val="single" w:color="000000" w:sz="4" w:space="0"/>
              <w:left w:val="single" w:color="000000" w:sz="4" w:space="0"/>
              <w:bottom w:val="single" w:color="000000" w:sz="4" w:space="0"/>
              <w:right w:val="single" w:color="000000" w:sz="4" w:space="0"/>
            </w:tcBorders>
            <w:vAlign w:val="center"/>
          </w:tcPr>
          <w:p w14:paraId="5BCBB05D">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7%</w:t>
            </w:r>
          </w:p>
        </w:tc>
        <w:tc>
          <w:tcPr>
            <w:tcW w:w="1249" w:type="dxa"/>
            <w:tcBorders>
              <w:top w:val="single" w:color="000000" w:sz="4" w:space="0"/>
              <w:left w:val="single" w:color="000000" w:sz="4" w:space="0"/>
              <w:bottom w:val="single" w:color="000000" w:sz="4" w:space="0"/>
              <w:right w:val="single" w:color="000000" w:sz="4" w:space="0"/>
            </w:tcBorders>
            <w:vAlign w:val="center"/>
          </w:tcPr>
          <w:p w14:paraId="3039C8FC">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7%</w:t>
            </w:r>
          </w:p>
        </w:tc>
        <w:tc>
          <w:tcPr>
            <w:tcW w:w="1129" w:type="dxa"/>
            <w:tcBorders>
              <w:top w:val="single" w:color="000000" w:sz="4" w:space="0"/>
              <w:left w:val="single" w:color="000000" w:sz="4" w:space="0"/>
              <w:bottom w:val="single" w:color="000000" w:sz="4" w:space="0"/>
              <w:right w:val="single" w:color="000000" w:sz="4" w:space="0"/>
            </w:tcBorders>
            <w:vAlign w:val="center"/>
          </w:tcPr>
          <w:p w14:paraId="33E04649">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7%</w:t>
            </w:r>
          </w:p>
        </w:tc>
        <w:tc>
          <w:tcPr>
            <w:tcW w:w="1007" w:type="dxa"/>
            <w:tcBorders>
              <w:top w:val="single" w:color="000000" w:sz="4" w:space="0"/>
              <w:left w:val="single" w:color="000000" w:sz="4" w:space="0"/>
              <w:bottom w:val="single" w:color="000000" w:sz="4" w:space="0"/>
              <w:right w:val="single" w:color="000000" w:sz="4" w:space="0"/>
            </w:tcBorders>
            <w:vAlign w:val="center"/>
          </w:tcPr>
          <w:p w14:paraId="3DF53716">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7%</w:t>
            </w:r>
          </w:p>
        </w:tc>
        <w:tc>
          <w:tcPr>
            <w:tcW w:w="1151" w:type="dxa"/>
            <w:tcBorders>
              <w:top w:val="single" w:color="000000" w:sz="4" w:space="0"/>
              <w:left w:val="single" w:color="000000" w:sz="4" w:space="0"/>
              <w:bottom w:val="single" w:color="000000" w:sz="4" w:space="0"/>
              <w:right w:val="single" w:color="000000" w:sz="4" w:space="0"/>
            </w:tcBorders>
            <w:vAlign w:val="center"/>
          </w:tcPr>
          <w:p w14:paraId="034F154C">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7%</w:t>
            </w:r>
          </w:p>
        </w:tc>
        <w:tc>
          <w:tcPr>
            <w:tcW w:w="1150" w:type="dxa"/>
            <w:tcBorders>
              <w:top w:val="single" w:color="000000" w:sz="4" w:space="0"/>
              <w:left w:val="single" w:color="000000" w:sz="4" w:space="0"/>
              <w:bottom w:val="single" w:color="000000" w:sz="4" w:space="0"/>
              <w:right w:val="single" w:color="000000" w:sz="4" w:space="0"/>
            </w:tcBorders>
            <w:vAlign w:val="center"/>
          </w:tcPr>
          <w:p w14:paraId="0BF0B0F8">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7%</w:t>
            </w:r>
          </w:p>
        </w:tc>
      </w:tr>
      <w:tr w14:paraId="0765F32E">
        <w:tblPrEx>
          <w:tblCellMar>
            <w:top w:w="0" w:type="dxa"/>
            <w:left w:w="15" w:type="dxa"/>
            <w:bottom w:w="0" w:type="dxa"/>
            <w:right w:w="15" w:type="dxa"/>
          </w:tblCellMar>
        </w:tblPrEx>
        <w:trPr>
          <w:trHeight w:val="369" w:hRule="atLeast"/>
        </w:trPr>
        <w:tc>
          <w:tcPr>
            <w:tcW w:w="1037" w:type="dxa"/>
            <w:tcBorders>
              <w:top w:val="single" w:color="000000" w:sz="4" w:space="0"/>
              <w:left w:val="single" w:color="000000" w:sz="4" w:space="0"/>
              <w:bottom w:val="single" w:color="000000" w:sz="4" w:space="0"/>
              <w:right w:val="single" w:color="000000" w:sz="4" w:space="0"/>
            </w:tcBorders>
            <w:vAlign w:val="center"/>
          </w:tcPr>
          <w:p w14:paraId="48061F87">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税金</w:t>
            </w:r>
          </w:p>
        </w:tc>
        <w:tc>
          <w:tcPr>
            <w:tcW w:w="1216" w:type="dxa"/>
            <w:tcBorders>
              <w:top w:val="single" w:color="000000" w:sz="4" w:space="0"/>
              <w:left w:val="single" w:color="000000" w:sz="4" w:space="0"/>
              <w:bottom w:val="single" w:color="000000" w:sz="4" w:space="0"/>
              <w:right w:val="single" w:color="000000" w:sz="4" w:space="0"/>
            </w:tcBorders>
            <w:vAlign w:val="center"/>
          </w:tcPr>
          <w:p w14:paraId="2DF45D17">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9%</w:t>
            </w:r>
          </w:p>
        </w:tc>
        <w:tc>
          <w:tcPr>
            <w:tcW w:w="1041" w:type="dxa"/>
            <w:tcBorders>
              <w:top w:val="single" w:color="000000" w:sz="4" w:space="0"/>
              <w:left w:val="single" w:color="000000" w:sz="4" w:space="0"/>
              <w:bottom w:val="single" w:color="000000" w:sz="4" w:space="0"/>
              <w:right w:val="single" w:color="000000" w:sz="4" w:space="0"/>
            </w:tcBorders>
            <w:vAlign w:val="center"/>
          </w:tcPr>
          <w:p w14:paraId="12A411D3">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9%</w:t>
            </w:r>
          </w:p>
        </w:tc>
        <w:tc>
          <w:tcPr>
            <w:tcW w:w="1249" w:type="dxa"/>
            <w:tcBorders>
              <w:top w:val="single" w:color="000000" w:sz="4" w:space="0"/>
              <w:left w:val="single" w:color="000000" w:sz="4" w:space="0"/>
              <w:bottom w:val="single" w:color="000000" w:sz="4" w:space="0"/>
              <w:right w:val="single" w:color="000000" w:sz="4" w:space="0"/>
            </w:tcBorders>
            <w:vAlign w:val="center"/>
          </w:tcPr>
          <w:p w14:paraId="3B4C96A8">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9%</w:t>
            </w:r>
          </w:p>
        </w:tc>
        <w:tc>
          <w:tcPr>
            <w:tcW w:w="1129" w:type="dxa"/>
            <w:tcBorders>
              <w:top w:val="single" w:color="000000" w:sz="4" w:space="0"/>
              <w:left w:val="single" w:color="000000" w:sz="4" w:space="0"/>
              <w:bottom w:val="single" w:color="000000" w:sz="4" w:space="0"/>
              <w:right w:val="single" w:color="000000" w:sz="4" w:space="0"/>
            </w:tcBorders>
            <w:vAlign w:val="center"/>
          </w:tcPr>
          <w:p w14:paraId="043C7E0E">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9%</w:t>
            </w:r>
          </w:p>
        </w:tc>
        <w:tc>
          <w:tcPr>
            <w:tcW w:w="1007" w:type="dxa"/>
            <w:tcBorders>
              <w:top w:val="single" w:color="000000" w:sz="4" w:space="0"/>
              <w:left w:val="single" w:color="000000" w:sz="4" w:space="0"/>
              <w:bottom w:val="single" w:color="000000" w:sz="4" w:space="0"/>
              <w:right w:val="single" w:color="000000" w:sz="4" w:space="0"/>
            </w:tcBorders>
            <w:vAlign w:val="center"/>
          </w:tcPr>
          <w:p w14:paraId="1FBC9C74">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9%</w:t>
            </w:r>
          </w:p>
        </w:tc>
        <w:tc>
          <w:tcPr>
            <w:tcW w:w="1151" w:type="dxa"/>
            <w:tcBorders>
              <w:top w:val="single" w:color="000000" w:sz="4" w:space="0"/>
              <w:left w:val="single" w:color="000000" w:sz="4" w:space="0"/>
              <w:bottom w:val="single" w:color="000000" w:sz="4" w:space="0"/>
              <w:right w:val="single" w:color="000000" w:sz="4" w:space="0"/>
            </w:tcBorders>
            <w:vAlign w:val="center"/>
          </w:tcPr>
          <w:p w14:paraId="21CADEEA">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9%</w:t>
            </w:r>
          </w:p>
        </w:tc>
        <w:tc>
          <w:tcPr>
            <w:tcW w:w="1150" w:type="dxa"/>
            <w:tcBorders>
              <w:top w:val="single" w:color="000000" w:sz="4" w:space="0"/>
              <w:left w:val="single" w:color="000000" w:sz="4" w:space="0"/>
              <w:bottom w:val="single" w:color="000000" w:sz="4" w:space="0"/>
              <w:right w:val="single" w:color="000000" w:sz="4" w:space="0"/>
            </w:tcBorders>
            <w:vAlign w:val="center"/>
          </w:tcPr>
          <w:p w14:paraId="7ED68980">
            <w:pPr>
              <w:widowControl w:val="0"/>
              <w:kinsoku/>
              <w:autoSpaceDE/>
              <w:adjustRightInd/>
              <w:snapToGrid/>
              <w:jc w:val="center"/>
              <w:textAlignment w:val="center"/>
              <w:rPr>
                <w:rFonts w:hint="default" w:ascii="Times New Roman" w:hAnsi="Times New Roman" w:eastAsia="宋体" w:cs="Times New Roman"/>
                <w:smallCaps w:val="0"/>
                <w:snapToGrid/>
                <w:color w:val="auto"/>
                <w:spacing w:val="0"/>
                <w:w w:val="100"/>
                <w:kern w:val="2"/>
                <w:sz w:val="24"/>
                <w:szCs w:val="24"/>
                <w:highlight w:val="none"/>
                <w:lang w:eastAsia="zh-CN"/>
              </w:rPr>
            </w:pPr>
            <w:r>
              <w:rPr>
                <w:rFonts w:hint="default" w:ascii="Times New Roman" w:hAnsi="Times New Roman" w:eastAsia="宋体" w:cs="Times New Roman"/>
                <w:smallCaps w:val="0"/>
                <w:snapToGrid/>
                <w:color w:val="auto"/>
                <w:spacing w:val="0"/>
                <w:w w:val="100"/>
                <w:kern w:val="2"/>
                <w:sz w:val="24"/>
                <w:szCs w:val="24"/>
                <w:highlight w:val="none"/>
                <w:lang w:eastAsia="zh-CN"/>
              </w:rPr>
              <w:t>9%</w:t>
            </w:r>
          </w:p>
        </w:tc>
      </w:tr>
    </w:tbl>
    <w:p w14:paraId="130734F5">
      <w:pPr>
        <w:kinsoku/>
        <w:spacing w:before="266" w:line="371" w:lineRule="auto"/>
        <w:ind w:right="182" w:firstLine="567"/>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安全生产措施费，按照水利部〔2023〕38号文件颁布《水利部办公厅关于调整水利工程计价依据安全生产措施费计算标准的通知》取2.5%；</w:t>
      </w:r>
    </w:p>
    <w:p w14:paraId="55B7BC07">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3.临时工程</w:t>
      </w:r>
    </w:p>
    <w:p w14:paraId="5F1DD4D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其他临时工程</w:t>
      </w:r>
      <w:r>
        <w:rPr>
          <w:rFonts w:hint="default" w:ascii="Times New Roman" w:hAnsi="Times New Roman" w:eastAsia="宋体" w:cs="Times New Roman"/>
          <w:smallCaps w:val="0"/>
          <w:color w:val="auto"/>
          <w:spacing w:val="0"/>
          <w:w w:val="100"/>
          <w:sz w:val="30"/>
          <w:szCs w:val="30"/>
          <w:highlight w:val="none"/>
          <w:lang w:eastAsia="zh-CN"/>
        </w:rPr>
        <w:t>：按建安工程费的</w:t>
      </w:r>
      <w:r>
        <w:rPr>
          <w:rFonts w:hint="default" w:ascii="Times New Roman" w:hAnsi="Times New Roman" w:eastAsia="宋体" w:cs="Times New Roman"/>
          <w:smallCaps w:val="0"/>
          <w:color w:val="auto"/>
          <w:spacing w:val="0"/>
          <w:w w:val="100"/>
          <w:sz w:val="30"/>
          <w:szCs w:val="30"/>
          <w:highlight w:val="none"/>
          <w:lang w:val="en-US" w:eastAsia="zh-CN"/>
        </w:rPr>
        <w:t>1</w:t>
      </w:r>
      <w:r>
        <w:rPr>
          <w:rFonts w:hint="default" w:ascii="Times New Roman" w:hAnsi="Times New Roman" w:eastAsia="宋体" w:cs="Times New Roman"/>
          <w:smallCaps w:val="0"/>
          <w:color w:val="auto"/>
          <w:spacing w:val="0"/>
          <w:w w:val="100"/>
          <w:sz w:val="30"/>
          <w:szCs w:val="30"/>
          <w:highlight w:val="none"/>
          <w:lang w:eastAsia="zh-CN"/>
        </w:rPr>
        <w:t>%计算。</w:t>
      </w:r>
    </w:p>
    <w:p w14:paraId="0FE8F68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4.独立费</w:t>
      </w:r>
    </w:p>
    <w:p w14:paraId="7746200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bookmarkStart w:id="290" w:name="bookmark70"/>
      <w:bookmarkEnd w:id="290"/>
      <w:r>
        <w:rPr>
          <w:rFonts w:hint="default" w:ascii="Times New Roman" w:hAnsi="Times New Roman" w:eastAsia="宋体" w:cs="Times New Roman"/>
          <w:smallCaps w:val="0"/>
          <w:color w:val="auto"/>
          <w:spacing w:val="0"/>
          <w:w w:val="100"/>
          <w:sz w:val="30"/>
          <w:szCs w:val="30"/>
          <w:highlight w:val="none"/>
          <w:lang w:eastAsia="zh-CN"/>
        </w:rPr>
        <w:t>（1）项目管理费</w:t>
      </w:r>
    </w:p>
    <w:p w14:paraId="3B3FB23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项目管理费由县级农业农村部门按财政投入资金（包括中、 省、市、县财政总和）的一定比例提取使用，1500万元以下的按不高于 3%提取；超过1500万元的，其超过部分按不高于1%提取。</w:t>
      </w:r>
    </w:p>
    <w:p w14:paraId="15A43F2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（2）工程建设监理费</w:t>
      </w:r>
    </w:p>
    <w:p w14:paraId="59174881">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1）施工监理服务收费=施工监理服务收费基准价×（1±浮动 幅度值）；</w:t>
      </w:r>
    </w:p>
    <w:p w14:paraId="6D456370">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2）施工监理服务收费基准价=施工监理服务收费基准价×专 业调整系数×工程复杂程度调整系数×高程调整系数。</w:t>
      </w:r>
    </w:p>
    <w:p w14:paraId="1A04B31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（3）勘测设计费</w:t>
      </w:r>
    </w:p>
    <w:p w14:paraId="4156D59D">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1）工程勘察收费=工程勘察收费基准价×（1±浮动幅度值）；</w:t>
      </w:r>
    </w:p>
    <w:p w14:paraId="3B4DCF96">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2）工程勘察收费基准价=工程勘察实物工作收费+工程勘察技术工作收费；</w:t>
      </w:r>
    </w:p>
    <w:p w14:paraId="3321886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3）工程勘察实物工作收费=工程勘察实物工作收费基价×实 物工作量×附加调整系数；</w:t>
      </w:r>
    </w:p>
    <w:p w14:paraId="2879D7BE">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4）工程勘察技术工作收费=工程勘察实物工作收费×技术工 作收费比例；</w:t>
      </w:r>
    </w:p>
    <w:p w14:paraId="65565A14">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5）工程设计收费=工程设计收费基准价×（1±浮动幅度值）；</w:t>
      </w:r>
    </w:p>
    <w:p w14:paraId="3CCAAB1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6）工程设计收费基准价=基本设计收费+其他设计收费</w:t>
      </w:r>
    </w:p>
    <w:p w14:paraId="4612C542">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7）基本设计收费=工程设计收费基准价×专业调整系数×工 程复杂程度调整系数×附加调整系数。</w:t>
      </w:r>
    </w:p>
    <w:p w14:paraId="59265363">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最终以合同价为准。</w:t>
      </w:r>
    </w:p>
    <w:p w14:paraId="73090069">
      <w:pPr>
        <w:kinsoku/>
        <w:spacing w:line="560" w:lineRule="exact"/>
        <w:ind w:left="41" w:right="105" w:firstLine="601"/>
        <w:rPr>
          <w:rFonts w:hint="default" w:ascii="Times New Roman" w:hAnsi="Times New Roman" w:eastAsia="宋体" w:cs="Times New Roman"/>
          <w:smallCaps w:val="0"/>
          <w:color w:val="auto"/>
          <w:spacing w:val="0"/>
          <w:w w:val="100"/>
          <w:sz w:val="30"/>
          <w:szCs w:val="30"/>
          <w:highlight w:val="none"/>
          <w:lang w:eastAsia="zh-CN"/>
        </w:rPr>
      </w:pPr>
      <w:r>
        <w:rPr>
          <w:rFonts w:hint="eastAsia"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val="en-US" w:eastAsia="zh-CN"/>
        </w:rPr>
        <w:t>4</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val="en-GB" w:eastAsia="zh-CN"/>
        </w:rPr>
        <w:t>经济技术咨询费</w:t>
      </w:r>
      <w:r>
        <w:rPr>
          <w:rFonts w:hint="eastAsia" w:ascii="Times New Roman" w:hAnsi="Times New Roman" w:eastAsia="宋体" w:cs="Times New Roman"/>
          <w:smallCaps w:val="0"/>
          <w:color w:val="auto"/>
          <w:spacing w:val="0"/>
          <w:w w:val="100"/>
          <w:sz w:val="30"/>
          <w:szCs w:val="30"/>
          <w:highlight w:val="none"/>
          <w:lang w:val="en-US" w:eastAsia="zh-CN"/>
        </w:rPr>
        <w:t>按建安费的1%记取。</w:t>
      </w:r>
    </w:p>
    <w:p w14:paraId="7E217A65">
      <w:pPr>
        <w:kinsoku/>
        <w:spacing w:before="224" w:line="220" w:lineRule="auto"/>
        <w:ind w:left="39" w:leftChars="0"/>
        <w:outlineLvl w:val="1"/>
        <w:rPr>
          <w:rFonts w:hint="default" w:ascii="Times New Roman" w:hAnsi="Times New Roman" w:eastAsia="宋体" w:cs="Times New Roman"/>
          <w:b/>
          <w:bCs/>
          <w:smallCaps w:val="0"/>
          <w:color w:val="auto"/>
          <w:spacing w:val="0"/>
          <w:w w:val="100"/>
          <w:sz w:val="30"/>
          <w:szCs w:val="30"/>
          <w:highlight w:val="none"/>
          <w:lang w:eastAsia="zh-CN"/>
        </w:rPr>
      </w:pPr>
      <w:bookmarkStart w:id="291" w:name="_Toc31508"/>
      <w:bookmarkStart w:id="292" w:name="_Toc16392"/>
      <w:r>
        <w:rPr>
          <w:rFonts w:hint="default" w:ascii="Times New Roman" w:hAnsi="Times New Roman" w:eastAsia="宋体" w:cs="Times New Roman"/>
          <w:b/>
          <w:bCs/>
          <w:smallCaps w:val="0"/>
          <w:color w:val="auto"/>
          <w:spacing w:val="0"/>
          <w:w w:val="100"/>
          <w:sz w:val="30"/>
          <w:szCs w:val="30"/>
          <w:highlight w:val="none"/>
          <w:lang w:eastAsia="zh-CN"/>
        </w:rPr>
        <w:t>8.2 设计概算及相关表格</w:t>
      </w:r>
      <w:bookmarkEnd w:id="291"/>
      <w:bookmarkEnd w:id="292"/>
    </w:p>
    <w:p w14:paraId="5355CB88">
      <w:pPr>
        <w:kinsoku/>
        <w:spacing w:line="560" w:lineRule="exact"/>
        <w:ind w:left="663" w:right="535" w:hanging="22"/>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 xml:space="preserve">本工程预算书表格包括以下内容，详见工程预算书单册。 </w:t>
      </w:r>
    </w:p>
    <w:p w14:paraId="6DA50131">
      <w:pPr>
        <w:kinsoku/>
        <w:spacing w:line="560" w:lineRule="exact"/>
        <w:ind w:left="39" w:leftChars="0"/>
        <w:outlineLvl w:val="1"/>
        <w:rPr>
          <w:rFonts w:hint="default" w:ascii="Times New Roman" w:hAnsi="Times New Roman" w:eastAsia="宋体" w:cs="Times New Roman"/>
          <w:smallCaps w:val="0"/>
          <w:color w:val="auto"/>
          <w:spacing w:val="0"/>
          <w:w w:val="100"/>
          <w:sz w:val="30"/>
          <w:szCs w:val="30"/>
          <w:highlight w:val="none"/>
          <w:lang w:eastAsia="zh-CN"/>
        </w:rPr>
      </w:pPr>
      <w:bookmarkStart w:id="293" w:name="bookmark38"/>
      <w:bookmarkEnd w:id="293"/>
      <w:bookmarkStart w:id="294" w:name="_Toc31269"/>
      <w:bookmarkStart w:id="295" w:name="_Toc13669"/>
      <w:r>
        <w:rPr>
          <w:rFonts w:hint="default" w:ascii="Times New Roman" w:hAnsi="Times New Roman" w:eastAsia="宋体" w:cs="Times New Roman"/>
          <w:b/>
          <w:bCs/>
          <w:smallCaps w:val="0"/>
          <w:color w:val="auto"/>
          <w:spacing w:val="0"/>
          <w:w w:val="100"/>
          <w:sz w:val="30"/>
          <w:szCs w:val="30"/>
          <w:highlight w:val="none"/>
          <w:lang w:eastAsia="zh-CN"/>
        </w:rPr>
        <w:t>8.3 资金筹措方案</w:t>
      </w:r>
      <w:bookmarkEnd w:id="294"/>
      <w:bookmarkEnd w:id="295"/>
    </w:p>
    <w:p w14:paraId="6E2B9FA5">
      <w:pPr>
        <w:kinsoku/>
        <w:spacing w:line="560" w:lineRule="exact"/>
        <w:ind w:left="648" w:leftChars="0"/>
        <w:outlineLvl w:val="2"/>
        <w:rPr>
          <w:rFonts w:hint="default" w:ascii="Times New Roman" w:hAnsi="Times New Roman" w:eastAsia="宋体" w:cs="Times New Roman"/>
          <w:smallCaps w:val="0"/>
          <w:color w:val="auto"/>
          <w:spacing w:val="0"/>
          <w:w w:val="100"/>
          <w:sz w:val="30"/>
          <w:szCs w:val="30"/>
          <w:highlight w:val="none"/>
          <w:lang w:eastAsia="zh-CN"/>
        </w:rPr>
      </w:pPr>
      <w:bookmarkStart w:id="296" w:name="_Toc20802"/>
      <w:r>
        <w:rPr>
          <w:rFonts w:hint="default" w:ascii="Times New Roman" w:hAnsi="Times New Roman" w:eastAsia="宋体" w:cs="Times New Roman"/>
          <w:b/>
          <w:bCs/>
          <w:smallCaps w:val="0"/>
          <w:color w:val="auto"/>
          <w:spacing w:val="0"/>
          <w:w w:val="100"/>
          <w:sz w:val="30"/>
          <w:szCs w:val="30"/>
          <w:highlight w:val="none"/>
          <w:lang w:eastAsia="zh-CN"/>
        </w:rPr>
        <w:t>8.3</w:t>
      </w:r>
      <w:r>
        <w:rPr>
          <w:rFonts w:hint="default" w:ascii="Times New Roman" w:hAnsi="Times New Roman" w:eastAsia="宋体" w:cs="Times New Roman"/>
          <w:b/>
          <w:bCs/>
          <w:smallCaps w:val="0"/>
          <w:color w:val="auto"/>
          <w:spacing w:val="0"/>
          <w:w w:val="100"/>
          <w:sz w:val="30"/>
          <w:szCs w:val="30"/>
          <w:highlight w:val="none"/>
          <w:lang w:val="en-US" w:eastAsia="zh-CN"/>
        </w:rPr>
        <w:t>.1</w:t>
      </w:r>
      <w:r>
        <w:rPr>
          <w:rFonts w:hint="default" w:ascii="Times New Roman" w:hAnsi="Times New Roman" w:eastAsia="宋体" w:cs="Times New Roman"/>
          <w:b/>
          <w:bCs/>
          <w:smallCaps w:val="0"/>
          <w:color w:val="auto"/>
          <w:spacing w:val="0"/>
          <w:w w:val="100"/>
          <w:sz w:val="30"/>
          <w:szCs w:val="30"/>
          <w:highlight w:val="none"/>
          <w:lang w:eastAsia="zh-CN"/>
        </w:rPr>
        <w:t xml:space="preserve"> </w:t>
      </w:r>
      <w:r>
        <w:rPr>
          <w:rFonts w:hint="default" w:ascii="Times New Roman" w:hAnsi="Times New Roman" w:eastAsia="宋体" w:cs="Times New Roman"/>
          <w:smallCaps w:val="0"/>
          <w:color w:val="auto"/>
          <w:spacing w:val="0"/>
          <w:w w:val="100"/>
          <w:sz w:val="30"/>
          <w:szCs w:val="30"/>
          <w:highlight w:val="none"/>
          <w:lang w:eastAsia="zh-CN"/>
        </w:rPr>
        <w:t>投资及构成</w:t>
      </w:r>
      <w:bookmarkEnd w:id="296"/>
    </w:p>
    <w:p w14:paraId="2F8E095E">
      <w:pPr>
        <w:kinsoku/>
        <w:spacing w:line="560" w:lineRule="exact"/>
        <w:ind w:left="41" w:right="105" w:firstLine="601"/>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项目总投资3500万元，其中：中央、省级财政资金2900万元（中央2400/亩、省级500元/亩）、州级财政资金100万元（100元/亩），县级配套资金计划投资500万元。</w:t>
      </w:r>
    </w:p>
    <w:p w14:paraId="7445C1A5">
      <w:pPr>
        <w:kinsoku/>
        <w:spacing w:line="560" w:lineRule="exact"/>
        <w:ind w:left="648" w:leftChars="0"/>
        <w:outlineLvl w:val="2"/>
        <w:rPr>
          <w:rFonts w:hint="default" w:ascii="Times New Roman" w:hAnsi="Times New Roman" w:eastAsia="宋体" w:cs="Times New Roman"/>
          <w:smallCaps w:val="0"/>
          <w:color w:val="auto"/>
          <w:spacing w:val="0"/>
          <w:w w:val="100"/>
          <w:sz w:val="30"/>
          <w:szCs w:val="30"/>
          <w:highlight w:val="none"/>
          <w:lang w:eastAsia="zh-CN"/>
        </w:rPr>
      </w:pPr>
      <w:bookmarkStart w:id="297" w:name="bookmark71"/>
      <w:bookmarkEnd w:id="297"/>
      <w:bookmarkStart w:id="298" w:name="_Toc11822"/>
      <w:r>
        <w:rPr>
          <w:rFonts w:hint="default" w:ascii="Times New Roman" w:hAnsi="Times New Roman" w:eastAsia="宋体" w:cs="Times New Roman"/>
          <w:b/>
          <w:bCs/>
          <w:smallCaps w:val="0"/>
          <w:color w:val="auto"/>
          <w:spacing w:val="0"/>
          <w:w w:val="100"/>
          <w:sz w:val="30"/>
          <w:szCs w:val="30"/>
          <w:highlight w:val="none"/>
          <w:lang w:eastAsia="zh-CN"/>
        </w:rPr>
        <w:t>8.3</w:t>
      </w:r>
      <w:r>
        <w:rPr>
          <w:rFonts w:hint="default" w:ascii="Times New Roman" w:hAnsi="Times New Roman" w:eastAsia="宋体" w:cs="Times New Roman"/>
          <w:b/>
          <w:bCs/>
          <w:smallCaps w:val="0"/>
          <w:color w:val="auto"/>
          <w:spacing w:val="0"/>
          <w:w w:val="100"/>
          <w:sz w:val="30"/>
          <w:szCs w:val="30"/>
          <w:highlight w:val="none"/>
          <w:lang w:val="en-US" w:eastAsia="zh-CN"/>
        </w:rPr>
        <w:t>.2</w:t>
      </w:r>
      <w:r>
        <w:rPr>
          <w:rFonts w:hint="default" w:ascii="Times New Roman" w:hAnsi="Times New Roman" w:eastAsia="宋体" w:cs="Times New Roman"/>
          <w:b/>
          <w:bCs/>
          <w:smallCaps w:val="0"/>
          <w:color w:val="auto"/>
          <w:spacing w:val="0"/>
          <w:w w:val="100"/>
          <w:sz w:val="30"/>
          <w:szCs w:val="30"/>
          <w:highlight w:val="none"/>
          <w:lang w:eastAsia="zh-CN"/>
        </w:rPr>
        <w:t xml:space="preserve"> </w:t>
      </w:r>
      <w:r>
        <w:rPr>
          <w:rFonts w:hint="default" w:ascii="Times New Roman" w:hAnsi="Times New Roman" w:eastAsia="宋体" w:cs="Times New Roman"/>
          <w:smallCaps w:val="0"/>
          <w:color w:val="auto"/>
          <w:spacing w:val="0"/>
          <w:w w:val="100"/>
          <w:sz w:val="30"/>
          <w:szCs w:val="30"/>
          <w:highlight w:val="none"/>
          <w:lang w:eastAsia="zh-CN"/>
        </w:rPr>
        <w:t>资金安排与使用计划</w:t>
      </w:r>
      <w:bookmarkEnd w:id="298"/>
    </w:p>
    <w:p w14:paraId="4CFC6402">
      <w:pPr>
        <w:keepNext w:val="0"/>
        <w:keepLines w:val="0"/>
        <w:widowControl/>
        <w:suppressLineNumbers w:val="0"/>
        <w:kinsoku w:val="0"/>
        <w:autoSpaceDE w:val="0"/>
        <w:autoSpaceDN w:val="0"/>
        <w:adjustRightInd w:val="0"/>
        <w:snapToGrid w:val="0"/>
        <w:spacing w:before="265" w:beforeAutospacing="0" w:after="0" w:afterAutospacing="0" w:line="374" w:lineRule="auto"/>
        <w:ind w:left="41" w:right="84" w:firstLine="626"/>
        <w:jc w:val="both"/>
        <w:textAlignment w:val="baseline"/>
        <w:rPr>
          <w:rFonts w:hint="default" w:ascii="Times New Roman" w:hAnsi="Times New Roman" w:eastAsia="宋体" w:cs="Times New Roman"/>
          <w:color w:val="auto"/>
          <w:spacing w:val="0"/>
          <w:w w:val="100"/>
          <w:sz w:val="30"/>
          <w:szCs w:val="30"/>
          <w:highlight w:val="none"/>
        </w:rPr>
      </w:pPr>
      <w:bookmarkStart w:id="299" w:name="_Toc7023"/>
      <w:bookmarkStart w:id="300" w:name="_Toc178518674"/>
      <w:r>
        <w:rPr>
          <w:rFonts w:hint="eastAsia" w:ascii="宋体" w:hAnsi="宋体" w:eastAsia="宋体" w:cs="宋体"/>
          <w:snapToGrid w:val="0"/>
          <w:color w:val="auto"/>
          <w:spacing w:val="0"/>
          <w:w w:val="100"/>
          <w:kern w:val="0"/>
          <w:sz w:val="30"/>
          <w:szCs w:val="30"/>
          <w:highlight w:val="none"/>
          <w:lang w:val="en-US" w:eastAsia="zh-CN" w:bidi="ar"/>
        </w:rPr>
        <w:t>高标准农田建设专项资金投资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3500</w:t>
      </w:r>
      <w:r>
        <w:rPr>
          <w:rFonts w:hint="eastAsia" w:ascii="宋体" w:hAnsi="宋体" w:eastAsia="宋体" w:cs="宋体"/>
          <w:snapToGrid w:val="0"/>
          <w:color w:val="auto"/>
          <w:spacing w:val="0"/>
          <w:w w:val="100"/>
          <w:kern w:val="0"/>
          <w:sz w:val="30"/>
          <w:szCs w:val="30"/>
          <w:highlight w:val="none"/>
          <w:lang w:val="en-US" w:eastAsia="zh-CN" w:bidi="ar"/>
        </w:rPr>
        <w:t>万元。具体为：第一部分建筑工程投资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3061.40</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87.49%</w:t>
      </w:r>
      <w:r>
        <w:rPr>
          <w:rFonts w:hint="eastAsia" w:ascii="宋体" w:hAnsi="宋体" w:eastAsia="宋体" w:cs="宋体"/>
          <w:snapToGrid w:val="0"/>
          <w:color w:val="auto"/>
          <w:spacing w:val="0"/>
          <w:w w:val="100"/>
          <w:kern w:val="0"/>
          <w:sz w:val="30"/>
          <w:szCs w:val="30"/>
          <w:highlight w:val="none"/>
          <w:lang w:val="en-US" w:eastAsia="zh-CN" w:bidi="ar"/>
        </w:rPr>
        <w:t>（其中：田（地）块整治工程投资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533.5</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15.23%</w:t>
      </w:r>
      <w:r>
        <w:rPr>
          <w:rFonts w:hint="eastAsia" w:ascii="宋体" w:hAnsi="宋体" w:eastAsia="宋体" w:cs="宋体"/>
          <w:snapToGrid w:val="0"/>
          <w:color w:val="auto"/>
          <w:spacing w:val="0"/>
          <w:w w:val="100"/>
          <w:kern w:val="0"/>
          <w:sz w:val="30"/>
          <w:szCs w:val="30"/>
          <w:highlight w:val="none"/>
          <w:lang w:val="en-US" w:eastAsia="zh-CN" w:bidi="ar"/>
        </w:rPr>
        <w:t>；土壤改良工程投资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503.38</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14.38%</w:t>
      </w:r>
      <w:r>
        <w:rPr>
          <w:rFonts w:hint="eastAsia" w:ascii="宋体" w:hAnsi="宋体" w:eastAsia="宋体" w:cs="宋体"/>
          <w:snapToGrid w:val="0"/>
          <w:color w:val="auto"/>
          <w:spacing w:val="0"/>
          <w:w w:val="100"/>
          <w:kern w:val="0"/>
          <w:sz w:val="30"/>
          <w:szCs w:val="30"/>
          <w:highlight w:val="none"/>
          <w:lang w:val="en-US" w:eastAsia="zh-CN" w:bidi="ar"/>
        </w:rPr>
        <w:t>；灌溉与排水工程投资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1345.74</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38.45%</w:t>
      </w:r>
      <w:r>
        <w:rPr>
          <w:rFonts w:hint="eastAsia" w:ascii="宋体" w:hAnsi="宋体" w:eastAsia="宋体" w:cs="宋体"/>
          <w:snapToGrid w:val="0"/>
          <w:color w:val="auto"/>
          <w:spacing w:val="0"/>
          <w:w w:val="100"/>
          <w:kern w:val="0"/>
          <w:sz w:val="30"/>
          <w:szCs w:val="30"/>
          <w:highlight w:val="none"/>
          <w:lang w:val="en-US" w:eastAsia="zh-CN" w:bidi="ar"/>
        </w:rPr>
        <w:t>；田间道路工程投资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328.85</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9.40%</w:t>
      </w:r>
      <w:r>
        <w:rPr>
          <w:rFonts w:hint="eastAsia" w:ascii="宋体" w:hAnsi="宋体" w:eastAsia="宋体" w:cs="宋体"/>
          <w:snapToGrid w:val="0"/>
          <w:color w:val="auto"/>
          <w:spacing w:val="0"/>
          <w:w w:val="100"/>
          <w:kern w:val="0"/>
          <w:sz w:val="30"/>
          <w:szCs w:val="30"/>
          <w:highlight w:val="none"/>
          <w:lang w:val="en-US" w:eastAsia="zh-CN" w:bidi="ar"/>
        </w:rPr>
        <w:t>；农田防护与生态保护工程投资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350.38</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10.01%</w:t>
      </w:r>
      <w:r>
        <w:rPr>
          <w:rFonts w:hint="eastAsia" w:ascii="宋体" w:hAnsi="宋体" w:eastAsia="宋体" w:cs="宋体"/>
          <w:snapToGrid w:val="0"/>
          <w:color w:val="auto"/>
          <w:spacing w:val="0"/>
          <w:w w:val="100"/>
          <w:kern w:val="0"/>
          <w:sz w:val="30"/>
          <w:szCs w:val="30"/>
          <w:highlight w:val="none"/>
          <w:lang w:val="en-US" w:eastAsia="zh-CN" w:bidi="ar"/>
        </w:rPr>
        <w:t>）；第四部分施工临时工程投资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19.06</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0.54%</w:t>
      </w:r>
      <w:r>
        <w:rPr>
          <w:rFonts w:hint="eastAsia" w:ascii="宋体" w:hAnsi="宋体" w:eastAsia="宋体" w:cs="宋体"/>
          <w:snapToGrid w:val="0"/>
          <w:color w:val="auto"/>
          <w:spacing w:val="0"/>
          <w:w w:val="100"/>
          <w:kern w:val="0"/>
          <w:sz w:val="30"/>
          <w:szCs w:val="30"/>
          <w:highlight w:val="none"/>
          <w:lang w:val="en-US" w:eastAsia="zh-CN" w:bidi="ar"/>
        </w:rPr>
        <w:t>；第五部分独立费用投资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252.87</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7.22%</w:t>
      </w:r>
      <w:r>
        <w:rPr>
          <w:rFonts w:hint="eastAsia" w:ascii="宋体" w:hAnsi="宋体" w:eastAsia="宋体" w:cs="宋体"/>
          <w:snapToGrid w:val="0"/>
          <w:color w:val="auto"/>
          <w:spacing w:val="0"/>
          <w:w w:val="100"/>
          <w:kern w:val="0"/>
          <w:sz w:val="30"/>
          <w:szCs w:val="30"/>
          <w:highlight w:val="none"/>
          <w:lang w:val="en-US" w:eastAsia="zh-CN" w:bidi="ar"/>
        </w:rPr>
        <w:t>（建设管理费</w:t>
      </w:r>
      <w:r>
        <w:rPr>
          <w:rFonts w:hint="default" w:ascii="Times New Roman" w:hAnsi="Times New Roman" w:eastAsia="宋体" w:cs="Times New Roman"/>
          <w:snapToGrid w:val="0"/>
          <w:color w:val="auto"/>
          <w:spacing w:val="0"/>
          <w:w w:val="100"/>
          <w:kern w:val="0"/>
          <w:sz w:val="30"/>
          <w:szCs w:val="30"/>
          <w:highlight w:val="none"/>
          <w:lang w:val="en-US" w:eastAsia="zh-CN" w:bidi="ar"/>
        </w:rPr>
        <w:t>73.85</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2.11%</w:t>
      </w:r>
      <w:r>
        <w:rPr>
          <w:rFonts w:hint="eastAsia" w:ascii="宋体" w:hAnsi="宋体" w:eastAsia="宋体" w:cs="宋体"/>
          <w:snapToGrid w:val="0"/>
          <w:color w:val="auto"/>
          <w:spacing w:val="0"/>
          <w:w w:val="100"/>
          <w:kern w:val="0"/>
          <w:sz w:val="30"/>
          <w:szCs w:val="30"/>
          <w:highlight w:val="none"/>
          <w:lang w:val="en-US" w:eastAsia="zh-CN" w:bidi="ar"/>
        </w:rPr>
        <w:t>；经济技术咨询费</w:t>
      </w:r>
      <w:r>
        <w:rPr>
          <w:rFonts w:hint="default" w:ascii="Times New Roman" w:hAnsi="Times New Roman" w:eastAsia="宋体" w:cs="Times New Roman"/>
          <w:snapToGrid w:val="0"/>
          <w:color w:val="auto"/>
          <w:spacing w:val="0"/>
          <w:w w:val="100"/>
          <w:kern w:val="0"/>
          <w:sz w:val="30"/>
          <w:szCs w:val="30"/>
          <w:highlight w:val="none"/>
          <w:lang w:val="en-US" w:eastAsia="zh-CN" w:bidi="ar"/>
        </w:rPr>
        <w:t>30.80</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0.88%</w:t>
      </w:r>
      <w:r>
        <w:rPr>
          <w:rFonts w:hint="eastAsia" w:ascii="宋体" w:hAnsi="宋体" w:eastAsia="宋体" w:cs="宋体"/>
          <w:snapToGrid w:val="0"/>
          <w:color w:val="auto"/>
          <w:spacing w:val="0"/>
          <w:w w:val="100"/>
          <w:kern w:val="0"/>
          <w:sz w:val="30"/>
          <w:szCs w:val="30"/>
          <w:highlight w:val="none"/>
          <w:lang w:val="en-US" w:eastAsia="zh-CN" w:bidi="ar"/>
        </w:rPr>
        <w:t>；工程监理费</w:t>
      </w:r>
      <w:r>
        <w:rPr>
          <w:rFonts w:hint="default" w:ascii="Times New Roman" w:hAnsi="Times New Roman" w:eastAsia="宋体" w:cs="Times New Roman"/>
          <w:snapToGrid w:val="0"/>
          <w:color w:val="auto"/>
          <w:spacing w:val="0"/>
          <w:w w:val="100"/>
          <w:kern w:val="0"/>
          <w:sz w:val="30"/>
          <w:szCs w:val="30"/>
          <w:highlight w:val="none"/>
          <w:lang w:val="en-US" w:eastAsia="zh-CN" w:bidi="ar"/>
        </w:rPr>
        <w:t>54.28</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1.55%</w:t>
      </w:r>
      <w:r>
        <w:rPr>
          <w:rFonts w:hint="eastAsia" w:ascii="宋体" w:hAnsi="宋体" w:eastAsia="宋体" w:cs="宋体"/>
          <w:snapToGrid w:val="0"/>
          <w:color w:val="auto"/>
          <w:spacing w:val="0"/>
          <w:w w:val="100"/>
          <w:kern w:val="0"/>
          <w:sz w:val="30"/>
          <w:szCs w:val="30"/>
          <w:highlight w:val="none"/>
          <w:lang w:val="en-US" w:eastAsia="zh-CN" w:bidi="ar"/>
        </w:rPr>
        <w:t>；工程勘测设计费</w:t>
      </w:r>
      <w:r>
        <w:rPr>
          <w:rFonts w:hint="default" w:ascii="Times New Roman" w:hAnsi="Times New Roman" w:eastAsia="宋体" w:cs="Times New Roman"/>
          <w:snapToGrid w:val="0"/>
          <w:color w:val="auto"/>
          <w:spacing w:val="0"/>
          <w:w w:val="100"/>
          <w:kern w:val="0"/>
          <w:sz w:val="30"/>
          <w:szCs w:val="30"/>
          <w:highlight w:val="none"/>
          <w:lang w:val="en-US" w:eastAsia="zh-CN" w:bidi="ar"/>
        </w:rPr>
        <w:t>70.84</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2.02%</w:t>
      </w:r>
      <w:r>
        <w:rPr>
          <w:rFonts w:hint="eastAsia" w:ascii="宋体" w:hAnsi="宋体" w:eastAsia="宋体" w:cs="宋体"/>
          <w:snapToGrid w:val="0"/>
          <w:color w:val="auto"/>
          <w:spacing w:val="0"/>
          <w:w w:val="100"/>
          <w:kern w:val="0"/>
          <w:sz w:val="30"/>
          <w:szCs w:val="30"/>
          <w:highlight w:val="none"/>
          <w:lang w:val="en-US" w:eastAsia="zh-CN" w:bidi="ar"/>
        </w:rPr>
        <w:t>；其他投资</w:t>
      </w:r>
      <w:r>
        <w:rPr>
          <w:rFonts w:hint="default" w:ascii="Times New Roman" w:hAnsi="Times New Roman" w:eastAsia="宋体" w:cs="Times New Roman"/>
          <w:snapToGrid w:val="0"/>
          <w:color w:val="auto"/>
          <w:spacing w:val="0"/>
          <w:w w:val="100"/>
          <w:kern w:val="0"/>
          <w:sz w:val="30"/>
          <w:szCs w:val="30"/>
          <w:highlight w:val="none"/>
          <w:lang w:val="en-US" w:eastAsia="zh-CN" w:bidi="ar"/>
        </w:rPr>
        <w:t>23.1</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0.66%</w:t>
      </w:r>
      <w:r>
        <w:rPr>
          <w:rFonts w:hint="eastAsia" w:ascii="宋体" w:hAnsi="宋体" w:eastAsia="宋体" w:cs="宋体"/>
          <w:snapToGrid w:val="0"/>
          <w:color w:val="auto"/>
          <w:spacing w:val="0"/>
          <w:w w:val="100"/>
          <w:kern w:val="0"/>
          <w:sz w:val="30"/>
          <w:szCs w:val="30"/>
          <w:highlight w:val="none"/>
          <w:lang w:val="en-US" w:eastAsia="zh-CN" w:bidi="ar"/>
        </w:rPr>
        <w:t>）基本预备费</w:t>
      </w:r>
      <w:r>
        <w:rPr>
          <w:rFonts w:hint="default" w:ascii="Times New Roman" w:hAnsi="Times New Roman" w:eastAsia="宋体" w:cs="Times New Roman"/>
          <w:snapToGrid w:val="0"/>
          <w:color w:val="auto"/>
          <w:spacing w:val="0"/>
          <w:w w:val="100"/>
          <w:kern w:val="0"/>
          <w:sz w:val="30"/>
          <w:szCs w:val="30"/>
          <w:highlight w:val="none"/>
          <w:lang w:val="en-US" w:eastAsia="zh-CN" w:bidi="ar"/>
        </w:rPr>
        <w:t>166.67</w:t>
      </w:r>
      <w:r>
        <w:rPr>
          <w:rFonts w:hint="eastAsia" w:ascii="宋体" w:hAnsi="宋体" w:eastAsia="宋体" w:cs="宋体"/>
          <w:snapToGrid w:val="0"/>
          <w:color w:val="auto"/>
          <w:spacing w:val="0"/>
          <w:w w:val="100"/>
          <w:kern w:val="0"/>
          <w:sz w:val="30"/>
          <w:szCs w:val="30"/>
          <w:highlight w:val="none"/>
          <w:lang w:val="en-US" w:eastAsia="zh-CN" w:bidi="ar"/>
        </w:rPr>
        <w:t>万元，占总投资的</w:t>
      </w:r>
      <w:r>
        <w:rPr>
          <w:rFonts w:hint="default" w:ascii="Times New Roman" w:hAnsi="Times New Roman" w:eastAsia="宋体" w:cs="Times New Roman"/>
          <w:snapToGrid w:val="0"/>
          <w:color w:val="auto"/>
          <w:spacing w:val="0"/>
          <w:w w:val="100"/>
          <w:kern w:val="0"/>
          <w:sz w:val="30"/>
          <w:szCs w:val="30"/>
          <w:highlight w:val="none"/>
          <w:lang w:val="en-US" w:eastAsia="zh-CN" w:bidi="ar"/>
        </w:rPr>
        <w:t>4.76%</w:t>
      </w:r>
      <w:r>
        <w:rPr>
          <w:rFonts w:hint="eastAsia" w:ascii="宋体" w:hAnsi="宋体" w:eastAsia="宋体" w:cs="宋体"/>
          <w:snapToGrid w:val="0"/>
          <w:color w:val="auto"/>
          <w:spacing w:val="0"/>
          <w:w w:val="100"/>
          <w:kern w:val="0"/>
          <w:sz w:val="30"/>
          <w:szCs w:val="30"/>
          <w:highlight w:val="none"/>
          <w:lang w:val="en-US" w:eastAsia="zh-CN" w:bidi="ar"/>
        </w:rPr>
        <w:t>。</w:t>
      </w:r>
    </w:p>
    <w:p w14:paraId="29A46AC2">
      <w:pPr>
        <w:keepNext w:val="0"/>
        <w:keepLines w:val="0"/>
        <w:widowControl/>
        <w:suppressLineNumbers w:val="0"/>
        <w:kinsoku w:val="0"/>
        <w:autoSpaceDE w:val="0"/>
        <w:autoSpaceDN w:val="0"/>
        <w:adjustRightInd w:val="0"/>
        <w:snapToGrid w:val="0"/>
        <w:spacing w:before="265" w:beforeAutospacing="0" w:after="0" w:afterAutospacing="0" w:line="374" w:lineRule="auto"/>
        <w:ind w:left="41" w:right="84" w:firstLine="626"/>
        <w:jc w:val="both"/>
        <w:textAlignment w:val="baseline"/>
        <w:rPr>
          <w:rFonts w:hint="default" w:ascii="Times New Roman" w:hAnsi="Times New Roman" w:eastAsia="宋体" w:cs="Times New Roman"/>
          <w:snapToGrid w:val="0"/>
          <w:color w:val="auto"/>
          <w:spacing w:val="0"/>
          <w:w w:val="100"/>
          <w:kern w:val="0"/>
          <w:sz w:val="30"/>
          <w:szCs w:val="30"/>
          <w:highlight w:val="none"/>
          <w:lang w:val="en-US" w:eastAsia="zh-CN" w:bidi="ar"/>
        </w:rPr>
        <w:sectPr>
          <w:headerReference r:id="rId28" w:type="default"/>
          <w:footerReference r:id="rId29" w:type="default"/>
          <w:type w:val="nextColumn"/>
          <w:pgSz w:w="11900" w:h="16838"/>
          <w:pgMar w:top="1134" w:right="1417" w:bottom="1134" w:left="1417" w:header="862" w:footer="992" w:gutter="0"/>
          <w:pgBorders>
            <w:top w:val="none" w:sz="0" w:space="0"/>
            <w:left w:val="none" w:sz="0" w:space="0"/>
            <w:bottom w:val="none" w:sz="0" w:space="0"/>
            <w:right w:val="none" w:sz="0" w:space="0"/>
          </w:pgBorders>
          <w:pgNumType w:fmt="numberInDash"/>
          <w:cols w:space="0" w:num="1"/>
          <w:rtlGutter w:val="0"/>
          <w:docGrid w:linePitch="0" w:charSpace="0"/>
        </w:sectPr>
      </w:pPr>
    </w:p>
    <w:p w14:paraId="6DC78E49">
      <w:pPr>
        <w:kinsoku/>
        <w:spacing w:before="117" w:line="219" w:lineRule="auto"/>
        <w:ind w:left="2658" w:leftChars="0"/>
        <w:outlineLvl w:val="0"/>
        <w:rPr>
          <w:rFonts w:hint="default" w:ascii="Times New Roman" w:hAnsi="Times New Roman" w:eastAsia="宋体" w:cs="Times New Roman"/>
          <w:smallCaps w:val="0"/>
          <w:color w:val="auto"/>
          <w:spacing w:val="0"/>
          <w:w w:val="100"/>
          <w:sz w:val="36"/>
          <w:szCs w:val="36"/>
          <w:highlight w:val="none"/>
          <w:lang w:eastAsia="zh-CN"/>
        </w:rPr>
      </w:pPr>
      <w:bookmarkStart w:id="301" w:name="_Toc4883"/>
      <w:r>
        <w:rPr>
          <w:rFonts w:hint="default" w:ascii="Times New Roman" w:hAnsi="Times New Roman" w:eastAsia="宋体" w:cs="Times New Roman"/>
          <w:b/>
          <w:bCs/>
          <w:smallCaps w:val="0"/>
          <w:color w:val="auto"/>
          <w:spacing w:val="0"/>
          <w:w w:val="100"/>
          <w:sz w:val="36"/>
          <w:szCs w:val="36"/>
          <w:highlight w:val="none"/>
          <w:lang w:eastAsia="zh-CN"/>
        </w:rPr>
        <w:t>第九章</w:t>
      </w:r>
      <w:r>
        <w:rPr>
          <w:rFonts w:hint="default" w:ascii="Times New Roman" w:hAnsi="Times New Roman" w:eastAsia="宋体" w:cs="Times New Roman"/>
          <w:smallCaps w:val="0"/>
          <w:color w:val="auto"/>
          <w:spacing w:val="0"/>
          <w:w w:val="100"/>
          <w:sz w:val="36"/>
          <w:szCs w:val="36"/>
          <w:highlight w:val="none"/>
          <w:lang w:eastAsia="zh-CN"/>
        </w:rPr>
        <w:t xml:space="preserve"> </w:t>
      </w:r>
      <w:r>
        <w:rPr>
          <w:rFonts w:hint="default" w:ascii="Times New Roman" w:hAnsi="Times New Roman" w:eastAsia="宋体" w:cs="Times New Roman"/>
          <w:b/>
          <w:bCs/>
          <w:smallCaps w:val="0"/>
          <w:color w:val="auto"/>
          <w:spacing w:val="0"/>
          <w:w w:val="100"/>
          <w:sz w:val="36"/>
          <w:szCs w:val="36"/>
          <w:highlight w:val="none"/>
          <w:lang w:eastAsia="zh-CN"/>
        </w:rPr>
        <w:t>改革与管理</w:t>
      </w:r>
      <w:bookmarkEnd w:id="299"/>
      <w:bookmarkEnd w:id="300"/>
      <w:bookmarkEnd w:id="301"/>
    </w:p>
    <w:p w14:paraId="1BAA762A">
      <w:pPr>
        <w:kinsoku/>
        <w:spacing w:before="225" w:line="220" w:lineRule="auto"/>
        <w:ind w:left="38" w:leftChars="0"/>
        <w:outlineLvl w:val="1"/>
        <w:rPr>
          <w:rFonts w:hint="default" w:ascii="Times New Roman" w:hAnsi="Times New Roman" w:eastAsia="宋体" w:cs="Times New Roman"/>
          <w:smallCaps w:val="0"/>
          <w:color w:val="auto"/>
          <w:spacing w:val="0"/>
          <w:w w:val="100"/>
          <w:sz w:val="30"/>
          <w:szCs w:val="30"/>
          <w:highlight w:val="none"/>
          <w:lang w:eastAsia="zh-CN"/>
        </w:rPr>
      </w:pPr>
      <w:bookmarkStart w:id="302" w:name="bookmark40"/>
      <w:bookmarkEnd w:id="302"/>
      <w:bookmarkStart w:id="303" w:name="_Toc178518675"/>
      <w:bookmarkStart w:id="304" w:name="_Toc3231"/>
      <w:bookmarkStart w:id="305" w:name="_Toc2515"/>
      <w:r>
        <w:rPr>
          <w:rFonts w:hint="default" w:ascii="Times New Roman" w:hAnsi="Times New Roman" w:eastAsia="宋体" w:cs="Times New Roman"/>
          <w:b/>
          <w:bCs/>
          <w:smallCaps w:val="0"/>
          <w:color w:val="auto"/>
          <w:spacing w:val="0"/>
          <w:w w:val="100"/>
          <w:sz w:val="30"/>
          <w:szCs w:val="30"/>
          <w:highlight w:val="none"/>
          <w:lang w:eastAsia="zh-CN"/>
        </w:rPr>
        <w:t>9.1 项目融资</w:t>
      </w:r>
      <w:bookmarkEnd w:id="303"/>
      <w:bookmarkEnd w:id="304"/>
      <w:bookmarkEnd w:id="305"/>
    </w:p>
    <w:p w14:paraId="6327A64C">
      <w:pPr>
        <w:kinsoku/>
        <w:spacing w:before="265" w:line="379" w:lineRule="auto"/>
        <w:ind w:left="39" w:firstLine="658"/>
        <w:jc w:val="both"/>
        <w:rPr>
          <w:rFonts w:hint="default" w:ascii="Times New Roman" w:hAnsi="Times New Roman" w:eastAsia="宋体" w:cs="Times New Roman"/>
          <w:smallCaps w:val="0"/>
          <w:color w:val="auto"/>
          <w:spacing w:val="0"/>
          <w:w w:val="100"/>
          <w:sz w:val="30"/>
          <w:szCs w:val="30"/>
          <w:highlight w:val="none"/>
          <w:lang w:eastAsia="zh-CN"/>
        </w:rPr>
      </w:pPr>
      <w:bookmarkStart w:id="306" w:name="bookmark41"/>
      <w:bookmarkEnd w:id="306"/>
      <w:bookmarkStart w:id="307" w:name="_Toc11794"/>
      <w:bookmarkStart w:id="308" w:name="_Toc178518676"/>
      <w:r>
        <w:rPr>
          <w:rFonts w:hint="default" w:ascii="Times New Roman" w:hAnsi="Times New Roman" w:eastAsia="宋体" w:cs="Times New Roman"/>
          <w:smallCaps w:val="0"/>
          <w:color w:val="auto"/>
          <w:spacing w:val="0"/>
          <w:w w:val="100"/>
          <w:sz w:val="30"/>
          <w:szCs w:val="30"/>
          <w:highlight w:val="none"/>
          <w:lang w:eastAsia="zh-CN"/>
        </w:rPr>
        <w:t>本项目主要由中省资金和县级资金（地方配套）投资建设，投融资体制改革和社会资金参与建设管理的机制需要进一步的探索和完善，拟在项目建设工程中进一步完善探索业主或其他社会资金进入的基本流程、预期收益、招商政策、产权归属、利润来源、利润分配等。</w:t>
      </w:r>
    </w:p>
    <w:p w14:paraId="5A6E2E6A">
      <w:pPr>
        <w:kinsoku/>
        <w:spacing w:before="265" w:line="379" w:lineRule="auto"/>
        <w:ind w:left="39" w:firstLine="658"/>
        <w:jc w:val="both"/>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val="en-US" w:eastAsia="zh-CN"/>
        </w:rPr>
        <w:t>按照《四川省农业农村厅 四川省发改委关于在高标准农田建设项目中实施以工代的通知》（川农函 〔2023〕443号）文件要求，应参照当地农民工平均收入水平和以工代赈特点，合理确定劳务报酬标准。在与项目施工中标单位签订合同时，应在充分协商的基础上，将优先吸纳当地务工群众数量，岗位和发放劳务报酬等作为项目合同的约定条款。</w:t>
      </w:r>
    </w:p>
    <w:p w14:paraId="62723F08">
      <w:pPr>
        <w:keepNext w:val="0"/>
        <w:keepLines w:val="0"/>
        <w:pageBreakBefore w:val="0"/>
        <w:widowControl/>
        <w:kinsoku/>
        <w:wordWrap/>
        <w:overflowPunct/>
        <w:topLinePunct w:val="0"/>
        <w:autoSpaceDE w:val="0"/>
        <w:autoSpaceDN w:val="0"/>
        <w:bidi w:val="0"/>
        <w:adjustRightInd w:val="0"/>
        <w:snapToGrid w:val="0"/>
        <w:spacing w:line="560" w:lineRule="exact"/>
        <w:ind w:left="0" w:leftChars="0"/>
        <w:textAlignment w:val="baseline"/>
        <w:outlineLvl w:val="1"/>
        <w:rPr>
          <w:rFonts w:hint="default" w:ascii="Times New Roman" w:hAnsi="Times New Roman" w:eastAsia="宋体" w:cs="Times New Roman"/>
          <w:smallCaps w:val="0"/>
          <w:color w:val="auto"/>
          <w:spacing w:val="0"/>
          <w:w w:val="100"/>
          <w:sz w:val="30"/>
          <w:szCs w:val="30"/>
          <w:highlight w:val="none"/>
          <w:lang w:eastAsia="zh-CN"/>
        </w:rPr>
      </w:pPr>
      <w:bookmarkStart w:id="309" w:name="_Toc11258"/>
      <w:r>
        <w:rPr>
          <w:rFonts w:hint="default" w:ascii="Times New Roman" w:hAnsi="Times New Roman" w:eastAsia="宋体" w:cs="Times New Roman"/>
          <w:b/>
          <w:bCs/>
          <w:smallCaps w:val="0"/>
          <w:color w:val="auto"/>
          <w:spacing w:val="0"/>
          <w:w w:val="100"/>
          <w:sz w:val="30"/>
          <w:szCs w:val="30"/>
          <w:highlight w:val="none"/>
          <w:lang w:eastAsia="zh-CN"/>
        </w:rPr>
        <w:t>9.2 建后管护</w:t>
      </w:r>
      <w:bookmarkEnd w:id="307"/>
      <w:bookmarkEnd w:id="308"/>
      <w:bookmarkEnd w:id="309"/>
    </w:p>
    <w:p w14:paraId="53E8FC55">
      <w:pPr>
        <w:keepNext w:val="0"/>
        <w:keepLines w:val="0"/>
        <w:pageBreakBefore w:val="0"/>
        <w:widowControl/>
        <w:kinsoku/>
        <w:wordWrap/>
        <w:overflowPunct/>
        <w:topLinePunct w:val="0"/>
        <w:autoSpaceDE w:val="0"/>
        <w:autoSpaceDN w:val="0"/>
        <w:bidi w:val="0"/>
        <w:adjustRightInd w:val="0"/>
        <w:snapToGrid w:val="0"/>
        <w:spacing w:line="560" w:lineRule="exact"/>
        <w:ind w:left="0" w:leftChars="0"/>
        <w:textAlignment w:val="baseline"/>
        <w:outlineLvl w:val="2"/>
        <w:rPr>
          <w:rFonts w:hint="default" w:ascii="Times New Roman" w:hAnsi="Times New Roman" w:eastAsia="宋体" w:cs="Times New Roman"/>
          <w:smallCaps w:val="0"/>
          <w:color w:val="auto"/>
          <w:spacing w:val="0"/>
          <w:w w:val="100"/>
          <w:sz w:val="30"/>
          <w:szCs w:val="30"/>
          <w:highlight w:val="none"/>
          <w:lang w:eastAsia="zh-CN"/>
        </w:rPr>
      </w:pPr>
      <w:bookmarkStart w:id="310" w:name="_Toc3649"/>
      <w:r>
        <w:rPr>
          <w:rFonts w:hint="default" w:ascii="Times New Roman" w:hAnsi="Times New Roman" w:eastAsia="宋体" w:cs="Times New Roman"/>
          <w:b/>
          <w:bCs/>
          <w:smallCaps w:val="0"/>
          <w:color w:val="auto"/>
          <w:spacing w:val="0"/>
          <w:w w:val="100"/>
          <w:sz w:val="30"/>
          <w:szCs w:val="30"/>
          <w:highlight w:val="none"/>
          <w:lang w:eastAsia="zh-CN"/>
        </w:rPr>
        <w:t>9.2.1 运行管护及管理体制现状</w:t>
      </w:r>
      <w:bookmarkEnd w:id="310"/>
    </w:p>
    <w:p w14:paraId="73A060E3">
      <w:pPr>
        <w:keepNext w:val="0"/>
        <w:keepLines w:val="0"/>
        <w:pageBreakBefore w:val="0"/>
        <w:widowControl/>
        <w:kinsoku/>
        <w:wordWrap/>
        <w:overflowPunct/>
        <w:topLinePunct w:val="0"/>
        <w:autoSpaceDE w:val="0"/>
        <w:autoSpaceDN w:val="0"/>
        <w:bidi w:val="0"/>
        <w:adjustRightInd w:val="0"/>
        <w:snapToGrid w:val="0"/>
        <w:spacing w:line="560" w:lineRule="exact"/>
        <w:ind w:left="0" w:firstLine="658"/>
        <w:jc w:val="both"/>
        <w:textAlignment w:val="baseline"/>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本项目主要由中省资金和县级资金（地方配套）投资建设，投融资体制改革和社会资金参与建设管理的机制需要进一步的探索和完善，拟在项目建设工程中进一步完善探索业主或其他社会资金进入的基本流程、预期收益、招商政策、产权归属、利润来源、利润分配等。</w:t>
      </w:r>
    </w:p>
    <w:p w14:paraId="2D1546FF">
      <w:pPr>
        <w:kinsoku/>
        <w:spacing w:before="265" w:line="379" w:lineRule="auto"/>
        <w:ind w:left="39" w:firstLine="65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高标准农田是农业、农村重要的公益性基础设施，为巩固高标准农田建设成果，改变</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重建轻管</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现状，加强建后管理和保护，做到建管并重，确保高标准农田工程设施的正常运行，使其持续发挥效益，根据《关于深化农村公共基础设施管护体制改革的指导意见》</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《农田建设项目管理办法》</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《四川省高标准农田建设管理条例》</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《四川省农业农村厅关于进一步加强高标准农田工程设施建后运行管护工作的通知》等规定，我</w:t>
      </w:r>
      <w:r>
        <w:rPr>
          <w:rFonts w:hint="eastAsia" w:ascii="Times New Roman" w:hAnsi="Times New Roman" w:eastAsia="宋体" w:cs="Times New Roman"/>
          <w:smallCaps w:val="0"/>
          <w:color w:val="auto"/>
          <w:spacing w:val="0"/>
          <w:w w:val="100"/>
          <w:sz w:val="30"/>
          <w:szCs w:val="30"/>
          <w:highlight w:val="none"/>
          <w:lang w:val="en-US" w:eastAsia="zh-CN"/>
        </w:rPr>
        <w:t>县</w:t>
      </w:r>
      <w:r>
        <w:rPr>
          <w:rFonts w:hint="default" w:ascii="Times New Roman" w:hAnsi="Times New Roman" w:eastAsia="宋体" w:cs="Times New Roman"/>
          <w:smallCaps w:val="0"/>
          <w:color w:val="auto"/>
          <w:spacing w:val="0"/>
          <w:w w:val="100"/>
          <w:sz w:val="30"/>
          <w:szCs w:val="30"/>
          <w:highlight w:val="none"/>
          <w:lang w:eastAsia="zh-CN"/>
        </w:rPr>
        <w:t>将进一步完善管护机制，落实管护责任。高标准农田严格按照</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谁使用、谁管护</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谁受益、谁负责</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的原则进行工程建后管护。</w:t>
      </w:r>
    </w:p>
    <w:p w14:paraId="3A6F98F9">
      <w:pPr>
        <w:pStyle w:val="4"/>
        <w:rPr>
          <w:rFonts w:hint="default" w:ascii="Times New Roman" w:hAnsi="Times New Roman" w:cs="Times New Roman"/>
          <w:color w:val="auto"/>
          <w:highlight w:val="none"/>
        </w:rPr>
      </w:pPr>
      <w:bookmarkStart w:id="311" w:name="_Toc14693"/>
      <w:r>
        <w:rPr>
          <w:rFonts w:hint="default" w:ascii="Times New Roman" w:hAnsi="Times New Roman" w:cs="Times New Roman"/>
          <w:color w:val="auto"/>
          <w:highlight w:val="none"/>
          <w:lang w:val="en-US" w:eastAsia="zh-CN"/>
        </w:rPr>
        <w:t>9</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明确管护主体及职责</w:t>
      </w:r>
      <w:bookmarkEnd w:id="311"/>
    </w:p>
    <w:p w14:paraId="17CE38AD">
      <w:pPr>
        <w:kinsoku/>
        <w:spacing w:before="265" w:line="379" w:lineRule="auto"/>
        <w:ind w:left="39" w:firstLine="65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甘孜镇、来马镇、泥柯乡、庭卡乡、拖坝乡人民政府为高标准农田建后管护的责任单位，承担本行政区域内高标准农田工程设施运行管护的监管职责，负责监督、检查高标准农田工程设施运行管护工作和责任的落实情况。</w:t>
      </w:r>
    </w:p>
    <w:p w14:paraId="1CF0E9A0">
      <w:pPr>
        <w:kinsoku/>
        <w:spacing w:before="265" w:line="379" w:lineRule="auto"/>
        <w:ind w:left="39" w:firstLine="65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区农民群众是高标准农田工程设施的直接受益主体，要增强主动参与工程设施运行管护的意识，接受和服从村民委员会和村民的监督，不得损坏高标准农田工程设施，不得擅自变更高标准农田工程设施的用途和服务范围，并承担对工程设施的检查、维修和养护义务，共同珍惜好、维护好、运用好高标准农田工程设施。</w:t>
      </w:r>
    </w:p>
    <w:p w14:paraId="2B34DA7D">
      <w:pPr>
        <w:pStyle w:val="4"/>
        <w:rPr>
          <w:rFonts w:hint="default" w:ascii="Times New Roman" w:hAnsi="Times New Roman" w:cs="Times New Roman"/>
          <w:color w:val="auto"/>
          <w:highlight w:val="none"/>
        </w:rPr>
      </w:pPr>
      <w:bookmarkStart w:id="312" w:name="_Toc32127"/>
      <w:r>
        <w:rPr>
          <w:rFonts w:hint="default" w:ascii="Times New Roman" w:hAnsi="Times New Roman" w:cs="Times New Roman"/>
          <w:color w:val="auto"/>
          <w:highlight w:val="none"/>
          <w:lang w:val="en-US" w:eastAsia="zh-CN"/>
        </w:rPr>
        <w:t>9</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明确管护人员</w:t>
      </w:r>
      <w:bookmarkEnd w:id="312"/>
    </w:p>
    <w:p w14:paraId="7D147573">
      <w:pPr>
        <w:kinsoku/>
        <w:spacing w:before="265" w:line="379" w:lineRule="auto"/>
        <w:ind w:left="39" w:firstLine="65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以村社干部带头成立村级管护队或使用者指定管护责任人，可从村组干部和有一定农田设施管理经验的村民中择优选择</w:t>
      </w:r>
      <w:r>
        <w:rPr>
          <w:rFonts w:hint="eastAsia" w:ascii="Times New Roman" w:hAnsi="Times New Roman" w:eastAsia="宋体" w:cs="Times New Roman"/>
          <w:smallCaps w:val="0"/>
          <w:color w:val="auto"/>
          <w:spacing w:val="0"/>
          <w:w w:val="100"/>
          <w:sz w:val="30"/>
          <w:szCs w:val="30"/>
          <w:highlight w:val="none"/>
          <w:lang w:eastAsia="zh-CN"/>
        </w:rPr>
        <w:t>，在</w:t>
      </w:r>
      <w:r>
        <w:rPr>
          <w:rFonts w:hint="default" w:ascii="Times New Roman" w:hAnsi="Times New Roman" w:eastAsia="宋体" w:cs="Times New Roman"/>
          <w:smallCaps w:val="0"/>
          <w:color w:val="auto"/>
          <w:spacing w:val="0"/>
          <w:w w:val="100"/>
          <w:sz w:val="30"/>
          <w:szCs w:val="30"/>
          <w:highlight w:val="none"/>
          <w:lang w:eastAsia="zh-CN"/>
        </w:rPr>
        <w:t>同等条件下优先选择有劳动能力的建档立卡贫困户；也可由本人申请、群众推荐、公开竞争产生。管护人员确定后应报村民委员会初审，并报镇人民政府备案。要尽量维持管护人员的稳定，没有特殊情况，不得随意更换、削减管护人员。</w:t>
      </w:r>
    </w:p>
    <w:p w14:paraId="5C766305">
      <w:pPr>
        <w:pStyle w:val="4"/>
        <w:rPr>
          <w:rFonts w:hint="default" w:ascii="Times New Roman" w:hAnsi="Times New Roman" w:cs="Times New Roman"/>
          <w:color w:val="auto"/>
          <w:highlight w:val="none"/>
        </w:rPr>
      </w:pPr>
      <w:bookmarkStart w:id="313" w:name="_Toc28234"/>
      <w:r>
        <w:rPr>
          <w:rFonts w:hint="default" w:ascii="Times New Roman" w:hAnsi="Times New Roman" w:cs="Times New Roman"/>
          <w:color w:val="auto"/>
          <w:highlight w:val="none"/>
          <w:lang w:val="en-US" w:eastAsia="zh-CN"/>
        </w:rPr>
        <w:t>9</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highlight w:val="none"/>
        </w:rPr>
        <w:t>明确管护内容</w:t>
      </w:r>
      <w:bookmarkEnd w:id="313"/>
    </w:p>
    <w:p w14:paraId="1F0627C3">
      <w:pPr>
        <w:kinsoku/>
        <w:spacing w:before="265" w:line="379" w:lineRule="auto"/>
        <w:ind w:left="39" w:firstLine="65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新建成的高标准农田项目经市级验收合格后，由项目建设单位组织与各镇人民政府办理工程设施移交手续。各镇人民政府要及时将接收的工程设施明确（移交）到所在村（组）集体、新型农业经营主体。各镇人民政府、村（组）集体、新型农业经营主体要对接收的工程设施分类建立明细台账，统一纳入管护范围，开展管护工作。一年内发现工程设施因质量缺陷导致的损坏，由施工单位负责整改和修缮。</w:t>
      </w:r>
    </w:p>
    <w:p w14:paraId="76C8FE57">
      <w:pPr>
        <w:kinsoku/>
        <w:spacing w:before="265" w:line="379" w:lineRule="auto"/>
        <w:ind w:left="39" w:firstLine="65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管护人员应经常对高标准农田进行巡查，管护人员巡查时要重点防范大中型货车、收割机、耕土机等大型机械违规通行、作业造成对工程设施的破坏。发现人为破坏工程设施要及时制止，已造成损坏的，责令破坏者赔偿管护费用，并立即向村民委员会报告相关情况，村民委员会应及时向镇人民政府报告并协助进行处理。</w:t>
      </w:r>
    </w:p>
    <w:p w14:paraId="12568F22">
      <w:pPr>
        <w:kinsoku/>
        <w:spacing w:before="265" w:line="379" w:lineRule="auto"/>
        <w:ind w:left="39" w:firstLine="65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重点加强灌溉和排水工程、田间道路、农田输配电设施、农田防护与生态环境保护工程、耕地质量监测点、标识标志等工程设施管护。水利设施要定期检查，确保井、泵、井房、管道、桥、涵、闸、渠道、出水口、配电等设施完好，保证正常运行，渠道要及时除草、疏浚。田间道路管护要维持路面平整，通行无阻，清洁美观，排水顺畅，标识标牌等完好无损。农机下田通道管护良好，无垮塌，保证农机进出无阻。农田防护林网要做到定期修剪，适时浇水，缺窝补栽，跌倒扶正，无病虫害发生。岸坡防护、沟道治理、坡面防护等工程完好，无垮塌，能够有效保护农田。输电线路、交配电设施、弱电设施等农田输配电设施完善，运行安全，围栏和警示标志完整，低压输电线路满足信息化建设和管理要求。耕地质量监测点各试验小区隔离设施和独立排灌沟渠保护完好，各监测小区之间无串排串灌现象发生，耕地质量监测设备运行良好，采集数据真实可靠。</w:t>
      </w:r>
    </w:p>
    <w:p w14:paraId="7DA42BCB">
      <w:pPr>
        <w:kinsoku/>
        <w:spacing w:before="265" w:line="379" w:lineRule="auto"/>
        <w:ind w:left="39" w:firstLine="65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（4）管护人员巡查发现有破损现象和安全隐患，要及时上报村民委员会，由村民委员会向镇人民政府提出申请，镇人民政府向甘孜州甘孜县农牧农村和科技局提出申请，由甘孜州甘孜县农牧农村和科技局协同</w:t>
      </w:r>
      <w:r>
        <w:rPr>
          <w:rFonts w:hint="eastAsia" w:ascii="Times New Roman" w:hAnsi="Times New Roman" w:eastAsia="宋体" w:cs="Times New Roman"/>
          <w:smallCaps w:val="0"/>
          <w:color w:val="auto"/>
          <w:spacing w:val="0"/>
          <w:w w:val="100"/>
          <w:sz w:val="30"/>
          <w:szCs w:val="30"/>
          <w:highlight w:val="none"/>
          <w:lang w:val="en-US" w:eastAsia="zh-CN"/>
        </w:rPr>
        <w:t>州</w:t>
      </w:r>
      <w:r>
        <w:rPr>
          <w:rFonts w:hint="default" w:ascii="Times New Roman" w:hAnsi="Times New Roman" w:eastAsia="宋体" w:cs="Times New Roman"/>
          <w:smallCaps w:val="0"/>
          <w:color w:val="auto"/>
          <w:spacing w:val="0"/>
          <w:w w:val="100"/>
          <w:sz w:val="30"/>
          <w:szCs w:val="30"/>
          <w:highlight w:val="none"/>
          <w:lang w:eastAsia="zh-CN"/>
        </w:rPr>
        <w:t>财政局组织人员对需维修工程进行实地踏勘，确认无误后由</w:t>
      </w:r>
      <w:r>
        <w:rPr>
          <w:rFonts w:hint="eastAsia" w:ascii="Times New Roman" w:hAnsi="Times New Roman" w:eastAsia="宋体" w:cs="Times New Roman"/>
          <w:smallCaps w:val="0"/>
          <w:color w:val="auto"/>
          <w:spacing w:val="0"/>
          <w:w w:val="100"/>
          <w:sz w:val="30"/>
          <w:szCs w:val="30"/>
          <w:highlight w:val="none"/>
          <w:lang w:val="en-US" w:eastAsia="zh-CN"/>
        </w:rPr>
        <w:t>州</w:t>
      </w:r>
      <w:r>
        <w:rPr>
          <w:rFonts w:hint="default" w:ascii="Times New Roman" w:hAnsi="Times New Roman" w:eastAsia="宋体" w:cs="Times New Roman"/>
          <w:smallCaps w:val="0"/>
          <w:color w:val="auto"/>
          <w:spacing w:val="0"/>
          <w:w w:val="100"/>
          <w:sz w:val="30"/>
          <w:szCs w:val="30"/>
          <w:highlight w:val="none"/>
          <w:lang w:eastAsia="zh-CN"/>
        </w:rPr>
        <w:t>财政局安排落实管护资金用于维护所需的材料、机械租赁、劳务等费用。</w:t>
      </w:r>
    </w:p>
    <w:p w14:paraId="5CD33D2F">
      <w:pPr>
        <w:kinsoku/>
        <w:spacing w:before="265" w:line="379" w:lineRule="auto"/>
        <w:ind w:left="39" w:firstLine="65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（5）管护过程应建立管护台账，记录管护情况。</w:t>
      </w:r>
    </w:p>
    <w:p w14:paraId="24F3D71D">
      <w:pPr>
        <w:pStyle w:val="4"/>
        <w:rPr>
          <w:rFonts w:hint="default" w:ascii="Times New Roman" w:hAnsi="Times New Roman" w:cs="Times New Roman"/>
          <w:color w:val="auto"/>
          <w:highlight w:val="none"/>
        </w:rPr>
      </w:pPr>
      <w:bookmarkStart w:id="314" w:name="_Toc31631"/>
      <w:r>
        <w:rPr>
          <w:rFonts w:hint="default" w:ascii="Times New Roman" w:hAnsi="Times New Roman" w:cs="Times New Roman"/>
          <w:color w:val="auto"/>
          <w:highlight w:val="none"/>
          <w:lang w:val="en-US" w:eastAsia="zh-CN"/>
        </w:rPr>
        <w:t>9</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5</w:t>
      </w:r>
      <w:r>
        <w:rPr>
          <w:rFonts w:hint="default" w:ascii="Times New Roman" w:hAnsi="Times New Roman" w:cs="Times New Roman"/>
          <w:color w:val="auto"/>
          <w:highlight w:val="none"/>
        </w:rPr>
        <w:t>明确奖励与惩罚制度</w:t>
      </w:r>
      <w:bookmarkEnd w:id="314"/>
    </w:p>
    <w:p w14:paraId="6606A2E0">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对在高标准农田管护工作中的先进单位和个人，以及举报、揭发破坏工程设施、设备的人员，进行表彰和奖励，同时，优先安排管护资金。对有意损坏工程或不听劝阻寻衅闹事，视其情节轻重，给予批评、教育、罚款处理，违反法律法规的，交由有关部门追究相关责任。</w:t>
      </w:r>
    </w:p>
    <w:p w14:paraId="25480FB2">
      <w:pPr>
        <w:kinsoku/>
        <w:spacing w:before="42" w:line="220" w:lineRule="auto"/>
        <w:ind w:left="38" w:leftChars="0"/>
        <w:outlineLvl w:val="1"/>
        <w:rPr>
          <w:rFonts w:hint="default" w:ascii="Times New Roman" w:hAnsi="Times New Roman" w:eastAsia="宋体" w:cs="Times New Roman"/>
          <w:b/>
          <w:bCs/>
          <w:smallCaps w:val="0"/>
          <w:color w:val="auto"/>
          <w:spacing w:val="0"/>
          <w:w w:val="100"/>
          <w:sz w:val="30"/>
          <w:szCs w:val="30"/>
          <w:highlight w:val="none"/>
          <w:lang w:eastAsia="zh-CN"/>
        </w:rPr>
      </w:pPr>
      <w:bookmarkStart w:id="315" w:name="_Toc16875"/>
      <w:bookmarkStart w:id="316" w:name="_Toc12289"/>
      <w:r>
        <w:rPr>
          <w:rFonts w:hint="default" w:ascii="Times New Roman" w:hAnsi="Times New Roman" w:eastAsia="宋体" w:cs="Times New Roman"/>
          <w:b/>
          <w:bCs/>
          <w:smallCaps w:val="0"/>
          <w:color w:val="auto"/>
          <w:spacing w:val="0"/>
          <w:w w:val="100"/>
          <w:sz w:val="30"/>
          <w:szCs w:val="30"/>
          <w:highlight w:val="none"/>
          <w:lang w:val="en-US" w:eastAsia="zh-CN"/>
        </w:rPr>
        <w:t>9</w:t>
      </w:r>
      <w:r>
        <w:rPr>
          <w:rFonts w:hint="default" w:ascii="Times New Roman" w:hAnsi="Times New Roman" w:eastAsia="宋体" w:cs="Times New Roman"/>
          <w:b/>
          <w:bCs/>
          <w:smallCaps w:val="0"/>
          <w:color w:val="auto"/>
          <w:spacing w:val="0"/>
          <w:w w:val="100"/>
          <w:sz w:val="30"/>
          <w:szCs w:val="30"/>
          <w:highlight w:val="none"/>
          <w:lang w:eastAsia="zh-CN"/>
        </w:rPr>
        <w:t>.</w:t>
      </w:r>
      <w:r>
        <w:rPr>
          <w:rFonts w:hint="default" w:ascii="Times New Roman" w:hAnsi="Times New Roman" w:eastAsia="宋体" w:cs="Times New Roman"/>
          <w:b/>
          <w:bCs/>
          <w:smallCaps w:val="0"/>
          <w:color w:val="auto"/>
          <w:spacing w:val="0"/>
          <w:w w:val="100"/>
          <w:sz w:val="30"/>
          <w:szCs w:val="30"/>
          <w:highlight w:val="none"/>
          <w:lang w:val="en-US" w:eastAsia="zh-CN"/>
        </w:rPr>
        <w:t>3</w:t>
      </w:r>
      <w:r>
        <w:rPr>
          <w:rFonts w:hint="default" w:ascii="Times New Roman" w:hAnsi="Times New Roman" w:eastAsia="宋体" w:cs="Times New Roman"/>
          <w:b/>
          <w:bCs/>
          <w:smallCaps w:val="0"/>
          <w:color w:val="auto"/>
          <w:spacing w:val="0"/>
          <w:w w:val="100"/>
          <w:sz w:val="30"/>
          <w:szCs w:val="30"/>
          <w:highlight w:val="none"/>
          <w:lang w:eastAsia="zh-CN"/>
        </w:rPr>
        <w:t>水价改革</w:t>
      </w:r>
      <w:bookmarkEnd w:id="315"/>
      <w:bookmarkEnd w:id="316"/>
    </w:p>
    <w:p w14:paraId="5C5B7116">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为全面贯彻落实《国务院办公厅关于推进农业水价综合改革的意见》（国办发〔2016〕2号）和《</w:t>
      </w:r>
      <w:r>
        <w:rPr>
          <w:rFonts w:hint="default" w:ascii="Times New Roman" w:hAnsi="Times New Roman" w:eastAsia="宋体" w:cs="Times New Roman"/>
          <w:smallCaps w:val="0"/>
          <w:color w:val="auto"/>
          <w:spacing w:val="0"/>
          <w:w w:val="100"/>
          <w:sz w:val="30"/>
          <w:szCs w:val="30"/>
          <w:highlight w:val="none"/>
          <w:lang w:eastAsia="zh-CN"/>
        </w:rPr>
        <w:fldChar w:fldCharType="begin"/>
      </w:r>
      <w:r>
        <w:rPr>
          <w:rFonts w:hint="default" w:ascii="Times New Roman" w:hAnsi="Times New Roman" w:eastAsia="宋体" w:cs="Times New Roman"/>
          <w:smallCaps w:val="0"/>
          <w:color w:val="auto"/>
          <w:spacing w:val="0"/>
          <w:w w:val="100"/>
          <w:sz w:val="30"/>
          <w:szCs w:val="30"/>
          <w:highlight w:val="none"/>
          <w:lang w:eastAsia="zh-CN"/>
        </w:rPr>
        <w:instrText xml:space="preserve"> HYPERLINK "https://sichuan.tuliu.com/gongying/" \t "_blank" </w:instrText>
      </w:r>
      <w:r>
        <w:rPr>
          <w:rFonts w:hint="default" w:ascii="Times New Roman" w:hAnsi="Times New Roman" w:eastAsia="宋体" w:cs="Times New Roman"/>
          <w:smallCaps w:val="0"/>
          <w:color w:val="auto"/>
          <w:spacing w:val="0"/>
          <w:w w:val="100"/>
          <w:sz w:val="30"/>
          <w:szCs w:val="30"/>
          <w:highlight w:val="none"/>
          <w:lang w:eastAsia="zh-CN"/>
        </w:rPr>
        <w:fldChar w:fldCharType="separate"/>
      </w:r>
      <w:r>
        <w:rPr>
          <w:rFonts w:hint="default" w:ascii="Times New Roman" w:hAnsi="Times New Roman" w:eastAsia="宋体" w:cs="Times New Roman"/>
          <w:smallCaps w:val="0"/>
          <w:color w:val="auto"/>
          <w:spacing w:val="0"/>
          <w:w w:val="100"/>
          <w:sz w:val="30"/>
          <w:szCs w:val="30"/>
          <w:highlight w:val="none"/>
          <w:lang w:eastAsia="zh-CN"/>
        </w:rPr>
        <w:t>四川省</w:t>
      </w:r>
      <w:r>
        <w:rPr>
          <w:rFonts w:hint="default" w:ascii="Times New Roman" w:hAnsi="Times New Roman" w:eastAsia="宋体" w:cs="Times New Roman"/>
          <w:smallCaps w:val="0"/>
          <w:color w:val="auto"/>
          <w:spacing w:val="0"/>
          <w:w w:val="100"/>
          <w:sz w:val="30"/>
          <w:szCs w:val="30"/>
          <w:highlight w:val="none"/>
          <w:lang w:eastAsia="zh-CN"/>
        </w:rPr>
        <w:fldChar w:fldCharType="end"/>
      </w:r>
      <w:r>
        <w:rPr>
          <w:rFonts w:hint="default" w:ascii="Times New Roman" w:hAnsi="Times New Roman" w:eastAsia="宋体" w:cs="Times New Roman"/>
          <w:smallCaps w:val="0"/>
          <w:color w:val="auto"/>
          <w:spacing w:val="0"/>
          <w:w w:val="100"/>
          <w:sz w:val="30"/>
          <w:szCs w:val="30"/>
          <w:highlight w:val="none"/>
          <w:lang w:eastAsia="zh-CN"/>
        </w:rPr>
        <w:t>人民政府办公厅关于印发四川省推进农业水价综合改革实施方案的通知》（川办发〔2017〕5号）要求，有序推进农业水价综合改革，促进农业节水和农业可持续发展，</w:t>
      </w:r>
      <w:r>
        <w:rPr>
          <w:rFonts w:hint="eastAsia" w:ascii="Times New Roman" w:hAnsi="Times New Roman" w:eastAsia="宋体" w:cs="Times New Roman"/>
          <w:smallCaps w:val="0"/>
          <w:color w:val="auto"/>
          <w:spacing w:val="0"/>
          <w:w w:val="100"/>
          <w:sz w:val="30"/>
          <w:szCs w:val="30"/>
          <w:highlight w:val="none"/>
          <w:lang w:val="en-US" w:eastAsia="zh-CN"/>
        </w:rPr>
        <w:t>甘孜州</w:t>
      </w:r>
      <w:r>
        <w:rPr>
          <w:rFonts w:hint="default" w:ascii="Times New Roman" w:hAnsi="Times New Roman" w:eastAsia="宋体" w:cs="Times New Roman"/>
          <w:smallCaps w:val="0"/>
          <w:color w:val="auto"/>
          <w:spacing w:val="0"/>
          <w:w w:val="100"/>
          <w:sz w:val="30"/>
          <w:szCs w:val="30"/>
          <w:highlight w:val="none"/>
          <w:lang w:eastAsia="zh-CN"/>
        </w:rPr>
        <w:t>结合自身实际情况，制定了相关管理办法，在全市农田有效灌溉面积范围内实施农业水价综合改革，建立合理反映农业供水成本、水资源稀缺程度、用水户承受能力，有利于节水和农田水利工程良性运行的农业水价形成机制。主要体现在以下几个方面：</w:t>
      </w:r>
    </w:p>
    <w:p w14:paraId="29E47983">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一、夯实农业水价改革基础。</w:t>
      </w:r>
    </w:p>
    <w:p w14:paraId="6BE478D0">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建立和完善农田水利工程体系。基本形成工程完好、计量设施完善、配套较为齐全的农田水利工程体系。</w:t>
      </w:r>
    </w:p>
    <w:p w14:paraId="37CBDCBA">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二、建立农业水权交易制度。</w:t>
      </w:r>
    </w:p>
    <w:p w14:paraId="7A1D357D">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按照最严格水资源管理制度和水资源用途管制政策，结合农业用水定额，制定农业初始水权分配方案。探索建立水权交易制度，将水权交易纳入各级公共资源交易平台，最大限度地释放农业水价综合改革活力。</w:t>
      </w:r>
    </w:p>
    <w:p w14:paraId="10029B03">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三、健全农业水价形成机制。</w:t>
      </w:r>
    </w:p>
    <w:p w14:paraId="3F9CDEC5">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按照有利于促进农业节水和农田水利工程良性运行的要求，进一步完善农业水价政策和制度；按照分级、分类、分档原则制定农业用水价格政策，规范农业用水调价行为。实行政府定价的，定价权限按照《四川省定价目录（2015年版）》的相关规定执行，由发改部门在成本监审的基础上，会同有关部门综合考虑供水成本、水资源稀缺程度、用户承受能力、补贴机制建立等因素，按照逐步达到运行维护成本的原则，合理制定供水工程骨干工程、末级渠系各环节水价并适时调整，总体上不增加农民负担，具体方案按程序报批。实行协商定价的，由供需双方在平等自愿的基础上，按照有利于促进节水、保障工程良性运行和农业生产发展的原则协商确定，按要求报同级发改部门备案，并抄送同级水务部门。</w:t>
      </w:r>
    </w:p>
    <w:p w14:paraId="07D79C9C">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四、建立用水精准补贴与节水奖励机制。</w:t>
      </w:r>
    </w:p>
    <w:p w14:paraId="704CD820">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制定具体的农业用水精准补贴和节水奖励办法，调动农民节约用水的积极性。具体如下：</w:t>
      </w:r>
    </w:p>
    <w:p w14:paraId="79BA77C8">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建立农业用水精准补贴机制。在完善农业水价形成机制的基础上，按照总体上不增加农民负担的原则，切实保护农民合理用水权益，建立与节水成效、调价幅度、财力状况相匹配的农业用水精准补贴机制。超定额用水不予补贴。重点补贴种粮农民定额内用水，补贴标准根据定额内用水成本与运行维护成本的差额确定。补贴标准、程序、方式以及资金使用管理等，由本级水利部门会同财政等相关部门制定或完善具体办法。</w:t>
      </w:r>
    </w:p>
    <w:p w14:paraId="56752A24">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建立农业节水奖励机制。逐步建立易于操作、用户普遍接受的节水奖励机制。对积极推广应用工程节水、农艺节水、调整种植结构节水，取得明显节水成效的规模经营主体、农民用水合作组织和农户给予奖励。节水奖励按照申请、审核、批准、兑付的程序实施。</w:t>
      </w:r>
    </w:p>
    <w:p w14:paraId="2851632E">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多渠道筹集奖补资金。统筹财政安排的水管单位公益性人员基本支出和工程公益性部分维修养护经费、农业灌排工程运行管理费、农田水利工程设施维修养护补助、调水费用补助、高扬程抽水电灌补助、有关农业奖补资金等，多渠道落实农业用水精准补贴和节水奖励资金。认真测算精准补贴和节水奖励资金需求，确保满足农业水价调整后实施精准奖补需要。</w:t>
      </w:r>
    </w:p>
    <w:p w14:paraId="3BA09AAD">
      <w:pPr>
        <w:kinsoku/>
        <w:spacing w:before="269" w:line="370" w:lineRule="auto"/>
        <w:ind w:left="41" w:firstLine="596"/>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4）探索创新终端用水管理方式。</w:t>
      </w:r>
    </w:p>
    <w:p w14:paraId="605DC25F">
      <w:pPr>
        <w:kinsoku/>
        <w:spacing w:before="269" w:line="370" w:lineRule="auto"/>
        <w:ind w:left="41" w:firstLine="596"/>
        <w:rPr>
          <w:rFonts w:hint="default" w:ascii="Times New Roman" w:hAnsi="Times New Roman" w:cs="Times New Roman"/>
          <w:color w:val="auto"/>
          <w:highlight w:val="none"/>
        </w:rPr>
      </w:pPr>
      <w:r>
        <w:rPr>
          <w:rFonts w:hint="default" w:ascii="Times New Roman" w:hAnsi="Times New Roman" w:eastAsia="宋体" w:cs="Times New Roman"/>
          <w:smallCaps w:val="0"/>
          <w:color w:val="auto"/>
          <w:spacing w:val="0"/>
          <w:w w:val="100"/>
          <w:sz w:val="30"/>
          <w:szCs w:val="30"/>
          <w:highlight w:val="none"/>
          <w:lang w:eastAsia="zh-CN"/>
        </w:rPr>
        <w:t>鼓励发展农民用水自治、专业化服务、水管单位管理和用水户参与等多种形式的终端用水管理模式。各级水行政主管部门要加强与工商、民政等部门的协调配合，进一步加快推进并规范各类农民用水合作组织建设，支持农民用水合作组织创新发展，充分发挥农民用水合作组织在供水工程建设管理、用水管理、水费计收等方面的作用。</w:t>
      </w:r>
    </w:p>
    <w:p w14:paraId="7148A490">
      <w:pPr>
        <w:kinsoku/>
        <w:spacing w:line="370" w:lineRule="auto"/>
        <w:rPr>
          <w:rFonts w:hint="default" w:ascii="Times New Roman" w:hAnsi="Times New Roman" w:eastAsia="宋体" w:cs="Times New Roman"/>
          <w:smallCaps w:val="0"/>
          <w:color w:val="auto"/>
          <w:spacing w:val="0"/>
          <w:w w:val="100"/>
          <w:sz w:val="30"/>
          <w:szCs w:val="30"/>
          <w:highlight w:val="none"/>
          <w:lang w:eastAsia="zh-CN"/>
        </w:rPr>
        <w:sectPr>
          <w:pgSz w:w="11900" w:h="16838"/>
          <w:pgMar w:top="1134" w:right="1417" w:bottom="1134" w:left="1417" w:header="862" w:footer="992" w:gutter="0"/>
          <w:pgBorders>
            <w:top w:val="none" w:sz="0" w:space="0"/>
            <w:left w:val="none" w:sz="0" w:space="0"/>
            <w:bottom w:val="none" w:sz="0" w:space="0"/>
            <w:right w:val="none" w:sz="0" w:space="0"/>
          </w:pgBorders>
          <w:pgNumType w:fmt="numberInDash"/>
          <w:cols w:space="0" w:num="1"/>
          <w:rtlGutter w:val="0"/>
          <w:docGrid w:linePitch="0" w:charSpace="0"/>
        </w:sectPr>
      </w:pPr>
    </w:p>
    <w:p w14:paraId="5DD0AEF2">
      <w:pPr>
        <w:kinsoku/>
        <w:spacing w:before="117" w:line="219" w:lineRule="auto"/>
        <w:ind w:left="2478" w:leftChars="0"/>
        <w:outlineLvl w:val="0"/>
        <w:rPr>
          <w:rFonts w:hint="default" w:ascii="Times New Roman" w:hAnsi="Times New Roman" w:eastAsia="宋体" w:cs="Times New Roman"/>
          <w:smallCaps w:val="0"/>
          <w:color w:val="auto"/>
          <w:spacing w:val="0"/>
          <w:w w:val="100"/>
          <w:sz w:val="36"/>
          <w:szCs w:val="36"/>
          <w:highlight w:val="none"/>
          <w:lang w:eastAsia="zh-CN"/>
        </w:rPr>
      </w:pPr>
      <w:bookmarkStart w:id="317" w:name="bookmark43"/>
      <w:bookmarkEnd w:id="317"/>
      <w:bookmarkStart w:id="318" w:name="_Toc30307"/>
      <w:bookmarkStart w:id="319" w:name="_Toc19545"/>
      <w:r>
        <w:rPr>
          <w:rFonts w:hint="default" w:ascii="Times New Roman" w:hAnsi="Times New Roman" w:eastAsia="宋体" w:cs="Times New Roman"/>
          <w:b/>
          <w:bCs/>
          <w:smallCaps w:val="0"/>
          <w:color w:val="auto"/>
          <w:spacing w:val="0"/>
          <w:w w:val="100"/>
          <w:sz w:val="36"/>
          <w:szCs w:val="36"/>
          <w:highlight w:val="none"/>
          <w:lang w:eastAsia="zh-CN"/>
        </w:rPr>
        <w:t>第十章</w:t>
      </w:r>
      <w:r>
        <w:rPr>
          <w:rFonts w:hint="default" w:ascii="Times New Roman" w:hAnsi="Times New Roman" w:eastAsia="宋体" w:cs="Times New Roman"/>
          <w:smallCaps w:val="0"/>
          <w:color w:val="auto"/>
          <w:spacing w:val="0"/>
          <w:w w:val="100"/>
          <w:sz w:val="36"/>
          <w:szCs w:val="36"/>
          <w:highlight w:val="none"/>
          <w:lang w:eastAsia="zh-CN"/>
        </w:rPr>
        <w:t xml:space="preserve"> </w:t>
      </w:r>
      <w:r>
        <w:rPr>
          <w:rFonts w:hint="default" w:ascii="Times New Roman" w:hAnsi="Times New Roman" w:eastAsia="宋体" w:cs="Times New Roman"/>
          <w:b/>
          <w:bCs/>
          <w:smallCaps w:val="0"/>
          <w:color w:val="auto"/>
          <w:spacing w:val="0"/>
          <w:w w:val="100"/>
          <w:sz w:val="36"/>
          <w:szCs w:val="36"/>
          <w:highlight w:val="none"/>
          <w:lang w:eastAsia="zh-CN"/>
        </w:rPr>
        <w:t>预期效益分析</w:t>
      </w:r>
      <w:bookmarkEnd w:id="318"/>
      <w:bookmarkEnd w:id="319"/>
    </w:p>
    <w:p w14:paraId="29D45CF9">
      <w:pPr>
        <w:kinsoku/>
        <w:spacing w:line="560" w:lineRule="exact"/>
        <w:ind w:left="48" w:leftChars="0"/>
        <w:outlineLvl w:val="1"/>
        <w:rPr>
          <w:rFonts w:hint="default" w:ascii="Times New Roman" w:hAnsi="Times New Roman" w:eastAsia="宋体" w:cs="Times New Roman"/>
          <w:smallCaps w:val="0"/>
          <w:color w:val="auto"/>
          <w:spacing w:val="0"/>
          <w:w w:val="100"/>
          <w:sz w:val="30"/>
          <w:szCs w:val="30"/>
          <w:highlight w:val="none"/>
          <w:lang w:eastAsia="zh-CN"/>
        </w:rPr>
      </w:pPr>
      <w:bookmarkStart w:id="320" w:name="bookmark44"/>
      <w:bookmarkEnd w:id="320"/>
      <w:bookmarkStart w:id="321" w:name="_Toc7929"/>
      <w:bookmarkStart w:id="322" w:name="_Toc25403"/>
      <w:r>
        <w:rPr>
          <w:rFonts w:hint="default" w:ascii="Times New Roman" w:hAnsi="Times New Roman" w:eastAsia="宋体" w:cs="Times New Roman"/>
          <w:b/>
          <w:bCs/>
          <w:smallCaps w:val="0"/>
          <w:color w:val="auto"/>
          <w:spacing w:val="0"/>
          <w:w w:val="100"/>
          <w:sz w:val="30"/>
          <w:szCs w:val="30"/>
          <w:highlight w:val="none"/>
          <w:lang w:eastAsia="zh-CN"/>
        </w:rPr>
        <w:t>10.1 经济效益</w:t>
      </w:r>
      <w:bookmarkEnd w:id="321"/>
      <w:bookmarkEnd w:id="322"/>
    </w:p>
    <w:p w14:paraId="2B4C7DD8">
      <w:pPr>
        <w:kinsoku/>
        <w:spacing w:line="560" w:lineRule="exact"/>
        <w:ind w:left="40" w:firstLine="64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政策支持带来机遇：国家和地方政府对甘孜地区有一系列扶持政策，如《甘孜州进一步激发市场活力推动经济运行持续向好16条政策措施》《甘孜州2024年规上服务业企业培育攻坚行动方案》《甘孜州有机产业发展规划（2023 - 2030）》等甘孜县人民政府。随着这些政策的落实落地，将在产业培育、企业扶持、市场活力激发等方面发挥积极作用，为甘孜县经济效益提升创造良好政策环境。</w:t>
      </w:r>
    </w:p>
    <w:p w14:paraId="42818B58">
      <w:pPr>
        <w:kinsoku/>
        <w:spacing w:line="560" w:lineRule="exact"/>
        <w:ind w:left="40" w:firstLine="647"/>
        <w:jc w:val="both"/>
        <w:rPr>
          <w:rFonts w:hint="default" w:ascii="Times New Roman" w:hAnsi="Times New Roman" w:eastAsia="宋体" w:cs="Times New Roman"/>
          <w:smallCaps w:val="0"/>
          <w:color w:val="auto"/>
          <w:spacing w:val="0"/>
          <w:w w:val="10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项目实施前，项目区以种植青稞、马铃薯为主。通过项目的实施，项目区仍以种植青稞、马铃薯为主。项目建成后，通过进行基础设施的建设，改善了项目区农田排灌条件，提高了土壤肥力，改</w:t>
      </w:r>
      <w:r>
        <w:rPr>
          <w:rFonts w:hint="eastAsia" w:ascii="Times New Roman" w:hAnsi="Times New Roman" w:eastAsia="宋体" w:cs="Times New Roman"/>
          <w:smallCaps w:val="0"/>
          <w:color w:val="auto"/>
          <w:spacing w:val="0"/>
          <w:w w:val="100"/>
          <w:sz w:val="30"/>
          <w:szCs w:val="30"/>
          <w:highlight w:val="none"/>
          <w:lang w:eastAsia="zh-CN"/>
        </w:rPr>
        <w:t>善了</w:t>
      </w:r>
      <w:r>
        <w:rPr>
          <w:rFonts w:hint="default" w:ascii="Times New Roman" w:hAnsi="Times New Roman" w:eastAsia="宋体" w:cs="Times New Roman"/>
          <w:smallCaps w:val="0"/>
          <w:color w:val="auto"/>
          <w:spacing w:val="0"/>
          <w:w w:val="100"/>
          <w:sz w:val="30"/>
          <w:szCs w:val="30"/>
          <w:highlight w:val="none"/>
          <w:lang w:eastAsia="zh-CN"/>
        </w:rPr>
        <w:t>灌溉面积10000亩，带动区域经济发展。据统计分析，新增青稞年生产能力</w:t>
      </w:r>
      <w:r>
        <w:rPr>
          <w:rFonts w:hint="default" w:ascii="Times New Roman" w:hAnsi="Times New Roman" w:eastAsia="宋体" w:cs="Times New Roman"/>
          <w:smallCaps w:val="0"/>
          <w:color w:val="auto"/>
          <w:spacing w:val="0"/>
          <w:w w:val="100"/>
          <w:sz w:val="30"/>
          <w:szCs w:val="30"/>
          <w:highlight w:val="none"/>
          <w:lang w:val="en-US" w:eastAsia="zh-CN"/>
        </w:rPr>
        <w:t>16.11</w:t>
      </w:r>
      <w:r>
        <w:rPr>
          <w:rFonts w:hint="default" w:ascii="Times New Roman" w:hAnsi="Times New Roman" w:eastAsia="宋体" w:cs="Times New Roman"/>
          <w:smallCaps w:val="0"/>
          <w:color w:val="auto"/>
          <w:spacing w:val="0"/>
          <w:w w:val="100"/>
          <w:sz w:val="30"/>
          <w:szCs w:val="30"/>
          <w:highlight w:val="none"/>
          <w:lang w:eastAsia="zh-CN"/>
        </w:rPr>
        <w:t>万公斤，新增马铃薯年生产能力</w:t>
      </w:r>
      <w:r>
        <w:rPr>
          <w:rFonts w:hint="default" w:ascii="Times New Roman" w:hAnsi="Times New Roman" w:eastAsia="宋体" w:cs="Times New Roman"/>
          <w:smallCaps w:val="0"/>
          <w:color w:val="auto"/>
          <w:spacing w:val="0"/>
          <w:w w:val="100"/>
          <w:sz w:val="30"/>
          <w:szCs w:val="30"/>
          <w:highlight w:val="none"/>
          <w:lang w:val="en-US" w:eastAsia="zh-CN"/>
        </w:rPr>
        <w:t>6.82</w:t>
      </w:r>
      <w:r>
        <w:rPr>
          <w:rFonts w:hint="default" w:ascii="Times New Roman" w:hAnsi="Times New Roman" w:eastAsia="宋体" w:cs="Times New Roman"/>
          <w:smallCaps w:val="0"/>
          <w:color w:val="auto"/>
          <w:spacing w:val="0"/>
          <w:w w:val="100"/>
          <w:sz w:val="30"/>
          <w:szCs w:val="30"/>
          <w:highlight w:val="none"/>
          <w:lang w:eastAsia="zh-CN"/>
        </w:rPr>
        <w:t>万公斤。新增总产值</w:t>
      </w:r>
      <w:r>
        <w:rPr>
          <w:rFonts w:hint="default" w:ascii="Times New Roman" w:hAnsi="Times New Roman" w:eastAsia="宋体" w:cs="Times New Roman"/>
          <w:smallCaps w:val="0"/>
          <w:color w:val="auto"/>
          <w:spacing w:val="0"/>
          <w:w w:val="100"/>
          <w:sz w:val="30"/>
          <w:szCs w:val="30"/>
          <w:highlight w:val="none"/>
          <w:lang w:val="en-US" w:eastAsia="zh-CN"/>
        </w:rPr>
        <w:t>65.35</w:t>
      </w:r>
      <w:r>
        <w:rPr>
          <w:rFonts w:hint="default" w:ascii="Times New Roman" w:hAnsi="Times New Roman" w:eastAsia="宋体" w:cs="Times New Roman"/>
          <w:smallCaps w:val="0"/>
          <w:color w:val="auto"/>
          <w:spacing w:val="0"/>
          <w:w w:val="100"/>
          <w:sz w:val="30"/>
          <w:szCs w:val="30"/>
          <w:highlight w:val="none"/>
          <w:lang w:eastAsia="zh-CN"/>
        </w:rPr>
        <w:t>万元。</w:t>
      </w:r>
    </w:p>
    <w:p w14:paraId="46C6BC95">
      <w:pPr>
        <w:kinsoku/>
        <w:spacing w:line="560" w:lineRule="exact"/>
        <w:ind w:left="40" w:firstLine="604"/>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项目建成后，将有效改善项目区农业生产的基本生产条件， 提高粮食综合生产能力，可引进优良品种，促进产业结构优化，极大地提高项目区农业生产效益，项目达产年新增农业总产值</w:t>
      </w:r>
      <w:r>
        <w:rPr>
          <w:rFonts w:hint="default" w:ascii="Times New Roman" w:hAnsi="Times New Roman" w:eastAsia="宋体" w:cs="Times New Roman"/>
          <w:smallCaps w:val="0"/>
          <w:color w:val="auto"/>
          <w:spacing w:val="0"/>
          <w:w w:val="100"/>
          <w:sz w:val="30"/>
          <w:szCs w:val="30"/>
          <w:highlight w:val="none"/>
          <w:lang w:val="en-US" w:eastAsia="zh-CN"/>
        </w:rPr>
        <w:t>65.35</w:t>
      </w:r>
      <w:r>
        <w:rPr>
          <w:rFonts w:hint="default" w:ascii="Times New Roman" w:hAnsi="Times New Roman" w:eastAsia="宋体" w:cs="Times New Roman"/>
          <w:smallCaps w:val="0"/>
          <w:color w:val="auto"/>
          <w:spacing w:val="0"/>
          <w:w w:val="100"/>
          <w:sz w:val="30"/>
          <w:szCs w:val="30"/>
          <w:highlight w:val="none"/>
          <w:lang w:eastAsia="zh-CN"/>
        </w:rPr>
        <w:t>万元；项目区直接受益农业人口1</w:t>
      </w:r>
      <w:r>
        <w:rPr>
          <w:rFonts w:hint="default" w:ascii="Times New Roman" w:hAnsi="Times New Roman" w:eastAsia="宋体" w:cs="Times New Roman"/>
          <w:smallCaps w:val="0"/>
          <w:color w:val="auto"/>
          <w:spacing w:val="0"/>
          <w:w w:val="100"/>
          <w:sz w:val="30"/>
          <w:szCs w:val="30"/>
          <w:highlight w:val="none"/>
          <w:lang w:val="en-US" w:eastAsia="zh-CN"/>
        </w:rPr>
        <w:t>3659</w:t>
      </w:r>
      <w:r>
        <w:rPr>
          <w:rFonts w:hint="default" w:ascii="Times New Roman" w:hAnsi="Times New Roman" w:eastAsia="宋体" w:cs="Times New Roman"/>
          <w:smallCaps w:val="0"/>
          <w:color w:val="auto"/>
          <w:spacing w:val="0"/>
          <w:w w:val="100"/>
          <w:sz w:val="30"/>
          <w:szCs w:val="30"/>
          <w:highlight w:val="none"/>
          <w:lang w:eastAsia="zh-CN"/>
        </w:rPr>
        <w:t>人，农民年人均增收</w:t>
      </w:r>
      <w:r>
        <w:rPr>
          <w:rFonts w:hint="default" w:ascii="Times New Roman" w:hAnsi="Times New Roman" w:eastAsia="宋体" w:cs="Times New Roman"/>
          <w:smallCaps w:val="0"/>
          <w:color w:val="auto"/>
          <w:spacing w:val="0"/>
          <w:w w:val="100"/>
          <w:sz w:val="30"/>
          <w:szCs w:val="30"/>
          <w:highlight w:val="none"/>
          <w:lang w:val="en-US" w:eastAsia="zh-CN"/>
        </w:rPr>
        <w:t>47.84</w:t>
      </w:r>
      <w:r>
        <w:rPr>
          <w:rFonts w:hint="default" w:ascii="Times New Roman" w:hAnsi="Times New Roman" w:eastAsia="宋体" w:cs="Times New Roman"/>
          <w:smallCaps w:val="0"/>
          <w:color w:val="auto"/>
          <w:spacing w:val="0"/>
          <w:w w:val="100"/>
          <w:sz w:val="30"/>
          <w:szCs w:val="30"/>
          <w:highlight w:val="none"/>
          <w:lang w:eastAsia="zh-CN"/>
        </w:rPr>
        <w:t>元。</w:t>
      </w:r>
    </w:p>
    <w:p w14:paraId="74C96577">
      <w:pPr>
        <w:kinsoku/>
        <w:spacing w:line="540" w:lineRule="exact"/>
        <w:jc w:val="center"/>
        <w:rPr>
          <w:rFonts w:hint="default" w:ascii="Times New Roman" w:hAnsi="Times New Roman" w:eastAsia="宋体" w:cs="Times New Roman"/>
          <w:b/>
          <w:bCs/>
          <w:smallCaps w:val="0"/>
          <w:color w:val="auto"/>
          <w:spacing w:val="0"/>
          <w:w w:val="100"/>
          <w:sz w:val="30"/>
          <w:szCs w:val="30"/>
          <w:highlight w:val="none"/>
          <w:lang w:eastAsia="zh-CN"/>
        </w:rPr>
      </w:pPr>
      <w:r>
        <w:rPr>
          <w:rFonts w:hint="default" w:ascii="Times New Roman" w:hAnsi="Times New Roman" w:eastAsia="宋体" w:cs="Times New Roman"/>
          <w:b/>
          <w:bCs/>
          <w:smallCaps w:val="0"/>
          <w:color w:val="auto"/>
          <w:spacing w:val="0"/>
          <w:w w:val="100"/>
          <w:sz w:val="30"/>
          <w:szCs w:val="30"/>
          <w:highlight w:val="none"/>
          <w:lang w:eastAsia="zh-CN"/>
        </w:rPr>
        <w:t>经济效益分析表</w:t>
      </w:r>
    </w:p>
    <w:p w14:paraId="038E0FA8">
      <w:pPr>
        <w:kinsoku/>
        <w:spacing w:line="540" w:lineRule="exact"/>
        <w:ind w:left="40"/>
        <w:rPr>
          <w:rFonts w:hint="default" w:ascii="Times New Roman" w:hAnsi="Times New Roman" w:eastAsia="宋体" w:cs="Times New Roman"/>
          <w:smallCaps w:val="0"/>
          <w:color w:val="auto"/>
          <w:spacing w:val="0"/>
          <w:w w:val="100"/>
          <w:sz w:val="28"/>
          <w:szCs w:val="28"/>
          <w:highlight w:val="none"/>
          <w:lang w:eastAsia="zh-CN"/>
        </w:rPr>
      </w:pPr>
      <w:r>
        <w:rPr>
          <w:rFonts w:hint="default" w:ascii="Times New Roman" w:hAnsi="Times New Roman" w:eastAsia="宋体" w:cs="Times New Roman"/>
          <w:smallCaps w:val="0"/>
          <w:color w:val="auto"/>
          <w:spacing w:val="0"/>
          <w:w w:val="100"/>
          <w:sz w:val="28"/>
          <w:szCs w:val="28"/>
          <w:highlight w:val="none"/>
          <w:lang w:eastAsia="zh-CN"/>
        </w:rPr>
        <w:t xml:space="preserve">表 10.1-1  </w:t>
      </w:r>
    </w:p>
    <w:tbl>
      <w:tblPr>
        <w:tblStyle w:val="18"/>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05"/>
        <w:gridCol w:w="1907"/>
        <w:gridCol w:w="1907"/>
        <w:gridCol w:w="1912"/>
        <w:gridCol w:w="1474"/>
      </w:tblGrid>
      <w:tr w14:paraId="0BCF7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vMerge w:val="restart"/>
            <w:tcBorders>
              <w:top w:val="single" w:color="000000" w:sz="4" w:space="0"/>
              <w:left w:val="single" w:color="000000" w:sz="4" w:space="0"/>
              <w:right w:val="single" w:color="000000" w:sz="4" w:space="0"/>
            </w:tcBorders>
            <w:shd w:val="clear" w:color="auto" w:fill="auto"/>
            <w:vAlign w:val="center"/>
          </w:tcPr>
          <w:p w14:paraId="22CC8E3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项目</w:t>
            </w:r>
          </w:p>
        </w:tc>
        <w:tc>
          <w:tcPr>
            <w:tcW w:w="1047" w:type="pct"/>
            <w:vMerge w:val="restart"/>
            <w:tcBorders>
              <w:top w:val="single" w:color="000000" w:sz="4" w:space="0"/>
              <w:left w:val="single" w:color="000000" w:sz="4" w:space="0"/>
              <w:right w:val="single" w:color="000000" w:sz="4" w:space="0"/>
            </w:tcBorders>
            <w:shd w:val="clear" w:color="auto" w:fill="auto"/>
            <w:vAlign w:val="center"/>
          </w:tcPr>
          <w:p w14:paraId="6BCA5BB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单位</w:t>
            </w:r>
          </w:p>
        </w:tc>
        <w:tc>
          <w:tcPr>
            <w:tcW w:w="20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9478C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种植作物</w:t>
            </w:r>
          </w:p>
        </w:tc>
        <w:tc>
          <w:tcPr>
            <w:tcW w:w="809" w:type="pct"/>
            <w:vMerge w:val="restart"/>
            <w:tcBorders>
              <w:top w:val="single" w:color="000000" w:sz="4" w:space="0"/>
              <w:left w:val="single" w:color="000000" w:sz="4" w:space="0"/>
              <w:right w:val="single" w:color="000000" w:sz="4" w:space="0"/>
            </w:tcBorders>
            <w:shd w:val="clear" w:color="auto" w:fill="auto"/>
            <w:vAlign w:val="center"/>
          </w:tcPr>
          <w:p w14:paraId="11E8236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合计</w:t>
            </w:r>
          </w:p>
        </w:tc>
      </w:tr>
      <w:tr w14:paraId="3196A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vMerge w:val="continue"/>
            <w:tcBorders>
              <w:left w:val="single" w:color="000000" w:sz="4" w:space="0"/>
              <w:bottom w:val="single" w:color="000000" w:sz="4" w:space="0"/>
              <w:right w:val="single" w:color="000000" w:sz="4" w:space="0"/>
            </w:tcBorders>
            <w:shd w:val="clear" w:color="auto" w:fill="auto"/>
            <w:vAlign w:val="center"/>
          </w:tcPr>
          <w:p w14:paraId="1C24F664">
            <w:pPr>
              <w:rPr>
                <w:rFonts w:hint="default" w:ascii="Times New Roman" w:hAnsi="Times New Roman" w:eastAsia="宋体" w:cs="Times New Roman"/>
                <w:i w:val="0"/>
                <w:iCs w:val="0"/>
                <w:color w:val="auto"/>
                <w:sz w:val="24"/>
                <w:szCs w:val="24"/>
                <w:highlight w:val="none"/>
                <w:u w:val="none"/>
              </w:rPr>
            </w:pPr>
          </w:p>
        </w:tc>
        <w:tc>
          <w:tcPr>
            <w:tcW w:w="1047" w:type="pct"/>
            <w:vMerge w:val="continue"/>
            <w:tcBorders>
              <w:left w:val="single" w:color="000000" w:sz="4" w:space="0"/>
              <w:bottom w:val="single" w:color="000000" w:sz="4" w:space="0"/>
              <w:right w:val="single" w:color="000000" w:sz="4" w:space="0"/>
            </w:tcBorders>
            <w:shd w:val="clear" w:color="auto" w:fill="auto"/>
            <w:vAlign w:val="center"/>
          </w:tcPr>
          <w:p w14:paraId="3549A5D0">
            <w:pPr>
              <w:rPr>
                <w:rFonts w:hint="default" w:ascii="Times New Roman" w:hAnsi="Times New Roman" w:eastAsia="宋体" w:cs="Times New Roman"/>
                <w:i w:val="0"/>
                <w:iCs w:val="0"/>
                <w:color w:val="auto"/>
                <w:sz w:val="24"/>
                <w:szCs w:val="24"/>
                <w:highlight w:val="none"/>
                <w:u w:val="none"/>
              </w:rPr>
            </w:pP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768A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青稞</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1327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马铃薯</w:t>
            </w:r>
          </w:p>
        </w:tc>
        <w:tc>
          <w:tcPr>
            <w:tcW w:w="809" w:type="pct"/>
            <w:vMerge w:val="continue"/>
            <w:tcBorders>
              <w:left w:val="single" w:color="000000" w:sz="4" w:space="0"/>
              <w:bottom w:val="single" w:color="000000" w:sz="4" w:space="0"/>
              <w:right w:val="single" w:color="000000" w:sz="4" w:space="0"/>
            </w:tcBorders>
            <w:shd w:val="clear" w:color="auto" w:fill="auto"/>
            <w:vAlign w:val="center"/>
          </w:tcPr>
          <w:p w14:paraId="5B099E19">
            <w:pPr>
              <w:rPr>
                <w:rFonts w:hint="default" w:ascii="Times New Roman" w:hAnsi="Times New Roman" w:eastAsia="宋体" w:cs="Times New Roman"/>
                <w:i w:val="0"/>
                <w:iCs w:val="0"/>
                <w:color w:val="auto"/>
                <w:sz w:val="24"/>
                <w:szCs w:val="24"/>
                <w:highlight w:val="none"/>
                <w:u w:val="none"/>
              </w:rPr>
            </w:pPr>
          </w:p>
        </w:tc>
      </w:tr>
      <w:tr w14:paraId="7F6F7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16C3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一、灌溉增产值</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BD172">
            <w:pPr>
              <w:jc w:val="center"/>
              <w:rPr>
                <w:rFonts w:hint="default" w:ascii="Times New Roman" w:hAnsi="Times New Roman" w:eastAsia="宋体" w:cs="Times New Roman"/>
                <w:i w:val="0"/>
                <w:iCs w:val="0"/>
                <w:color w:val="auto"/>
                <w:sz w:val="24"/>
                <w:szCs w:val="24"/>
                <w:highlight w:val="none"/>
                <w:u w:val="none"/>
              </w:rPr>
            </w:pP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23595">
            <w:pPr>
              <w:jc w:val="center"/>
              <w:rPr>
                <w:rFonts w:hint="default" w:ascii="Times New Roman" w:hAnsi="Times New Roman" w:eastAsia="宋体" w:cs="Times New Roman"/>
                <w:i w:val="0"/>
                <w:iCs w:val="0"/>
                <w:color w:val="auto"/>
                <w:sz w:val="24"/>
                <w:szCs w:val="24"/>
                <w:highlight w:val="none"/>
                <w:u w:val="none"/>
              </w:rPr>
            </w:pP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1B4CDA">
            <w:pPr>
              <w:jc w:val="center"/>
              <w:rPr>
                <w:rFonts w:hint="default" w:ascii="Times New Roman" w:hAnsi="Times New Roman" w:eastAsia="宋体" w:cs="Times New Roman"/>
                <w:i w:val="0"/>
                <w:iCs w:val="0"/>
                <w:color w:val="auto"/>
                <w:sz w:val="24"/>
                <w:szCs w:val="24"/>
                <w:highlight w:val="none"/>
                <w:u w:val="none"/>
              </w:rPr>
            </w:pP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72181">
            <w:pPr>
              <w:jc w:val="center"/>
              <w:rPr>
                <w:rFonts w:hint="default" w:ascii="Times New Roman" w:hAnsi="Times New Roman" w:eastAsia="宋体" w:cs="Times New Roman"/>
                <w:i w:val="0"/>
                <w:iCs w:val="0"/>
                <w:color w:val="auto"/>
                <w:sz w:val="24"/>
                <w:szCs w:val="24"/>
                <w:highlight w:val="none"/>
                <w:u w:val="none"/>
              </w:rPr>
            </w:pPr>
          </w:p>
        </w:tc>
      </w:tr>
      <w:tr w14:paraId="2B8D9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5702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（一）现状</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DC524">
            <w:pPr>
              <w:jc w:val="center"/>
              <w:rPr>
                <w:rFonts w:hint="default" w:ascii="Times New Roman" w:hAnsi="Times New Roman" w:eastAsia="宋体" w:cs="Times New Roman"/>
                <w:i w:val="0"/>
                <w:iCs w:val="0"/>
                <w:color w:val="auto"/>
                <w:sz w:val="24"/>
                <w:szCs w:val="24"/>
                <w:highlight w:val="none"/>
                <w:u w:val="none"/>
              </w:rPr>
            </w:pP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9003C">
            <w:pPr>
              <w:jc w:val="center"/>
              <w:rPr>
                <w:rFonts w:hint="default" w:ascii="Times New Roman" w:hAnsi="Times New Roman" w:eastAsia="宋体" w:cs="Times New Roman"/>
                <w:i w:val="0"/>
                <w:iCs w:val="0"/>
                <w:color w:val="auto"/>
                <w:sz w:val="24"/>
                <w:szCs w:val="24"/>
                <w:highlight w:val="none"/>
                <w:u w:val="none"/>
              </w:rPr>
            </w:pP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23012">
            <w:pPr>
              <w:jc w:val="center"/>
              <w:rPr>
                <w:rFonts w:hint="default" w:ascii="Times New Roman" w:hAnsi="Times New Roman" w:eastAsia="宋体" w:cs="Times New Roman"/>
                <w:i w:val="0"/>
                <w:iCs w:val="0"/>
                <w:color w:val="auto"/>
                <w:sz w:val="24"/>
                <w:szCs w:val="24"/>
                <w:highlight w:val="none"/>
                <w:u w:val="none"/>
              </w:rPr>
            </w:pP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DA1F6">
            <w:pPr>
              <w:jc w:val="center"/>
              <w:rPr>
                <w:rFonts w:hint="default" w:ascii="Times New Roman" w:hAnsi="Times New Roman" w:eastAsia="宋体" w:cs="Times New Roman"/>
                <w:i w:val="0"/>
                <w:iCs w:val="0"/>
                <w:color w:val="auto"/>
                <w:sz w:val="24"/>
                <w:szCs w:val="24"/>
                <w:highlight w:val="none"/>
                <w:u w:val="none"/>
              </w:rPr>
            </w:pPr>
          </w:p>
        </w:tc>
      </w:tr>
      <w:tr w14:paraId="58F89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704A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1.农产品种植面积</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366F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亩</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EA34B">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8052.8</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70BF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1947.2</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3693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10000.00 </w:t>
            </w:r>
          </w:p>
        </w:tc>
      </w:tr>
      <w:tr w14:paraId="3254E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6591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2.单产</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04BD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kg/亩</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54A6E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215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7481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345</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6049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560.00 </w:t>
            </w:r>
          </w:p>
        </w:tc>
      </w:tr>
      <w:tr w14:paraId="4B063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A52D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3.总产量</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203B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万kg</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FC863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173.14 </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B8129">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67.18 </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A12C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240.31 </w:t>
            </w:r>
          </w:p>
        </w:tc>
      </w:tr>
      <w:tr w14:paraId="53D2E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7AEA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4.单价</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8E82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元/kg</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AD90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3</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E276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2.5</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B6A1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w:t>
            </w:r>
          </w:p>
        </w:tc>
      </w:tr>
      <w:tr w14:paraId="65EA7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C641E">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5.产值</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6E28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万元</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0F3DB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519.41 </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C02DD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167.95 </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467D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687.35 </w:t>
            </w:r>
          </w:p>
        </w:tc>
      </w:tr>
      <w:tr w14:paraId="10333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9173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（二）规划</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0E5D9">
            <w:pPr>
              <w:jc w:val="center"/>
              <w:rPr>
                <w:rFonts w:hint="default" w:ascii="Times New Roman" w:hAnsi="Times New Roman" w:eastAsia="宋体" w:cs="Times New Roman"/>
                <w:i w:val="0"/>
                <w:iCs w:val="0"/>
                <w:color w:val="auto"/>
                <w:sz w:val="24"/>
                <w:szCs w:val="24"/>
                <w:highlight w:val="none"/>
                <w:u w:val="none"/>
              </w:rPr>
            </w:pP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E3D808">
            <w:pPr>
              <w:jc w:val="center"/>
              <w:rPr>
                <w:rFonts w:hint="default" w:ascii="Times New Roman" w:hAnsi="Times New Roman" w:eastAsia="宋体" w:cs="Times New Roman"/>
                <w:i w:val="0"/>
                <w:iCs w:val="0"/>
                <w:color w:val="auto"/>
                <w:sz w:val="24"/>
                <w:szCs w:val="24"/>
                <w:highlight w:val="none"/>
                <w:u w:val="none"/>
              </w:rPr>
            </w:pP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38532">
            <w:pPr>
              <w:jc w:val="center"/>
              <w:rPr>
                <w:rFonts w:hint="default" w:ascii="Times New Roman" w:hAnsi="Times New Roman" w:eastAsia="宋体" w:cs="Times New Roman"/>
                <w:i w:val="0"/>
                <w:iCs w:val="0"/>
                <w:color w:val="auto"/>
                <w:sz w:val="24"/>
                <w:szCs w:val="24"/>
                <w:highlight w:val="none"/>
                <w:u w:val="none"/>
              </w:rPr>
            </w:pP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5E17E0">
            <w:pPr>
              <w:jc w:val="center"/>
              <w:rPr>
                <w:rFonts w:hint="default" w:ascii="Times New Roman" w:hAnsi="Times New Roman" w:eastAsia="宋体" w:cs="Times New Roman"/>
                <w:i w:val="0"/>
                <w:iCs w:val="0"/>
                <w:color w:val="auto"/>
                <w:sz w:val="24"/>
                <w:szCs w:val="24"/>
                <w:highlight w:val="none"/>
                <w:u w:val="none"/>
              </w:rPr>
            </w:pPr>
          </w:p>
        </w:tc>
      </w:tr>
      <w:tr w14:paraId="6D82D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E7657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1.农产品种植面积</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59A7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亩</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95550">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8052.8</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FD78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1947.2</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764B2">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10000.00 </w:t>
            </w:r>
          </w:p>
        </w:tc>
      </w:tr>
      <w:tr w14:paraId="2346C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F67B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2.单产</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C7E8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kg/亩</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8C59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235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F1B40">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380</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E650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615.00 </w:t>
            </w:r>
          </w:p>
        </w:tc>
      </w:tr>
      <w:tr w14:paraId="284F5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4E23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3.总产量</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099A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万kg</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6763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189.24 </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ECD2C">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73.99 </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2225C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263.23 </w:t>
            </w:r>
          </w:p>
        </w:tc>
      </w:tr>
      <w:tr w14:paraId="0943F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0BFA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4.单价</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AA11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元/kg</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D0BC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3</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17CB5">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2.5</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889F0">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5.50 </w:t>
            </w:r>
          </w:p>
        </w:tc>
      </w:tr>
      <w:tr w14:paraId="56536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5653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5.产值</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3351B">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万元</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547BD6">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567.72 </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70C9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184.98 </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C12EBA">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752.71 </w:t>
            </w:r>
          </w:p>
        </w:tc>
      </w:tr>
      <w:tr w14:paraId="52A21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FBC6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（三）增值</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0E951">
            <w:pPr>
              <w:jc w:val="center"/>
              <w:rPr>
                <w:rFonts w:hint="default" w:ascii="Times New Roman" w:hAnsi="Times New Roman" w:eastAsia="宋体" w:cs="Times New Roman"/>
                <w:i w:val="0"/>
                <w:iCs w:val="0"/>
                <w:color w:val="auto"/>
                <w:sz w:val="24"/>
                <w:szCs w:val="24"/>
                <w:highlight w:val="none"/>
                <w:u w:val="none"/>
              </w:rPr>
            </w:pP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14F4B6">
            <w:pPr>
              <w:jc w:val="center"/>
              <w:rPr>
                <w:rFonts w:hint="default" w:ascii="Times New Roman" w:hAnsi="Times New Roman" w:eastAsia="宋体" w:cs="Times New Roman"/>
                <w:i w:val="0"/>
                <w:iCs w:val="0"/>
                <w:color w:val="auto"/>
                <w:sz w:val="24"/>
                <w:szCs w:val="24"/>
                <w:highlight w:val="none"/>
                <w:u w:val="none"/>
              </w:rPr>
            </w:pP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058A14">
            <w:pPr>
              <w:jc w:val="center"/>
              <w:rPr>
                <w:rFonts w:hint="default" w:ascii="Times New Roman" w:hAnsi="Times New Roman" w:eastAsia="宋体" w:cs="Times New Roman"/>
                <w:i w:val="0"/>
                <w:iCs w:val="0"/>
                <w:color w:val="auto"/>
                <w:sz w:val="24"/>
                <w:szCs w:val="24"/>
                <w:highlight w:val="none"/>
                <w:u w:val="none"/>
              </w:rPr>
            </w:pP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74FBB">
            <w:pPr>
              <w:jc w:val="center"/>
              <w:rPr>
                <w:rFonts w:hint="default" w:ascii="Times New Roman" w:hAnsi="Times New Roman" w:eastAsia="宋体" w:cs="Times New Roman"/>
                <w:i w:val="0"/>
                <w:iCs w:val="0"/>
                <w:color w:val="auto"/>
                <w:sz w:val="24"/>
                <w:szCs w:val="24"/>
                <w:highlight w:val="none"/>
                <w:u w:val="none"/>
              </w:rPr>
            </w:pPr>
          </w:p>
        </w:tc>
      </w:tr>
      <w:tr w14:paraId="37225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0DD0D">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1.产量</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1F60A3">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万kg</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F8318">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16.11 </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B1DB7">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6.82 </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DC71F">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22.92 </w:t>
            </w:r>
          </w:p>
        </w:tc>
      </w:tr>
      <w:tr w14:paraId="17A24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0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E2FB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2.产值</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5F15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万元</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D5C64">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48.32 </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AE6D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17.04 </w:t>
            </w:r>
          </w:p>
        </w:tc>
        <w:tc>
          <w:tcPr>
            <w:tcW w:w="8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A80A1">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snapToGrid w:val="0"/>
                <w:color w:val="auto"/>
                <w:kern w:val="0"/>
                <w:sz w:val="24"/>
                <w:szCs w:val="24"/>
                <w:highlight w:val="none"/>
                <w:u w:val="none"/>
                <w:lang w:val="en-US" w:eastAsia="zh-CN" w:bidi="ar"/>
              </w:rPr>
              <w:t xml:space="preserve">65.35 </w:t>
            </w:r>
          </w:p>
        </w:tc>
      </w:tr>
    </w:tbl>
    <w:p w14:paraId="06869DE1">
      <w:pPr>
        <w:kinsoku/>
        <w:spacing w:line="540" w:lineRule="exact"/>
        <w:ind w:left="40"/>
        <w:rPr>
          <w:rFonts w:hint="default" w:ascii="Times New Roman" w:hAnsi="Times New Roman" w:eastAsia="宋体" w:cs="Times New Roman"/>
          <w:smallCaps w:val="0"/>
          <w:color w:val="auto"/>
          <w:spacing w:val="0"/>
          <w:w w:val="100"/>
          <w:sz w:val="28"/>
          <w:szCs w:val="28"/>
          <w:highlight w:val="none"/>
          <w:lang w:eastAsia="zh-CN"/>
        </w:rPr>
      </w:pPr>
    </w:p>
    <w:p w14:paraId="4183518D">
      <w:pPr>
        <w:kinsoku/>
        <w:spacing w:before="97" w:line="219" w:lineRule="auto"/>
        <w:ind w:left="48" w:leftChars="0"/>
        <w:outlineLvl w:val="1"/>
        <w:rPr>
          <w:rFonts w:hint="default" w:ascii="Times New Roman" w:hAnsi="Times New Roman" w:eastAsia="宋体" w:cs="Times New Roman"/>
          <w:smallCaps w:val="0"/>
          <w:color w:val="auto"/>
          <w:spacing w:val="0"/>
          <w:w w:val="100"/>
          <w:sz w:val="30"/>
          <w:szCs w:val="30"/>
          <w:highlight w:val="none"/>
        </w:rPr>
      </w:pPr>
      <w:bookmarkStart w:id="323" w:name="bookmark45"/>
      <w:bookmarkEnd w:id="323"/>
      <w:bookmarkStart w:id="324" w:name="_Toc12060"/>
      <w:bookmarkStart w:id="325" w:name="_Toc29202"/>
      <w:r>
        <w:rPr>
          <w:rFonts w:hint="default" w:ascii="Times New Roman" w:hAnsi="Times New Roman" w:eastAsia="宋体" w:cs="Times New Roman"/>
          <w:b/>
          <w:bCs/>
          <w:smallCaps w:val="0"/>
          <w:color w:val="auto"/>
          <w:spacing w:val="0"/>
          <w:w w:val="100"/>
          <w:sz w:val="30"/>
          <w:szCs w:val="30"/>
          <w:highlight w:val="none"/>
        </w:rPr>
        <w:t>10.2 社会效益</w:t>
      </w:r>
      <w:bookmarkEnd w:id="324"/>
      <w:bookmarkEnd w:id="325"/>
    </w:p>
    <w:p w14:paraId="18D4922C">
      <w:pPr>
        <w:kinsoku/>
        <w:spacing w:line="560" w:lineRule="exact"/>
        <w:ind w:left="40" w:firstLine="64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通过</w:t>
      </w:r>
      <w:r>
        <w:rPr>
          <w:rFonts w:hint="default" w:ascii="Times New Roman" w:hAnsi="Times New Roman" w:eastAsia="宋体" w:cs="Times New Roman"/>
          <w:smallCaps w:val="0"/>
          <w:color w:val="auto"/>
          <w:spacing w:val="0"/>
          <w:w w:val="100"/>
          <w:sz w:val="30"/>
          <w:szCs w:val="30"/>
          <w:highlight w:val="none"/>
          <w:lang w:val="en-US" w:eastAsia="zh-CN"/>
        </w:rPr>
        <w:t>10000亩高标准农田</w:t>
      </w:r>
      <w:r>
        <w:rPr>
          <w:rFonts w:hint="default" w:ascii="Times New Roman" w:hAnsi="Times New Roman" w:eastAsia="宋体" w:cs="Times New Roman"/>
          <w:smallCaps w:val="0"/>
          <w:color w:val="auto"/>
          <w:spacing w:val="0"/>
          <w:w w:val="100"/>
          <w:sz w:val="30"/>
          <w:szCs w:val="30"/>
          <w:highlight w:val="none"/>
          <w:lang w:eastAsia="zh-CN"/>
        </w:rPr>
        <w:t>建设项目的实施，将使项目区</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个</w:t>
      </w:r>
      <w:r>
        <w:rPr>
          <w:rFonts w:hint="default" w:ascii="Times New Roman" w:hAnsi="Times New Roman" w:eastAsia="宋体" w:cs="Times New Roman"/>
          <w:smallCaps w:val="0"/>
          <w:color w:val="auto"/>
          <w:spacing w:val="0"/>
          <w:w w:val="100"/>
          <w:sz w:val="30"/>
          <w:szCs w:val="30"/>
          <w:highlight w:val="none"/>
          <w:lang w:val="en-US" w:eastAsia="zh-CN"/>
        </w:rPr>
        <w:t>乡镇</w:t>
      </w:r>
      <w:r>
        <w:rPr>
          <w:rFonts w:hint="default" w:ascii="Times New Roman" w:hAnsi="Times New Roman" w:eastAsia="宋体" w:cs="Times New Roman"/>
          <w:smallCaps w:val="0"/>
          <w:color w:val="auto"/>
          <w:spacing w:val="0"/>
          <w:w w:val="100"/>
          <w:sz w:val="30"/>
          <w:szCs w:val="30"/>
          <w:highlight w:val="none"/>
          <w:lang w:eastAsia="zh-CN"/>
        </w:rPr>
        <w:t>农户直接受益，受益农业人口数量达13659人，公众满意度达9</w:t>
      </w:r>
      <w:r>
        <w:rPr>
          <w:rFonts w:hint="default" w:ascii="Times New Roman" w:hAnsi="Times New Roman" w:eastAsia="宋体" w:cs="Times New Roman"/>
          <w:smallCaps w:val="0"/>
          <w:color w:val="auto"/>
          <w:spacing w:val="0"/>
          <w:w w:val="100"/>
          <w:sz w:val="30"/>
          <w:szCs w:val="30"/>
          <w:highlight w:val="none"/>
          <w:lang w:val="en-US" w:eastAsia="zh-CN"/>
        </w:rPr>
        <w:t>5</w:t>
      </w:r>
      <w:r>
        <w:rPr>
          <w:rFonts w:hint="default" w:ascii="Times New Roman" w:hAnsi="Times New Roman" w:eastAsia="宋体" w:cs="Times New Roman"/>
          <w:smallCaps w:val="0"/>
          <w:color w:val="auto"/>
          <w:spacing w:val="0"/>
          <w:w w:val="100"/>
          <w:sz w:val="30"/>
          <w:szCs w:val="30"/>
          <w:highlight w:val="none"/>
          <w:lang w:eastAsia="zh-CN"/>
        </w:rPr>
        <w:t>%以上，给农民群众创造了看得见、摸得着的实惠，加深项目区农民群众对高标准农田建设工程的了解，亲身感受到党和政府的关怀，使公共财政的阳光照耀广大项目区农村，进一步增强党政干部与人民群众的密切联系，促进项目区形成良好民风；通过田间道路、水利设施、农田建设，改善项目区村容村貌。项目建成后，将显著改善项目区农田基础条件，实现灌溉有渠排水有沟，提高农业基础设施抗灾能力，促进水资源的合理利用和生态环境的良性循环。通过</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水、田、路</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综合治理，使项目区形成</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渠成网、田成方、路相通</w:t>
      </w:r>
      <w:r>
        <w:rPr>
          <w:rFonts w:hint="eastAsia" w:ascii="Times New Roman" w:hAnsi="Times New Roman" w:eastAsia="宋体" w:cs="Times New Roman"/>
          <w:smallCaps w:val="0"/>
          <w:color w:val="auto"/>
          <w:spacing w:val="0"/>
          <w:w w:val="100"/>
          <w:sz w:val="30"/>
          <w:szCs w:val="30"/>
          <w:highlight w:val="none"/>
          <w:lang w:eastAsia="zh-CN"/>
        </w:rPr>
        <w:t>”</w:t>
      </w:r>
      <w:r>
        <w:rPr>
          <w:rFonts w:hint="default" w:ascii="Times New Roman" w:hAnsi="Times New Roman" w:eastAsia="宋体" w:cs="Times New Roman"/>
          <w:smallCaps w:val="0"/>
          <w:color w:val="auto"/>
          <w:spacing w:val="0"/>
          <w:w w:val="100"/>
          <w:sz w:val="30"/>
          <w:szCs w:val="30"/>
          <w:highlight w:val="none"/>
          <w:lang w:eastAsia="zh-CN"/>
        </w:rPr>
        <w:t>的现代农业格局。</w:t>
      </w:r>
    </w:p>
    <w:p w14:paraId="7060B2DC">
      <w:pPr>
        <w:kinsoku/>
        <w:spacing w:line="560" w:lineRule="exact"/>
        <w:ind w:left="48" w:leftChars="0"/>
        <w:outlineLvl w:val="1"/>
        <w:rPr>
          <w:rFonts w:hint="default" w:ascii="Times New Roman" w:hAnsi="Times New Roman" w:eastAsia="宋体" w:cs="Times New Roman"/>
          <w:smallCaps w:val="0"/>
          <w:color w:val="auto"/>
          <w:spacing w:val="0"/>
          <w:w w:val="100"/>
          <w:sz w:val="30"/>
          <w:szCs w:val="30"/>
          <w:highlight w:val="none"/>
          <w:lang w:eastAsia="zh-CN"/>
        </w:rPr>
      </w:pPr>
      <w:bookmarkStart w:id="326" w:name="_Toc4620"/>
      <w:bookmarkStart w:id="327" w:name="_Toc2728"/>
      <w:r>
        <w:rPr>
          <w:rFonts w:hint="default" w:ascii="Times New Roman" w:hAnsi="Times New Roman" w:eastAsia="宋体" w:cs="Times New Roman"/>
          <w:b/>
          <w:bCs/>
          <w:smallCaps w:val="0"/>
          <w:color w:val="auto"/>
          <w:spacing w:val="0"/>
          <w:w w:val="100"/>
          <w:sz w:val="30"/>
          <w:szCs w:val="30"/>
          <w:highlight w:val="none"/>
          <w:lang w:eastAsia="zh-CN"/>
        </w:rPr>
        <w:t>10.3 生态效益</w:t>
      </w:r>
      <w:bookmarkEnd w:id="326"/>
      <w:bookmarkEnd w:id="327"/>
    </w:p>
    <w:p w14:paraId="42CE7DE8">
      <w:pPr>
        <w:kinsoku/>
        <w:spacing w:line="560" w:lineRule="exact"/>
        <w:ind w:left="40" w:firstLine="64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1.项目建设可大幅度提高灌溉水利用率，灌溉水利用系数提高到</w:t>
      </w:r>
      <w:r>
        <w:rPr>
          <w:rFonts w:hint="default" w:ascii="Times New Roman" w:hAnsi="Times New Roman" w:eastAsia="宋体" w:cs="Times New Roman"/>
          <w:smallCaps w:val="0"/>
          <w:color w:val="auto"/>
          <w:spacing w:val="0"/>
          <w:w w:val="100"/>
          <w:sz w:val="30"/>
          <w:szCs w:val="30"/>
          <w:highlight w:val="none"/>
          <w:lang w:val="en-US" w:eastAsia="zh-CN"/>
        </w:rPr>
        <w:t>0.49提高到0.578</w:t>
      </w:r>
      <w:r>
        <w:rPr>
          <w:rFonts w:hint="default" w:ascii="Times New Roman" w:hAnsi="Times New Roman" w:eastAsia="宋体" w:cs="Times New Roman"/>
          <w:smallCaps w:val="0"/>
          <w:color w:val="auto"/>
          <w:spacing w:val="0"/>
          <w:w w:val="100"/>
          <w:sz w:val="30"/>
          <w:szCs w:val="30"/>
          <w:highlight w:val="none"/>
          <w:lang w:eastAsia="zh-CN"/>
        </w:rPr>
        <w:t>，减少农田灌溉用水量</w:t>
      </w:r>
      <w:r>
        <w:rPr>
          <w:rFonts w:hint="default" w:ascii="Times New Roman" w:hAnsi="Times New Roman" w:eastAsia="宋体" w:cs="Times New Roman"/>
          <w:smallCaps w:val="0"/>
          <w:color w:val="auto"/>
          <w:spacing w:val="0"/>
          <w:w w:val="100"/>
          <w:sz w:val="30"/>
          <w:szCs w:val="30"/>
          <w:highlight w:val="none"/>
          <w:lang w:val="en-US" w:eastAsia="zh-CN"/>
        </w:rPr>
        <w:t>30.47万m</w:t>
      </w:r>
      <w:r>
        <w:rPr>
          <w:rFonts w:hint="default" w:ascii="Times New Roman" w:hAnsi="Times New Roman" w:eastAsia="宋体" w:cs="Times New Roman"/>
          <w:smallCaps w:val="0"/>
          <w:color w:val="auto"/>
          <w:spacing w:val="0"/>
          <w:w w:val="100"/>
          <w:sz w:val="30"/>
          <w:szCs w:val="30"/>
          <w:highlight w:val="none"/>
          <w:vertAlign w:val="superscript"/>
          <w:lang w:val="en-US" w:eastAsia="zh-CN"/>
        </w:rPr>
        <w:t>3</w:t>
      </w:r>
      <w:r>
        <w:rPr>
          <w:rFonts w:hint="default" w:ascii="Times New Roman" w:hAnsi="Times New Roman" w:eastAsia="宋体" w:cs="Times New Roman"/>
          <w:smallCaps w:val="0"/>
          <w:color w:val="auto"/>
          <w:spacing w:val="0"/>
          <w:w w:val="100"/>
          <w:sz w:val="30"/>
          <w:szCs w:val="30"/>
          <w:highlight w:val="none"/>
          <w:lang w:eastAsia="zh-CN"/>
        </w:rPr>
        <w:t>，节约宝贵的水资源。</w:t>
      </w:r>
    </w:p>
    <w:p w14:paraId="7B3CCFFF">
      <w:pPr>
        <w:kinsoku/>
        <w:spacing w:line="560" w:lineRule="exact"/>
        <w:ind w:left="40" w:firstLine="64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2.通过项目实施，可在一定程度上缓解农业发展和耕地、水资源紧张的矛盾，有利于促进农业生产中的生态保护与建设。</w:t>
      </w:r>
    </w:p>
    <w:p w14:paraId="35E9106B">
      <w:pPr>
        <w:kinsoku/>
        <w:spacing w:line="560" w:lineRule="exact"/>
        <w:ind w:left="40" w:firstLine="647"/>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3.通过改善农田基础设施，农作物秸秆还田、增施有机肥改良土壤和推广测土配方施肥，可改善土壤理化性状，土壤有机质含量提高，减少了化肥的用量，减少肥料流失和浪费，减轻地表水和地下水的硝酸盐污染，净化空气环境，保护农田生态环境。项目实施后，改善灌溉面积10000亩。</w:t>
      </w:r>
    </w:p>
    <w:p w14:paraId="1E9F7D66">
      <w:pPr>
        <w:kinsoku/>
        <w:spacing w:line="560" w:lineRule="exact"/>
        <w:ind w:left="48" w:leftChars="0"/>
        <w:outlineLvl w:val="1"/>
        <w:rPr>
          <w:rFonts w:hint="default" w:ascii="Times New Roman" w:hAnsi="Times New Roman" w:eastAsia="宋体" w:cs="Times New Roman"/>
          <w:smallCaps w:val="0"/>
          <w:color w:val="auto"/>
          <w:spacing w:val="0"/>
          <w:w w:val="100"/>
          <w:sz w:val="30"/>
          <w:szCs w:val="30"/>
          <w:highlight w:val="none"/>
          <w:lang w:eastAsia="zh-CN"/>
        </w:rPr>
      </w:pPr>
      <w:bookmarkStart w:id="328" w:name="_Toc14268"/>
      <w:bookmarkStart w:id="329" w:name="_Toc5927"/>
      <w:r>
        <w:rPr>
          <w:rFonts w:hint="default" w:ascii="Times New Roman" w:hAnsi="Times New Roman" w:eastAsia="宋体" w:cs="Times New Roman"/>
          <w:b/>
          <w:bCs/>
          <w:smallCaps w:val="0"/>
          <w:color w:val="auto"/>
          <w:spacing w:val="0"/>
          <w:w w:val="100"/>
          <w:sz w:val="30"/>
          <w:szCs w:val="30"/>
          <w:highlight w:val="none"/>
          <w:lang w:eastAsia="zh-CN"/>
        </w:rPr>
        <w:t>10.4 支持乡村振兴效益</w:t>
      </w:r>
      <w:bookmarkEnd w:id="328"/>
      <w:bookmarkEnd w:id="329"/>
    </w:p>
    <w:p w14:paraId="5805C79C">
      <w:pPr>
        <w:kinsoku/>
        <w:spacing w:line="560" w:lineRule="exact"/>
        <w:ind w:left="40" w:right="110" w:firstLine="598"/>
        <w:jc w:val="both"/>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甘孜县目前已经实现了全县脱贫。本项目实施后，农田的水利化和机耕水平将大大提高，基础设施逐步完善，作物收成得到保障，农民收入增加，为甘孜县建设小康社会实现乡村振兴提供有力保障。极大地改善项目区农业生产条件，提高土地利用率和 农业生产效率，进而提高项目区人民生活水平。</w:t>
      </w:r>
    </w:p>
    <w:p w14:paraId="3FECAB2C">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376297FA">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0FB71325">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1BD10076">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5C340654">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17A60625">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627271A2">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1E96F152">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1E1D4357">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7A5212F1">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3D675D06">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7661D139">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3366E1B7">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3465E27B">
      <w:pPr>
        <w:kinsoku/>
        <w:spacing w:before="117" w:line="219" w:lineRule="auto"/>
        <w:jc w:val="center"/>
        <w:outlineLvl w:val="9"/>
        <w:rPr>
          <w:rFonts w:hint="default" w:ascii="Times New Roman" w:hAnsi="Times New Roman" w:eastAsia="宋体" w:cs="Times New Roman"/>
          <w:b/>
          <w:bCs/>
          <w:smallCaps w:val="0"/>
          <w:color w:val="auto"/>
          <w:spacing w:val="0"/>
          <w:w w:val="100"/>
          <w:sz w:val="36"/>
          <w:szCs w:val="36"/>
          <w:highlight w:val="none"/>
          <w:lang w:eastAsia="zh-CN"/>
        </w:rPr>
      </w:pPr>
    </w:p>
    <w:p w14:paraId="498F31B1">
      <w:pPr>
        <w:kinsoku/>
        <w:spacing w:line="560" w:lineRule="exact"/>
        <w:ind w:left="3918" w:leftChars="0"/>
        <w:outlineLvl w:val="0"/>
        <w:rPr>
          <w:rFonts w:hint="default" w:ascii="Times New Roman" w:hAnsi="Times New Roman" w:eastAsia="宋体" w:cs="Times New Roman"/>
          <w:smallCaps w:val="0"/>
          <w:color w:val="auto"/>
          <w:spacing w:val="0"/>
          <w:w w:val="100"/>
          <w:sz w:val="30"/>
          <w:szCs w:val="30"/>
          <w:highlight w:val="none"/>
          <w:lang w:eastAsia="zh-CN"/>
        </w:rPr>
      </w:pPr>
      <w:bookmarkStart w:id="330" w:name="bookmark48"/>
      <w:bookmarkEnd w:id="330"/>
      <w:bookmarkStart w:id="331" w:name="_Toc385"/>
      <w:bookmarkStart w:id="332" w:name="_Toc14031"/>
      <w:bookmarkStart w:id="333" w:name="_Toc4891"/>
      <w:bookmarkStart w:id="334" w:name="_Toc29156"/>
      <w:bookmarkStart w:id="335" w:name="_Toc26308"/>
      <w:bookmarkStart w:id="336" w:name="_Toc29429"/>
      <w:r>
        <w:rPr>
          <w:rFonts w:hint="default" w:ascii="Times New Roman" w:hAnsi="Times New Roman" w:eastAsia="宋体" w:cs="Times New Roman"/>
          <w:b/>
          <w:bCs/>
          <w:smallCaps w:val="0"/>
          <w:color w:val="auto"/>
          <w:spacing w:val="0"/>
          <w:w w:val="100"/>
          <w:sz w:val="30"/>
          <w:szCs w:val="30"/>
          <w:highlight w:val="none"/>
          <w:lang w:eastAsia="zh-CN"/>
        </w:rPr>
        <w:t>附件</w:t>
      </w:r>
      <w:bookmarkEnd w:id="331"/>
      <w:bookmarkEnd w:id="332"/>
      <w:bookmarkEnd w:id="333"/>
      <w:bookmarkEnd w:id="334"/>
      <w:bookmarkEnd w:id="335"/>
      <w:bookmarkEnd w:id="336"/>
    </w:p>
    <w:p w14:paraId="1572214E">
      <w:pPr>
        <w:kinsoku/>
        <w:spacing w:line="560" w:lineRule="exact"/>
        <w:ind w:left="48" w:leftChars="0"/>
        <w:outlineLvl w:val="0"/>
        <w:rPr>
          <w:rFonts w:hint="default" w:ascii="Times New Roman" w:hAnsi="Times New Roman" w:eastAsia="宋体" w:cs="Times New Roman"/>
          <w:smallCaps w:val="0"/>
          <w:color w:val="auto"/>
          <w:spacing w:val="0"/>
          <w:w w:val="100"/>
          <w:sz w:val="30"/>
          <w:szCs w:val="30"/>
          <w:highlight w:val="none"/>
          <w:lang w:val="en-US" w:eastAsia="zh-CN"/>
        </w:rPr>
      </w:pPr>
      <w:bookmarkStart w:id="337" w:name="_Toc5907"/>
      <w:bookmarkStart w:id="338" w:name="_Toc24887"/>
      <w:bookmarkStart w:id="339" w:name="_Toc20009"/>
      <w:bookmarkStart w:id="340" w:name="_Toc24371"/>
      <w:bookmarkStart w:id="341" w:name="_Toc3960"/>
      <w:bookmarkStart w:id="342" w:name="_Toc20651"/>
      <w:r>
        <w:rPr>
          <w:rFonts w:hint="default" w:ascii="Times New Roman" w:hAnsi="Times New Roman" w:eastAsia="宋体" w:cs="Times New Roman"/>
          <w:b/>
          <w:bCs/>
          <w:smallCaps w:val="0"/>
          <w:color w:val="auto"/>
          <w:spacing w:val="0"/>
          <w:w w:val="100"/>
          <w:sz w:val="30"/>
          <w:szCs w:val="30"/>
          <w:highlight w:val="none"/>
          <w:lang w:eastAsia="zh-CN"/>
        </w:rPr>
        <w:t>（一）附</w:t>
      </w:r>
      <w:r>
        <w:rPr>
          <w:rFonts w:hint="default" w:ascii="Times New Roman" w:hAnsi="Times New Roman" w:eastAsia="宋体" w:cs="Times New Roman"/>
          <w:b/>
          <w:bCs/>
          <w:smallCaps w:val="0"/>
          <w:color w:val="auto"/>
          <w:spacing w:val="0"/>
          <w:w w:val="100"/>
          <w:sz w:val="30"/>
          <w:szCs w:val="30"/>
          <w:highlight w:val="none"/>
          <w:lang w:val="en-US" w:eastAsia="zh-CN"/>
        </w:rPr>
        <w:t>件资料</w:t>
      </w:r>
      <w:bookmarkEnd w:id="337"/>
      <w:bookmarkEnd w:id="338"/>
      <w:bookmarkEnd w:id="339"/>
      <w:bookmarkEnd w:id="340"/>
      <w:bookmarkEnd w:id="341"/>
      <w:bookmarkEnd w:id="342"/>
      <w:r>
        <w:rPr>
          <w:rFonts w:hint="eastAsia" w:ascii="Times New Roman" w:hAnsi="Times New Roman" w:eastAsia="宋体" w:cs="Times New Roman"/>
          <w:b/>
          <w:bCs/>
          <w:smallCaps w:val="0"/>
          <w:color w:val="auto"/>
          <w:spacing w:val="0"/>
          <w:w w:val="100"/>
          <w:sz w:val="30"/>
          <w:szCs w:val="30"/>
          <w:highlight w:val="none"/>
          <w:lang w:val="en-US" w:eastAsia="zh-CN"/>
        </w:rPr>
        <w:t>（后附）</w:t>
      </w:r>
    </w:p>
    <w:p w14:paraId="5674642F">
      <w:pPr>
        <w:kinsoku/>
        <w:spacing w:line="560" w:lineRule="exact"/>
        <w:ind w:left="76" w:right="131" w:firstLine="558"/>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1.</w:t>
      </w:r>
      <w:r>
        <w:rPr>
          <w:rFonts w:hint="default" w:ascii="Times New Roman" w:hAnsi="Times New Roman" w:eastAsia="宋体" w:cs="Times New Roman"/>
          <w:bCs/>
          <w:smallCaps w:val="0"/>
          <w:snapToGrid w:val="0"/>
          <w:color w:val="auto"/>
          <w:spacing w:val="0"/>
          <w:w w:val="100"/>
          <w:sz w:val="30"/>
          <w:szCs w:val="30"/>
          <w:highlight w:val="none"/>
          <w:lang w:val="en-US" w:eastAsia="zh-CN" w:bidi="ar-SA"/>
        </w:rPr>
        <w:t xml:space="preserve"> 项目实施方案编制单位相关执照、法人资质材料及法人委托编制（勘察设计）人员（主编和参与编制人员）情况、编制人员信息（身份信息）的委托书及相关人员的签字。</w:t>
      </w:r>
    </w:p>
    <w:p w14:paraId="4A34376A">
      <w:pPr>
        <w:kinsoku/>
        <w:spacing w:line="560" w:lineRule="exact"/>
        <w:ind w:left="76" w:right="131" w:firstLine="558"/>
        <w:rPr>
          <w:rFonts w:hint="default" w:ascii="Times New Roman" w:hAnsi="Times New Roman" w:eastAsia="宋体" w:cs="Times New Roman"/>
          <w:smallCaps w:val="0"/>
          <w:color w:val="auto"/>
          <w:spacing w:val="0"/>
          <w:w w:val="100"/>
          <w:sz w:val="30"/>
          <w:szCs w:val="30"/>
          <w:highlight w:val="none"/>
          <w:lang w:val="en-US" w:eastAsia="zh-CN"/>
        </w:rPr>
      </w:pPr>
      <w:r>
        <w:rPr>
          <w:rFonts w:hint="default" w:ascii="Times New Roman" w:hAnsi="Times New Roman" w:eastAsia="宋体" w:cs="Times New Roman"/>
          <w:smallCaps w:val="0"/>
          <w:color w:val="auto"/>
          <w:spacing w:val="0"/>
          <w:w w:val="100"/>
          <w:sz w:val="30"/>
          <w:szCs w:val="30"/>
          <w:highlight w:val="none"/>
          <w:lang w:eastAsia="zh-CN"/>
        </w:rPr>
        <w:t>2. 县人民政府对《</w:t>
      </w:r>
      <w:r>
        <w:rPr>
          <w:rFonts w:hint="eastAsia" w:ascii="Times New Roman" w:hAnsi="Times New Roman" w:eastAsia="宋体" w:cs="Times New Roman"/>
          <w:smallCaps w:val="0"/>
          <w:color w:val="auto"/>
          <w:spacing w:val="0"/>
          <w:w w:val="100"/>
          <w:sz w:val="30"/>
          <w:szCs w:val="30"/>
          <w:highlight w:val="none"/>
          <w:lang w:eastAsia="zh-CN"/>
        </w:rPr>
        <w:t>甘孜县2026年财政转移支付资金高标准农田建设项目（新建）</w:t>
      </w:r>
      <w:r>
        <w:rPr>
          <w:rFonts w:hint="default" w:ascii="Times New Roman" w:hAnsi="Times New Roman" w:eastAsia="宋体" w:cs="Times New Roman"/>
          <w:smallCaps w:val="0"/>
          <w:color w:val="auto"/>
          <w:spacing w:val="0"/>
          <w:w w:val="100"/>
          <w:sz w:val="30"/>
          <w:szCs w:val="30"/>
          <w:highlight w:val="none"/>
          <w:lang w:eastAsia="zh-CN"/>
        </w:rPr>
        <w:t>实施方案》的批复。</w:t>
      </w:r>
    </w:p>
    <w:p w14:paraId="529BCCBD">
      <w:pPr>
        <w:keepNext w:val="0"/>
        <w:keepLines w:val="0"/>
        <w:pageBreakBefore w:val="0"/>
        <w:widowControl/>
        <w:kinsoku/>
        <w:wordWrap/>
        <w:overflowPunct/>
        <w:topLinePunct w:val="0"/>
        <w:autoSpaceDE w:val="0"/>
        <w:autoSpaceDN w:val="0"/>
        <w:bidi w:val="0"/>
        <w:adjustRightInd w:val="0"/>
        <w:snapToGrid w:val="0"/>
        <w:spacing w:line="360" w:lineRule="auto"/>
        <w:ind w:left="76" w:right="131" w:firstLine="558"/>
        <w:textAlignment w:val="baseline"/>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3</w:t>
      </w:r>
      <w:r>
        <w:rPr>
          <w:rFonts w:hint="default" w:ascii="Times New Roman" w:hAnsi="Times New Roman" w:eastAsia="宋体" w:cs="Times New Roman"/>
          <w:smallCaps w:val="0"/>
          <w:color w:val="auto"/>
          <w:spacing w:val="0"/>
          <w:w w:val="100"/>
          <w:sz w:val="30"/>
          <w:szCs w:val="30"/>
          <w:highlight w:val="none"/>
          <w:lang w:val="en-US" w:eastAsia="zh-CN"/>
        </w:rPr>
        <w:t>.县级相关职能部门（自规、林草、水利、财政、发改、环保等）对项目建设的意见。</w:t>
      </w:r>
    </w:p>
    <w:p w14:paraId="03160C54">
      <w:pPr>
        <w:keepNext w:val="0"/>
        <w:keepLines w:val="0"/>
        <w:pageBreakBefore w:val="0"/>
        <w:widowControl/>
        <w:kinsoku/>
        <w:wordWrap/>
        <w:overflowPunct/>
        <w:topLinePunct w:val="0"/>
        <w:autoSpaceDE w:val="0"/>
        <w:autoSpaceDN w:val="0"/>
        <w:bidi w:val="0"/>
        <w:adjustRightInd w:val="0"/>
        <w:snapToGrid w:val="0"/>
        <w:spacing w:line="360" w:lineRule="auto"/>
        <w:ind w:left="76" w:right="131" w:firstLine="558"/>
        <w:textAlignment w:val="baseline"/>
        <w:rPr>
          <w:rFonts w:hint="default" w:ascii="Times New Roman" w:hAnsi="Times New Roman" w:eastAsia="宋体" w:cs="Times New Roman"/>
          <w:smallCaps w:val="0"/>
          <w:color w:val="auto"/>
          <w:spacing w:val="0"/>
          <w:w w:val="100"/>
          <w:sz w:val="30"/>
          <w:szCs w:val="30"/>
          <w:highlight w:val="none"/>
          <w:lang w:val="en-US" w:eastAsia="zh-CN"/>
        </w:rPr>
      </w:pPr>
      <w:r>
        <w:rPr>
          <w:rFonts w:hint="eastAsia"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val="en-US" w:eastAsia="zh-CN"/>
        </w:rPr>
        <w:t>.项目建设涉及的乡镇、村意见。</w:t>
      </w:r>
    </w:p>
    <w:p w14:paraId="358C185C">
      <w:pPr>
        <w:keepNext w:val="0"/>
        <w:keepLines w:val="0"/>
        <w:pageBreakBefore w:val="0"/>
        <w:widowControl/>
        <w:kinsoku/>
        <w:wordWrap/>
        <w:overflowPunct/>
        <w:topLinePunct w:val="0"/>
        <w:autoSpaceDE w:val="0"/>
        <w:autoSpaceDN w:val="0"/>
        <w:bidi w:val="0"/>
        <w:adjustRightInd w:val="0"/>
        <w:snapToGrid w:val="0"/>
        <w:spacing w:line="360" w:lineRule="auto"/>
        <w:ind w:left="48" w:leftChars="0"/>
        <w:textAlignment w:val="baseline"/>
        <w:outlineLvl w:val="0"/>
        <w:rPr>
          <w:rFonts w:hint="default" w:ascii="Times New Roman" w:hAnsi="Times New Roman" w:eastAsia="宋体" w:cs="Times New Roman"/>
          <w:b/>
          <w:bCs/>
          <w:smallCaps w:val="0"/>
          <w:color w:val="auto"/>
          <w:spacing w:val="0"/>
          <w:w w:val="100"/>
          <w:sz w:val="30"/>
          <w:szCs w:val="30"/>
          <w:highlight w:val="none"/>
          <w:lang w:eastAsia="zh-CN"/>
        </w:rPr>
      </w:pPr>
      <w:bookmarkStart w:id="343" w:name="_Toc1857"/>
      <w:bookmarkStart w:id="344" w:name="_Toc10000"/>
      <w:bookmarkStart w:id="345" w:name="_Toc19438"/>
      <w:bookmarkStart w:id="346" w:name="_Toc1779"/>
      <w:bookmarkStart w:id="347" w:name="_Toc16562"/>
      <w:bookmarkStart w:id="348" w:name="_Toc10410"/>
      <w:r>
        <w:rPr>
          <w:rFonts w:hint="default" w:ascii="Times New Roman" w:hAnsi="Times New Roman" w:eastAsia="宋体" w:cs="Times New Roman"/>
          <w:b/>
          <w:bCs/>
          <w:smallCaps w:val="0"/>
          <w:color w:val="auto"/>
          <w:spacing w:val="0"/>
          <w:w w:val="100"/>
          <w:sz w:val="30"/>
          <w:szCs w:val="30"/>
          <w:highlight w:val="none"/>
          <w:lang w:eastAsia="zh-CN"/>
        </w:rPr>
        <w:t>（二）项目工程概（预）算表</w:t>
      </w:r>
      <w:bookmarkEnd w:id="343"/>
      <w:bookmarkEnd w:id="344"/>
      <w:bookmarkEnd w:id="345"/>
      <w:bookmarkEnd w:id="346"/>
      <w:bookmarkEnd w:id="347"/>
      <w:bookmarkEnd w:id="348"/>
      <w:r>
        <w:rPr>
          <w:rFonts w:hint="eastAsia" w:ascii="Times New Roman" w:hAnsi="Times New Roman" w:eastAsia="宋体" w:cs="Times New Roman"/>
          <w:b/>
          <w:bCs/>
          <w:smallCaps w:val="0"/>
          <w:color w:val="auto"/>
          <w:spacing w:val="0"/>
          <w:w w:val="100"/>
          <w:sz w:val="30"/>
          <w:szCs w:val="30"/>
          <w:highlight w:val="none"/>
          <w:lang w:eastAsia="zh-CN"/>
        </w:rPr>
        <w:t>（</w:t>
      </w:r>
      <w:r>
        <w:rPr>
          <w:rFonts w:hint="eastAsia" w:ascii="Times New Roman" w:hAnsi="Times New Roman" w:eastAsia="宋体" w:cs="Times New Roman"/>
          <w:b/>
          <w:bCs/>
          <w:smallCaps w:val="0"/>
          <w:color w:val="auto"/>
          <w:spacing w:val="0"/>
          <w:w w:val="100"/>
          <w:sz w:val="30"/>
          <w:szCs w:val="30"/>
          <w:highlight w:val="none"/>
          <w:lang w:val="en-US" w:eastAsia="zh-CN"/>
        </w:rPr>
        <w:t>另册</w:t>
      </w:r>
      <w:r>
        <w:rPr>
          <w:rFonts w:hint="eastAsia" w:ascii="Times New Roman" w:hAnsi="Times New Roman" w:eastAsia="宋体" w:cs="Times New Roman"/>
          <w:b/>
          <w:bCs/>
          <w:smallCaps w:val="0"/>
          <w:color w:val="auto"/>
          <w:spacing w:val="0"/>
          <w:w w:val="100"/>
          <w:sz w:val="30"/>
          <w:szCs w:val="30"/>
          <w:highlight w:val="none"/>
          <w:lang w:eastAsia="zh-CN"/>
        </w:rPr>
        <w:t>）</w:t>
      </w:r>
    </w:p>
    <w:p w14:paraId="2DEE868B">
      <w:pPr>
        <w:keepNext w:val="0"/>
        <w:keepLines w:val="0"/>
        <w:pageBreakBefore w:val="0"/>
        <w:widowControl/>
        <w:kinsoku/>
        <w:wordWrap/>
        <w:overflowPunct/>
        <w:topLinePunct w:val="0"/>
        <w:autoSpaceDE w:val="0"/>
        <w:autoSpaceDN w:val="0"/>
        <w:bidi w:val="0"/>
        <w:adjustRightInd w:val="0"/>
        <w:snapToGrid w:val="0"/>
        <w:spacing w:line="360" w:lineRule="auto"/>
        <w:ind w:left="48" w:leftChars="0"/>
        <w:textAlignment w:val="baseline"/>
        <w:outlineLvl w:val="0"/>
        <w:rPr>
          <w:rFonts w:hint="default" w:ascii="Times New Roman" w:hAnsi="Times New Roman" w:eastAsia="宋体" w:cs="Times New Roman"/>
          <w:b/>
          <w:bCs/>
          <w:smallCaps w:val="0"/>
          <w:color w:val="auto"/>
          <w:spacing w:val="0"/>
          <w:w w:val="100"/>
          <w:sz w:val="30"/>
          <w:szCs w:val="30"/>
          <w:highlight w:val="none"/>
          <w:lang w:eastAsia="zh-CN"/>
        </w:rPr>
      </w:pPr>
      <w:bookmarkStart w:id="349" w:name="_Toc5979"/>
      <w:bookmarkStart w:id="350" w:name="_Toc2055"/>
      <w:bookmarkStart w:id="351" w:name="_Toc25082"/>
      <w:bookmarkStart w:id="352" w:name="_Toc15672"/>
      <w:bookmarkStart w:id="353" w:name="_Toc3619"/>
      <w:bookmarkStart w:id="354" w:name="_Toc20498"/>
      <w:r>
        <w:rPr>
          <w:rFonts w:hint="default" w:ascii="Times New Roman" w:hAnsi="Times New Roman" w:eastAsia="宋体" w:cs="Times New Roman"/>
          <w:b/>
          <w:bCs/>
          <w:smallCaps w:val="0"/>
          <w:color w:val="auto"/>
          <w:spacing w:val="0"/>
          <w:w w:val="100"/>
          <w:sz w:val="30"/>
          <w:szCs w:val="30"/>
          <w:highlight w:val="none"/>
          <w:lang w:eastAsia="zh-CN"/>
        </w:rPr>
        <w:t>（三）附图</w:t>
      </w:r>
      <w:bookmarkEnd w:id="349"/>
      <w:bookmarkEnd w:id="350"/>
      <w:bookmarkEnd w:id="351"/>
      <w:bookmarkEnd w:id="352"/>
      <w:bookmarkEnd w:id="353"/>
      <w:bookmarkEnd w:id="354"/>
      <w:r>
        <w:rPr>
          <w:rFonts w:hint="eastAsia" w:ascii="Times New Roman" w:hAnsi="Times New Roman" w:eastAsia="宋体" w:cs="Times New Roman"/>
          <w:b/>
          <w:bCs/>
          <w:smallCaps w:val="0"/>
          <w:color w:val="auto"/>
          <w:spacing w:val="0"/>
          <w:w w:val="100"/>
          <w:sz w:val="30"/>
          <w:szCs w:val="30"/>
          <w:highlight w:val="none"/>
          <w:lang w:eastAsia="zh-CN"/>
        </w:rPr>
        <w:t>（</w:t>
      </w:r>
      <w:r>
        <w:rPr>
          <w:rFonts w:hint="eastAsia" w:ascii="Times New Roman" w:hAnsi="Times New Roman" w:eastAsia="宋体" w:cs="Times New Roman"/>
          <w:b/>
          <w:bCs/>
          <w:smallCaps w:val="0"/>
          <w:color w:val="auto"/>
          <w:spacing w:val="0"/>
          <w:w w:val="100"/>
          <w:sz w:val="30"/>
          <w:szCs w:val="30"/>
          <w:highlight w:val="none"/>
          <w:lang w:val="en-US" w:eastAsia="zh-CN"/>
        </w:rPr>
        <w:t>另册</w:t>
      </w:r>
      <w:r>
        <w:rPr>
          <w:rFonts w:hint="eastAsia" w:ascii="Times New Roman" w:hAnsi="Times New Roman" w:eastAsia="宋体" w:cs="Times New Roman"/>
          <w:b/>
          <w:bCs/>
          <w:smallCaps w:val="0"/>
          <w:color w:val="auto"/>
          <w:spacing w:val="0"/>
          <w:w w:val="100"/>
          <w:sz w:val="30"/>
          <w:szCs w:val="30"/>
          <w:highlight w:val="none"/>
          <w:lang w:eastAsia="zh-CN"/>
        </w:rPr>
        <w:t>）</w:t>
      </w:r>
    </w:p>
    <w:p w14:paraId="61000BA1">
      <w:pPr>
        <w:kinsoku/>
        <w:spacing w:line="560" w:lineRule="exact"/>
        <w:ind w:left="663"/>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eastAsia="zh-CN"/>
        </w:rPr>
        <w:t>1.项目区位置图</w:t>
      </w:r>
    </w:p>
    <w:p w14:paraId="3C7C7A72">
      <w:pPr>
        <w:kinsoku/>
        <w:spacing w:line="560" w:lineRule="exact"/>
        <w:ind w:left="635"/>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2</w:t>
      </w:r>
      <w:r>
        <w:rPr>
          <w:rFonts w:hint="default" w:ascii="Times New Roman" w:hAnsi="Times New Roman" w:eastAsia="宋体" w:cs="Times New Roman"/>
          <w:smallCaps w:val="0"/>
          <w:color w:val="auto"/>
          <w:spacing w:val="0"/>
          <w:w w:val="100"/>
          <w:sz w:val="30"/>
          <w:szCs w:val="30"/>
          <w:highlight w:val="none"/>
          <w:lang w:eastAsia="zh-CN"/>
        </w:rPr>
        <w:t>.项目农业基础设施现状图</w:t>
      </w:r>
    </w:p>
    <w:p w14:paraId="6EF33647">
      <w:pPr>
        <w:kinsoku/>
        <w:spacing w:line="560" w:lineRule="exact"/>
        <w:ind w:left="633" w:right="4214" w:firstLine="7"/>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3</w:t>
      </w:r>
      <w:r>
        <w:rPr>
          <w:rFonts w:hint="default" w:ascii="Times New Roman" w:hAnsi="Times New Roman" w:eastAsia="宋体" w:cs="Times New Roman"/>
          <w:smallCaps w:val="0"/>
          <w:color w:val="auto"/>
          <w:spacing w:val="0"/>
          <w:w w:val="100"/>
          <w:sz w:val="30"/>
          <w:szCs w:val="30"/>
          <w:highlight w:val="none"/>
          <w:lang w:eastAsia="zh-CN"/>
        </w:rPr>
        <w:t>项目工程平面布置图</w:t>
      </w:r>
    </w:p>
    <w:p w14:paraId="037623A7">
      <w:pPr>
        <w:kinsoku/>
        <w:spacing w:line="560" w:lineRule="exact"/>
        <w:ind w:left="643"/>
        <w:rPr>
          <w:rFonts w:hint="default" w:ascii="Times New Roman" w:hAnsi="Times New Roman" w:eastAsia="宋体" w:cs="Times New Roman"/>
          <w:smallCaps w:val="0"/>
          <w:color w:val="auto"/>
          <w:spacing w:val="0"/>
          <w:w w:val="100"/>
          <w:sz w:val="30"/>
          <w:szCs w:val="30"/>
          <w:highlight w:val="none"/>
          <w:lang w:eastAsia="zh-CN"/>
        </w:rPr>
      </w:pPr>
      <w:r>
        <w:rPr>
          <w:rFonts w:hint="default" w:ascii="Times New Roman" w:hAnsi="Times New Roman" w:eastAsia="宋体" w:cs="Times New Roman"/>
          <w:smallCaps w:val="0"/>
          <w:color w:val="auto"/>
          <w:spacing w:val="0"/>
          <w:w w:val="100"/>
          <w:sz w:val="30"/>
          <w:szCs w:val="30"/>
          <w:highlight w:val="none"/>
          <w:lang w:val="en-US" w:eastAsia="zh-CN"/>
        </w:rPr>
        <w:t>4</w:t>
      </w:r>
      <w:r>
        <w:rPr>
          <w:rFonts w:hint="default" w:ascii="Times New Roman" w:hAnsi="Times New Roman" w:eastAsia="宋体" w:cs="Times New Roman"/>
          <w:smallCaps w:val="0"/>
          <w:color w:val="auto"/>
          <w:spacing w:val="0"/>
          <w:w w:val="100"/>
          <w:sz w:val="30"/>
          <w:szCs w:val="30"/>
          <w:highlight w:val="none"/>
          <w:lang w:eastAsia="zh-CN"/>
        </w:rPr>
        <w:t>主要单项工程设计图</w:t>
      </w:r>
    </w:p>
    <w:p w14:paraId="449C7129">
      <w:pPr>
        <w:rPr>
          <w:rFonts w:hint="default" w:ascii="Times New Roman" w:hAnsi="Times New Roman" w:eastAsia="宋体" w:cs="Times New Roman"/>
          <w:color w:val="auto"/>
          <w:highlight w:val="none"/>
          <w:lang w:eastAsia="zh-CN"/>
        </w:rPr>
      </w:pPr>
    </w:p>
    <w:sectPr>
      <w:headerReference r:id="rId30" w:type="default"/>
      <w:footerReference r:id="rId31" w:type="default"/>
      <w:type w:val="nextColumn"/>
      <w:pgSz w:w="11900" w:h="16838"/>
      <w:pgMar w:top="1134" w:right="1417" w:bottom="1134" w:left="1587" w:header="862" w:footer="992" w:gutter="0"/>
      <w:pgBorders>
        <w:top w:val="none" w:sz="0" w:space="0"/>
        <w:left w:val="none" w:sz="0" w:space="0"/>
        <w:bottom w:val="none" w:sz="0" w:space="0"/>
        <w:right w:val="none" w:sz="0" w:space="0"/>
      </w:pgBorders>
      <w:pgNumType w:fmt="numberInDash"/>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6D63A27-7167-4B89-B66C-27D46C6282C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E4A598E0-2986-4DCB-AD41-611ED354731E}"/>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CC05A95B-2E3D-492B-908E-91568165C16A}"/>
  </w:font>
  <w:font w:name="Noto Serif CJK JP">
    <w:altName w:val="宋体"/>
    <w:panose1 w:val="02020400000000000000"/>
    <w:charset w:val="86"/>
    <w:family w:val="roman"/>
    <w:pitch w:val="default"/>
    <w:sig w:usb0="00000000" w:usb1="00000000" w:usb2="00000016" w:usb3="00000000" w:csb0="602E0107" w:csb1="00000000"/>
  </w:font>
  <w:font w:name="楷体_GB2312">
    <w:panose1 w:val="02010609030101010101"/>
    <w:charset w:val="86"/>
    <w:family w:val="modern"/>
    <w:pitch w:val="default"/>
    <w:sig w:usb0="00000001" w:usb1="080E0000" w:usb2="00000000" w:usb3="00000000" w:csb0="00040000" w:csb1="00000000"/>
    <w:embedRegular r:id="rId4" w:fontKey="{E5FB43E2-280D-42F4-8877-8B6593E9E27D}"/>
  </w:font>
  <w:font w:name="华文中宋">
    <w:panose1 w:val="02010600040101010101"/>
    <w:charset w:val="86"/>
    <w:family w:val="auto"/>
    <w:pitch w:val="default"/>
    <w:sig w:usb0="00000287" w:usb1="080F0000" w:usb2="00000000" w:usb3="00000000" w:csb0="0004009F" w:csb1="DFD70000"/>
    <w:embedRegular r:id="rId5" w:fontKey="{1B7C9FAC-35B7-48C2-BA4F-6B2A78B509D7}"/>
  </w:font>
  <w:font w:name="新宋体">
    <w:panose1 w:val="02010609030101010101"/>
    <w:charset w:val="86"/>
    <w:family w:val="modern"/>
    <w:pitch w:val="default"/>
    <w:sig w:usb0="00000203" w:usb1="288F0000" w:usb2="00000006" w:usb3="00000000" w:csb0="00040001" w:csb1="00000000"/>
    <w:embedRegular r:id="rId6" w:fontKey="{E09B89D3-7610-4321-AFFE-D83FAB06EA11}"/>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A8CA0">
    <w:pPr>
      <w:spacing w:line="167" w:lineRule="auto"/>
      <w:ind w:left="4104"/>
      <w:rPr>
        <w:rFonts w:ascii="Calibri" w:hAnsi="Calibri" w:eastAsia="Calibri" w:cs="Calibri"/>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39C8D5">
    <w:pPr>
      <w:spacing w:line="167" w:lineRule="auto"/>
      <w:ind w:left="4104"/>
      <w:rPr>
        <w:rFonts w:ascii="Calibri" w:hAnsi="Calibri" w:eastAsia="Calibri" w:cs="Calibri"/>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8D73DA">
    <w:pPr>
      <w:spacing w:line="167" w:lineRule="auto"/>
      <w:ind w:left="4104"/>
      <w:rPr>
        <w:rFonts w:ascii="Calibri" w:hAnsi="Calibri" w:eastAsia="Calibri" w:cs="Calibri"/>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F176C">
    <w:pPr>
      <w:spacing w:line="167" w:lineRule="auto"/>
      <w:ind w:left="4104"/>
      <w:rPr>
        <w:rFonts w:ascii="Calibri" w:hAnsi="Calibri" w:eastAsia="Calibri" w:cs="Calibri"/>
        <w:sz w:val="18"/>
        <w:szCs w:val="18"/>
      </w:rPr>
    </w:pPr>
    <w:r>
      <w:rPr>
        <w:sz w:val="18"/>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3F704B">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613F704B">
                    <w:pPr>
                      <w:pStyle w:val="11"/>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DBEA4E">
    <w:pPr>
      <w:spacing w:line="167" w:lineRule="auto"/>
      <w:ind w:left="4104"/>
      <w:rPr>
        <w:rFonts w:ascii="Calibri" w:hAnsi="Calibri" w:eastAsia="Calibri" w:cs="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90A9B2">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90A9B2">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3367C">
    <w:pPr>
      <w:spacing w:line="167" w:lineRule="auto"/>
      <w:ind w:left="4098"/>
      <w:rPr>
        <w:rFonts w:ascii="Calibri" w:hAnsi="Calibri" w:eastAsia="Calibri" w:cs="Calibri"/>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EDE135">
                          <w:pPr>
                            <w:pStyle w:val="11"/>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FEDE135">
                    <w:pPr>
                      <w:pStyle w:val="11"/>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C90178">
    <w:pPr>
      <w:spacing w:line="167" w:lineRule="auto"/>
      <w:ind w:left="4098"/>
      <w:rPr>
        <w:rFonts w:ascii="Calibri" w:hAnsi="Calibri" w:eastAsia="Calibri" w:cs="Calibri"/>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D6351C">
                          <w:pPr>
                            <w:pStyle w:val="11"/>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1D6351C">
                    <w:pPr>
                      <w:pStyle w:val="11"/>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1C5AE">
    <w:pPr>
      <w:spacing w:line="167" w:lineRule="auto"/>
      <w:ind w:left="4093"/>
      <w:rPr>
        <w:rFonts w:ascii="Calibri" w:hAnsi="Calibri" w:eastAsia="Calibri" w:cs="Calibri"/>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39E812">
                          <w:pPr>
                            <w:pStyle w:val="11"/>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639E812">
                    <w:pPr>
                      <w:pStyle w:val="11"/>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2592C">
    <w:pPr>
      <w:spacing w:line="166" w:lineRule="auto"/>
      <w:ind w:left="4093"/>
      <w:rPr>
        <w:rFonts w:ascii="Calibri" w:hAnsi="Calibri" w:eastAsia="Calibri" w:cs="Calibri"/>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EBFB03">
                          <w:pPr>
                            <w:pStyle w:val="11"/>
                          </w:pP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7EBFB03">
                    <w:pPr>
                      <w:pStyle w:val="11"/>
                    </w:pP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02629">
    <w:pPr>
      <w:spacing w:line="167" w:lineRule="auto"/>
      <w:ind w:left="7004"/>
      <w:rPr>
        <w:rFonts w:ascii="Calibri" w:hAnsi="Calibri" w:eastAsia="Calibri" w:cs="Calibri"/>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59B93F">
                          <w:pPr>
                            <w:pStyle w:val="11"/>
                          </w:pP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6459B93F">
                    <w:pPr>
                      <w:pStyle w:val="11"/>
                    </w:pP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8A15FC">
    <w:pPr>
      <w:spacing w:line="167" w:lineRule="auto"/>
      <w:ind w:left="4324"/>
      <w:rPr>
        <w:rFonts w:ascii="Calibri" w:hAnsi="Calibri" w:eastAsia="Calibri" w:cs="Calibri"/>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A33874">
                          <w:pPr>
                            <w:pStyle w:val="11"/>
                          </w:pP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1A33874">
                    <w:pPr>
                      <w:pStyle w:val="11"/>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763B0C">
    <w:pPr>
      <w:spacing w:line="167" w:lineRule="auto"/>
      <w:ind w:left="4059"/>
      <w:rPr>
        <w:rFonts w:ascii="Calibri" w:hAnsi="Calibri" w:eastAsia="Calibri" w:cs="Calibri"/>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235792">
                          <w:pPr>
                            <w:pStyle w:val="11"/>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7A235792">
                    <w:pPr>
                      <w:pStyle w:val="11"/>
                    </w:pPr>
                    <w:r>
                      <w:fldChar w:fldCharType="begin"/>
                    </w:r>
                    <w:r>
                      <w:instrText xml:space="preserve"> PAGE  \* MERGEFORMAT </w:instrText>
                    </w:r>
                    <w:r>
                      <w:fldChar w:fldCharType="separate"/>
                    </w:r>
                    <w:r>
                      <w:t>79</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57B99">
    <w:pPr>
      <w:spacing w:line="166" w:lineRule="auto"/>
      <w:ind w:left="4059"/>
      <w:rPr>
        <w:rFonts w:ascii="Calibri" w:hAnsi="Calibri" w:eastAsia="Calibri" w:cs="Calibri"/>
        <w:sz w:val="18"/>
        <w:szCs w:val="18"/>
      </w:rPr>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489E95">
                          <w:pPr>
                            <w:pStyle w:val="11"/>
                          </w:pPr>
                          <w:r>
                            <w:fldChar w:fldCharType="begin"/>
                          </w:r>
                          <w:r>
                            <w:instrText xml:space="preserve"> PAGE  \* MERGEFORMAT </w:instrText>
                          </w:r>
                          <w:r>
                            <w:fldChar w:fldCharType="separate"/>
                          </w:r>
                          <w:r>
                            <w:t>87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4C489E95">
                    <w:pPr>
                      <w:pStyle w:val="11"/>
                    </w:pPr>
                    <w:r>
                      <w:fldChar w:fldCharType="begin"/>
                    </w:r>
                    <w:r>
                      <w:instrText xml:space="preserve"> PAGE  \* MERGEFORMAT </w:instrText>
                    </w:r>
                    <w:r>
                      <w:fldChar w:fldCharType="separate"/>
                    </w:r>
                    <w:r>
                      <w:t>87</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55AE7E">
    <w:pPr>
      <w:spacing w:line="176" w:lineRule="auto"/>
      <w:ind w:left="4548"/>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E090E6">
                          <w:pPr>
                            <w:pStyle w:val="11"/>
                          </w:pPr>
                          <w:r>
                            <w:fldChar w:fldCharType="begin"/>
                          </w:r>
                          <w:r>
                            <w:instrText xml:space="preserve"> PAGE  \* MERGEFORMAT </w:instrText>
                          </w:r>
                          <w:r>
                            <w:fldChar w:fldCharType="separate"/>
                          </w:r>
                          <w:r>
                            <w:t>94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37E090E6">
                    <w:pPr>
                      <w:pStyle w:val="11"/>
                    </w:pPr>
                    <w:r>
                      <w:fldChar w:fldCharType="begin"/>
                    </w:r>
                    <w:r>
                      <w:instrText xml:space="preserve"> PAGE  \* MERGEFORMAT </w:instrText>
                    </w:r>
                    <w:r>
                      <w:fldChar w:fldCharType="separate"/>
                    </w:r>
                    <w:r>
                      <w:t>94</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BDE52">
    <w:pPr>
      <w:spacing w:line="167" w:lineRule="auto"/>
      <w:ind w:left="4059"/>
      <w:rPr>
        <w:rFonts w:ascii="Calibri" w:hAnsi="Calibri" w:eastAsia="Calibri" w:cs="Calibri"/>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F15195">
                          <w:pPr>
                            <w:pStyle w:val="11"/>
                          </w:pPr>
                          <w:r>
                            <w:fldChar w:fldCharType="begin"/>
                          </w:r>
                          <w:r>
                            <w:instrText xml:space="preserve"> PAGE  \* MERGEFORMAT </w:instrText>
                          </w:r>
                          <w:r>
                            <w:fldChar w:fldCharType="separate"/>
                          </w:r>
                          <w:r>
                            <w:t>110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1EF15195">
                    <w:pPr>
                      <w:pStyle w:val="11"/>
                    </w:pPr>
                    <w:r>
                      <w:fldChar w:fldCharType="begin"/>
                    </w:r>
                    <w:r>
                      <w:instrText xml:space="preserve"> PAGE  \* MERGEFORMAT </w:instrText>
                    </w:r>
                    <w:r>
                      <w:fldChar w:fldCharType="separate"/>
                    </w:r>
                    <w:r>
                      <w:t>110</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CB329">
    <w:pPr>
      <w:spacing w:line="167" w:lineRule="auto"/>
      <w:ind w:left="4059"/>
      <w:rPr>
        <w:rFonts w:ascii="Calibri" w:hAnsi="Calibri" w:eastAsia="Calibri" w:cs="Calibri"/>
        <w:sz w:val="18"/>
        <w:szCs w:val="18"/>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BB65F4">
                          <w:pPr>
                            <w:pStyle w:val="11"/>
                          </w:pPr>
                          <w:r>
                            <w:fldChar w:fldCharType="begin"/>
                          </w:r>
                          <w:r>
                            <w:instrText xml:space="preserve"> PAGE  \* MERGEFORMAT </w:instrText>
                          </w:r>
                          <w:r>
                            <w:fldChar w:fldCharType="separate"/>
                          </w:r>
                          <w:r>
                            <w:t>116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CBB65F4">
                    <w:pPr>
                      <w:pStyle w:val="11"/>
                    </w:pPr>
                    <w:r>
                      <w:fldChar w:fldCharType="begin"/>
                    </w:r>
                    <w:r>
                      <w:instrText xml:space="preserve"> PAGE  \* MERGEFORMAT </w:instrText>
                    </w:r>
                    <w:r>
                      <w:fldChar w:fldCharType="separate"/>
                    </w:r>
                    <w:r>
                      <w:t>116</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44DABE">
    <w:pPr>
      <w:spacing w:line="174" w:lineRule="auto"/>
      <w:ind w:left="4989"/>
      <w:rPr>
        <w:rFonts w:hint="eastAsia" w:ascii="新宋体" w:hAnsi="新宋体" w:eastAsia="新宋体" w:cs="新宋体"/>
        <w:sz w:val="20"/>
        <w:szCs w:val="20"/>
      </w:rPr>
    </w:pPr>
    <w:r>
      <w:rPr>
        <w:sz w:val="20"/>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4B0223">
                          <w:pPr>
                            <w:pStyle w:val="11"/>
                          </w:pPr>
                          <w:r>
                            <w:fldChar w:fldCharType="begin"/>
                          </w:r>
                          <w:r>
                            <w:instrText xml:space="preserve"> PAGE  \* MERGEFORMAT </w:instrText>
                          </w:r>
                          <w:r>
                            <w:fldChar w:fldCharType="separate"/>
                          </w:r>
                          <w:r>
                            <w:t>129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3E4B0223">
                    <w:pPr>
                      <w:pStyle w:val="11"/>
                    </w:pPr>
                    <w:r>
                      <w:fldChar w:fldCharType="begin"/>
                    </w:r>
                    <w:r>
                      <w:instrText xml:space="preserve"> PAGE  \* MERGEFORMAT </w:instrText>
                    </w:r>
                    <w:r>
                      <w:fldChar w:fldCharType="separate"/>
                    </w:r>
                    <w:r>
                      <w:t>129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CF53E">
    <w:pPr>
      <w:pStyle w:val="13"/>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1F1EA">
    <w:pPr>
      <w:pBdr>
        <w:bottom w:val="none" w:color="auto" w:sz="0" w:space="1"/>
      </w:pBdr>
      <w:spacing w:before="16" w:line="219" w:lineRule="auto"/>
      <w:ind w:firstLine="210" w:firstLineChars="100"/>
      <w:jc w:val="right"/>
      <w:rPr>
        <w:rFonts w:hint="default"/>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26203">
    <w:pPr>
      <w:pBdr>
        <w:bottom w:val="none" w:color="auto" w:sz="0" w:space="1"/>
      </w:pBdr>
      <w:spacing w:before="16" w:line="219" w:lineRule="auto"/>
      <w:ind w:firstLine="210" w:firstLineChars="100"/>
      <w:jc w:val="right"/>
      <w:rPr>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98D1D">
    <w:pPr>
      <w:pBdr>
        <w:bottom w:val="none" w:color="auto" w:sz="0" w:space="1"/>
      </w:pBdr>
      <w:spacing w:before="16" w:line="219" w:lineRule="auto"/>
      <w:ind w:firstLine="210" w:firstLineChars="100"/>
      <w:jc w:val="right"/>
      <w:rPr>
        <w:lang w:eastAsia="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C39E3">
    <w:pPr>
      <w:pStyle w:val="13"/>
      <w:rPr>
        <w:lang w:eastAsia="zh-CN"/>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83A3B">
    <w:pPr>
      <w:pStyle w:val="13"/>
      <w:rPr>
        <w:lang w:eastAsia="zh-CN"/>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96379">
    <w:pPr>
      <w:pStyle w:val="13"/>
      <w:rPr>
        <w:lang w:eastAsia="zh-CN"/>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4BEE1E">
    <w:pPr>
      <w:pStyle w:val="13"/>
      <w:rPr>
        <w:lang w:eastAsia="zh-CN"/>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5AFF7">
    <w:pPr>
      <w:pStyle w:val="13"/>
      <w:rPr>
        <w:lang w:eastAsia="zh-CN"/>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A3B26">
    <w:pPr>
      <w:pStyle w:val="13"/>
      <w:rPr>
        <w:lang w:eastAsia="zh-CN"/>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75A11">
    <w:pPr>
      <w:pBdr>
        <w:bottom w:val="none" w:color="auto" w:sz="0" w:space="1"/>
      </w:pBdr>
      <w:spacing w:before="16" w:line="219" w:lineRule="auto"/>
      <w:ind w:firstLine="210" w:firstLineChars="100"/>
      <w:jc w:val="right"/>
      <w:rPr>
        <w:lang w:eastAsia="zh-CN"/>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494063">
    <w:pPr>
      <w:pStyle w:val="13"/>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24F842"/>
    <w:multiLevelType w:val="singleLevel"/>
    <w:tmpl w:val="5F24F842"/>
    <w:lvl w:ilvl="0" w:tentative="0">
      <w:start w:val="3"/>
      <w:numFmt w:val="decimal"/>
      <w:lvlText w:val="%1."/>
      <w:lvlJc w:val="left"/>
      <w:pPr>
        <w:tabs>
          <w:tab w:val="left" w:pos="312"/>
        </w:tabs>
      </w:pPr>
    </w:lvl>
  </w:abstractNum>
  <w:abstractNum w:abstractNumId="1">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38"/>
      <w:suff w:val="nothing"/>
      <w:lvlText w:val="%1%2　"/>
      <w:lvlJc w:val="left"/>
      <w:pPr>
        <w:ind w:left="0" w:firstLine="0"/>
      </w:pPr>
      <w:rPr>
        <w:rFonts w:hint="eastAsia" w:ascii="黑体" w:eastAsia="黑体"/>
        <w:b w:val="0"/>
        <w:i w:val="0"/>
        <w:sz w:val="21"/>
      </w:rPr>
    </w:lvl>
    <w:lvl w:ilvl="2" w:tentative="0">
      <w:start w:val="1"/>
      <w:numFmt w:val="decimal"/>
      <w:pStyle w:val="39"/>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42"/>
      <w:suff w:val="nothing"/>
      <w:lvlText w:val="%1%2.%3.%4　"/>
      <w:lvlJc w:val="left"/>
      <w:pPr>
        <w:ind w:left="0" w:firstLine="0"/>
      </w:pPr>
      <w:rPr>
        <w:rFonts w:hint="eastAsia" w:ascii="黑体" w:eastAsia="黑体"/>
        <w:b w:val="0"/>
        <w:i w:val="0"/>
        <w:sz w:val="21"/>
      </w:rPr>
    </w:lvl>
    <w:lvl w:ilvl="4" w:tentative="0">
      <w:start w:val="1"/>
      <w:numFmt w:val="decimal"/>
      <w:pStyle w:val="40"/>
      <w:suff w:val="nothing"/>
      <w:lvlText w:val="%1%2.%3.%4.%5　"/>
      <w:lvlJc w:val="left"/>
      <w:pPr>
        <w:ind w:left="710" w:firstLine="0"/>
      </w:pPr>
      <w:rPr>
        <w:rFonts w:hint="eastAsia" w:ascii="黑体" w:eastAsia="黑体"/>
        <w:b w:val="0"/>
        <w:i w:val="0"/>
        <w:sz w:val="21"/>
      </w:rPr>
    </w:lvl>
    <w:lvl w:ilvl="5" w:tentative="0">
      <w:start w:val="1"/>
      <w:numFmt w:val="decimal"/>
      <w:pStyle w:val="41"/>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cwNjUwZGRiYzZlN2RmMGFmM2E0YzZjMWFlNzE0MTQifQ=="/>
  </w:docVars>
  <w:rsids>
    <w:rsidRoot w:val="00172A27"/>
    <w:rsid w:val="000069BB"/>
    <w:rsid w:val="000114E0"/>
    <w:rsid w:val="00025EE4"/>
    <w:rsid w:val="00031172"/>
    <w:rsid w:val="00033023"/>
    <w:rsid w:val="00046C77"/>
    <w:rsid w:val="00050D73"/>
    <w:rsid w:val="00051045"/>
    <w:rsid w:val="00055A63"/>
    <w:rsid w:val="00062405"/>
    <w:rsid w:val="00067303"/>
    <w:rsid w:val="0007216C"/>
    <w:rsid w:val="00083318"/>
    <w:rsid w:val="00087FB0"/>
    <w:rsid w:val="000A21FB"/>
    <w:rsid w:val="000A53E2"/>
    <w:rsid w:val="000A6111"/>
    <w:rsid w:val="000B1C8D"/>
    <w:rsid w:val="000B25AA"/>
    <w:rsid w:val="000B5EBE"/>
    <w:rsid w:val="000C0532"/>
    <w:rsid w:val="000C0D4C"/>
    <w:rsid w:val="000C3AD6"/>
    <w:rsid w:val="000D266B"/>
    <w:rsid w:val="000D499C"/>
    <w:rsid w:val="000E279B"/>
    <w:rsid w:val="000E2CA0"/>
    <w:rsid w:val="000E3140"/>
    <w:rsid w:val="000E39CD"/>
    <w:rsid w:val="000F5B11"/>
    <w:rsid w:val="00105BF4"/>
    <w:rsid w:val="00107FEC"/>
    <w:rsid w:val="001115D4"/>
    <w:rsid w:val="0011444E"/>
    <w:rsid w:val="00133022"/>
    <w:rsid w:val="0013615E"/>
    <w:rsid w:val="00146D37"/>
    <w:rsid w:val="00150B3B"/>
    <w:rsid w:val="0015453A"/>
    <w:rsid w:val="001545DF"/>
    <w:rsid w:val="001576F6"/>
    <w:rsid w:val="001600D8"/>
    <w:rsid w:val="001639A4"/>
    <w:rsid w:val="00164478"/>
    <w:rsid w:val="001664B2"/>
    <w:rsid w:val="00167DD7"/>
    <w:rsid w:val="001700FF"/>
    <w:rsid w:val="00170F5E"/>
    <w:rsid w:val="00171A60"/>
    <w:rsid w:val="001755AA"/>
    <w:rsid w:val="0018221A"/>
    <w:rsid w:val="001823F9"/>
    <w:rsid w:val="00191F67"/>
    <w:rsid w:val="001923A3"/>
    <w:rsid w:val="001A08E7"/>
    <w:rsid w:val="001A7262"/>
    <w:rsid w:val="001B7DD3"/>
    <w:rsid w:val="001C228B"/>
    <w:rsid w:val="001C5113"/>
    <w:rsid w:val="001C7DF3"/>
    <w:rsid w:val="001D3CC2"/>
    <w:rsid w:val="001D4C5A"/>
    <w:rsid w:val="001D5467"/>
    <w:rsid w:val="001D5FB4"/>
    <w:rsid w:val="001E1AC4"/>
    <w:rsid w:val="001E36E8"/>
    <w:rsid w:val="001E494B"/>
    <w:rsid w:val="001E4E08"/>
    <w:rsid w:val="00200FE6"/>
    <w:rsid w:val="00201596"/>
    <w:rsid w:val="0020679B"/>
    <w:rsid w:val="0021154C"/>
    <w:rsid w:val="002127A7"/>
    <w:rsid w:val="002167E2"/>
    <w:rsid w:val="00224263"/>
    <w:rsid w:val="0023230F"/>
    <w:rsid w:val="0023341D"/>
    <w:rsid w:val="00233586"/>
    <w:rsid w:val="002377EC"/>
    <w:rsid w:val="00243824"/>
    <w:rsid w:val="002462FE"/>
    <w:rsid w:val="00257E33"/>
    <w:rsid w:val="00260F69"/>
    <w:rsid w:val="002658A7"/>
    <w:rsid w:val="00265DC4"/>
    <w:rsid w:val="00276E33"/>
    <w:rsid w:val="0028179F"/>
    <w:rsid w:val="00282F09"/>
    <w:rsid w:val="0028328E"/>
    <w:rsid w:val="00285E26"/>
    <w:rsid w:val="00286115"/>
    <w:rsid w:val="002921B0"/>
    <w:rsid w:val="002A4207"/>
    <w:rsid w:val="002A58DF"/>
    <w:rsid w:val="002B6F77"/>
    <w:rsid w:val="002C437F"/>
    <w:rsid w:val="002D24B5"/>
    <w:rsid w:val="002D5236"/>
    <w:rsid w:val="002D5402"/>
    <w:rsid w:val="002E39AA"/>
    <w:rsid w:val="002E731B"/>
    <w:rsid w:val="00301B16"/>
    <w:rsid w:val="00304E49"/>
    <w:rsid w:val="00305503"/>
    <w:rsid w:val="0032079B"/>
    <w:rsid w:val="00322ABA"/>
    <w:rsid w:val="00323761"/>
    <w:rsid w:val="00323B88"/>
    <w:rsid w:val="00331E92"/>
    <w:rsid w:val="003363C4"/>
    <w:rsid w:val="00337C44"/>
    <w:rsid w:val="003504B5"/>
    <w:rsid w:val="00352ACD"/>
    <w:rsid w:val="003538D0"/>
    <w:rsid w:val="00357BAC"/>
    <w:rsid w:val="00357C3D"/>
    <w:rsid w:val="00360301"/>
    <w:rsid w:val="0036091C"/>
    <w:rsid w:val="00360BCB"/>
    <w:rsid w:val="00360EB0"/>
    <w:rsid w:val="00362616"/>
    <w:rsid w:val="00363A9A"/>
    <w:rsid w:val="00365AB8"/>
    <w:rsid w:val="00366DFD"/>
    <w:rsid w:val="00373645"/>
    <w:rsid w:val="00392D4E"/>
    <w:rsid w:val="003936F4"/>
    <w:rsid w:val="003B2330"/>
    <w:rsid w:val="003B541E"/>
    <w:rsid w:val="003C39F9"/>
    <w:rsid w:val="003C7207"/>
    <w:rsid w:val="003C7C5D"/>
    <w:rsid w:val="003D758D"/>
    <w:rsid w:val="003F2403"/>
    <w:rsid w:val="003F32CD"/>
    <w:rsid w:val="004008C4"/>
    <w:rsid w:val="00401FA4"/>
    <w:rsid w:val="00404FEE"/>
    <w:rsid w:val="00424133"/>
    <w:rsid w:val="00424179"/>
    <w:rsid w:val="00432E8E"/>
    <w:rsid w:val="0043395D"/>
    <w:rsid w:val="004358A7"/>
    <w:rsid w:val="004378B2"/>
    <w:rsid w:val="00441C30"/>
    <w:rsid w:val="00442A2A"/>
    <w:rsid w:val="0045455C"/>
    <w:rsid w:val="00456512"/>
    <w:rsid w:val="004638E3"/>
    <w:rsid w:val="004723D5"/>
    <w:rsid w:val="00480108"/>
    <w:rsid w:val="00482A32"/>
    <w:rsid w:val="00485412"/>
    <w:rsid w:val="004856F2"/>
    <w:rsid w:val="0048698F"/>
    <w:rsid w:val="0048706A"/>
    <w:rsid w:val="0049147B"/>
    <w:rsid w:val="00492510"/>
    <w:rsid w:val="00496F5C"/>
    <w:rsid w:val="00497488"/>
    <w:rsid w:val="004A0400"/>
    <w:rsid w:val="004A1969"/>
    <w:rsid w:val="004B7CFA"/>
    <w:rsid w:val="004C2A42"/>
    <w:rsid w:val="004C5C52"/>
    <w:rsid w:val="004C6C57"/>
    <w:rsid w:val="004C6CA1"/>
    <w:rsid w:val="004D372A"/>
    <w:rsid w:val="004F120E"/>
    <w:rsid w:val="004F3734"/>
    <w:rsid w:val="004F443B"/>
    <w:rsid w:val="004F54DA"/>
    <w:rsid w:val="00500E91"/>
    <w:rsid w:val="00502814"/>
    <w:rsid w:val="00514F60"/>
    <w:rsid w:val="005169B1"/>
    <w:rsid w:val="00520DE1"/>
    <w:rsid w:val="005276CB"/>
    <w:rsid w:val="005350A1"/>
    <w:rsid w:val="0054108F"/>
    <w:rsid w:val="0055148D"/>
    <w:rsid w:val="00554C6B"/>
    <w:rsid w:val="0055527F"/>
    <w:rsid w:val="0056116F"/>
    <w:rsid w:val="00563001"/>
    <w:rsid w:val="00565A95"/>
    <w:rsid w:val="00566BD1"/>
    <w:rsid w:val="00571816"/>
    <w:rsid w:val="0057314C"/>
    <w:rsid w:val="00576405"/>
    <w:rsid w:val="005869BA"/>
    <w:rsid w:val="00587B7D"/>
    <w:rsid w:val="005912B4"/>
    <w:rsid w:val="00593412"/>
    <w:rsid w:val="00593BA9"/>
    <w:rsid w:val="0059747A"/>
    <w:rsid w:val="005A00F0"/>
    <w:rsid w:val="005A3E87"/>
    <w:rsid w:val="005A53C8"/>
    <w:rsid w:val="005A745F"/>
    <w:rsid w:val="005B33CE"/>
    <w:rsid w:val="005B79F7"/>
    <w:rsid w:val="005C353B"/>
    <w:rsid w:val="005C3795"/>
    <w:rsid w:val="005C3A27"/>
    <w:rsid w:val="005C3FB9"/>
    <w:rsid w:val="005C46F5"/>
    <w:rsid w:val="005C6B61"/>
    <w:rsid w:val="005D6FB9"/>
    <w:rsid w:val="005E1861"/>
    <w:rsid w:val="005E33BB"/>
    <w:rsid w:val="005E34B9"/>
    <w:rsid w:val="005F40D5"/>
    <w:rsid w:val="006004DA"/>
    <w:rsid w:val="006012D8"/>
    <w:rsid w:val="006013C7"/>
    <w:rsid w:val="006020A2"/>
    <w:rsid w:val="00605110"/>
    <w:rsid w:val="00611140"/>
    <w:rsid w:val="00630693"/>
    <w:rsid w:val="006313E6"/>
    <w:rsid w:val="00634468"/>
    <w:rsid w:val="0064049A"/>
    <w:rsid w:val="00645CE9"/>
    <w:rsid w:val="00652256"/>
    <w:rsid w:val="0066144F"/>
    <w:rsid w:val="00661E6F"/>
    <w:rsid w:val="00667F79"/>
    <w:rsid w:val="00671635"/>
    <w:rsid w:val="0067692B"/>
    <w:rsid w:val="0068391F"/>
    <w:rsid w:val="00686C94"/>
    <w:rsid w:val="00690E53"/>
    <w:rsid w:val="006A5C47"/>
    <w:rsid w:val="006B1221"/>
    <w:rsid w:val="006B5C0D"/>
    <w:rsid w:val="006C1899"/>
    <w:rsid w:val="006D2E6C"/>
    <w:rsid w:val="006D3AF3"/>
    <w:rsid w:val="006D5E15"/>
    <w:rsid w:val="006D785E"/>
    <w:rsid w:val="006E091B"/>
    <w:rsid w:val="006E6D37"/>
    <w:rsid w:val="006E70E9"/>
    <w:rsid w:val="006F0C8B"/>
    <w:rsid w:val="006F1454"/>
    <w:rsid w:val="006F4A3A"/>
    <w:rsid w:val="006F7464"/>
    <w:rsid w:val="00702650"/>
    <w:rsid w:val="007052D1"/>
    <w:rsid w:val="0070713A"/>
    <w:rsid w:val="00713812"/>
    <w:rsid w:val="0071498A"/>
    <w:rsid w:val="00717375"/>
    <w:rsid w:val="00721BF1"/>
    <w:rsid w:val="00723240"/>
    <w:rsid w:val="007237D0"/>
    <w:rsid w:val="00732078"/>
    <w:rsid w:val="007360CB"/>
    <w:rsid w:val="00741C43"/>
    <w:rsid w:val="00744659"/>
    <w:rsid w:val="007465E9"/>
    <w:rsid w:val="0075469E"/>
    <w:rsid w:val="0075488C"/>
    <w:rsid w:val="0076317F"/>
    <w:rsid w:val="00763809"/>
    <w:rsid w:val="00776A06"/>
    <w:rsid w:val="00783800"/>
    <w:rsid w:val="00783E98"/>
    <w:rsid w:val="00787FE0"/>
    <w:rsid w:val="00792D79"/>
    <w:rsid w:val="007938EB"/>
    <w:rsid w:val="007B06B8"/>
    <w:rsid w:val="007B3A8D"/>
    <w:rsid w:val="007B62FC"/>
    <w:rsid w:val="007C0747"/>
    <w:rsid w:val="007C7EEA"/>
    <w:rsid w:val="007D0A35"/>
    <w:rsid w:val="007F36CC"/>
    <w:rsid w:val="007F4266"/>
    <w:rsid w:val="008038B7"/>
    <w:rsid w:val="00804016"/>
    <w:rsid w:val="00823A6F"/>
    <w:rsid w:val="00824C94"/>
    <w:rsid w:val="00827942"/>
    <w:rsid w:val="00835E22"/>
    <w:rsid w:val="0084170A"/>
    <w:rsid w:val="0084306C"/>
    <w:rsid w:val="00843DDC"/>
    <w:rsid w:val="0085094A"/>
    <w:rsid w:val="008553B9"/>
    <w:rsid w:val="0085711B"/>
    <w:rsid w:val="008574AC"/>
    <w:rsid w:val="00866C09"/>
    <w:rsid w:val="008719B9"/>
    <w:rsid w:val="00872866"/>
    <w:rsid w:val="00877739"/>
    <w:rsid w:val="00877FC2"/>
    <w:rsid w:val="00884753"/>
    <w:rsid w:val="00891C76"/>
    <w:rsid w:val="00896B98"/>
    <w:rsid w:val="008A61C8"/>
    <w:rsid w:val="008B674D"/>
    <w:rsid w:val="008C0F89"/>
    <w:rsid w:val="008C2021"/>
    <w:rsid w:val="008C7598"/>
    <w:rsid w:val="008D5A60"/>
    <w:rsid w:val="008D7A93"/>
    <w:rsid w:val="008E1473"/>
    <w:rsid w:val="008E1C21"/>
    <w:rsid w:val="008E563A"/>
    <w:rsid w:val="008F5950"/>
    <w:rsid w:val="008F7FFA"/>
    <w:rsid w:val="009000D8"/>
    <w:rsid w:val="009005EC"/>
    <w:rsid w:val="0090243A"/>
    <w:rsid w:val="00903522"/>
    <w:rsid w:val="00906BB2"/>
    <w:rsid w:val="00910D5C"/>
    <w:rsid w:val="00911EED"/>
    <w:rsid w:val="00917FFD"/>
    <w:rsid w:val="00922066"/>
    <w:rsid w:val="00925D00"/>
    <w:rsid w:val="00930665"/>
    <w:rsid w:val="00932605"/>
    <w:rsid w:val="00935D27"/>
    <w:rsid w:val="00944989"/>
    <w:rsid w:val="00947943"/>
    <w:rsid w:val="00951C93"/>
    <w:rsid w:val="00952104"/>
    <w:rsid w:val="00952CC3"/>
    <w:rsid w:val="00953C6B"/>
    <w:rsid w:val="00954B96"/>
    <w:rsid w:val="0096029C"/>
    <w:rsid w:val="009634E6"/>
    <w:rsid w:val="0096596D"/>
    <w:rsid w:val="00982154"/>
    <w:rsid w:val="009828AC"/>
    <w:rsid w:val="00994A00"/>
    <w:rsid w:val="00995DC1"/>
    <w:rsid w:val="009967B4"/>
    <w:rsid w:val="0099720E"/>
    <w:rsid w:val="009A006B"/>
    <w:rsid w:val="009A03CE"/>
    <w:rsid w:val="009B30CF"/>
    <w:rsid w:val="009D2174"/>
    <w:rsid w:val="009D61FE"/>
    <w:rsid w:val="009E0485"/>
    <w:rsid w:val="009E04BC"/>
    <w:rsid w:val="009F0CA1"/>
    <w:rsid w:val="009F251C"/>
    <w:rsid w:val="009F426E"/>
    <w:rsid w:val="009F5BA7"/>
    <w:rsid w:val="00A00C28"/>
    <w:rsid w:val="00A02E71"/>
    <w:rsid w:val="00A03C40"/>
    <w:rsid w:val="00A11737"/>
    <w:rsid w:val="00A12E39"/>
    <w:rsid w:val="00A17C61"/>
    <w:rsid w:val="00A23BDD"/>
    <w:rsid w:val="00A34254"/>
    <w:rsid w:val="00A34DA2"/>
    <w:rsid w:val="00A35807"/>
    <w:rsid w:val="00A41176"/>
    <w:rsid w:val="00A4196B"/>
    <w:rsid w:val="00A43F53"/>
    <w:rsid w:val="00A54C31"/>
    <w:rsid w:val="00A62A7D"/>
    <w:rsid w:val="00A71015"/>
    <w:rsid w:val="00A75451"/>
    <w:rsid w:val="00A8130C"/>
    <w:rsid w:val="00A9096A"/>
    <w:rsid w:val="00A90A9F"/>
    <w:rsid w:val="00A93C2F"/>
    <w:rsid w:val="00A97FE5"/>
    <w:rsid w:val="00AA3531"/>
    <w:rsid w:val="00AA5AFA"/>
    <w:rsid w:val="00AA6111"/>
    <w:rsid w:val="00AB316D"/>
    <w:rsid w:val="00AB55C9"/>
    <w:rsid w:val="00AB6747"/>
    <w:rsid w:val="00AD1990"/>
    <w:rsid w:val="00AD2B27"/>
    <w:rsid w:val="00AD43A2"/>
    <w:rsid w:val="00AD4E18"/>
    <w:rsid w:val="00AD605E"/>
    <w:rsid w:val="00AD6E87"/>
    <w:rsid w:val="00AE0C19"/>
    <w:rsid w:val="00AE1EE4"/>
    <w:rsid w:val="00AF2EA1"/>
    <w:rsid w:val="00AF44DE"/>
    <w:rsid w:val="00AF6120"/>
    <w:rsid w:val="00B04478"/>
    <w:rsid w:val="00B07402"/>
    <w:rsid w:val="00B107DE"/>
    <w:rsid w:val="00B10A64"/>
    <w:rsid w:val="00B11769"/>
    <w:rsid w:val="00B218EF"/>
    <w:rsid w:val="00B23571"/>
    <w:rsid w:val="00B278A2"/>
    <w:rsid w:val="00B27B31"/>
    <w:rsid w:val="00B31B48"/>
    <w:rsid w:val="00B37C29"/>
    <w:rsid w:val="00B37D08"/>
    <w:rsid w:val="00B41305"/>
    <w:rsid w:val="00B5173C"/>
    <w:rsid w:val="00B531C3"/>
    <w:rsid w:val="00B536F9"/>
    <w:rsid w:val="00B727C1"/>
    <w:rsid w:val="00B75CCD"/>
    <w:rsid w:val="00B773BE"/>
    <w:rsid w:val="00B812BE"/>
    <w:rsid w:val="00B900EA"/>
    <w:rsid w:val="00B91CB1"/>
    <w:rsid w:val="00B94544"/>
    <w:rsid w:val="00B94936"/>
    <w:rsid w:val="00BA1034"/>
    <w:rsid w:val="00BA6080"/>
    <w:rsid w:val="00BA795E"/>
    <w:rsid w:val="00BB3BD3"/>
    <w:rsid w:val="00BC0064"/>
    <w:rsid w:val="00BC242D"/>
    <w:rsid w:val="00BD0596"/>
    <w:rsid w:val="00BD6DFF"/>
    <w:rsid w:val="00BF067B"/>
    <w:rsid w:val="00BF1BD2"/>
    <w:rsid w:val="00BF2116"/>
    <w:rsid w:val="00C01B0A"/>
    <w:rsid w:val="00C10248"/>
    <w:rsid w:val="00C10BAF"/>
    <w:rsid w:val="00C11C40"/>
    <w:rsid w:val="00C2197D"/>
    <w:rsid w:val="00C23312"/>
    <w:rsid w:val="00C30C80"/>
    <w:rsid w:val="00C31B80"/>
    <w:rsid w:val="00C324C9"/>
    <w:rsid w:val="00C34FA3"/>
    <w:rsid w:val="00C37D4C"/>
    <w:rsid w:val="00C40FC8"/>
    <w:rsid w:val="00C45226"/>
    <w:rsid w:val="00C4535E"/>
    <w:rsid w:val="00C50039"/>
    <w:rsid w:val="00C605FB"/>
    <w:rsid w:val="00C64CE8"/>
    <w:rsid w:val="00C64FDD"/>
    <w:rsid w:val="00C67D38"/>
    <w:rsid w:val="00C75E90"/>
    <w:rsid w:val="00C801C3"/>
    <w:rsid w:val="00C83FDD"/>
    <w:rsid w:val="00C87B56"/>
    <w:rsid w:val="00CA2578"/>
    <w:rsid w:val="00CB3E6A"/>
    <w:rsid w:val="00CB4853"/>
    <w:rsid w:val="00CB5574"/>
    <w:rsid w:val="00CB7BDA"/>
    <w:rsid w:val="00CC086F"/>
    <w:rsid w:val="00CC0DDB"/>
    <w:rsid w:val="00CC5C83"/>
    <w:rsid w:val="00CD63B8"/>
    <w:rsid w:val="00CD79EC"/>
    <w:rsid w:val="00CE16CF"/>
    <w:rsid w:val="00CE325D"/>
    <w:rsid w:val="00CE32C1"/>
    <w:rsid w:val="00CE432B"/>
    <w:rsid w:val="00CE4CD9"/>
    <w:rsid w:val="00CF2DCB"/>
    <w:rsid w:val="00CF4E6C"/>
    <w:rsid w:val="00CF5DD6"/>
    <w:rsid w:val="00CF67DF"/>
    <w:rsid w:val="00D0485A"/>
    <w:rsid w:val="00D05A19"/>
    <w:rsid w:val="00D10AC6"/>
    <w:rsid w:val="00D13508"/>
    <w:rsid w:val="00D14B03"/>
    <w:rsid w:val="00D2099B"/>
    <w:rsid w:val="00D22046"/>
    <w:rsid w:val="00D24E87"/>
    <w:rsid w:val="00D401C9"/>
    <w:rsid w:val="00D50949"/>
    <w:rsid w:val="00D55F9A"/>
    <w:rsid w:val="00D569D9"/>
    <w:rsid w:val="00D575D8"/>
    <w:rsid w:val="00D7138B"/>
    <w:rsid w:val="00D749A2"/>
    <w:rsid w:val="00D843AC"/>
    <w:rsid w:val="00D86384"/>
    <w:rsid w:val="00D93A7B"/>
    <w:rsid w:val="00D94B2D"/>
    <w:rsid w:val="00DA6BF2"/>
    <w:rsid w:val="00DC4491"/>
    <w:rsid w:val="00DD17B2"/>
    <w:rsid w:val="00DD35D0"/>
    <w:rsid w:val="00DD6E22"/>
    <w:rsid w:val="00DE37C5"/>
    <w:rsid w:val="00DE6317"/>
    <w:rsid w:val="00DF5E36"/>
    <w:rsid w:val="00DF6E74"/>
    <w:rsid w:val="00E000FE"/>
    <w:rsid w:val="00E067B9"/>
    <w:rsid w:val="00E075C8"/>
    <w:rsid w:val="00E07C70"/>
    <w:rsid w:val="00E10514"/>
    <w:rsid w:val="00E14544"/>
    <w:rsid w:val="00E20181"/>
    <w:rsid w:val="00E22A18"/>
    <w:rsid w:val="00E23056"/>
    <w:rsid w:val="00E244C8"/>
    <w:rsid w:val="00E25466"/>
    <w:rsid w:val="00E357ED"/>
    <w:rsid w:val="00E400DC"/>
    <w:rsid w:val="00E4570E"/>
    <w:rsid w:val="00E557F4"/>
    <w:rsid w:val="00E5747B"/>
    <w:rsid w:val="00E63B43"/>
    <w:rsid w:val="00E64050"/>
    <w:rsid w:val="00E64A8F"/>
    <w:rsid w:val="00E75B30"/>
    <w:rsid w:val="00E77C15"/>
    <w:rsid w:val="00E81625"/>
    <w:rsid w:val="00E86EEE"/>
    <w:rsid w:val="00E87708"/>
    <w:rsid w:val="00E87AE6"/>
    <w:rsid w:val="00E9093A"/>
    <w:rsid w:val="00EB38E8"/>
    <w:rsid w:val="00EB6678"/>
    <w:rsid w:val="00EB6C37"/>
    <w:rsid w:val="00EC0AE5"/>
    <w:rsid w:val="00EC5C51"/>
    <w:rsid w:val="00ED290C"/>
    <w:rsid w:val="00ED7CDE"/>
    <w:rsid w:val="00EE14CE"/>
    <w:rsid w:val="00EE5E0F"/>
    <w:rsid w:val="00EF1A3C"/>
    <w:rsid w:val="00EF223C"/>
    <w:rsid w:val="00EF3997"/>
    <w:rsid w:val="00F01F08"/>
    <w:rsid w:val="00F03291"/>
    <w:rsid w:val="00F0539A"/>
    <w:rsid w:val="00F11122"/>
    <w:rsid w:val="00F12D25"/>
    <w:rsid w:val="00F22CD7"/>
    <w:rsid w:val="00F24AD0"/>
    <w:rsid w:val="00F24C42"/>
    <w:rsid w:val="00F3395E"/>
    <w:rsid w:val="00F360F6"/>
    <w:rsid w:val="00F47013"/>
    <w:rsid w:val="00F47562"/>
    <w:rsid w:val="00F513FB"/>
    <w:rsid w:val="00F659BE"/>
    <w:rsid w:val="00F72B48"/>
    <w:rsid w:val="00F74741"/>
    <w:rsid w:val="00F7607A"/>
    <w:rsid w:val="00F76731"/>
    <w:rsid w:val="00FA0CA0"/>
    <w:rsid w:val="00FA2174"/>
    <w:rsid w:val="00FA4644"/>
    <w:rsid w:val="00FA7D5F"/>
    <w:rsid w:val="00FB237C"/>
    <w:rsid w:val="00FB25F9"/>
    <w:rsid w:val="00FC1ADB"/>
    <w:rsid w:val="00FC3B3A"/>
    <w:rsid w:val="00FD08B1"/>
    <w:rsid w:val="00FD32D3"/>
    <w:rsid w:val="00FD3E26"/>
    <w:rsid w:val="00FD7A36"/>
    <w:rsid w:val="00FE6E5E"/>
    <w:rsid w:val="00FF4192"/>
    <w:rsid w:val="00FF4D8C"/>
    <w:rsid w:val="011F6391"/>
    <w:rsid w:val="01F0095E"/>
    <w:rsid w:val="02405C50"/>
    <w:rsid w:val="02564576"/>
    <w:rsid w:val="025F28B4"/>
    <w:rsid w:val="02AE4F40"/>
    <w:rsid w:val="0306732D"/>
    <w:rsid w:val="034018FF"/>
    <w:rsid w:val="03E33071"/>
    <w:rsid w:val="04506958"/>
    <w:rsid w:val="04BC3CA6"/>
    <w:rsid w:val="04D17A3B"/>
    <w:rsid w:val="055A0878"/>
    <w:rsid w:val="05746676"/>
    <w:rsid w:val="05DF31BB"/>
    <w:rsid w:val="06045030"/>
    <w:rsid w:val="06102AA2"/>
    <w:rsid w:val="06564599"/>
    <w:rsid w:val="06AE3E0A"/>
    <w:rsid w:val="074402CA"/>
    <w:rsid w:val="07697D31"/>
    <w:rsid w:val="079F1B8B"/>
    <w:rsid w:val="08010F17"/>
    <w:rsid w:val="083B3535"/>
    <w:rsid w:val="087D3A94"/>
    <w:rsid w:val="087D7F38"/>
    <w:rsid w:val="08DF64FD"/>
    <w:rsid w:val="08DF653B"/>
    <w:rsid w:val="08E14EA2"/>
    <w:rsid w:val="08E51639"/>
    <w:rsid w:val="09067F2D"/>
    <w:rsid w:val="090D12BC"/>
    <w:rsid w:val="095339BD"/>
    <w:rsid w:val="09692A98"/>
    <w:rsid w:val="099C2437"/>
    <w:rsid w:val="09C86F15"/>
    <w:rsid w:val="09CC3F49"/>
    <w:rsid w:val="09E6216E"/>
    <w:rsid w:val="09E76094"/>
    <w:rsid w:val="0A342878"/>
    <w:rsid w:val="0AE75B3C"/>
    <w:rsid w:val="0B0E5388"/>
    <w:rsid w:val="0B1325B6"/>
    <w:rsid w:val="0BA9333A"/>
    <w:rsid w:val="0C123672"/>
    <w:rsid w:val="0C22507E"/>
    <w:rsid w:val="0C331791"/>
    <w:rsid w:val="0C601702"/>
    <w:rsid w:val="0D563E50"/>
    <w:rsid w:val="0D643474"/>
    <w:rsid w:val="0D7B0568"/>
    <w:rsid w:val="0D8472AC"/>
    <w:rsid w:val="0D906017"/>
    <w:rsid w:val="0DD1793D"/>
    <w:rsid w:val="0DE02CCA"/>
    <w:rsid w:val="0DEB2F08"/>
    <w:rsid w:val="0E0E7662"/>
    <w:rsid w:val="0ECA4681"/>
    <w:rsid w:val="0F0071CD"/>
    <w:rsid w:val="0F2729AB"/>
    <w:rsid w:val="0F706100"/>
    <w:rsid w:val="0F996285"/>
    <w:rsid w:val="0F9D2C6D"/>
    <w:rsid w:val="1015656E"/>
    <w:rsid w:val="101930A9"/>
    <w:rsid w:val="10282E4A"/>
    <w:rsid w:val="10352EA6"/>
    <w:rsid w:val="105C0433"/>
    <w:rsid w:val="109C202B"/>
    <w:rsid w:val="10A67EFE"/>
    <w:rsid w:val="10C5422A"/>
    <w:rsid w:val="10D426BF"/>
    <w:rsid w:val="10E420E0"/>
    <w:rsid w:val="111B0F08"/>
    <w:rsid w:val="11274EE5"/>
    <w:rsid w:val="114E2471"/>
    <w:rsid w:val="11561326"/>
    <w:rsid w:val="11CE0185"/>
    <w:rsid w:val="11D12348"/>
    <w:rsid w:val="11D566EF"/>
    <w:rsid w:val="12762995"/>
    <w:rsid w:val="1299596E"/>
    <w:rsid w:val="12A04E6C"/>
    <w:rsid w:val="12DB0C62"/>
    <w:rsid w:val="13086650"/>
    <w:rsid w:val="131D004C"/>
    <w:rsid w:val="131D7DA4"/>
    <w:rsid w:val="13341450"/>
    <w:rsid w:val="134F0723"/>
    <w:rsid w:val="134F24D1"/>
    <w:rsid w:val="136C19C0"/>
    <w:rsid w:val="139326BC"/>
    <w:rsid w:val="13B5366D"/>
    <w:rsid w:val="142B76A8"/>
    <w:rsid w:val="143849AB"/>
    <w:rsid w:val="144954C7"/>
    <w:rsid w:val="14FB4CC0"/>
    <w:rsid w:val="152D680F"/>
    <w:rsid w:val="1548367B"/>
    <w:rsid w:val="15AD6832"/>
    <w:rsid w:val="15BE51D7"/>
    <w:rsid w:val="15E92769"/>
    <w:rsid w:val="15FA4976"/>
    <w:rsid w:val="162331F9"/>
    <w:rsid w:val="16290B59"/>
    <w:rsid w:val="16816E45"/>
    <w:rsid w:val="16A646E7"/>
    <w:rsid w:val="16AE1A06"/>
    <w:rsid w:val="16C87D62"/>
    <w:rsid w:val="16CA07C9"/>
    <w:rsid w:val="16CB00C0"/>
    <w:rsid w:val="16E318AE"/>
    <w:rsid w:val="16E7610B"/>
    <w:rsid w:val="16FA6B09"/>
    <w:rsid w:val="171E4694"/>
    <w:rsid w:val="179B2DE8"/>
    <w:rsid w:val="17CD0FCC"/>
    <w:rsid w:val="18891FE1"/>
    <w:rsid w:val="18C80D5B"/>
    <w:rsid w:val="18CB084B"/>
    <w:rsid w:val="18DF6A6D"/>
    <w:rsid w:val="18E43DAA"/>
    <w:rsid w:val="18EF6111"/>
    <w:rsid w:val="19140D0C"/>
    <w:rsid w:val="19746C23"/>
    <w:rsid w:val="199C7AF2"/>
    <w:rsid w:val="19C3137D"/>
    <w:rsid w:val="1A587EBD"/>
    <w:rsid w:val="1A9A2B5A"/>
    <w:rsid w:val="1A9B5FFB"/>
    <w:rsid w:val="1AC51917"/>
    <w:rsid w:val="1B1D5B1D"/>
    <w:rsid w:val="1B633657"/>
    <w:rsid w:val="1BDD0037"/>
    <w:rsid w:val="1BED0AD9"/>
    <w:rsid w:val="1C2A7637"/>
    <w:rsid w:val="1C2F3942"/>
    <w:rsid w:val="1C9B44B0"/>
    <w:rsid w:val="1CFC7225"/>
    <w:rsid w:val="1CFF51FA"/>
    <w:rsid w:val="1D1F566C"/>
    <w:rsid w:val="1DD0507E"/>
    <w:rsid w:val="1E162569"/>
    <w:rsid w:val="1E352934"/>
    <w:rsid w:val="1E8B292A"/>
    <w:rsid w:val="1EAF11F9"/>
    <w:rsid w:val="1EB107C7"/>
    <w:rsid w:val="1ECD34D9"/>
    <w:rsid w:val="1F073C5F"/>
    <w:rsid w:val="1F6D18A5"/>
    <w:rsid w:val="1F7F5EEC"/>
    <w:rsid w:val="1F86390D"/>
    <w:rsid w:val="1F901EA7"/>
    <w:rsid w:val="1FAE057F"/>
    <w:rsid w:val="201B3E66"/>
    <w:rsid w:val="201C591C"/>
    <w:rsid w:val="2020322B"/>
    <w:rsid w:val="202C6073"/>
    <w:rsid w:val="203C3DDD"/>
    <w:rsid w:val="20941A92"/>
    <w:rsid w:val="20BC15E3"/>
    <w:rsid w:val="20DB5073"/>
    <w:rsid w:val="20F6042F"/>
    <w:rsid w:val="21061C42"/>
    <w:rsid w:val="21260D15"/>
    <w:rsid w:val="212B207E"/>
    <w:rsid w:val="217B1439"/>
    <w:rsid w:val="21EE2E04"/>
    <w:rsid w:val="22396826"/>
    <w:rsid w:val="226E284B"/>
    <w:rsid w:val="22851A6B"/>
    <w:rsid w:val="22877591"/>
    <w:rsid w:val="22A243CB"/>
    <w:rsid w:val="22A32B9A"/>
    <w:rsid w:val="22B80C33"/>
    <w:rsid w:val="231668F6"/>
    <w:rsid w:val="23166B67"/>
    <w:rsid w:val="231D1CA3"/>
    <w:rsid w:val="23474F72"/>
    <w:rsid w:val="236F3C32"/>
    <w:rsid w:val="23A05586"/>
    <w:rsid w:val="23B73914"/>
    <w:rsid w:val="240D7F6A"/>
    <w:rsid w:val="24393B8C"/>
    <w:rsid w:val="246B4C91"/>
    <w:rsid w:val="24DA0967"/>
    <w:rsid w:val="25033AE6"/>
    <w:rsid w:val="25657932"/>
    <w:rsid w:val="25933713"/>
    <w:rsid w:val="266A16A4"/>
    <w:rsid w:val="26802C75"/>
    <w:rsid w:val="26AD1775"/>
    <w:rsid w:val="26C97BE5"/>
    <w:rsid w:val="26EC20B9"/>
    <w:rsid w:val="27287FC4"/>
    <w:rsid w:val="27306A8C"/>
    <w:rsid w:val="274A5AF2"/>
    <w:rsid w:val="278C3F72"/>
    <w:rsid w:val="27910EB2"/>
    <w:rsid w:val="27A6670B"/>
    <w:rsid w:val="27C44DE4"/>
    <w:rsid w:val="27C962A2"/>
    <w:rsid w:val="28607A0A"/>
    <w:rsid w:val="287B7B98"/>
    <w:rsid w:val="288D1679"/>
    <w:rsid w:val="29231FDE"/>
    <w:rsid w:val="294A30C6"/>
    <w:rsid w:val="298365D8"/>
    <w:rsid w:val="29DB01C2"/>
    <w:rsid w:val="29F026F7"/>
    <w:rsid w:val="29FA689B"/>
    <w:rsid w:val="2A1060BE"/>
    <w:rsid w:val="2A555408"/>
    <w:rsid w:val="2A5D507B"/>
    <w:rsid w:val="2A942482"/>
    <w:rsid w:val="2B261911"/>
    <w:rsid w:val="2B644C3D"/>
    <w:rsid w:val="2B8F37F0"/>
    <w:rsid w:val="2B9F7B08"/>
    <w:rsid w:val="2BB40CC1"/>
    <w:rsid w:val="2BF41771"/>
    <w:rsid w:val="2CB73169"/>
    <w:rsid w:val="2CF55A3F"/>
    <w:rsid w:val="2DBC650B"/>
    <w:rsid w:val="2DD6590F"/>
    <w:rsid w:val="2E2E1209"/>
    <w:rsid w:val="2E2F5ACE"/>
    <w:rsid w:val="2E383E35"/>
    <w:rsid w:val="2E396D0A"/>
    <w:rsid w:val="2E4B1DBB"/>
    <w:rsid w:val="2F311753"/>
    <w:rsid w:val="2F3E1B69"/>
    <w:rsid w:val="2FAE7398"/>
    <w:rsid w:val="2FC058BE"/>
    <w:rsid w:val="2FE778C1"/>
    <w:rsid w:val="2FEE2FF2"/>
    <w:rsid w:val="302A5A00"/>
    <w:rsid w:val="302B6182"/>
    <w:rsid w:val="305E20A1"/>
    <w:rsid w:val="306C6018"/>
    <w:rsid w:val="306E030C"/>
    <w:rsid w:val="30700449"/>
    <w:rsid w:val="30A633C1"/>
    <w:rsid w:val="30D36097"/>
    <w:rsid w:val="30D51E0F"/>
    <w:rsid w:val="30E4632A"/>
    <w:rsid w:val="30F347AF"/>
    <w:rsid w:val="31050134"/>
    <w:rsid w:val="311A5A74"/>
    <w:rsid w:val="31376626"/>
    <w:rsid w:val="31774C75"/>
    <w:rsid w:val="31A1529D"/>
    <w:rsid w:val="321815D1"/>
    <w:rsid w:val="32723FB1"/>
    <w:rsid w:val="3284589B"/>
    <w:rsid w:val="32B83797"/>
    <w:rsid w:val="33790079"/>
    <w:rsid w:val="339E319D"/>
    <w:rsid w:val="340248EC"/>
    <w:rsid w:val="34036C94"/>
    <w:rsid w:val="341449FD"/>
    <w:rsid w:val="3421711A"/>
    <w:rsid w:val="34256C0A"/>
    <w:rsid w:val="343C5990"/>
    <w:rsid w:val="34AD24A5"/>
    <w:rsid w:val="34B8182C"/>
    <w:rsid w:val="34CC5028"/>
    <w:rsid w:val="34F62354"/>
    <w:rsid w:val="35085FC3"/>
    <w:rsid w:val="351B1DBB"/>
    <w:rsid w:val="353658D8"/>
    <w:rsid w:val="3538386F"/>
    <w:rsid w:val="354D60C1"/>
    <w:rsid w:val="35527ED3"/>
    <w:rsid w:val="355503E1"/>
    <w:rsid w:val="35991C41"/>
    <w:rsid w:val="35D43508"/>
    <w:rsid w:val="3627005D"/>
    <w:rsid w:val="362A2252"/>
    <w:rsid w:val="36577A03"/>
    <w:rsid w:val="366F6862"/>
    <w:rsid w:val="368C2F70"/>
    <w:rsid w:val="369C085A"/>
    <w:rsid w:val="36A63BA7"/>
    <w:rsid w:val="37471BB9"/>
    <w:rsid w:val="37C4573F"/>
    <w:rsid w:val="37EC0BBB"/>
    <w:rsid w:val="38451629"/>
    <w:rsid w:val="385B709E"/>
    <w:rsid w:val="38743CBC"/>
    <w:rsid w:val="388A78E0"/>
    <w:rsid w:val="38E76B84"/>
    <w:rsid w:val="398610CE"/>
    <w:rsid w:val="39981C2C"/>
    <w:rsid w:val="39B32692"/>
    <w:rsid w:val="39FA4695"/>
    <w:rsid w:val="3A0550CD"/>
    <w:rsid w:val="3A940645"/>
    <w:rsid w:val="3AC428AC"/>
    <w:rsid w:val="3ADD1FEC"/>
    <w:rsid w:val="3C4B2AC7"/>
    <w:rsid w:val="3C593C47"/>
    <w:rsid w:val="3C636521"/>
    <w:rsid w:val="3C912148"/>
    <w:rsid w:val="3CC51D24"/>
    <w:rsid w:val="3D0D7FF5"/>
    <w:rsid w:val="3D477BF1"/>
    <w:rsid w:val="3E142DAC"/>
    <w:rsid w:val="3E6E11AD"/>
    <w:rsid w:val="3EBA21B5"/>
    <w:rsid w:val="3ED6747E"/>
    <w:rsid w:val="3F9966FE"/>
    <w:rsid w:val="3FAB7B93"/>
    <w:rsid w:val="3FC770F0"/>
    <w:rsid w:val="3FDD65EB"/>
    <w:rsid w:val="401F6CDA"/>
    <w:rsid w:val="40455E4A"/>
    <w:rsid w:val="404841EE"/>
    <w:rsid w:val="404D7982"/>
    <w:rsid w:val="40856FC5"/>
    <w:rsid w:val="40D0614F"/>
    <w:rsid w:val="40E60F0A"/>
    <w:rsid w:val="41211416"/>
    <w:rsid w:val="4125649B"/>
    <w:rsid w:val="413717CC"/>
    <w:rsid w:val="4181342B"/>
    <w:rsid w:val="422229DB"/>
    <w:rsid w:val="42EC395B"/>
    <w:rsid w:val="43030A5E"/>
    <w:rsid w:val="431A0E09"/>
    <w:rsid w:val="43526874"/>
    <w:rsid w:val="43C006FD"/>
    <w:rsid w:val="440D1E33"/>
    <w:rsid w:val="443E0977"/>
    <w:rsid w:val="44487726"/>
    <w:rsid w:val="44EB2F9D"/>
    <w:rsid w:val="452D1CF7"/>
    <w:rsid w:val="452F78E8"/>
    <w:rsid w:val="454A2974"/>
    <w:rsid w:val="455A06DD"/>
    <w:rsid w:val="45672BBC"/>
    <w:rsid w:val="456A0921"/>
    <w:rsid w:val="4626726F"/>
    <w:rsid w:val="466E7BA5"/>
    <w:rsid w:val="469D0882"/>
    <w:rsid w:val="46C91614"/>
    <w:rsid w:val="46CE1529"/>
    <w:rsid w:val="46EE513F"/>
    <w:rsid w:val="471A1ED2"/>
    <w:rsid w:val="47217718"/>
    <w:rsid w:val="47504BE3"/>
    <w:rsid w:val="4766501F"/>
    <w:rsid w:val="4883614E"/>
    <w:rsid w:val="49325BF9"/>
    <w:rsid w:val="4945686B"/>
    <w:rsid w:val="49804BB7"/>
    <w:rsid w:val="49AC49B9"/>
    <w:rsid w:val="49C824A2"/>
    <w:rsid w:val="49EA439D"/>
    <w:rsid w:val="4A1468C5"/>
    <w:rsid w:val="4AF869CF"/>
    <w:rsid w:val="4B1E0322"/>
    <w:rsid w:val="4B49547C"/>
    <w:rsid w:val="4B9125BF"/>
    <w:rsid w:val="4BCB5D57"/>
    <w:rsid w:val="4BCD4BF1"/>
    <w:rsid w:val="4C1A52F2"/>
    <w:rsid w:val="4C6D5CD6"/>
    <w:rsid w:val="4C727ACF"/>
    <w:rsid w:val="4CA94424"/>
    <w:rsid w:val="4CD40D75"/>
    <w:rsid w:val="4CF47DC4"/>
    <w:rsid w:val="4D7A191D"/>
    <w:rsid w:val="4DAF5AC1"/>
    <w:rsid w:val="4DCA79AE"/>
    <w:rsid w:val="4DDD3C5A"/>
    <w:rsid w:val="4DE44058"/>
    <w:rsid w:val="4E816B8E"/>
    <w:rsid w:val="4E9E5ADF"/>
    <w:rsid w:val="4EBE26FA"/>
    <w:rsid w:val="4ED817CF"/>
    <w:rsid w:val="4EDF237F"/>
    <w:rsid w:val="4EEB6452"/>
    <w:rsid w:val="4F306B71"/>
    <w:rsid w:val="4F8D1DDB"/>
    <w:rsid w:val="4F934A89"/>
    <w:rsid w:val="4F950C90"/>
    <w:rsid w:val="4FC13833"/>
    <w:rsid w:val="4FC326FC"/>
    <w:rsid w:val="4FC639BE"/>
    <w:rsid w:val="4FFE4423"/>
    <w:rsid w:val="5027295F"/>
    <w:rsid w:val="502C04C3"/>
    <w:rsid w:val="5050433D"/>
    <w:rsid w:val="507F3A12"/>
    <w:rsid w:val="50832496"/>
    <w:rsid w:val="50940F47"/>
    <w:rsid w:val="50F35439"/>
    <w:rsid w:val="512C3347"/>
    <w:rsid w:val="515919F9"/>
    <w:rsid w:val="516F2120"/>
    <w:rsid w:val="51B35A01"/>
    <w:rsid w:val="51B916B7"/>
    <w:rsid w:val="520E7140"/>
    <w:rsid w:val="52F43F1F"/>
    <w:rsid w:val="53391D5E"/>
    <w:rsid w:val="533D4A8D"/>
    <w:rsid w:val="53684FB5"/>
    <w:rsid w:val="53726E33"/>
    <w:rsid w:val="537868FE"/>
    <w:rsid w:val="537A3A15"/>
    <w:rsid w:val="53866E92"/>
    <w:rsid w:val="53A86F0D"/>
    <w:rsid w:val="53D2230C"/>
    <w:rsid w:val="543153F7"/>
    <w:rsid w:val="545C6447"/>
    <w:rsid w:val="54BC0A6D"/>
    <w:rsid w:val="550146D2"/>
    <w:rsid w:val="551A0823"/>
    <w:rsid w:val="5540169E"/>
    <w:rsid w:val="55480552"/>
    <w:rsid w:val="55733821"/>
    <w:rsid w:val="564515C1"/>
    <w:rsid w:val="56732835"/>
    <w:rsid w:val="567C6706"/>
    <w:rsid w:val="568E0596"/>
    <w:rsid w:val="56932C6A"/>
    <w:rsid w:val="56CE4479"/>
    <w:rsid w:val="56CF6D45"/>
    <w:rsid w:val="574841CD"/>
    <w:rsid w:val="57541431"/>
    <w:rsid w:val="57650F48"/>
    <w:rsid w:val="576B2589"/>
    <w:rsid w:val="57781739"/>
    <w:rsid w:val="57DD31D4"/>
    <w:rsid w:val="57EC3417"/>
    <w:rsid w:val="582169AB"/>
    <w:rsid w:val="58320BE3"/>
    <w:rsid w:val="5858730C"/>
    <w:rsid w:val="58773629"/>
    <w:rsid w:val="58DE7204"/>
    <w:rsid w:val="58E862D4"/>
    <w:rsid w:val="59140E77"/>
    <w:rsid w:val="595E1868"/>
    <w:rsid w:val="59637709"/>
    <w:rsid w:val="59A84932"/>
    <w:rsid w:val="59CD7278"/>
    <w:rsid w:val="5A0E5487"/>
    <w:rsid w:val="5A1679A0"/>
    <w:rsid w:val="5A7B6A06"/>
    <w:rsid w:val="5A7E71A4"/>
    <w:rsid w:val="5A882AA7"/>
    <w:rsid w:val="5AC12FE7"/>
    <w:rsid w:val="5ADE2869"/>
    <w:rsid w:val="5AF80325"/>
    <w:rsid w:val="5B1D6D02"/>
    <w:rsid w:val="5B282AED"/>
    <w:rsid w:val="5B4D241F"/>
    <w:rsid w:val="5B5B4AED"/>
    <w:rsid w:val="5B8375BC"/>
    <w:rsid w:val="5BA06BA3"/>
    <w:rsid w:val="5BBA2E4C"/>
    <w:rsid w:val="5BDB32A5"/>
    <w:rsid w:val="5BDE576D"/>
    <w:rsid w:val="5BF01A57"/>
    <w:rsid w:val="5C270EC2"/>
    <w:rsid w:val="5C7165E1"/>
    <w:rsid w:val="5C8241C7"/>
    <w:rsid w:val="5CA00C74"/>
    <w:rsid w:val="5CD52DF4"/>
    <w:rsid w:val="5D134896"/>
    <w:rsid w:val="5D1A0A26"/>
    <w:rsid w:val="5D7C348F"/>
    <w:rsid w:val="5D9C768D"/>
    <w:rsid w:val="5DE11544"/>
    <w:rsid w:val="5E1B2CA8"/>
    <w:rsid w:val="5E2A3532"/>
    <w:rsid w:val="5E443FAD"/>
    <w:rsid w:val="5E9156EC"/>
    <w:rsid w:val="5EAE71B5"/>
    <w:rsid w:val="5F1052AB"/>
    <w:rsid w:val="5F3A715E"/>
    <w:rsid w:val="5F463D55"/>
    <w:rsid w:val="5F4920F1"/>
    <w:rsid w:val="5F492843"/>
    <w:rsid w:val="5F6352A2"/>
    <w:rsid w:val="5FF57E5E"/>
    <w:rsid w:val="60254829"/>
    <w:rsid w:val="610A5805"/>
    <w:rsid w:val="61D03DA9"/>
    <w:rsid w:val="62077C14"/>
    <w:rsid w:val="62514EEA"/>
    <w:rsid w:val="62F53AC8"/>
    <w:rsid w:val="630570FB"/>
    <w:rsid w:val="63650BC9"/>
    <w:rsid w:val="63860BC4"/>
    <w:rsid w:val="638613D5"/>
    <w:rsid w:val="638E3EC5"/>
    <w:rsid w:val="642A77A1"/>
    <w:rsid w:val="6446795D"/>
    <w:rsid w:val="64A137DB"/>
    <w:rsid w:val="64D43BB1"/>
    <w:rsid w:val="64F078DB"/>
    <w:rsid w:val="64F30867"/>
    <w:rsid w:val="65032533"/>
    <w:rsid w:val="654B5FB4"/>
    <w:rsid w:val="65863EDD"/>
    <w:rsid w:val="65C46273"/>
    <w:rsid w:val="65EC27EF"/>
    <w:rsid w:val="65F52031"/>
    <w:rsid w:val="6635067F"/>
    <w:rsid w:val="664B017C"/>
    <w:rsid w:val="665F56FC"/>
    <w:rsid w:val="666F3B91"/>
    <w:rsid w:val="66794A10"/>
    <w:rsid w:val="669B6DC4"/>
    <w:rsid w:val="66DA04BD"/>
    <w:rsid w:val="67283DE8"/>
    <w:rsid w:val="67696832"/>
    <w:rsid w:val="677456CA"/>
    <w:rsid w:val="67E24BA1"/>
    <w:rsid w:val="684B3E1E"/>
    <w:rsid w:val="69434E61"/>
    <w:rsid w:val="699678A3"/>
    <w:rsid w:val="69EC36B5"/>
    <w:rsid w:val="69F460FE"/>
    <w:rsid w:val="6A211646"/>
    <w:rsid w:val="6A284876"/>
    <w:rsid w:val="6A2A49B6"/>
    <w:rsid w:val="6A815C41"/>
    <w:rsid w:val="6A8B59CF"/>
    <w:rsid w:val="6AA02A4C"/>
    <w:rsid w:val="6AF177E7"/>
    <w:rsid w:val="6AFE65BA"/>
    <w:rsid w:val="6B013226"/>
    <w:rsid w:val="6B0A20DA"/>
    <w:rsid w:val="6B170353"/>
    <w:rsid w:val="6B2807B2"/>
    <w:rsid w:val="6B3175B8"/>
    <w:rsid w:val="6B9B25A4"/>
    <w:rsid w:val="6BBB3D13"/>
    <w:rsid w:val="6BDF70C3"/>
    <w:rsid w:val="6BF71BE1"/>
    <w:rsid w:val="6C5C0714"/>
    <w:rsid w:val="6CDB1419"/>
    <w:rsid w:val="6CF7043C"/>
    <w:rsid w:val="6D0839F4"/>
    <w:rsid w:val="6D1A1643"/>
    <w:rsid w:val="6D336CC4"/>
    <w:rsid w:val="6D653CE8"/>
    <w:rsid w:val="6D6627CF"/>
    <w:rsid w:val="6D7F7126"/>
    <w:rsid w:val="6D837F22"/>
    <w:rsid w:val="6DD253BE"/>
    <w:rsid w:val="6DE24C48"/>
    <w:rsid w:val="6E301E58"/>
    <w:rsid w:val="6E397FB2"/>
    <w:rsid w:val="6E75148D"/>
    <w:rsid w:val="6EC22F28"/>
    <w:rsid w:val="6ED76777"/>
    <w:rsid w:val="6EE93F0D"/>
    <w:rsid w:val="6FA0383D"/>
    <w:rsid w:val="6FF96F24"/>
    <w:rsid w:val="6FFD1003"/>
    <w:rsid w:val="70612795"/>
    <w:rsid w:val="70A97C9F"/>
    <w:rsid w:val="71591445"/>
    <w:rsid w:val="719A051D"/>
    <w:rsid w:val="71C64952"/>
    <w:rsid w:val="71CD0B68"/>
    <w:rsid w:val="71E260CC"/>
    <w:rsid w:val="720A304C"/>
    <w:rsid w:val="727443DE"/>
    <w:rsid w:val="72907369"/>
    <w:rsid w:val="72C2773E"/>
    <w:rsid w:val="72F96E59"/>
    <w:rsid w:val="7318735E"/>
    <w:rsid w:val="743B1556"/>
    <w:rsid w:val="74573122"/>
    <w:rsid w:val="745C2AB8"/>
    <w:rsid w:val="746D0776"/>
    <w:rsid w:val="7504038C"/>
    <w:rsid w:val="751678CE"/>
    <w:rsid w:val="753A7A60"/>
    <w:rsid w:val="7571408E"/>
    <w:rsid w:val="76422779"/>
    <w:rsid w:val="766052A4"/>
    <w:rsid w:val="76894770"/>
    <w:rsid w:val="768E22E4"/>
    <w:rsid w:val="76C92E49"/>
    <w:rsid w:val="76F74F4E"/>
    <w:rsid w:val="77F75747"/>
    <w:rsid w:val="77FD7ADA"/>
    <w:rsid w:val="78103C49"/>
    <w:rsid w:val="788E59A6"/>
    <w:rsid w:val="789D27E0"/>
    <w:rsid w:val="789E20B4"/>
    <w:rsid w:val="78E628A1"/>
    <w:rsid w:val="790E57B9"/>
    <w:rsid w:val="79316305"/>
    <w:rsid w:val="796551D5"/>
    <w:rsid w:val="799A0ACD"/>
    <w:rsid w:val="79FD4B66"/>
    <w:rsid w:val="7A036672"/>
    <w:rsid w:val="7A312303"/>
    <w:rsid w:val="7A5A26E3"/>
    <w:rsid w:val="7AA80CC3"/>
    <w:rsid w:val="7B02743D"/>
    <w:rsid w:val="7B346CFF"/>
    <w:rsid w:val="7B9559F0"/>
    <w:rsid w:val="7BFD676A"/>
    <w:rsid w:val="7C7D5445"/>
    <w:rsid w:val="7CC3658D"/>
    <w:rsid w:val="7CE16A13"/>
    <w:rsid w:val="7CE22FB3"/>
    <w:rsid w:val="7CE655D9"/>
    <w:rsid w:val="7D3A29C9"/>
    <w:rsid w:val="7D43322A"/>
    <w:rsid w:val="7DD00416"/>
    <w:rsid w:val="7DEF0981"/>
    <w:rsid w:val="7E2E4B7C"/>
    <w:rsid w:val="7E524935"/>
    <w:rsid w:val="7EBE6FFF"/>
    <w:rsid w:val="7EC4494D"/>
    <w:rsid w:val="7F1B4B4D"/>
    <w:rsid w:val="7F4C08AA"/>
    <w:rsid w:val="7F544F83"/>
    <w:rsid w:val="7F77062E"/>
    <w:rsid w:val="7FAB2C43"/>
    <w:rsid w:val="7FF07699"/>
    <w:rsid w:val="DAD7110F"/>
    <w:rsid w:val="F3EB33BD"/>
    <w:rsid w:val="FDFF6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paragraph" w:styleId="2">
    <w:name w:val="heading 1"/>
    <w:basedOn w:val="1"/>
    <w:next w:val="1"/>
    <w:link w:val="3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0"/>
    <w:autoRedefine/>
    <w:unhideWhenUsed/>
    <w:qFormat/>
    <w:uiPriority w:val="0"/>
    <w:pPr>
      <w:widowControl w:val="0"/>
      <w:kinsoku/>
      <w:autoSpaceDE/>
      <w:autoSpaceDN/>
      <w:adjustRightInd/>
      <w:snapToGrid/>
      <w:spacing w:before="120" w:after="120" w:line="360" w:lineRule="auto"/>
      <w:jc w:val="both"/>
      <w:textAlignment w:val="auto"/>
      <w:outlineLvl w:val="2"/>
    </w:pPr>
    <w:rPr>
      <w:rFonts w:ascii="宋体" w:hAnsi="宋体" w:eastAsia="宋体" w:cs="Times New Roman"/>
      <w:b/>
      <w:bCs/>
      <w:snapToGrid/>
      <w:color w:val="auto"/>
      <w:kern w:val="2"/>
      <w:sz w:val="30"/>
      <w:szCs w:val="30"/>
      <w:lang w:eastAsia="zh-CN"/>
    </w:rPr>
  </w:style>
  <w:style w:type="paragraph" w:styleId="5">
    <w:name w:val="heading 4"/>
    <w:basedOn w:val="1"/>
    <w:next w:val="1"/>
    <w:link w:val="36"/>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val="0"/>
      <w:kinsoku/>
      <w:autoSpaceDE/>
      <w:autoSpaceDN/>
      <w:adjustRightInd/>
      <w:snapToGrid/>
      <w:ind w:firstLine="200" w:firstLineChars="200"/>
      <w:textAlignment w:val="auto"/>
    </w:pPr>
    <w:rPr>
      <w:rFonts w:asciiTheme="minorHAnsi" w:hAnsiTheme="minorHAnsi" w:cstheme="minorBidi"/>
      <w:snapToGrid/>
      <w:color w:val="auto"/>
      <w:kern w:val="2"/>
      <w:szCs w:val="24"/>
      <w:lang w:eastAsia="zh-CN"/>
    </w:rPr>
  </w:style>
  <w:style w:type="paragraph" w:styleId="7">
    <w:name w:val="Body Text"/>
    <w:basedOn w:val="1"/>
    <w:semiHidden/>
    <w:qFormat/>
    <w:uiPriority w:val="0"/>
    <w:rPr>
      <w:rFonts w:eastAsia="Arial"/>
    </w:rPr>
  </w:style>
  <w:style w:type="paragraph" w:styleId="8">
    <w:name w:val="Body Text Indent"/>
    <w:basedOn w:val="1"/>
    <w:qFormat/>
    <w:uiPriority w:val="99"/>
    <w:pPr>
      <w:spacing w:after="120"/>
      <w:ind w:left="420" w:leftChars="200"/>
    </w:pPr>
  </w:style>
  <w:style w:type="paragraph" w:styleId="9">
    <w:name w:val="toc 3"/>
    <w:basedOn w:val="1"/>
    <w:next w:val="1"/>
    <w:semiHidden/>
    <w:unhideWhenUsed/>
    <w:qFormat/>
    <w:uiPriority w:val="39"/>
    <w:pPr>
      <w:ind w:left="840" w:leftChars="400"/>
    </w:pPr>
  </w:style>
  <w:style w:type="paragraph" w:styleId="10">
    <w:name w:val="Plain Text"/>
    <w:basedOn w:val="1"/>
    <w:qFormat/>
    <w:uiPriority w:val="0"/>
    <w:rPr>
      <w:rFonts w:ascii="宋体" w:hAnsi="Courier New" w:eastAsia="宋体" w:cs="Courier New"/>
      <w:szCs w:val="21"/>
    </w:rPr>
  </w:style>
  <w:style w:type="paragraph" w:styleId="11">
    <w:name w:val="footer"/>
    <w:basedOn w:val="1"/>
    <w:link w:val="29"/>
    <w:unhideWhenUsed/>
    <w:qFormat/>
    <w:uiPriority w:val="99"/>
    <w:pPr>
      <w:tabs>
        <w:tab w:val="center" w:pos="4153"/>
        <w:tab w:val="right" w:pos="8306"/>
      </w:tabs>
    </w:pPr>
    <w:rPr>
      <w:sz w:val="18"/>
      <w:szCs w:val="18"/>
    </w:rPr>
  </w:style>
  <w:style w:type="paragraph" w:styleId="12">
    <w:name w:val="envelope return"/>
    <w:basedOn w:val="1"/>
    <w:qFormat/>
    <w:uiPriority w:val="0"/>
    <w:pPr>
      <w:snapToGrid w:val="0"/>
    </w:pPr>
    <w:rPr>
      <w:rFonts w:ascii="Arial" w:hAnsi="Arial"/>
    </w:rPr>
  </w:style>
  <w:style w:type="paragraph" w:styleId="13">
    <w:name w:val="header"/>
    <w:basedOn w:val="1"/>
    <w:link w:val="28"/>
    <w:unhideWhenUsed/>
    <w:qFormat/>
    <w:uiPriority w:val="99"/>
    <w:pPr>
      <w:tabs>
        <w:tab w:val="center" w:pos="4153"/>
        <w:tab w:val="right" w:pos="8306"/>
      </w:tabs>
      <w:jc w:val="center"/>
    </w:pPr>
    <w:rPr>
      <w:sz w:val="18"/>
      <w:szCs w:val="18"/>
    </w:rPr>
  </w:style>
  <w:style w:type="paragraph" w:styleId="14">
    <w:name w:val="toc 1"/>
    <w:basedOn w:val="1"/>
    <w:next w:val="1"/>
    <w:semiHidden/>
    <w:unhideWhenUsed/>
    <w:qFormat/>
    <w:uiPriority w:val="39"/>
  </w:style>
  <w:style w:type="paragraph" w:styleId="15">
    <w:name w:val="table of figures"/>
    <w:basedOn w:val="1"/>
    <w:next w:val="1"/>
    <w:qFormat/>
    <w:uiPriority w:val="99"/>
    <w:pPr>
      <w:ind w:firstLine="0" w:firstLineChars="0"/>
      <w:jc w:val="center"/>
    </w:pPr>
    <w:rPr>
      <w:rFonts w:eastAsia="黑体"/>
      <w:smallCaps/>
      <w:sz w:val="24"/>
      <w:szCs w:val="24"/>
    </w:rPr>
  </w:style>
  <w:style w:type="paragraph" w:styleId="16">
    <w:name w:val="toc 2"/>
    <w:basedOn w:val="1"/>
    <w:next w:val="1"/>
    <w:semiHidden/>
    <w:unhideWhenUsed/>
    <w:qFormat/>
    <w:uiPriority w:val="39"/>
    <w:pPr>
      <w:ind w:left="420" w:leftChars="200"/>
    </w:pPr>
  </w:style>
  <w:style w:type="paragraph" w:styleId="17">
    <w:name w:val="Body Text First Indent 2"/>
    <w:basedOn w:val="8"/>
    <w:next w:val="1"/>
    <w:qFormat/>
    <w:uiPriority w:val="0"/>
    <w:pPr>
      <w:spacing w:after="0"/>
      <w:ind w:left="0" w:leftChars="0" w:firstLine="640" w:firstLineChars="200"/>
    </w:p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character" w:styleId="22">
    <w:name w:val="FollowedHyperlink"/>
    <w:basedOn w:val="20"/>
    <w:semiHidden/>
    <w:unhideWhenUsed/>
    <w:qFormat/>
    <w:uiPriority w:val="99"/>
    <w:rPr>
      <w:color w:val="800080"/>
      <w:u w:val="single"/>
    </w:rPr>
  </w:style>
  <w:style w:type="character" w:styleId="23">
    <w:name w:val="Hyperlink"/>
    <w:basedOn w:val="20"/>
    <w:semiHidden/>
    <w:unhideWhenUsed/>
    <w:qFormat/>
    <w:uiPriority w:val="99"/>
    <w:rPr>
      <w:color w:val="0000FF"/>
      <w:u w:val="single"/>
    </w:rPr>
  </w:style>
  <w:style w:type="paragraph" w:customStyle="1" w:styleId="24">
    <w:name w:val="BodyText1I2"/>
    <w:basedOn w:val="25"/>
    <w:next w:val="1"/>
    <w:qFormat/>
    <w:uiPriority w:val="0"/>
    <w:pPr>
      <w:ind w:firstLine="420"/>
    </w:pPr>
  </w:style>
  <w:style w:type="paragraph" w:customStyle="1" w:styleId="25">
    <w:name w:val="BodyTextIndent"/>
    <w:basedOn w:val="1"/>
    <w:qFormat/>
    <w:uiPriority w:val="0"/>
    <w:pPr>
      <w:widowControl/>
      <w:spacing w:line="360" w:lineRule="auto"/>
      <w:ind w:firstLine="600" w:firstLineChars="200"/>
      <w:textAlignment w:val="baseline"/>
    </w:pPr>
    <w:rPr>
      <w:rFonts w:ascii="仿宋" w:hAnsi="仿宋" w:eastAsia="仿宋"/>
      <w:bCs/>
      <w:sz w:val="30"/>
      <w:szCs w:val="30"/>
      <w:lang w:val="en-US" w:bidi="ar-SA"/>
    </w:rPr>
  </w:style>
  <w:style w:type="table" w:customStyle="1" w:styleId="26">
    <w:name w:val="Table Normal"/>
    <w:semiHidden/>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仿宋_GB2312" w:hAnsi="仿宋_GB2312" w:eastAsia="仿宋_GB2312" w:cs="仿宋_GB2312"/>
      <w:sz w:val="31"/>
      <w:szCs w:val="31"/>
    </w:rPr>
  </w:style>
  <w:style w:type="character" w:customStyle="1" w:styleId="28">
    <w:name w:val="页眉 字符"/>
    <w:basedOn w:val="20"/>
    <w:link w:val="13"/>
    <w:qFormat/>
    <w:uiPriority w:val="99"/>
    <w:rPr>
      <w:sz w:val="18"/>
      <w:szCs w:val="18"/>
    </w:rPr>
  </w:style>
  <w:style w:type="character" w:customStyle="1" w:styleId="29">
    <w:name w:val="页脚 字符"/>
    <w:basedOn w:val="20"/>
    <w:link w:val="11"/>
    <w:qFormat/>
    <w:uiPriority w:val="99"/>
    <w:rPr>
      <w:sz w:val="18"/>
      <w:szCs w:val="18"/>
    </w:rPr>
  </w:style>
  <w:style w:type="character" w:customStyle="1" w:styleId="30">
    <w:name w:val="标题 3 字符"/>
    <w:basedOn w:val="20"/>
    <w:link w:val="4"/>
    <w:qFormat/>
    <w:uiPriority w:val="0"/>
    <w:rPr>
      <w:rFonts w:ascii="宋体" w:hAnsi="宋体" w:eastAsia="宋体" w:cs="Times New Roman"/>
      <w:b/>
      <w:bCs/>
      <w:snapToGrid/>
      <w:color w:val="auto"/>
      <w:kern w:val="2"/>
      <w:sz w:val="30"/>
      <w:szCs w:val="30"/>
      <w:lang w:eastAsia="zh-CN"/>
    </w:rPr>
  </w:style>
  <w:style w:type="paragraph" w:customStyle="1" w:styleId="31">
    <w:name w:val="正文文本123"/>
    <w:basedOn w:val="1"/>
    <w:autoRedefine/>
    <w:qFormat/>
    <w:uiPriority w:val="0"/>
    <w:pPr>
      <w:widowControl w:val="0"/>
      <w:kinsoku/>
      <w:autoSpaceDE/>
      <w:autoSpaceDN/>
      <w:adjustRightInd/>
      <w:snapToGrid/>
      <w:spacing w:before="240" w:line="360" w:lineRule="auto"/>
      <w:ind w:firstLine="600" w:firstLineChars="200"/>
      <w:jc w:val="both"/>
      <w:textAlignment w:val="auto"/>
    </w:pPr>
    <w:rPr>
      <w:rFonts w:ascii="Times New Roman" w:hAnsi="Times New Roman" w:eastAsia="宋体" w:cs="Times New Roman"/>
      <w:snapToGrid/>
      <w:color w:val="auto"/>
      <w:kern w:val="2"/>
      <w:sz w:val="30"/>
      <w:szCs w:val="30"/>
      <w:lang w:eastAsia="zh-CN"/>
    </w:rPr>
  </w:style>
  <w:style w:type="character" w:customStyle="1" w:styleId="32">
    <w:name w:val="标题 1 字符"/>
    <w:basedOn w:val="20"/>
    <w:link w:val="2"/>
    <w:qFormat/>
    <w:uiPriority w:val="9"/>
    <w:rPr>
      <w:b/>
      <w:bCs/>
      <w:kern w:val="44"/>
      <w:sz w:val="44"/>
      <w:szCs w:val="44"/>
    </w:rPr>
  </w:style>
  <w:style w:type="character" w:customStyle="1" w:styleId="33">
    <w:name w:val="标题 2 字符"/>
    <w:basedOn w:val="20"/>
    <w:link w:val="3"/>
    <w:qFormat/>
    <w:uiPriority w:val="9"/>
    <w:rPr>
      <w:rFonts w:asciiTheme="majorHAnsi" w:hAnsiTheme="majorHAnsi" w:eastAsiaTheme="majorEastAsia" w:cstheme="majorBidi"/>
      <w:b/>
      <w:bCs/>
      <w:sz w:val="32"/>
      <w:szCs w:val="32"/>
    </w:rPr>
  </w:style>
  <w:style w:type="paragraph" w:customStyle="1" w:styleId="34">
    <w:name w:val="marklang-paragraph"/>
    <w:basedOn w:val="1"/>
    <w:qFormat/>
    <w:uiPriority w:val="0"/>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lang w:eastAsia="zh-CN"/>
    </w:rPr>
  </w:style>
  <w:style w:type="paragraph" w:customStyle="1" w:styleId="35">
    <w:name w:val="Table Paragraph"/>
    <w:basedOn w:val="1"/>
    <w:qFormat/>
    <w:uiPriority w:val="1"/>
    <w:pPr>
      <w:widowControl w:val="0"/>
      <w:kinsoku/>
      <w:adjustRightInd/>
      <w:snapToGrid/>
      <w:textAlignment w:val="auto"/>
    </w:pPr>
    <w:rPr>
      <w:rFonts w:ascii="Noto Serif CJK JP" w:hAnsi="Noto Serif CJK JP" w:eastAsia="Noto Serif CJK JP" w:cs="Noto Serif CJK JP"/>
      <w:snapToGrid/>
      <w:color w:val="auto"/>
      <w:sz w:val="22"/>
      <w:szCs w:val="22"/>
      <w:lang w:val="ca-ES"/>
    </w:rPr>
  </w:style>
  <w:style w:type="character" w:customStyle="1" w:styleId="36">
    <w:name w:val="标题 4 字符"/>
    <w:basedOn w:val="20"/>
    <w:link w:val="5"/>
    <w:qFormat/>
    <w:uiPriority w:val="9"/>
    <w:rPr>
      <w:rFonts w:asciiTheme="majorHAnsi" w:hAnsiTheme="majorHAnsi" w:eastAsiaTheme="majorEastAsia" w:cstheme="majorBidi"/>
      <w:b/>
      <w:bCs/>
      <w:sz w:val="28"/>
      <w:szCs w:val="28"/>
    </w:rPr>
  </w:style>
  <w:style w:type="paragraph" w:styleId="37">
    <w:name w:val="List Paragraph"/>
    <w:basedOn w:val="1"/>
    <w:qFormat/>
    <w:uiPriority w:val="99"/>
    <w:pPr>
      <w:ind w:firstLine="420" w:firstLineChars="200"/>
    </w:pPr>
  </w:style>
  <w:style w:type="paragraph" w:customStyle="1" w:styleId="38">
    <w:name w:val="标准文件_章标题"/>
    <w:next w:val="1"/>
    <w:qFormat/>
    <w:uiPriority w:val="0"/>
    <w:pPr>
      <w:numPr>
        <w:ilvl w:val="1"/>
        <w:numId w:val="1"/>
      </w:numPr>
      <w:spacing w:before="100" w:beforeLines="100" w:after="100" w:afterLines="100"/>
      <w:jc w:val="both"/>
      <w:outlineLvl w:val="0"/>
    </w:pPr>
    <w:rPr>
      <w:rFonts w:ascii="黑体" w:hAnsi="Times New Roman" w:eastAsia="黑体" w:cs="Times New Roman"/>
      <w:snapToGrid/>
      <w:color w:val="auto"/>
      <w:sz w:val="21"/>
      <w:szCs w:val="20"/>
      <w:lang w:val="en-US" w:eastAsia="zh-CN" w:bidi="ar-SA"/>
    </w:rPr>
  </w:style>
  <w:style w:type="paragraph" w:customStyle="1" w:styleId="39">
    <w:name w:val="标准文件_一级条标题"/>
    <w:basedOn w:val="38"/>
    <w:next w:val="1"/>
    <w:qFormat/>
    <w:uiPriority w:val="0"/>
    <w:pPr>
      <w:numPr>
        <w:ilvl w:val="2"/>
      </w:numPr>
      <w:spacing w:before="50" w:beforeLines="50" w:after="50" w:afterLines="50" w:line="400" w:lineRule="exact"/>
      <w:outlineLvl w:val="1"/>
    </w:pPr>
    <w:rPr>
      <w:rFonts w:hAnsi="黑体"/>
    </w:rPr>
  </w:style>
  <w:style w:type="paragraph" w:customStyle="1" w:styleId="40">
    <w:name w:val="标准文件_三级条标题"/>
    <w:basedOn w:val="1"/>
    <w:next w:val="1"/>
    <w:qFormat/>
    <w:uiPriority w:val="0"/>
    <w:pPr>
      <w:numPr>
        <w:ilvl w:val="4"/>
        <w:numId w:val="1"/>
      </w:numPr>
      <w:kinsoku/>
      <w:autoSpaceDE/>
      <w:autoSpaceDN/>
      <w:adjustRightInd/>
      <w:snapToGrid/>
      <w:spacing w:before="50" w:beforeLines="50" w:after="50" w:afterLines="50" w:line="400" w:lineRule="exact"/>
      <w:jc w:val="both"/>
      <w:textAlignment w:val="auto"/>
      <w:outlineLvl w:val="3"/>
    </w:pPr>
    <w:rPr>
      <w:rFonts w:ascii="黑体" w:hAnsi="黑体" w:eastAsia="黑体" w:cs="Times New Roman"/>
      <w:snapToGrid/>
      <w:color w:val="auto"/>
      <w:szCs w:val="20"/>
      <w:lang w:eastAsia="zh-CN"/>
    </w:rPr>
  </w:style>
  <w:style w:type="paragraph" w:customStyle="1" w:styleId="41">
    <w:name w:val="标准文件_四级条标题"/>
    <w:next w:val="1"/>
    <w:qFormat/>
    <w:uiPriority w:val="0"/>
    <w:pPr>
      <w:widowControl w:val="0"/>
      <w:numPr>
        <w:ilvl w:val="5"/>
        <w:numId w:val="1"/>
      </w:numPr>
      <w:spacing w:before="50" w:beforeLines="50" w:after="50" w:afterLines="50"/>
      <w:jc w:val="both"/>
      <w:outlineLvl w:val="4"/>
    </w:pPr>
    <w:rPr>
      <w:rFonts w:ascii="黑体" w:hAnsi="Times New Roman" w:eastAsia="黑体" w:cs="Times New Roman"/>
      <w:snapToGrid/>
      <w:color w:val="auto"/>
      <w:sz w:val="21"/>
      <w:szCs w:val="20"/>
      <w:lang w:val="en-US" w:eastAsia="zh-CN" w:bidi="ar-SA"/>
    </w:rPr>
  </w:style>
  <w:style w:type="paragraph" w:customStyle="1" w:styleId="42">
    <w:name w:val="标准文件三级条标题"/>
    <w:next w:val="1"/>
    <w:qFormat/>
    <w:uiPriority w:val="0"/>
    <w:pPr>
      <w:widowControl w:val="0"/>
      <w:numPr>
        <w:ilvl w:val="3"/>
        <w:numId w:val="1"/>
      </w:numPr>
      <w:spacing w:line="500" w:lineRule="exact"/>
      <w:outlineLvl w:val="2"/>
    </w:pPr>
    <w:rPr>
      <w:rFonts w:ascii="黑体" w:hAnsi="黑体" w:eastAsia="宋体" w:cs="Times New Roman"/>
      <w:snapToGrid w:val="0"/>
      <w:color w:val="auto"/>
      <w:sz w:val="21"/>
      <w:szCs w:val="20"/>
      <w:lang w:val="en-US" w:eastAsia="zh-CN" w:bidi="ar-SA"/>
    </w:rPr>
  </w:style>
  <w:style w:type="paragraph" w:customStyle="1" w:styleId="43">
    <w:name w:val="图表目录1"/>
    <w:basedOn w:val="1"/>
    <w:next w:val="1"/>
    <w:autoRedefine/>
    <w:qFormat/>
    <w:uiPriority w:val="0"/>
    <w:pPr>
      <w:widowControl w:val="0"/>
      <w:kinsoku/>
      <w:autoSpaceDE/>
      <w:autoSpaceDN/>
      <w:adjustRightInd/>
      <w:snapToGrid/>
      <w:ind w:left="200" w:leftChars="200" w:hanging="200" w:hangingChars="200"/>
      <w:jc w:val="both"/>
      <w:textAlignment w:val="auto"/>
    </w:pPr>
    <w:rPr>
      <w:rFonts w:ascii="Calibri" w:hAnsi="Calibri" w:eastAsia="仿宋_GB2312" w:cs="Times New Roman"/>
      <w:snapToGrid/>
      <w:color w:val="auto"/>
      <w:kern w:val="2"/>
      <w:sz w:val="32"/>
      <w:szCs w:val="24"/>
      <w:lang w:eastAsia="zh-CN"/>
    </w:rPr>
  </w:style>
  <w:style w:type="paragraph" w:customStyle="1" w:styleId="44">
    <w:name w:val="msonormal"/>
    <w:basedOn w:val="1"/>
    <w:qFormat/>
    <w:uiPriority w:val="0"/>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lang w:eastAsia="zh-CN"/>
    </w:rPr>
  </w:style>
  <w:style w:type="paragraph" w:customStyle="1" w:styleId="45">
    <w:name w:val="xl72"/>
    <w:basedOn w:val="1"/>
    <w:qFormat/>
    <w:uiPriority w:val="0"/>
    <w:pPr>
      <w:pBdr>
        <w:top w:val="single" w:color="auto" w:sz="4" w:space="0"/>
        <w:left w:val="single" w:color="auto" w:sz="4" w:space="0"/>
        <w:bottom w:val="single" w:color="auto" w:sz="4" w:space="0"/>
        <w:right w:val="single" w:color="auto" w:sz="4" w:space="0"/>
      </w:pBdr>
      <w:kinsoku/>
      <w:autoSpaceDE/>
      <w:autoSpaceDN/>
      <w:adjustRightInd/>
      <w:snapToGrid/>
      <w:spacing w:before="100" w:beforeAutospacing="1" w:after="100" w:afterAutospacing="1"/>
      <w:jc w:val="center"/>
      <w:textAlignment w:val="auto"/>
    </w:pPr>
    <w:rPr>
      <w:rFonts w:ascii="宋体" w:hAnsi="宋体" w:eastAsia="宋体" w:cs="宋体"/>
      <w:snapToGrid/>
      <w:color w:val="auto"/>
      <w:sz w:val="20"/>
      <w:szCs w:val="20"/>
      <w:lang w:eastAsia="zh-CN"/>
    </w:rPr>
  </w:style>
  <w:style w:type="paragraph" w:customStyle="1" w:styleId="46">
    <w:name w:val="xl73"/>
    <w:basedOn w:val="1"/>
    <w:qFormat/>
    <w:uiPriority w:val="0"/>
    <w:pPr>
      <w:kinsoku/>
      <w:autoSpaceDE/>
      <w:autoSpaceDN/>
      <w:adjustRightInd/>
      <w:snapToGrid/>
      <w:spacing w:before="100" w:beforeAutospacing="1" w:after="100" w:afterAutospacing="1"/>
      <w:jc w:val="center"/>
      <w:textAlignment w:val="auto"/>
    </w:pPr>
    <w:rPr>
      <w:rFonts w:ascii="宋体" w:hAnsi="宋体" w:eastAsia="宋体" w:cs="宋体"/>
      <w:snapToGrid/>
      <w:color w:val="auto"/>
      <w:sz w:val="24"/>
      <w:szCs w:val="24"/>
      <w:lang w:eastAsia="zh-CN"/>
    </w:rPr>
  </w:style>
  <w:style w:type="paragraph" w:customStyle="1" w:styleId="47">
    <w:name w:val="xl74"/>
    <w:basedOn w:val="1"/>
    <w:qFormat/>
    <w:uiPriority w:val="0"/>
    <w:pPr>
      <w:kinsoku/>
      <w:autoSpaceDE/>
      <w:autoSpaceDN/>
      <w:adjustRightInd/>
      <w:snapToGrid/>
      <w:spacing w:before="100" w:beforeAutospacing="1" w:after="100" w:afterAutospacing="1"/>
      <w:jc w:val="center"/>
      <w:textAlignment w:val="auto"/>
    </w:pPr>
    <w:rPr>
      <w:rFonts w:ascii="宋体" w:hAnsi="宋体" w:eastAsia="宋体" w:cs="宋体"/>
      <w:snapToGrid/>
      <w:color w:val="auto"/>
      <w:sz w:val="20"/>
      <w:szCs w:val="20"/>
      <w:lang w:eastAsia="zh-CN"/>
    </w:rPr>
  </w:style>
  <w:style w:type="paragraph" w:customStyle="1" w:styleId="48">
    <w:name w:val="xl75"/>
    <w:basedOn w:val="1"/>
    <w:qFormat/>
    <w:uiPriority w:val="0"/>
    <w:pPr>
      <w:kinsoku/>
      <w:autoSpaceDE/>
      <w:autoSpaceDN/>
      <w:adjustRightInd/>
      <w:snapToGrid/>
      <w:spacing w:before="100" w:beforeAutospacing="1" w:after="100" w:afterAutospacing="1"/>
      <w:jc w:val="center"/>
      <w:textAlignment w:val="auto"/>
    </w:pPr>
    <w:rPr>
      <w:rFonts w:ascii="宋体" w:hAnsi="宋体" w:eastAsia="宋体" w:cs="宋体"/>
      <w:snapToGrid/>
      <w:color w:val="auto"/>
      <w:sz w:val="24"/>
      <w:szCs w:val="24"/>
      <w:lang w:eastAsia="zh-CN"/>
    </w:rPr>
  </w:style>
  <w:style w:type="paragraph" w:customStyle="1" w:styleId="49">
    <w:name w:val="xl76"/>
    <w:basedOn w:val="1"/>
    <w:qFormat/>
    <w:uiPriority w:val="0"/>
    <w:pPr>
      <w:pBdr>
        <w:top w:val="single" w:color="auto" w:sz="4" w:space="0"/>
        <w:left w:val="single" w:color="auto" w:sz="4" w:space="0"/>
        <w:bottom w:val="single" w:color="auto" w:sz="4" w:space="0"/>
        <w:right w:val="single" w:color="auto" w:sz="4" w:space="0"/>
      </w:pBdr>
      <w:kinsoku/>
      <w:autoSpaceDE/>
      <w:autoSpaceDN/>
      <w:adjustRightInd/>
      <w:snapToGrid/>
      <w:spacing w:before="100" w:beforeAutospacing="1" w:after="100" w:afterAutospacing="1"/>
      <w:jc w:val="center"/>
      <w:textAlignment w:val="auto"/>
    </w:pPr>
    <w:rPr>
      <w:rFonts w:ascii="宋体" w:hAnsi="宋体" w:eastAsia="宋体" w:cs="宋体"/>
      <w:snapToGrid/>
      <w:sz w:val="20"/>
      <w:szCs w:val="20"/>
      <w:lang w:eastAsia="zh-CN"/>
    </w:rPr>
  </w:style>
  <w:style w:type="paragraph" w:customStyle="1" w:styleId="50">
    <w:name w:val="xl77"/>
    <w:basedOn w:val="1"/>
    <w:qFormat/>
    <w:uiPriority w:val="0"/>
    <w:pPr>
      <w:pBdr>
        <w:top w:val="single" w:color="auto" w:sz="4" w:space="0"/>
        <w:left w:val="single" w:color="auto" w:sz="4" w:space="0"/>
        <w:bottom w:val="single" w:color="auto" w:sz="4" w:space="0"/>
        <w:right w:val="single" w:color="auto" w:sz="4" w:space="0"/>
      </w:pBdr>
      <w:kinsoku/>
      <w:autoSpaceDE/>
      <w:autoSpaceDN/>
      <w:adjustRightInd/>
      <w:snapToGrid/>
      <w:spacing w:before="100" w:beforeAutospacing="1" w:after="100" w:afterAutospacing="1"/>
      <w:jc w:val="center"/>
      <w:textAlignment w:val="auto"/>
    </w:pPr>
    <w:rPr>
      <w:rFonts w:ascii="宋体" w:hAnsi="宋体" w:eastAsia="宋体" w:cs="宋体"/>
      <w:snapToGrid/>
      <w:sz w:val="20"/>
      <w:szCs w:val="20"/>
      <w:lang w:eastAsia="zh-CN"/>
    </w:rPr>
  </w:style>
  <w:style w:type="paragraph" w:customStyle="1" w:styleId="51">
    <w:name w:val="xl78"/>
    <w:basedOn w:val="1"/>
    <w:qFormat/>
    <w:uiPriority w:val="0"/>
    <w:pPr>
      <w:pBdr>
        <w:top w:val="single" w:color="auto" w:sz="4" w:space="0"/>
        <w:left w:val="single" w:color="auto" w:sz="4" w:space="0"/>
        <w:bottom w:val="single" w:color="auto" w:sz="4" w:space="0"/>
        <w:right w:val="single" w:color="auto" w:sz="4" w:space="0"/>
      </w:pBdr>
      <w:kinsoku/>
      <w:autoSpaceDE/>
      <w:autoSpaceDN/>
      <w:adjustRightInd/>
      <w:snapToGrid/>
      <w:spacing w:before="100" w:beforeAutospacing="1" w:after="100" w:afterAutospacing="1"/>
      <w:jc w:val="center"/>
      <w:textAlignment w:val="auto"/>
    </w:pPr>
    <w:rPr>
      <w:rFonts w:ascii="宋体" w:hAnsi="宋体" w:eastAsia="宋体" w:cs="宋体"/>
      <w:snapToGrid/>
      <w:color w:val="auto"/>
      <w:sz w:val="20"/>
      <w:szCs w:val="20"/>
      <w:lang w:eastAsia="zh-CN"/>
    </w:rPr>
  </w:style>
  <w:style w:type="paragraph" w:customStyle="1" w:styleId="52">
    <w:name w:val="xl79"/>
    <w:basedOn w:val="1"/>
    <w:qFormat/>
    <w:uiPriority w:val="0"/>
    <w:pPr>
      <w:pBdr>
        <w:top w:val="single" w:color="auto" w:sz="4" w:space="0"/>
        <w:left w:val="single" w:color="auto" w:sz="4" w:space="0"/>
        <w:bottom w:val="single" w:color="auto" w:sz="4" w:space="0"/>
        <w:right w:val="single" w:color="auto" w:sz="4" w:space="0"/>
      </w:pBdr>
      <w:kinsoku/>
      <w:autoSpaceDE/>
      <w:autoSpaceDN/>
      <w:adjustRightInd/>
      <w:snapToGrid/>
      <w:spacing w:before="100" w:beforeAutospacing="1" w:after="100" w:afterAutospacing="1"/>
      <w:jc w:val="center"/>
      <w:textAlignment w:val="auto"/>
    </w:pPr>
    <w:rPr>
      <w:rFonts w:ascii="Calibri" w:hAnsi="Calibri" w:eastAsia="宋体" w:cs="Calibri"/>
      <w:snapToGrid/>
      <w:color w:val="auto"/>
      <w:sz w:val="20"/>
      <w:szCs w:val="20"/>
      <w:lang w:eastAsia="zh-CN"/>
    </w:rPr>
  </w:style>
  <w:style w:type="paragraph" w:customStyle="1" w:styleId="53">
    <w:name w:val="xl80"/>
    <w:basedOn w:val="1"/>
    <w:qFormat/>
    <w:uiPriority w:val="0"/>
    <w:pPr>
      <w:pBdr>
        <w:top w:val="single" w:color="auto" w:sz="4" w:space="0"/>
        <w:left w:val="single" w:color="auto" w:sz="4" w:space="0"/>
        <w:bottom w:val="single" w:color="auto" w:sz="4" w:space="0"/>
        <w:right w:val="single" w:color="auto" w:sz="4" w:space="0"/>
      </w:pBdr>
      <w:kinsoku/>
      <w:autoSpaceDE/>
      <w:autoSpaceDN/>
      <w:adjustRightInd/>
      <w:snapToGrid/>
      <w:spacing w:before="100" w:beforeAutospacing="1" w:after="100" w:afterAutospacing="1"/>
      <w:jc w:val="center"/>
      <w:textAlignment w:val="auto"/>
    </w:pPr>
    <w:rPr>
      <w:rFonts w:ascii="宋体" w:hAnsi="宋体" w:eastAsia="宋体" w:cs="宋体"/>
      <w:snapToGrid/>
      <w:color w:val="auto"/>
      <w:sz w:val="20"/>
      <w:szCs w:val="20"/>
      <w:lang w:eastAsia="zh-CN"/>
    </w:rPr>
  </w:style>
  <w:style w:type="paragraph" w:customStyle="1" w:styleId="54">
    <w:name w:val="xl81"/>
    <w:basedOn w:val="1"/>
    <w:qFormat/>
    <w:uiPriority w:val="0"/>
    <w:pPr>
      <w:pBdr>
        <w:top w:val="single" w:color="auto" w:sz="4" w:space="0"/>
        <w:left w:val="single" w:color="auto" w:sz="4" w:space="0"/>
        <w:bottom w:val="single" w:color="auto" w:sz="4" w:space="0"/>
        <w:right w:val="single" w:color="auto" w:sz="4" w:space="0"/>
      </w:pBdr>
      <w:kinsoku/>
      <w:autoSpaceDE/>
      <w:autoSpaceDN/>
      <w:adjustRightInd/>
      <w:snapToGrid/>
      <w:spacing w:before="100" w:beforeAutospacing="1" w:after="100" w:afterAutospacing="1"/>
      <w:jc w:val="center"/>
      <w:textAlignment w:val="auto"/>
    </w:pPr>
    <w:rPr>
      <w:rFonts w:ascii="Calibri" w:hAnsi="Calibri" w:eastAsia="宋体" w:cs="Calibri"/>
      <w:snapToGrid/>
      <w:sz w:val="20"/>
      <w:szCs w:val="20"/>
      <w:lang w:eastAsia="zh-CN"/>
    </w:rPr>
  </w:style>
  <w:style w:type="paragraph" w:customStyle="1" w:styleId="55">
    <w:name w:val="xl82"/>
    <w:basedOn w:val="1"/>
    <w:qFormat/>
    <w:uiPriority w:val="0"/>
    <w:pPr>
      <w:pBdr>
        <w:top w:val="single" w:color="auto" w:sz="4" w:space="0"/>
        <w:left w:val="single" w:color="auto" w:sz="4" w:space="0"/>
        <w:bottom w:val="single" w:color="auto" w:sz="4" w:space="0"/>
        <w:right w:val="single" w:color="auto" w:sz="4" w:space="0"/>
      </w:pBdr>
      <w:kinsoku/>
      <w:autoSpaceDE/>
      <w:autoSpaceDN/>
      <w:adjustRightInd/>
      <w:snapToGrid/>
      <w:spacing w:before="100" w:beforeAutospacing="1" w:after="100" w:afterAutospacing="1"/>
      <w:jc w:val="center"/>
      <w:textAlignment w:val="auto"/>
    </w:pPr>
    <w:rPr>
      <w:rFonts w:ascii="宋体" w:hAnsi="宋体" w:eastAsia="宋体" w:cs="宋体"/>
      <w:snapToGrid/>
      <w:color w:val="auto"/>
      <w:sz w:val="20"/>
      <w:szCs w:val="20"/>
      <w:lang w:eastAsia="zh-CN"/>
    </w:rPr>
  </w:style>
  <w:style w:type="character" w:customStyle="1" w:styleId="56">
    <w:name w:val="px141"/>
    <w:qFormat/>
    <w:uiPriority w:val="99"/>
    <w:rPr>
      <w:sz w:val="21"/>
      <w:szCs w:val="21"/>
    </w:rPr>
  </w:style>
  <w:style w:type="character" w:customStyle="1" w:styleId="57">
    <w:name w:val="font11"/>
    <w:basedOn w:val="20"/>
    <w:qFormat/>
    <w:uiPriority w:val="0"/>
    <w:rPr>
      <w:rFonts w:hint="eastAsia" w:ascii="宋体" w:hAnsi="宋体" w:eastAsia="宋体" w:cs="宋体"/>
      <w:color w:val="000000"/>
      <w:sz w:val="18"/>
      <w:szCs w:val="18"/>
      <w:u w:val="none"/>
    </w:rPr>
  </w:style>
  <w:style w:type="character" w:customStyle="1" w:styleId="58">
    <w:name w:val="font21"/>
    <w:basedOn w:val="20"/>
    <w:qFormat/>
    <w:uiPriority w:val="0"/>
    <w:rPr>
      <w:rFonts w:hint="default" w:ascii="Times New Roman" w:hAnsi="Times New Roman" w:cs="Times New Roman"/>
      <w:color w:val="000000"/>
      <w:sz w:val="18"/>
      <w:szCs w:val="18"/>
      <w:u w:val="none"/>
    </w:rPr>
  </w:style>
  <w:style w:type="paragraph" w:customStyle="1" w:styleId="59">
    <w:name w:val="Default"/>
    <w:semiHidden/>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60">
    <w:name w:val="Body text|1"/>
    <w:basedOn w:val="1"/>
    <w:qFormat/>
    <w:uiPriority w:val="0"/>
    <w:pPr>
      <w:widowControl w:val="0"/>
      <w:shd w:val="clear" w:color="auto" w:fill="auto"/>
      <w:spacing w:line="442" w:lineRule="auto"/>
      <w:ind w:firstLine="400"/>
    </w:pPr>
    <w:rPr>
      <w:rFonts w:ascii="宋体" w:hAnsi="宋体" w:eastAsia="宋体" w:cs="宋体"/>
      <w:sz w:val="20"/>
      <w:szCs w:val="20"/>
      <w:u w:val="none"/>
      <w:shd w:val="clear" w:color="auto" w:fill="auto"/>
      <w:lang w:val="zh-TW" w:eastAsia="zh-TW" w:bidi="zh-TW"/>
    </w:rPr>
  </w:style>
  <w:style w:type="character" w:customStyle="1" w:styleId="61">
    <w:name w:val="font31"/>
    <w:basedOn w:val="20"/>
    <w:qFormat/>
    <w:uiPriority w:val="0"/>
    <w:rPr>
      <w:rFonts w:hint="default" w:ascii="Calibri" w:hAnsi="Calibri" w:cs="Calibri"/>
      <w:color w:val="000000"/>
      <w:sz w:val="21"/>
      <w:szCs w:val="21"/>
      <w:u w:val="none"/>
    </w:rPr>
  </w:style>
  <w:style w:type="character" w:customStyle="1" w:styleId="62">
    <w:name w:val="font61"/>
    <w:basedOn w:val="20"/>
    <w:qFormat/>
    <w:uiPriority w:val="0"/>
    <w:rPr>
      <w:rFonts w:hint="eastAsia" w:ascii="宋体" w:hAnsi="宋体" w:eastAsia="宋体" w:cs="宋体"/>
      <w:color w:val="000000"/>
      <w:sz w:val="21"/>
      <w:szCs w:val="21"/>
      <w:u w:val="none"/>
      <w:vertAlign w:val="superscript"/>
    </w:rPr>
  </w:style>
  <w:style w:type="character" w:customStyle="1" w:styleId="63">
    <w:name w:val="font41"/>
    <w:basedOn w:val="20"/>
    <w:qFormat/>
    <w:uiPriority w:val="0"/>
    <w:rPr>
      <w:rFonts w:hint="default" w:ascii="Calibri" w:hAnsi="Calibri" w:cs="Calibri"/>
      <w:color w:val="000000"/>
      <w:sz w:val="28"/>
      <w:szCs w:val="28"/>
      <w:u w:val="none"/>
    </w:rPr>
  </w:style>
  <w:style w:type="character" w:customStyle="1" w:styleId="64">
    <w:name w:val="font71"/>
    <w:basedOn w:val="20"/>
    <w:qFormat/>
    <w:uiPriority w:val="0"/>
    <w:rPr>
      <w:rFonts w:hint="eastAsia" w:ascii="宋体" w:hAnsi="宋体" w:eastAsia="宋体" w:cs="宋体"/>
      <w:color w:val="000000"/>
      <w:sz w:val="28"/>
      <w:szCs w:val="28"/>
      <w:u w:val="none"/>
    </w:rPr>
  </w:style>
  <w:style w:type="paragraph" w:customStyle="1" w:styleId="65">
    <w:name w:val="WPSOffice手动目录 1"/>
    <w:qFormat/>
    <w:uiPriority w:val="0"/>
    <w:pPr>
      <w:ind w:leftChars="0"/>
    </w:pPr>
    <w:rPr>
      <w:rFonts w:ascii="Times New Roman" w:hAnsi="Times New Roman" w:eastAsia="宋体" w:cs="Times New Roman"/>
      <w:sz w:val="20"/>
      <w:szCs w:val="20"/>
    </w:rPr>
  </w:style>
  <w:style w:type="paragraph" w:customStyle="1" w:styleId="66">
    <w:name w:val="WPSOffice手动目录 2"/>
    <w:qFormat/>
    <w:uiPriority w:val="0"/>
    <w:pPr>
      <w:ind w:leftChars="200"/>
    </w:pPr>
    <w:rPr>
      <w:rFonts w:ascii="Times New Roman" w:hAnsi="Times New Roman" w:eastAsia="宋体" w:cs="Times New Roman"/>
      <w:sz w:val="20"/>
      <w:szCs w:val="20"/>
    </w:rPr>
  </w:style>
  <w:style w:type="paragraph" w:customStyle="1" w:styleId="67">
    <w:name w:val="WPSOffice手动目录 3"/>
    <w:qFormat/>
    <w:uiPriority w:val="0"/>
    <w:pPr>
      <w:ind w:leftChars="400"/>
    </w:pPr>
    <w:rPr>
      <w:rFonts w:ascii="Times New Roman" w:hAnsi="Times New Roman" w:eastAsia="宋体" w:cs="Times New Roman"/>
      <w:sz w:val="20"/>
      <w:szCs w:val="20"/>
    </w:rPr>
  </w:style>
  <w:style w:type="character" w:customStyle="1" w:styleId="68">
    <w:name w:val="font51"/>
    <w:basedOn w:val="20"/>
    <w:qFormat/>
    <w:uiPriority w:val="0"/>
    <w:rPr>
      <w:rFonts w:hint="eastAsia" w:ascii="宋体" w:hAnsi="宋体" w:eastAsia="宋体" w:cs="宋体"/>
      <w:color w:val="000000"/>
      <w:sz w:val="22"/>
      <w:szCs w:val="22"/>
      <w:u w:val="none"/>
      <w:vertAlign w:val="superscript"/>
    </w:rPr>
  </w:style>
  <w:style w:type="paragraph" w:customStyle="1" w:styleId="69">
    <w:name w:val="正 文"/>
    <w:basedOn w:val="1"/>
    <w:next w:val="1"/>
    <w:qFormat/>
    <w:uiPriority w:val="0"/>
    <w:pPr>
      <w:topLinePunct/>
      <w:adjustRightInd w:val="0"/>
      <w:spacing w:line="560" w:lineRule="exact"/>
      <w:ind w:firstLine="200" w:firstLineChars="200"/>
    </w:pPr>
    <w:rPr>
      <w:sz w:val="24"/>
    </w:rPr>
  </w:style>
  <w:style w:type="paragraph" w:customStyle="1" w:styleId="70">
    <w:name w:val="表题"/>
    <w:basedOn w:val="1"/>
    <w:autoRedefine/>
    <w:qFormat/>
    <w:uiPriority w:val="0"/>
    <w:pPr>
      <w:keepNext/>
      <w:ind w:firstLine="0" w:firstLineChars="0"/>
      <w:jc w:val="center"/>
    </w:pPr>
    <w:rPr>
      <w:rFonts w:eastAsia="黑体"/>
      <w:color w:val="000000"/>
      <w:sz w:val="21"/>
    </w:rPr>
  </w:style>
  <w:style w:type="paragraph" w:customStyle="1" w:styleId="71">
    <w:name w:val="表格"/>
    <w:basedOn w:val="72"/>
    <w:next w:val="1"/>
    <w:autoRedefine/>
    <w:qFormat/>
    <w:uiPriority w:val="0"/>
    <w:pPr>
      <w:keepLines/>
      <w:widowControl w:val="0"/>
      <w:pBdr>
        <w:top w:val="none" w:color="auto" w:sz="0" w:space="1"/>
        <w:left w:val="none" w:color="auto" w:sz="0" w:space="4"/>
        <w:bottom w:val="none" w:color="auto" w:sz="0" w:space="1"/>
        <w:right w:val="none" w:color="auto" w:sz="0" w:space="4"/>
      </w:pBdr>
      <w:snapToGrid w:val="0"/>
      <w:jc w:val="center"/>
    </w:pPr>
    <w:rPr>
      <w:rFonts w:ascii="Times New Roman" w:hAnsi="Times New Roman" w:eastAsia="宋体" w:cs="Times New Roman"/>
      <w:kern w:val="2"/>
      <w:sz w:val="21"/>
      <w:szCs w:val="21"/>
      <w:lang w:val="en-US" w:eastAsia="zh-CN" w:bidi="ar-SA"/>
    </w:rPr>
  </w:style>
  <w:style w:type="paragraph" w:customStyle="1" w:styleId="72">
    <w:name w:val="表格文字"/>
    <w:basedOn w:val="1"/>
    <w:next w:val="1"/>
    <w:autoRedefine/>
    <w:qFormat/>
    <w:uiPriority w:val="0"/>
    <w:pPr>
      <w:adjustRightInd w:val="0"/>
      <w:snapToGrid w:val="0"/>
      <w:spacing w:line="240" w:lineRule="auto"/>
      <w:ind w:firstLine="0" w:firstLineChars="0"/>
      <w:jc w:val="center"/>
    </w:pPr>
    <w:rPr>
      <w:sz w:val="21"/>
    </w:rPr>
  </w:style>
  <w:style w:type="paragraph" w:customStyle="1" w:styleId="73">
    <w:name w:val="表头"/>
    <w:basedOn w:val="10"/>
    <w:next w:val="1"/>
    <w:qFormat/>
    <w:uiPriority w:val="0"/>
    <w:pPr>
      <w:keepNext/>
      <w:spacing w:before="100" w:beforeLines="100" w:line="240" w:lineRule="auto"/>
      <w:ind w:firstLine="0" w:firstLineChars="0"/>
      <w:jc w:val="center"/>
    </w:pPr>
    <w:rPr>
      <w:b/>
      <w:sz w:val="21"/>
    </w:rPr>
  </w:style>
  <w:style w:type="paragraph" w:customStyle="1" w:styleId="74">
    <w:name w:val="cj正文样式"/>
    <w:basedOn w:val="1"/>
    <w:qFormat/>
    <w:uiPriority w:val="0"/>
    <w:pPr>
      <w:ind w:firstLine="200"/>
    </w:pPr>
    <w:rPr>
      <w:sz w:val="24"/>
    </w:rPr>
  </w:style>
</w:styles>
</file>

<file path=word/_rels/document.xml.rels><?xml version="1.0" encoding="UTF-8" standalone="yes"?>
<Relationships xmlns="http://schemas.openxmlformats.org/package/2006/relationships"><Relationship Id="rId99" Type="http://schemas.openxmlformats.org/officeDocument/2006/relationships/fontTable" Target="fontTable.xml"/><Relationship Id="rId98" Type="http://schemas.openxmlformats.org/officeDocument/2006/relationships/customXml" Target="../customXml/item2.xml"/><Relationship Id="rId97" Type="http://schemas.openxmlformats.org/officeDocument/2006/relationships/numbering" Target="numbering.xml"/><Relationship Id="rId96" Type="http://schemas.openxmlformats.org/officeDocument/2006/relationships/customXml" Target="../customXml/item1.xml"/><Relationship Id="rId95" Type="http://schemas.openxmlformats.org/officeDocument/2006/relationships/image" Target="media/image41.png"/><Relationship Id="rId94" Type="http://schemas.openxmlformats.org/officeDocument/2006/relationships/image" Target="media/image40.png"/><Relationship Id="rId93" Type="http://schemas.openxmlformats.org/officeDocument/2006/relationships/image" Target="media/image39.png"/><Relationship Id="rId92" Type="http://schemas.openxmlformats.org/officeDocument/2006/relationships/image" Target="media/image38.png"/><Relationship Id="rId91" Type="http://schemas.openxmlformats.org/officeDocument/2006/relationships/image" Target="media/image37.wmf"/><Relationship Id="rId90" Type="http://schemas.openxmlformats.org/officeDocument/2006/relationships/oleObject" Target="embeddings/oleObject22.bin"/><Relationship Id="rId9" Type="http://schemas.openxmlformats.org/officeDocument/2006/relationships/footer" Target="footer6.xml"/><Relationship Id="rId89" Type="http://schemas.openxmlformats.org/officeDocument/2006/relationships/image" Target="media/image36.wmf"/><Relationship Id="rId88" Type="http://schemas.openxmlformats.org/officeDocument/2006/relationships/oleObject" Target="embeddings/oleObject21.bin"/><Relationship Id="rId87" Type="http://schemas.openxmlformats.org/officeDocument/2006/relationships/image" Target="media/image35.wmf"/><Relationship Id="rId86" Type="http://schemas.openxmlformats.org/officeDocument/2006/relationships/oleObject" Target="embeddings/oleObject20.bin"/><Relationship Id="rId85" Type="http://schemas.openxmlformats.org/officeDocument/2006/relationships/image" Target="media/image34.wmf"/><Relationship Id="rId84" Type="http://schemas.openxmlformats.org/officeDocument/2006/relationships/oleObject" Target="embeddings/oleObject19.bin"/><Relationship Id="rId83" Type="http://schemas.openxmlformats.org/officeDocument/2006/relationships/image" Target="media/image33.wmf"/><Relationship Id="rId82" Type="http://schemas.openxmlformats.org/officeDocument/2006/relationships/oleObject" Target="embeddings/oleObject18.bin"/><Relationship Id="rId81" Type="http://schemas.openxmlformats.org/officeDocument/2006/relationships/image" Target="media/image32.wmf"/><Relationship Id="rId80" Type="http://schemas.openxmlformats.org/officeDocument/2006/relationships/oleObject" Target="embeddings/oleObject17.bin"/><Relationship Id="rId8" Type="http://schemas.openxmlformats.org/officeDocument/2006/relationships/header" Target="header1.xml"/><Relationship Id="rId79" Type="http://schemas.openxmlformats.org/officeDocument/2006/relationships/image" Target="media/image31.wmf"/><Relationship Id="rId78" Type="http://schemas.openxmlformats.org/officeDocument/2006/relationships/oleObject" Target="embeddings/oleObject16.bin"/><Relationship Id="rId77" Type="http://schemas.openxmlformats.org/officeDocument/2006/relationships/image" Target="media/image30.wmf"/><Relationship Id="rId76" Type="http://schemas.openxmlformats.org/officeDocument/2006/relationships/oleObject" Target="embeddings/oleObject15.bin"/><Relationship Id="rId75" Type="http://schemas.openxmlformats.org/officeDocument/2006/relationships/image" Target="media/image29.wmf"/><Relationship Id="rId74" Type="http://schemas.openxmlformats.org/officeDocument/2006/relationships/oleObject" Target="embeddings/oleObject14.bin"/><Relationship Id="rId73" Type="http://schemas.openxmlformats.org/officeDocument/2006/relationships/image" Target="media/image28.wmf"/><Relationship Id="rId72" Type="http://schemas.openxmlformats.org/officeDocument/2006/relationships/oleObject" Target="embeddings/oleObject13.bin"/><Relationship Id="rId71" Type="http://schemas.openxmlformats.org/officeDocument/2006/relationships/image" Target="media/image27.wmf"/><Relationship Id="rId70" Type="http://schemas.openxmlformats.org/officeDocument/2006/relationships/oleObject" Target="embeddings/oleObject12.bin"/><Relationship Id="rId7" Type="http://schemas.openxmlformats.org/officeDocument/2006/relationships/footer" Target="footer5.xml"/><Relationship Id="rId69" Type="http://schemas.openxmlformats.org/officeDocument/2006/relationships/image" Target="media/image26.wmf"/><Relationship Id="rId68" Type="http://schemas.openxmlformats.org/officeDocument/2006/relationships/oleObject" Target="embeddings/oleObject11.bin"/><Relationship Id="rId67" Type="http://schemas.openxmlformats.org/officeDocument/2006/relationships/image" Target="media/image25.wmf"/><Relationship Id="rId66" Type="http://schemas.openxmlformats.org/officeDocument/2006/relationships/oleObject" Target="embeddings/oleObject10.bin"/><Relationship Id="rId65" Type="http://schemas.openxmlformats.org/officeDocument/2006/relationships/image" Target="media/image24.wmf"/><Relationship Id="rId64" Type="http://schemas.openxmlformats.org/officeDocument/2006/relationships/oleObject" Target="embeddings/oleObject9.bin"/><Relationship Id="rId63" Type="http://schemas.openxmlformats.org/officeDocument/2006/relationships/image" Target="media/image23.png"/><Relationship Id="rId62" Type="http://schemas.openxmlformats.org/officeDocument/2006/relationships/image" Target="media/image22.png"/><Relationship Id="rId61" Type="http://schemas.openxmlformats.org/officeDocument/2006/relationships/image" Target="media/image21.png"/><Relationship Id="rId60" Type="http://schemas.openxmlformats.org/officeDocument/2006/relationships/image" Target="media/image20.wmf"/><Relationship Id="rId6" Type="http://schemas.openxmlformats.org/officeDocument/2006/relationships/footer" Target="footer4.xml"/><Relationship Id="rId59" Type="http://schemas.openxmlformats.org/officeDocument/2006/relationships/image" Target="media/image19.wmf"/><Relationship Id="rId58" Type="http://schemas.openxmlformats.org/officeDocument/2006/relationships/oleObject" Target="embeddings/oleObject8.bin"/><Relationship Id="rId57" Type="http://schemas.openxmlformats.org/officeDocument/2006/relationships/image" Target="media/image18.wmf"/><Relationship Id="rId56" Type="http://schemas.openxmlformats.org/officeDocument/2006/relationships/oleObject" Target="embeddings/oleObject7.bin"/><Relationship Id="rId55" Type="http://schemas.openxmlformats.org/officeDocument/2006/relationships/image" Target="media/image17.wmf"/><Relationship Id="rId54" Type="http://schemas.openxmlformats.org/officeDocument/2006/relationships/oleObject" Target="embeddings/oleObject6.bin"/><Relationship Id="rId53" Type="http://schemas.openxmlformats.org/officeDocument/2006/relationships/image" Target="media/image16.wmf"/><Relationship Id="rId52" Type="http://schemas.openxmlformats.org/officeDocument/2006/relationships/oleObject" Target="embeddings/oleObject5.bin"/><Relationship Id="rId51" Type="http://schemas.openxmlformats.org/officeDocument/2006/relationships/image" Target="media/image15.wmf"/><Relationship Id="rId50" Type="http://schemas.openxmlformats.org/officeDocument/2006/relationships/oleObject" Target="embeddings/oleObject4.bin"/><Relationship Id="rId5" Type="http://schemas.openxmlformats.org/officeDocument/2006/relationships/footer" Target="footer3.xml"/><Relationship Id="rId49" Type="http://schemas.openxmlformats.org/officeDocument/2006/relationships/image" Target="media/image14.wmf"/><Relationship Id="rId48" Type="http://schemas.openxmlformats.org/officeDocument/2006/relationships/oleObject" Target="embeddings/oleObject3.bin"/><Relationship Id="rId47" Type="http://schemas.openxmlformats.org/officeDocument/2006/relationships/image" Target="media/image13.wmf"/><Relationship Id="rId46" Type="http://schemas.openxmlformats.org/officeDocument/2006/relationships/oleObject" Target="embeddings/oleObject2.bin"/><Relationship Id="rId45" Type="http://schemas.openxmlformats.org/officeDocument/2006/relationships/image" Target="media/image12.wmf"/><Relationship Id="rId44" Type="http://schemas.openxmlformats.org/officeDocument/2006/relationships/oleObject" Target="embeddings/oleObject1.bin"/><Relationship Id="rId43" Type="http://schemas.openxmlformats.org/officeDocument/2006/relationships/image" Target="media/image11.wmf"/><Relationship Id="rId42" Type="http://schemas.openxmlformats.org/officeDocument/2006/relationships/image" Target="media/image10.wmf"/><Relationship Id="rId41" Type="http://schemas.openxmlformats.org/officeDocument/2006/relationships/image" Target="media/image9.jpeg"/><Relationship Id="rId40" Type="http://schemas.openxmlformats.org/officeDocument/2006/relationships/image" Target="media/image8.jpeg"/><Relationship Id="rId4" Type="http://schemas.openxmlformats.org/officeDocument/2006/relationships/footer" Target="footer2.xml"/><Relationship Id="rId39" Type="http://schemas.openxmlformats.org/officeDocument/2006/relationships/image" Target="media/image7.png"/><Relationship Id="rId38" Type="http://schemas.openxmlformats.org/officeDocument/2006/relationships/image" Target="media/image6.jpeg"/><Relationship Id="rId37" Type="http://schemas.openxmlformats.org/officeDocument/2006/relationships/image" Target="media/image5.png"/><Relationship Id="rId36" Type="http://schemas.openxmlformats.org/officeDocument/2006/relationships/image" Target="media/image4.png"/><Relationship Id="rId35" Type="http://schemas.openxmlformats.org/officeDocument/2006/relationships/image" Target="media/image3.png"/><Relationship Id="rId34" Type="http://schemas.openxmlformats.org/officeDocument/2006/relationships/image" Target="media/image2.png"/><Relationship Id="rId33" Type="http://schemas.openxmlformats.org/officeDocument/2006/relationships/image" Target="media/image1.png"/><Relationship Id="rId32" Type="http://schemas.openxmlformats.org/officeDocument/2006/relationships/theme" Target="theme/theme1.xml"/><Relationship Id="rId31" Type="http://schemas.openxmlformats.org/officeDocument/2006/relationships/footer" Target="footer17.xml"/><Relationship Id="rId30" Type="http://schemas.openxmlformats.org/officeDocument/2006/relationships/header" Target="header12.xml"/><Relationship Id="rId3" Type="http://schemas.openxmlformats.org/officeDocument/2006/relationships/footer" Target="footer1.xml"/><Relationship Id="rId29" Type="http://schemas.openxmlformats.org/officeDocument/2006/relationships/footer" Target="footer16.xml"/><Relationship Id="rId28" Type="http://schemas.openxmlformats.org/officeDocument/2006/relationships/header" Target="header11.xml"/><Relationship Id="rId27" Type="http://schemas.openxmlformats.org/officeDocument/2006/relationships/footer" Target="footer15.xml"/><Relationship Id="rId26" Type="http://schemas.openxmlformats.org/officeDocument/2006/relationships/header" Target="header10.xml"/><Relationship Id="rId25" Type="http://schemas.openxmlformats.org/officeDocument/2006/relationships/footer" Target="footer14.xml"/><Relationship Id="rId24" Type="http://schemas.openxmlformats.org/officeDocument/2006/relationships/header" Target="header9.xml"/><Relationship Id="rId23" Type="http://schemas.openxmlformats.org/officeDocument/2006/relationships/footer" Target="footer13.xml"/><Relationship Id="rId22" Type="http://schemas.openxmlformats.org/officeDocument/2006/relationships/header" Target="header8.xml"/><Relationship Id="rId21" Type="http://schemas.openxmlformats.org/officeDocument/2006/relationships/footer" Target="footer12.xml"/><Relationship Id="rId20" Type="http://schemas.openxmlformats.org/officeDocument/2006/relationships/header" Target="header7.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header" Target="header6.xml"/><Relationship Id="rId17" Type="http://schemas.openxmlformats.org/officeDocument/2006/relationships/footer" Target="footer10.xml"/><Relationship Id="rId16" Type="http://schemas.openxmlformats.org/officeDocument/2006/relationships/header" Target="header5.xml"/><Relationship Id="rId15" Type="http://schemas.openxmlformats.org/officeDocument/2006/relationships/footer" Target="footer9.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header" Target="header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7"/>
    <customShpInfo spid="_x0000_s1028"/>
  </customShpExts>
</s:customData>
</file>

<file path=customXml/item2.xml><?xml version="1.0" encoding="utf-8"?>
<contractReview xmlns="http://schemas.wps.cn/vas-ai-hub/contract-review">
  <reviewItems>
    <reviewItem>
      <errorID>ab758ac5-81fd-4b8a-8135-6d338fb72d08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26355D46</paraID>
      <start>137</start>
      <end>140</end>
      <status>ignored</status>
      <modifiedWord/>
      <trackRevisions>false</trackRevisions>
    </reviewItem>
    <reviewItem>
      <errorID>e10ec4e1-2346-4361-96cb-0f297b875918</errorID>
      <errorWord>（</errorWord>
      <group>L1_Punc</group>
      <groupName>标点问题</groupName>
      <ability>L2_Punc</ability>
      <abilityName>标点符号检查</abilityName>
      <candidateList/>
      <explain>同一形式括号套用。</explain>
      <paraID> FB36295</paraID>
      <start>72</start>
      <end>73</end>
      <status>ignored</status>
      <modifiedWord/>
      <trackRevisions>false</trackRevisions>
    </reviewItem>
    <reviewItem>
      <errorID>c027e90c-02c0-4bfc-8a30-f2cf7c1ac6a8</errorID>
      <errorWord>）</errorWord>
      <group>L1_Punc</group>
      <groupName>标点问题</groupName>
      <ability>L2_Punc</ability>
      <abilityName>标点符号检查</abilityName>
      <candidateList/>
      <explain>同一形式括号套用。</explain>
      <paraID> FB36295</paraID>
      <start>75</start>
      <end>76</end>
      <status>ignored</status>
      <modifiedWord/>
      <trackRevisions>false</trackRevisions>
    </reviewItem>
    <reviewItem>
      <errorID>5dbc5b94-469f-49d2-be8b-a8d802835373</errorID>
      <errorWord>、也</errorWord>
      <group>L1_Punc</group>
      <groupName>标点问题</groupName>
      <ability>L2_Punc</ability>
      <abilityName>标点符号检查</abilityName>
      <candidateList>
        <item>，也</item>
      </candidateList>
      <explain>连接词前后不宜使用顿号，建议使用逗号。</explain>
      <paraID>7B0E4A85</paraID>
      <start>47</start>
      <end>49</end>
      <status>ignored</status>
      <modifiedWord/>
      <trackRevisions>false</trackRevisions>
    </reviewItem>
    <reviewItem>
      <errorID>41707636-cae4-4836-8cee-f8897cd7a514</errorID>
      <errorWord>、也</errorWord>
      <group>L1_Punc</group>
      <groupName>标点问题</groupName>
      <ability>L2_Punc</ability>
      <abilityName>标点符号检查</abilityName>
      <candidateList>
        <item>，也</item>
      </candidateList>
      <explain>连接词前后不宜使用顿号，建议使用逗号。</explain>
      <paraID>7B0E4A85</paraID>
      <start>51</start>
      <end>53</end>
      <status>ignored</status>
      <modifiedWord/>
      <trackRevisions>false</trackRevisions>
    </reviewItem>
    <reviewItem>
      <errorID>18c157e7-1432-4c2a-ae98-0a2200141cd6</errorID>
      <errorWord>（</errorWord>
      <group>L1_Punc</group>
      <groupName>标点问题</groupName>
      <ability>L2_Punc</ability>
      <abilityName>标点符号检查</abilityName>
      <candidateList/>
      <explain>同一形式括号套用。</explain>
      <paraID>3748B277</paraID>
      <start>92</start>
      <end>93</end>
      <status>ignored</status>
      <modifiedWord/>
      <trackRevisions>false</trackRevisions>
    </reviewItem>
    <reviewItem>
      <errorID>00dc13c0-5296-45cf-a523-19db9e4db2ba</errorID>
      <errorWord>）</errorWord>
      <group>L1_Punc</group>
      <groupName>标点问题</groupName>
      <ability>L2_Punc</ability>
      <abilityName>标点符号检查</abilityName>
      <candidateList/>
      <explain>同一形式括号套用。</explain>
      <paraID>3748B277</paraID>
      <start>95</start>
      <end>96</end>
      <status>ignored</status>
      <modifiedWord/>
      <trackRevisions>false</trackRevisions>
    </reviewItem>
    <reviewItem>
      <errorID>2bec74d9-12d0-4ebb-adde-f09f92cfb710</errorID>
      <errorWord>（</errorWord>
      <group>L1_Word</group>
      <groupName>字词问题</groupName>
      <ability>L2_Typo</ability>
      <abilityName>字词错误</abilityName>
      <candidateList>
        <item>（一</item>
      </candidateList>
      <explain/>
      <paraID>48540B20</paraID>
      <start>5</start>
      <end>6</end>
      <status>ignored</status>
      <modifiedWord/>
      <trackRevisions>false</trackRevisions>
    </reviewItem>
    <reviewItem>
      <errorID>80b8bf47-49cb-41c9-bf52-4a1081b1d8bc</errorID>
      <errorWord>用水系统</errorWord>
      <group>L1_Knowledge</group>
      <groupName>知识性问题</groupName>
      <ability>L2_Term</ability>
      <abilityName>专业术语</abilityName>
      <candidateList>
        <item>泄水系统</item>
      </candidateList>
      <explain/>
      <paraID>11510CCD</paraID>
      <start>7</start>
      <end>11</end>
      <status>ignored</status>
      <modifiedWord/>
      <trackRevisions>false</trackRevisions>
    </reviewItem>
    <reviewItem>
      <errorID>011dab85-72c3-4db9-9455-ae5510cf9705</errorID>
      <errorWord>善</errorWord>
      <group>L1_Word</group>
      <groupName>字词问题</groupName>
      <ability>L2_Typo</ability>
      <abilityName>字词错误</abilityName>
      <candidateList>
        <item>善了</item>
      </candidateList>
      <explain/>
      <paraID>475A3CA8</paraID>
      <start>85</start>
      <end>87</end>
      <status>modified</status>
      <modifiedWord>善了</modifiedWord>
      <trackRevisions>false</trackRevisions>
    </reviewItem>
    <reviewItem>
      <errorID>b4deca2b-5ef2-4853-93f4-5030ccf398a8</errorID>
      <errorWord>多</errorWord>
      <group>L1_Word</group>
      <groupName>字词问题</groupName>
      <ability>L2_Typo</ability>
      <abilityName>字词错误</abilityName>
      <candidateList>
        <item>多种</item>
      </candidateList>
      <explain/>
      <paraID> EB625B6</paraID>
      <start>7</start>
      <end>9</end>
      <status>modified</status>
      <modifiedWord>多种</modifiedWord>
      <trackRevisions>false</trackRevisions>
    </reviewItem>
    <reviewItem>
      <errorID>26f15c8d-4125-4ff7-ad9d-9250d3af84ce</errorID>
      <errorWord>、也</errorWord>
      <group>L1_Punc</group>
      <groupName>标点问题</groupName>
      <ability>L2_Punc</ability>
      <abilityName>标点符号检查</abilityName>
      <candidateList>
        <item>，也</item>
      </candidateList>
      <explain>连接词前后不宜使用顿号，建议使用逗号。</explain>
      <paraID> 367DE60</paraID>
      <start>35</start>
      <end>37</end>
      <status>ignored</status>
      <modifiedWord/>
      <trackRevisions>false</trackRevisions>
    </reviewItem>
    <reviewItem>
      <errorID>c06e1a3e-7fc1-49c9-bd24-4eef47d42564</errorID>
      <errorWord>、也</errorWord>
      <group>L1_Punc</group>
      <groupName>标点问题</groupName>
      <ability>L2_Punc</ability>
      <abilityName>标点符号检查</abilityName>
      <candidateList>
        <item>，也</item>
      </candidateList>
      <explain>连接词前后不宜使用顿号，建议使用逗号。</explain>
      <paraID> 367DE60</paraID>
      <start>39</start>
      <end>41</end>
      <status>ignored</status>
      <modifiedWord/>
      <trackRevisions>false</trackRevisions>
    </reviewItem>
    <reviewItem>
      <errorID>c8ff28ee-f896-46c3-8b11-e9ecfe08d005</errorID>
      <errorWord>本年</errorWord>
      <group>L1_Word</group>
      <groupName>字词问题</groupName>
      <ability>L2_Typo</ability>
      <abilityName>字词错误</abilityName>
      <candidateList>
        <item>年</item>
      </candidateList>
      <explain/>
      <paraID>2A7ADD02</paraID>
      <start>66</start>
      <end>67</end>
      <status>modified</status>
      <modifiedWord>年</modifiedWord>
      <trackRevisions>false</trackRevisions>
    </reviewItem>
    <reviewItem>
      <errorID>c9fa0446-5a4a-451e-8564-d380b25052df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6796966B</paraID>
      <start>22</start>
      <end>23</end>
      <status>modified</status>
      <modifiedWord>—</modifiedWord>
      <trackRevisions>false</trackRevisions>
    </reviewItem>
    <reviewItem>
      <errorID>0ca860ae-9f28-466d-9633-b41e5e239ef0</errorID>
      <errorWord>地</errorWord>
      <group>L1_Word</group>
      <groupName>字词问题</groupName>
      <ability>L2_DDD</ability>
      <abilityName>的地得用法</abilityName>
      <candidateList>
        <item>的</item>
      </candidateList>
      <explain>“的”常用于连接修饰语与名词性中心语，表示属性、所属或描述。</explain>
      <paraID> 6CEC9DB</paraID>
      <start>52</start>
      <end>53</end>
      <status>modified</status>
      <modifiedWord>的</modifiedWord>
      <trackRevisions>false</trackRevisions>
    </reviewItem>
    <reviewItem>
      <errorID>ba949ac2-4cf9-43b2-87fd-34ebf0349d31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2F78A6B1</paraID>
      <start>11</start>
      <end>12</end>
      <status>modified</status>
      <modifiedWord>—</modifiedWord>
      <trackRevisions>false</trackRevisions>
    </reviewItem>
    <reviewItem>
      <errorID>09adfab8-a111-4842-b836-b2cdcf66f13d</errorID>
      <errorWord>根据2024年1月的信息显示</errorWord>
      <group>L1_Grammar</group>
      <groupName>语法问题</groupName>
      <ability>L2_Grammar</ability>
      <abilityName>语法错误</abilityName>
      <candidateList>
        <item>根据2024年1月的信息</item>
      </candidateList>
      <explain/>
      <paraID>1E8B6DAA</paraID>
      <start>33</start>
      <end>45</end>
      <status>modified</status>
      <modifiedWord>根据2024年1月的信息</modifiedWord>
      <trackRevisions>false</trackRevisions>
    </reviewItem>
    <reviewItem>
      <errorID>a4b24fec-0efc-43bf-845a-dca881241fa5</errorID>
      <errorWord>&gt;</errorWord>
      <group>L1_Punc</group>
      <groupName>标点问题</groupName>
      <ability>L2_Punc</ability>
      <abilityName>标点符号检查</abilityName>
      <candidateList/>
      <explain/>
      <paraID>7A4137F1</paraID>
      <start>0</start>
      <end>1</end>
      <status>ignored</status>
      <modifiedWord/>
      <trackRevisions>false</trackRevisions>
    </reviewItem>
    <reviewItem>
      <errorID>b844dcda-50bd-484f-abfb-9d66bad09f79</errorID>
      <errorWord>万斤</errorWord>
      <group>L1_Knowledge</group>
      <groupName>知识性问题</groupName>
      <ability>L2_Knowledge</ability>
      <abilityName>其他知识</abilityName>
      <candidateList/>
      <explain>非法定单位</explain>
      <paraID>  3E3B90</paraID>
      <start>96</start>
      <end>98</end>
      <status>ignored</status>
      <modifiedWord/>
      <trackRevisions>false</trackRevisions>
    </reviewItem>
    <reviewItem>
      <errorID>8f269b58-e7ed-42b4-9963-a9b47ed20104</errorID>
      <errorWord>万斤</errorWord>
      <group>L1_Knowledge</group>
      <groupName>知识性问题</groupName>
      <ability>L2_Knowledge</ability>
      <abilityName>其他知识</abilityName>
      <candidateList/>
      <explain>非法定单位</explain>
      <paraID>688218B4</paraID>
      <start>59</start>
      <end>61</end>
      <status>ignored</status>
      <modifiedWord/>
      <trackRevisions>false</trackRevisions>
    </reviewItem>
    <reviewItem>
      <errorID>389ab63f-3fa1-4d3d-ac0e-81fb57c6072c</errorID>
      <errorWord>万斤</errorWord>
      <group>L1_Knowledge</group>
      <groupName>知识性问题</groupName>
      <ability>L2_Knowledge</ability>
      <abilityName>其他知识</abilityName>
      <candidateList/>
      <explain>非法定单位</explain>
      <paraID>688218B4</paraID>
      <start>82</start>
      <end>84</end>
      <status>ignored</status>
      <modifiedWord/>
      <trackRevisions>false</trackRevisions>
    </reviewItem>
    <reviewItem>
      <errorID>50fb9de0-fa65-497a-bb12-7bd8ad19f14d</errorID>
      <errorWord>万斤</errorWord>
      <group>L1_Knowledge</group>
      <groupName>知识性问题</groupName>
      <ability>L2_Knowledge</ability>
      <abilityName>其他知识</abilityName>
      <candidateList/>
      <explain>非法定单位</explain>
      <paraID>688218B4</paraID>
      <start>90</start>
      <end>92</end>
      <status>ignored</status>
      <modifiedWord/>
      <trackRevisions>false</trackRevisions>
    </reviewItem>
    <reviewItem>
      <errorID>31a2874c-1346-447d-9720-6a73676e66df</errorID>
      <errorWord>万斤</errorWord>
      <group>L1_Knowledge</group>
      <groupName>知识性问题</groupName>
      <ability>L2_Knowledge</ability>
      <abilityName>其他知识</abilityName>
      <candidateList/>
      <explain>非法定单位</explain>
      <paraID>4F922EC5</paraID>
      <start>114</start>
      <end>116</end>
      <status>ignored</status>
      <modifiedWord/>
      <trackRevisions>false</trackRevisions>
    </reviewItem>
    <reviewItem>
      <errorID>eae0a9f6-b976-44bb-aab6-552b43d17ee4</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5115135D</paraID>
      <start>22</start>
      <end>23</end>
      <status>modified</status>
      <modifiedWord>地</modifiedWord>
      <trackRevisions>false</trackRevisions>
    </reviewItem>
    <reviewItem>
      <errorID>5fb4a67d-0c81-400b-a5a2-94420644482d</errorID>
      <errorWord>之</errorWord>
      <group>L1_Word</group>
      <groupName>字词问题</groupName>
      <ability>L2_Typo</ability>
      <abilityName>字词错误</abilityName>
      <candidateList>
        <item>滞</item>
      </candidateList>
      <explain/>
      <paraID>15770316</paraID>
      <start>49</start>
      <end>50</end>
      <status>ignored</status>
      <modifiedWord/>
      <trackRevisions>false</trackRevisions>
    </reviewItem>
    <reviewItem>
      <errorID>50408d15-eb87-4358-9734-91f1eebc29d4</errorID>
      <errorWord>（</errorWord>
      <group>L1_Punc</group>
      <groupName>标点问题</groupName>
      <ability>L2_Punc</ability>
      <abilityName>标点符号检查</abilityName>
      <candidateList/>
      <explain>同一形式括号套用。</explain>
      <paraID>439AA330</paraID>
      <start>102</start>
      <end>103</end>
      <status>ignored</status>
      <modifiedWord/>
      <trackRevisions>false</trackRevisions>
    </reviewItem>
    <reviewItem>
      <errorID>643df985-d6cf-4e10-981f-01e49dcc1d9f</errorID>
      <errorWord>）</errorWord>
      <group>L1_Punc</group>
      <groupName>标点问题</groupName>
      <ability>L2_Punc</ability>
      <abilityName>标点符号检查</abilityName>
      <candidateList/>
      <explain>同一形式括号套用。</explain>
      <paraID>439AA330</paraID>
      <start>105</start>
      <end>106</end>
      <status>ignored</status>
      <modifiedWord/>
      <trackRevisions>false</trackRevisions>
    </reviewItem>
    <reviewItem>
      <errorID>f29880e2-59b9-47c3-b82e-c25c4ec27bcb</errorID>
      <errorWord>（</errorWord>
      <group>L1_Punc</group>
      <groupName>标点问题</groupName>
      <ability>L2_Punc</ability>
      <abilityName>标点符号检查</abilityName>
      <candidateList/>
      <explain>同一形式括号套用。</explain>
      <paraID>7CF9E3D2</paraID>
      <start>97</start>
      <end>98</end>
      <status>ignored</status>
      <modifiedWord/>
      <trackRevisions>false</trackRevisions>
    </reviewItem>
    <reviewItem>
      <errorID>b5179e19-a790-4e68-947a-15b00e8e3d51</errorID>
      <errorWord>）</errorWord>
      <group>L1_Punc</group>
      <groupName>标点问题</groupName>
      <ability>L2_Punc</ability>
      <abilityName>标点符号检查</abilityName>
      <candidateList/>
      <explain>同一形式括号套用。</explain>
      <paraID>7CF9E3D2</paraID>
      <start>100</start>
      <end>101</end>
      <status>ignored</status>
      <modifiedWord/>
      <trackRevisions>false</trackRevisions>
    </reviewItem>
    <reviewItem>
      <errorID>71436407-6719-4114-a7c0-e3d146658063</errorID>
      <errorWord>（</errorWord>
      <group>L1_Word</group>
      <groupName>字词问题</groupName>
      <ability>L2_Typo</ability>
      <abilityName>字词错误</abilityName>
      <candidateList>
        <item>（一</item>
      </candidateList>
      <explain/>
      <paraID>69420993</paraID>
      <start>5</start>
      <end>6</end>
      <status>ignored</status>
      <modifiedWord/>
      <trackRevisions>false</trackRevisions>
    </reviewItem>
    <reviewItem>
      <errorID>871931bd-81ac-44d5-96b9-d404dbcfaeb5</errorID>
      <errorWord>地块中</errorWord>
      <group>L1_Word</group>
      <groupName>字词问题</groupName>
      <ability>L2_Typo</ability>
      <abilityName>字词错误</abilityName>
      <candidateList>
        <item>地块</item>
      </candidateList>
      <explain/>
      <paraID>4D24B443</paraID>
      <start>12</start>
      <end>15</end>
      <status>ignored</status>
      <modifiedWord/>
      <trackRevisions>false</trackRevisions>
    </reviewItem>
    <reviewItem>
      <errorID>66912d2d-5c70-4d92-b501-1f55200e6a63</errorID>
      <errorWord>沉砂池</errorWord>
      <group>L1_Word</group>
      <groupName>字词问题</groupName>
      <ability>L2_Typo</ability>
      <abilityName>字词错误</abilityName>
      <candidateList>
        <item>沉沙池</item>
      </candidateList>
      <explain>存在发音相同字词的误用。</explain>
      <paraID>776D012A</paraID>
      <start>36</start>
      <end>39</end>
      <status>ignored</status>
      <modifiedWord/>
      <trackRevisions>false</trackRevisions>
    </reviewItem>
    <reviewItem>
      <errorID>98fccd33-c8a0-427c-b6c5-8d721bc6e6ba</errorID>
      <errorWord>沉砂池</errorWord>
      <group>L1_Word</group>
      <groupName>字词问题</groupName>
      <ability>L2_Typo</ability>
      <abilityName>字词错误</abilityName>
      <candidateList>
        <item>沉沙池</item>
      </candidateList>
      <explain>存在发音相同字词的误用。</explain>
      <paraID>2E1D1599</paraID>
      <start>197</start>
      <end>200</end>
      <status>ignored</status>
      <modifiedWord/>
      <trackRevisions>false</trackRevisions>
    </reviewItem>
    <reviewItem>
      <errorID>653f3fce-937f-4ba0-b345-19a2b4ec9ab1</errorID>
      <errorWord>，</errorWord>
      <group>L1_Format</group>
      <groupName>格式问题</groupName>
      <ability>L2_HalfPunc</ability>
      <abilityName>全半角检查</abilityName>
      <candidateList>
        <item>, </item>
      </candidateList>
      <explain>文本全半角错误。</explain>
      <paraID>5C62008B</paraID>
      <start>5</start>
      <end>6</end>
      <status>ignored</status>
      <modifiedWord/>
      <trackRevisions>false</trackRevisions>
    </reviewItem>
    <reviewItem>
      <errorID>002242bb-3166-4e66-917e-3cc3f52c36b4</errorID>
      <errorWord>，</errorWord>
      <group>L1_Format</group>
      <groupName>格式问题</groupName>
      <ability>L2_HalfPunc</ability>
      <abilityName>全半角检查</abilityName>
      <candidateList>
        <item>, </item>
      </candidateList>
      <explain>文本全半角错误。</explain>
      <paraID>4E83BFAF</paraID>
      <start>5</start>
      <end>6</end>
      <status>ignored</status>
      <modifiedWord/>
      <trackRevisions>false</trackRevisions>
    </reviewItem>
    <reviewItem>
      <errorID>01bb16ad-b387-46cc-9a56-144a14212d72</errorID>
      <errorWord>，</errorWord>
      <group>L1_Format</group>
      <groupName>格式问题</groupName>
      <ability>L2_HalfPunc</ability>
      <abilityName>全半角检查</abilityName>
      <candidateList>
        <item>, </item>
      </candidateList>
      <explain>文本全半角错误。</explain>
      <paraID>198AA2B7</paraID>
      <start>5</start>
      <end>6</end>
      <status>ignored</status>
      <modifiedWord/>
      <trackRevisions>false</trackRevisions>
    </reviewItem>
    <reviewItem>
      <errorID>fa302920-77ec-4c1b-b6de-53746861c3f8</errorID>
      <errorWord>缝缝</errorWord>
      <group>L1_Word</group>
      <groupName>字词问题</groupName>
      <ability>L2_Typo</ability>
      <abilityName>字词错误</abilityName>
      <candidateList>
        <item>缝</item>
      </candidateList>
      <explain/>
      <paraID>1D230B83</paraID>
      <start>56</start>
      <end>57</end>
      <status>modified</status>
      <modifiedWord>缝</modifiedWord>
      <trackRevisions>false</trackRevisions>
    </reviewItem>
    <reviewItem>
      <errorID>029734dd-a42f-47da-9f8b-d8d6d6363fdc</errorID>
      <errorWord>（</errorWord>
      <group>L1_Format</group>
      <groupName>格式问题</groupName>
      <ability>L2_HalfPunc</ability>
      <abilityName>全半角检查</abilityName>
      <candidateList>
        <item>(</item>
      </candidateList>
      <explain>文本全半角错误。</explain>
      <paraID>6FC34F84</paraID>
      <start>0</start>
      <end>1</end>
      <status>ignored</status>
      <modifiedWord/>
      <trackRevisions>false</trackRevisions>
    </reviewItem>
    <reviewItem>
      <errorID>e7aa281f-7026-477a-b085-3417922d21e3</errorID>
      <errorWord>）</errorWord>
      <group>L1_Format</group>
      <groupName>格式问题</groupName>
      <ability>L2_HalfPunc</ability>
      <abilityName>全半角检查</abilityName>
      <candidateList>
        <item>)</item>
      </candidateList>
      <explain>文本全半角错误。</explain>
      <paraID>6FC34F84</paraID>
      <start>2</start>
      <end>3</end>
      <status>ignored</status>
      <modifiedWord/>
      <trackRevisions>false</trackRevisions>
    </reviewItem>
    <reviewItem>
      <errorID>7a0a430a-6503-4e26-8dba-ede85bc61045</errorID>
      <errorWord>（</errorWord>
      <group>L1_Format</group>
      <groupName>格式问题</groupName>
      <ability>L2_HalfPunc</ability>
      <abilityName>全半角检查</abilityName>
      <candidateList>
        <item>(</item>
      </candidateList>
      <explain>文本全半角错误。</explain>
      <paraID>419C9983</paraID>
      <start>0</start>
      <end>1</end>
      <status>ignored</status>
      <modifiedWord/>
      <trackRevisions>false</trackRevisions>
    </reviewItem>
    <reviewItem>
      <errorID>9fb05d32-8e66-4bd3-a8c7-f9c8e09d0088</errorID>
      <errorWord>）</errorWord>
      <group>L1_Format</group>
      <groupName>格式问题</groupName>
      <ability>L2_HalfPunc</ability>
      <abilityName>全半角检查</abilityName>
      <candidateList>
        <item>)</item>
      </candidateList>
      <explain>文本全半角错误。</explain>
      <paraID>419C9983</paraID>
      <start>2</start>
      <end>3</end>
      <status>ignored</status>
      <modifiedWord/>
      <trackRevisions>false</trackRevisions>
    </reviewItem>
    <reviewItem>
      <errorID>4f47f3f6-5684-4048-bf08-edb5679191b2</errorID>
      <errorWord>（</errorWord>
      <group>L1_Format</group>
      <groupName>格式问题</groupName>
      <ability>L2_HalfPunc</ability>
      <abilityName>全半角检查</abilityName>
      <candidateList>
        <item>(</item>
      </candidateList>
      <explain>文本全半角错误。</explain>
      <paraID>667759F7</paraID>
      <start>0</start>
      <end>1</end>
      <status>ignored</status>
      <modifiedWord/>
      <trackRevisions>false</trackRevisions>
    </reviewItem>
    <reviewItem>
      <errorID>c419a6ba-eada-4b79-8b77-43923c4a126e</errorID>
      <errorWord>）</errorWord>
      <group>L1_Format</group>
      <groupName>格式问题</groupName>
      <ability>L2_HalfPunc</ability>
      <abilityName>全半角检查</abilityName>
      <candidateList>
        <item>)</item>
      </candidateList>
      <explain>文本全半角错误。</explain>
      <paraID>667759F7</paraID>
      <start>4</start>
      <end>5</end>
      <status>ignored</status>
      <modifiedWord/>
      <trackRevisions>false</trackRevisions>
    </reviewItem>
    <reviewItem>
      <errorID>57fd8871-6bef-4410-8959-762cf087ce88</errorID>
      <errorWord>要</errorWord>
      <group>L1_Word</group>
      <groupName>字词问题</groupName>
      <ability>L2_Typo</ability>
      <abilityName>字词错误</abilityName>
      <candidateList>
        <item>要为</item>
      </candidateList>
      <explain/>
      <paraID>52D90DD7</paraID>
      <start>36</start>
      <end>38</end>
      <status>modified</status>
      <modifiedWord>要为</modifiedWord>
      <trackRevisions>false</trackRevisions>
    </reviewItem>
    <reviewItem>
      <errorID>f7bc9d69-8c09-44a1-a937-1881a9cc33ee</errorID>
      <errorWord>灌溉灌溉</errorWord>
      <group>L1_Word</group>
      <groupName>字词问题</groupName>
      <ability>L2_Typo</ability>
      <abilityName>字词错误</abilityName>
      <candidateList>
        <item>灌溉</item>
      </candidateList>
      <explain/>
      <paraID>3C85B742</paraID>
      <start>6</start>
      <end>8</end>
      <status>modified</status>
      <modifiedWord>灌溉</modifiedWord>
      <trackRevisions>false</trackRevisions>
    </reviewItem>
    <reviewItem>
      <errorID>8a1fda0f-02de-4f6f-ae9f-dbb89a52a062</errorID>
      <errorWord>~</errorWord>
      <group>L1_Format</group>
      <groupName>格式问题</groupName>
      <ability>L2_HalfPunc</ability>
      <abilityName>全半角检查</abilityName>
      <candidateList>
        <item>～</item>
      </candidateList>
      <explain>文本全半角错误。</explain>
      <paraID>4E7875CF</paraID>
      <start>19</start>
      <end>20</end>
      <status>modified</status>
      <modifiedWord>～</modifiedWord>
      <trackRevisions>false</trackRevisions>
    </reviewItem>
    <reviewItem>
      <errorID>267e1f84-1880-44b4-8c9f-abf0280f42e7</errorID>
      <errorWord>沿程</errorWord>
      <group>L1_Word</group>
      <groupName>字词问题</groupName>
      <ability>L2_Typo</ability>
      <abilityName>字词错误</abilityName>
      <candidateList>
        <item>工程</item>
      </candidateList>
      <explain/>
      <paraID>2587EB5F</paraID>
      <start>15</start>
      <end>17</end>
      <status>ignored</status>
      <modifiedWord/>
      <trackRevisions>false</trackRevisions>
    </reviewItem>
    <reviewItem>
      <errorID>e30a208e-936c-448b-94b4-58ac7bdb513b</errorID>
      <errorWord>10%~15%</errorWord>
      <group>L1_Knowledge</group>
      <groupName>知识性问题</groupName>
      <ability>L2_Knowledge</ability>
      <abilityName>其他知识</abilityName>
      <candidateList>
        <item>10%～15%</item>
      </candidateList>
      <explain>1. “10%~15%”中的单位“%”仅出现在后一个数字上，容易引起歧义；根据《现代汉语标点符号数字用法规范手册》，数字表示范围两边需要使用统一的格式。2. 根据标点国标 4.13 中的规则，数字、时间或地域连接符应使用（视觉上更长的）“—”或“～”。</explain>
      <paraID>2587EB5F</paraID>
      <start>20</start>
      <end>27</end>
      <status>modified</status>
      <modifiedWord>10%～15%</modifiedWord>
      <trackRevisions>false</trackRevisions>
    </reviewItem>
    <reviewItem>
      <errorID>0a8aa726-0a2c-4e60-b9e5-7f64eb24305b</errorID>
      <errorWord>计</errorWord>
      <group>L1_Word</group>
      <groupName>字词问题</groupName>
      <ability>L2_Typo</ability>
      <abilityName>字词错误</abilityName>
      <candidateList>
        <item>计算</item>
      </candidateList>
      <explain/>
      <paraID>2587EB5F</paraID>
      <start>41</start>
      <end>43</end>
      <status>modified</status>
      <modifiedWord>计算</modifiedWord>
      <trackRevisions>false</trackRevisions>
    </reviewItem>
    <reviewItem>
      <errorID>d122381f-651e-4540-bb5e-afc1431f8b66</errorID>
      <errorWord>（</errorWord>
      <group>L1_Format</group>
      <groupName>格式问题</groupName>
      <ability>L2_HalfPunc</ability>
      <abilityName>全半角检查</abilityName>
      <candidateList>
        <item>(</item>
      </candidateList>
      <explain>文本全半角错误。</explain>
      <paraID>3DF2885C</paraID>
      <start>0</start>
      <end>1</end>
      <status>ignored</status>
      <modifiedWord/>
      <trackRevisions>false</trackRevisions>
    </reviewItem>
    <reviewItem>
      <errorID>2047819c-089b-4f10-b853-36974d0b6bc5</errorID>
      <errorWord>）</errorWord>
      <group>L1_Format</group>
      <groupName>格式问题</groupName>
      <ability>L2_HalfPunc</ability>
      <abilityName>全半角检查</abilityName>
      <candidateList>
        <item>)</item>
      </candidateList>
      <explain>文本全半角错误。</explain>
      <paraID>3DF2885C</paraID>
      <start>5</start>
      <end>6</end>
      <status>ignored</status>
      <modifiedWord/>
      <trackRevisions>false</trackRevisions>
    </reviewItem>
    <reviewItem>
      <errorID>ec0de3bb-5da1-471f-b6ea-d64a4775cc68</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4C0E56FE</paraID>
      <start>4</start>
      <end>5</end>
      <status>modified</status>
      <modifiedWord>地</modifiedWord>
      <trackRevisions>false</trackRevisions>
    </reviewItem>
    <reviewItem>
      <errorID>0b386722-9d74-4a40-8a0c-1f8eae1ef600</errorID>
      <errorWord>超高</errorWord>
      <group>L1_Word</group>
      <groupName>字词问题</groupName>
      <ability>L2_Typo</ability>
      <abilityName>字词错误</abilityName>
      <candidateList>
        <item>抬高</item>
      </candidateList>
      <explain>〈动〉往上抬；使提高：～物价｜～身份。</explain>
      <paraID>19B92319</paraID>
      <start>88</start>
      <end>90</end>
      <status>ignored</status>
      <modifiedWord/>
      <trackRevisions>false</trackRevisions>
    </reviewItem>
    <reviewItem>
      <errorID>566f9ce5-8b40-4fc1-810a-2e6eb82fc646</errorID>
      <errorWord>合同法</errorWord>
      <group>L1_Knowledge</group>
      <groupName>知识性问题</groupName>
      <ability>L2_Knowledge</ability>
      <abilityName>其他知识</abilityName>
      <candidateList/>
      <explain>已废止</explain>
      <paraID>5DA3F5AF</paraID>
      <start>3</start>
      <end>6</end>
      <status>ignored</status>
      <modifiedWord/>
      <trackRevisions>false</trackRevisions>
    </reviewItem>
    <reviewItem>
      <errorID>fb7ad2fb-3b95-4df3-b3b5-d1ccfcf48961</errorID>
      <errorWord>合同法</errorWord>
      <group>L1_Knowledge</group>
      <groupName>知识性问题</groupName>
      <ability>L2_Knowledge</ability>
      <abilityName>其他知识</abilityName>
      <candidateList/>
      <explain>已废止</explain>
      <paraID>5DA3F5AF</paraID>
      <start>125</start>
      <end>128</end>
      <status>ignored</status>
      <modifiedWord/>
      <trackRevisions>false</trackRevisions>
    </reviewItem>
    <reviewItem>
      <errorID>1fcc8575-d229-4840-aae3-e19f8d6892e7</errorID>
      <errorWord>小</errorWord>
      <group>L1_Word</group>
      <groupName>字词问题</groupName>
      <ability>L2_Typo</ability>
      <abilityName>字词错误</abilityName>
      <candidateList>
        <item>少</item>
      </candidateList>
      <explain>存在字形相近字词的误用。</explain>
      <paraID>1B86192B</paraID>
      <start>55</start>
      <end>56</end>
      <status>modified</status>
      <modifiedWord>少</modifiedWord>
      <trackRevisions>false</trackRevisions>
    </reviewItem>
    <reviewItem>
      <errorID>04994442-9982-495d-9485-20d8d9257144</errorID>
      <errorWord>活</errorWord>
      <group>L1_Word</group>
      <groupName>字词问题</groupName>
      <ability>L2_Typo</ability>
      <abilityName>字词错误</abilityName>
      <candidateList>
        <item>或</item>
      </candidateList>
      <explain>存在发音相同字词的误用。</explain>
      <paraID>240B2335</paraID>
      <start>56</start>
      <end>57</end>
      <status>modified</status>
      <modifiedWord>或</modifiedWord>
      <trackRevisions>false</trackRevisions>
    </reviewItem>
    <reviewItem>
      <errorID>fabac86c-473c-46ab-8b2f-6879f48e4fe2</errorID>
      <errorWord>农牧农村局</errorWord>
      <group>L1_Political</group>
      <groupName>政治性问题</groupName>
      <ability>L2_Keyword</ability>
      <abilityName>固定表述</abilityName>
      <candidateList>
        <item>农业农村局</item>
      </candidateList>
      <explain>词汇“农业农村局”在特定场景下为固定表述形式，请确认此处的“农牧农村局”是否存在不当。</explain>
      <paraID>6A63536F</paraID>
      <start>34</start>
      <end>39</end>
      <status>ignored</status>
      <modifiedWord/>
      <trackRevisions>false</trackRevisions>
    </reviewItem>
    <reviewItem>
      <errorID>6d6ad9ce-4ea9-4c8b-bc81-36c9857d7063</errorID>
      <errorWord>沉砂池</errorWord>
      <group>L1_Word</group>
      <groupName>字词问题</groupName>
      <ability>L2_Typo</ability>
      <abilityName>字词错误</abilityName>
      <candidateList>
        <item>沉沙池</item>
      </candidateList>
      <explain>存在发音相同字词的误用。</explain>
      <paraID>20FE549B</paraID>
      <start>13</start>
      <end>16</end>
      <status>ignored</status>
      <modifiedWord/>
      <trackRevisions>false</trackRevisions>
    </reviewItem>
    <reviewItem>
      <errorID>3a01131f-af84-45d6-9d2c-7de0bc639fb9</errorID>
      <errorWord>35～40%</errorWord>
      <group>L1_Knowledge</group>
      <groupName>知识性问题</groupName>
      <ability>L2_Knowledge</ability>
      <abilityName>其他知识</abilityName>
      <candidateList>
        <item>35%～40%</item>
      </candidateList>
      <explain>1. “35～40%”中的单位“%”仅出现在后一个数字上，容易引起歧义；根据《现代汉语标点符号数字用法规范手册》，数字表示范围两边需要使用统一的格式。2. 根据标点国标 4.13 中的规则，数字、时间或地域连接符应使用（视觉上更长的）“—”或“～”。</explain>
      <paraID> 994362C</paraID>
      <start>29</start>
      <end>36</end>
      <status>modified</status>
      <modifiedWord>35%～40%</modifiedWord>
      <trackRevisions>false</trackRevisions>
    </reviewItem>
    <reviewItem>
      <errorID>cde4b21e-7092-418c-a314-3f88114e8cb9</errorID>
      <errorWord>其它原材料</errorWord>
      <group>L1_Word</group>
      <groupName>字词问题</groupName>
      <ability>L2_Alias</ability>
      <abilityName>也作/曾用词</abilityName>
      <candidateList>
        <item>其他原材料</item>
      </candidateList>
      <explain>词汇[其它原材料]为不规范表述或旧称，其规范书面表述为[其他原材料]。</explain>
      <paraID>667D81D5</paraID>
      <start>17</start>
      <end>22</end>
      <status>modified</status>
      <modifiedWord>其他原材料</modifiedWord>
      <trackRevisions>false</trackRevisions>
    </reviewItem>
    <reviewItem>
      <errorID>5dfd474a-01a3-4495-acd1-04b441532a19</errorID>
      <errorWord>拌和</errorWord>
      <group>L1_Word</group>
      <groupName>字词问题</groupName>
      <ability>L2_Typo</ability>
      <abilityName>字词错误</abilityName>
      <candidateList>
        <item>拌合</item>
      </candidateList>
      <explain/>
      <paraID>14F7E314</paraID>
      <start>2</start>
      <end>4</end>
      <status>ignored</status>
      <modifiedWord/>
      <trackRevisions>false</trackRevisions>
    </reviewItem>
    <reviewItem>
      <errorID>0aff0469-ff48-44b6-b340-016450f73b59</errorID>
      <errorWord>拌和</errorWord>
      <group>L1_Word</group>
      <groupName>字词问题</groupName>
      <ability>L2_Typo</ability>
      <abilityName>字词错误</abilityName>
      <candidateList>
        <item>拌合</item>
      </candidateList>
      <explain/>
      <paraID> 3DD6949</paraID>
      <start>38</start>
      <end>40</end>
      <status>ignored</status>
      <modifiedWord/>
      <trackRevisions>false</trackRevisions>
    </reviewItem>
    <reviewItem>
      <errorID>1c2ca8f5-641a-45cf-8750-c2633ccaf60e</errorID>
      <errorWord>配料称量</errorWord>
      <group>L1_Word</group>
      <groupName>字词问题</groupName>
      <ability>L2_Typo</ability>
      <abilityName>字词错误</abilityName>
      <candidateList>
        <item>配料秤量</item>
      </candidateList>
      <explain/>
      <paraID> E8BB2FB</paraID>
      <start>9</start>
      <end>13</end>
      <status>modified</status>
      <modifiedWord>配料秤量</modifiedWord>
      <trackRevisions>false</trackRevisions>
    </reviewItem>
    <reviewItem>
      <errorID>0b9a5043-7f95-4d78-afd5-818d35901a0c</errorID>
      <errorWord>拌和</errorWord>
      <group>L1_Word</group>
      <groupName>字词问题</groupName>
      <ability>L2_Typo</ability>
      <abilityName>字词错误</abilityName>
      <candidateList>
        <item>拌合</item>
      </candidateList>
      <explain/>
      <paraID>  2FE727</paraID>
      <start>4</start>
      <end>6</end>
      <status>ignored</status>
      <modifiedWord/>
      <trackRevisions>false</trackRevisions>
    </reviewItem>
    <reviewItem>
      <errorID>4c3450f5-f7cb-453c-a73b-4b96a5a230d8</errorID>
      <errorWord>～</errorWord>
      <group>L1_Format</group>
      <groupName>格式问题</groupName>
      <ability>L2_HalfPunc</ability>
      <abilityName>全半角检查</abilityName>
      <candidateList>
        <item>~</item>
      </candidateList>
      <explain>文本全半角错误。</explain>
      <paraID>3B093754</paraID>
      <start>2</start>
      <end>3</end>
      <status>modified</status>
      <modifiedWord>~</modifiedWord>
      <trackRevisions>false</trackRevisions>
    </reviewItem>
    <reviewItem>
      <errorID>8492fb2c-1fd9-4d84-a48f-d4ea61c8c9b3</errorID>
      <errorWord>～</errorWord>
      <group>L1_Format</group>
      <groupName>格式问题</groupName>
      <ability>L2_HalfPunc</ability>
      <abilityName>全半角检查</abilityName>
      <candidateList>
        <item>~</item>
      </candidateList>
      <explain>文本全半角错误。</explain>
      <paraID>527DF865</paraID>
      <start>2</start>
      <end>3</end>
      <status>modified</status>
      <modifiedWord>~</modifiedWord>
      <trackRevisions>false</trackRevisions>
    </reviewItem>
    <reviewItem>
      <errorID>f7bdf13b-3220-49e5-aece-0606a97d85fb</errorID>
      <errorWord>～</errorWord>
      <group>L1_Format</group>
      <groupName>格式问题</groupName>
      <ability>L2_HalfPunc</ability>
      <abilityName>全半角检查</abilityName>
      <candidateList>
        <item>~</item>
      </candidateList>
      <explain>文本全半角错误。</explain>
      <paraID>79083A4A</paraID>
      <start>1</start>
      <end>2</end>
      <status>modified</status>
      <modifiedWord>~</modifiedWord>
      <trackRevisions>false</trackRevisions>
    </reviewItem>
    <reviewItem>
      <errorID>b42d9cb5-e957-4015-80ba-0d6f109e08a6</errorID>
      <errorWord>混凝土浇筑时</errorWord>
      <group>L1_Knowledge</group>
      <groupName>知识性问题</groupName>
      <ability>L2_Term</ability>
      <abilityName>专业术语</abilityName>
      <candidateList>
        <item>混凝土浇筑机</item>
      </candidateList>
      <explain/>
      <paraID>40CA5D5A</paraID>
      <start>3</start>
      <end>9</end>
      <status>ignored</status>
      <modifiedWord/>
      <trackRevisions>false</trackRevisions>
    </reviewItem>
    <reviewItem>
      <errorID>dce6dde9-d0dd-4870-8879-9edbd2a3d3ce</errorID>
      <errorWord>成</errorWord>
      <group>L1_Word</group>
      <groupName>字词问题</groupName>
      <ability>L2_Typo</ability>
      <abilityName>字词错误</abilityName>
      <candidateList>
        <item>成后</item>
      </candidateList>
      <explain/>
      <paraID>40CA5D5A</paraID>
      <start>25</start>
      <end>27</end>
      <status>modified</status>
      <modifiedWord>成后</modifiedWord>
      <trackRevisions>false</trackRevisions>
    </reviewItem>
    <reviewItem>
      <errorID>62b64705-258f-4b63-bdab-554992fc26bc</errorID>
      <errorWord>拌合</errorWord>
      <group>L1_Word</group>
      <groupName>字词问题</groupName>
      <ability>L2_Typo</ability>
      <abilityName>字词错误</abilityName>
      <candidateList>
        <item>拌和</item>
      </candidateList>
      <explain/>
      <paraID>435ECFB6</paraID>
      <start>6</start>
      <end>8</end>
      <status>ignored</status>
      <modifiedWord/>
      <trackRevisions>false</trackRevisions>
    </reviewItem>
    <reviewItem>
      <errorID>b644bab6-bd40-4182-94f2-50aca53692c5</errorID>
      <errorWord>混站</errorWord>
      <group>L1_Word</group>
      <groupName>字词问题</groupName>
      <ability>L2_Typo</ability>
      <abilityName>字词错误</abilityName>
      <candidateList>
        <item>混</item>
      </candidateList>
      <explain/>
      <paraID>27535D00</paraID>
      <start>13</start>
      <end>14</end>
      <status>modified</status>
      <modifiedWord>混</modifiedWord>
      <trackRevisions>false</trackRevisions>
    </reviewItem>
    <reviewItem>
      <errorID>c7b4e3e3-7b17-49aa-87e9-9df00b86ed6c</errorID>
      <errorWord>混凝土面板</errorWord>
      <group>L1_Knowledge</group>
      <groupName>知识性问题</groupName>
      <ability>L2_Term</ability>
      <abilityName>专业术语</abilityName>
      <candidateList>
        <item>混凝土模板</item>
      </candidateList>
      <explain/>
      <paraID>3431F868</paraID>
      <start>11</start>
      <end>16</end>
      <status>ignored</status>
      <modifiedWord/>
      <trackRevisions>false</trackRevisions>
    </reviewItem>
    <reviewItem>
      <errorID>e7a1a3d4-7431-4d37-a27c-b3b15f32cbdd</errorID>
      <errorWord>混凝土面板</errorWord>
      <group>L1_Knowledge</group>
      <groupName>知识性问题</groupName>
      <ability>L2_Term</ability>
      <abilityName>专业术语</abilityName>
      <candidateList>
        <item>混凝土模板</item>
      </candidateList>
      <explain/>
      <paraID>62F6E436</paraID>
      <start>1</start>
      <end>6</end>
      <status>ignored</status>
      <modifiedWord/>
      <trackRevisions>false</trackRevisions>
    </reviewItem>
    <reviewItem>
      <errorID>0ce4a365-a38c-4456-968e-9b175579060b</errorID>
      <errorWord>泌水</errorWord>
      <group>L1_Word</group>
      <groupName>字词问题</groupName>
      <ability>L2_Typo</ability>
      <abilityName>字词错误</abilityName>
      <candidateList>
        <item>泥水</item>
      </candidateList>
      <explain/>
      <paraID>4797F11D</paraID>
      <start>34</start>
      <end>36</end>
      <status>ignored</status>
      <modifiedWord/>
      <trackRevisions>false</trackRevisions>
    </reviewItem>
    <reviewItem>
      <errorID>b789470b-f3d2-4b23-ac22-fe6d3ac0d200</errorID>
      <errorWord>泌水</errorWord>
      <group>L1_Word</group>
      <groupName>字词问题</groupName>
      <ability>L2_Typo</ability>
      <abilityName>字词错误</abilityName>
      <candidateList>
        <item>积水</item>
      </candidateList>
      <explain/>
      <paraID>66A66077</paraID>
      <start>4</start>
      <end>6</end>
      <status>ignored</status>
      <modifiedWord/>
      <trackRevisions>false</trackRevisions>
    </reviewItem>
    <reviewItem>
      <errorID>3f7e9551-f56c-4792-8b58-f61d663f4963</errorID>
      <errorWord>拌合</errorWord>
      <group>L1_Word</group>
      <groupName>字词问题</groupName>
      <ability>L2_Typo</ability>
      <abilityName>字词错误</abilityName>
      <candidateList>
        <item>拌和</item>
      </candidateList>
      <explain/>
      <paraID>1E4D9F5D</paraID>
      <start>3</start>
      <end>5</end>
      <status>ignored</status>
      <modifiedWord/>
      <trackRevisions>false</trackRevisions>
    </reviewItem>
    <reviewItem>
      <errorID>2e5d6e99-77df-4d5b-b6e6-f2b4b7ad8a54</errorID>
      <errorWord>~</errorWord>
      <group>L1_Format</group>
      <groupName>格式问题</groupName>
      <ability>L2_HalfPunc</ability>
      <abilityName>全半角检查</abilityName>
      <candidateList>
        <item>～</item>
      </candidateList>
      <explain>文本全半角错误。</explain>
      <paraID>17419A7A</paraID>
      <start>11</start>
      <end>12</end>
      <status>modified</status>
      <modifiedWord>～</modifiedWord>
      <trackRevisions>false</trackRevisions>
    </reviewItem>
    <reviewItem>
      <errorID>4692711d-7ec2-459f-b8cb-7cc622bd9a43</errorID>
      <errorWord>，</errorWord>
      <group>L1_Word</group>
      <groupName>字词问题</groupName>
      <ability>L2_Typo</ability>
      <abilityName>字词错误</abilityName>
      <candidateList>
        <item>，在</item>
      </candidateList>
      <explain/>
      <paraID>7D147573</paraID>
      <start>52</start>
      <end>54</end>
      <status>modified</status>
      <modifiedWord>，在</modifiedWord>
      <trackRevisions>false</trackRevisions>
    </reviewItem>
    <reviewItem>
      <errorID>b8ca7777-5b0e-403e-b637-44380ce016ef</errorID>
      <errorWord>善</errorWord>
      <group>L1_Word</group>
      <groupName>字词问题</groupName>
      <ability>L2_Typo</ability>
      <abilityName>字词错误</abilityName>
      <candidateList>
        <item>善了</item>
      </candidateList>
      <explain/>
      <paraID>42818B58</paraID>
      <start>85</start>
      <end>87</end>
      <status>modified</status>
      <modifiedWord>善了</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53606b-7ba8-42de-a6b1-9b9a4c8dbfd1}">
  <ds:schemaRefs/>
</ds:datastoreItem>
</file>

<file path=docProps/app.xml><?xml version="1.0" encoding="utf-8"?>
<Properties xmlns="http://schemas.openxmlformats.org/officeDocument/2006/extended-properties" xmlns:vt="http://schemas.openxmlformats.org/officeDocument/2006/docPropsVTypes">
  <Template>Normal</Template>
  <Pages>165</Pages>
  <Words>2732</Words>
  <Characters>3417</Characters>
  <Lines>1</Lines>
  <Paragraphs>1</Paragraphs>
  <TotalTime>9</TotalTime>
  <ScaleCrop>false</ScaleCrop>
  <LinksUpToDate>false</LinksUpToDate>
  <CharactersWithSpaces>4313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2024-07-16T10:04:00Z</dcterms:created>
  <dc:creator>Administrator</dc:creator>
  <cp:lastModifiedBy>eags</cp:lastModifiedBy>
  <dcterms:modified xsi:type="dcterms:W3CDTF">2026-02-08T06:13:05Z</dcterms:modified>
  <dc:title>1-四川省甘孜藏族自治州甘孜县2021年高标准农田建设项目实施方案（ 评审后）</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2024-07-09T14:24:18Z</vt:filetime>
  </property>
  <property fmtid="{D5CDD505-2E9C-101B-9397-08002B2CF9AE}" pid="4" name="KSOProductBuildVer">
    <vt:lpwstr>2052-12.1.0.25225</vt:lpwstr>
  </property>
  <property fmtid="{D5CDD505-2E9C-101B-9397-08002B2CF9AE}" pid="5" name="ICV">
    <vt:lpwstr>A0E678473CE9425D8AB8E7F0C939FD63_13</vt:lpwstr>
  </property>
  <property fmtid="{D5CDD505-2E9C-101B-9397-08002B2CF9AE}" pid="6" name="KSOTemplateDocerSaveRecord">
    <vt:lpwstr>eyJoZGlkIjoiYmM1MTBmMjQ4MjJiMDY5MmFiNTU1OWQ3MDhmNDI3YjUiLCJ1c2VySWQiOiIxMDYzNTYzMDA1In0=</vt:lpwstr>
  </property>
</Properties>
</file>