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tLeast"/>
        <w:rPr>
          <w:rFonts w:hint="eastAsia" w:ascii="黑体" w:hAnsi="黑体" w:eastAsia="黑体" w:cs="黑体"/>
          <w:sz w:val="32"/>
          <w:szCs w:val="32"/>
        </w:rPr>
      </w:pPr>
      <w:r>
        <w:rPr>
          <w:rFonts w:hint="eastAsia" w:ascii="黑体" w:hAnsi="黑体" w:eastAsia="黑体" w:cs="黑体"/>
          <w:sz w:val="32"/>
          <w:szCs w:val="32"/>
        </w:rPr>
        <w:t>附件</w:t>
      </w:r>
    </w:p>
    <w:p>
      <w:pPr>
        <w:adjustRightInd w:val="0"/>
        <w:snapToGrid w:val="0"/>
        <w:spacing w:line="240" w:lineRule="atLeast"/>
        <w:jc w:val="center"/>
        <w:rPr>
          <w:rFonts w:hint="eastAsia" w:ascii="方正小标宋简体" w:hAnsi="方正小标宋简体" w:eastAsia="方正小标宋简体" w:cs="方正小标宋简体"/>
          <w:sz w:val="32"/>
          <w:szCs w:val="32"/>
        </w:rPr>
      </w:pPr>
      <w:bookmarkStart w:id="3" w:name="_GoBack"/>
      <w:bookmarkStart w:id="0" w:name="OLE_LINK3"/>
      <w:r>
        <w:rPr>
          <w:rFonts w:hint="eastAsia" w:ascii="方正小标宋简体" w:hAnsi="方正小标宋简体" w:eastAsia="方正小标宋简体" w:cs="方正小标宋简体"/>
          <w:sz w:val="36"/>
          <w:szCs w:val="36"/>
        </w:rPr>
        <w:t>甘孜州参保人员异地就医备案范围及渠道</w:t>
      </w:r>
      <w:bookmarkEnd w:id="0"/>
    </w:p>
    <w:bookmarkEnd w:id="3"/>
    <w:p>
      <w:pPr>
        <w:adjustRightInd w:val="0"/>
        <w:snapToGrid w:val="0"/>
        <w:spacing w:line="24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全省规范异地就医备案管理要求，甘孜州参保人员在异地住院就医时，按照“先备案，后结算”原则，参保人在住院结算前办理异地就医备案后即可在备案地开通的异地联网定点医疗机构享受异地就医住院直接结算服务（异地门诊就医及药店购药无需办理异地就医备案）。</w:t>
      </w:r>
    </w:p>
    <w:p>
      <w:pPr>
        <w:adjustRightInd w:val="0"/>
        <w:snapToGrid w:val="0"/>
        <w:spacing w:line="240" w:lineRule="atLeast"/>
        <w:rPr>
          <w:rFonts w:hint="eastAsia" w:ascii="黑体" w:hAnsi="黑体" w:eastAsia="黑体" w:cs="黑体"/>
          <w:sz w:val="32"/>
          <w:szCs w:val="32"/>
        </w:rPr>
      </w:pPr>
      <w:r>
        <w:rPr>
          <w:rFonts w:hint="eastAsia" w:ascii="黑体" w:hAnsi="黑体" w:eastAsia="黑体" w:cs="黑体"/>
          <w:sz w:val="32"/>
          <w:szCs w:val="32"/>
        </w:rPr>
        <w:t xml:space="preserve">    一、备案范围</w:t>
      </w:r>
    </w:p>
    <w:p>
      <w:pPr>
        <w:adjustRightInd w:val="0"/>
        <w:snapToGrid w:val="0"/>
        <w:spacing w:line="240" w:lineRule="atLeas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（一）异地长期居住人员。</w:t>
      </w:r>
      <w:r>
        <w:rPr>
          <w:rFonts w:hint="eastAsia" w:ascii="仿宋_GB2312" w:hAnsi="仿宋_GB2312" w:eastAsia="仿宋_GB2312" w:cs="仿宋_GB2312"/>
          <w:sz w:val="32"/>
          <w:szCs w:val="32"/>
        </w:rPr>
        <w:t>包括异地安置退休人员、异地长期居住人员、常驻异地工作人员等长期在参保地以外工作、居住、生活的人员。</w:t>
      </w:r>
    </w:p>
    <w:p>
      <w:pPr>
        <w:adjustRightInd w:val="0"/>
        <w:snapToGrid w:val="0"/>
        <w:spacing w:line="240" w:lineRule="atLeas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（二）临时外出就医人员。</w:t>
      </w:r>
      <w:r>
        <w:rPr>
          <w:rFonts w:hint="eastAsia" w:ascii="仿宋_GB2312" w:hAnsi="仿宋_GB2312" w:eastAsia="仿宋_GB2312" w:cs="仿宋_GB2312"/>
          <w:sz w:val="32"/>
          <w:szCs w:val="32"/>
        </w:rPr>
        <w:t>包括异地转诊就医人员，因工作、旅游等原因异地急诊抢救人员以及其他临时外出就医人员。</w:t>
      </w:r>
    </w:p>
    <w:p>
      <w:pPr>
        <w:adjustRightInd w:val="0"/>
        <w:snapToGrid w:val="0"/>
        <w:spacing w:line="24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异地急诊抢救入院时，由就诊医院按急诊抢救登记，参保地视同已备案，无需参保人单独办理备案。</w:t>
      </w:r>
    </w:p>
    <w:p>
      <w:pPr>
        <w:adjustRightInd w:val="0"/>
        <w:snapToGrid w:val="0"/>
        <w:spacing w:line="240" w:lineRule="atLeast"/>
        <w:ind w:firstLine="640"/>
        <w:rPr>
          <w:rFonts w:hint="eastAsia" w:ascii="黑体" w:hAnsi="黑体" w:eastAsia="黑体" w:cs="黑体"/>
          <w:sz w:val="32"/>
          <w:szCs w:val="32"/>
        </w:rPr>
      </w:pPr>
      <w:r>
        <w:rPr>
          <w:rFonts w:hint="eastAsia" w:ascii="黑体" w:hAnsi="黑体" w:eastAsia="黑体" w:cs="黑体"/>
          <w:sz w:val="32"/>
          <w:szCs w:val="32"/>
        </w:rPr>
        <w:t>二、备案渠道</w:t>
      </w:r>
    </w:p>
    <w:p>
      <w:pPr>
        <w:adjustRightInd w:val="0"/>
        <w:snapToGrid w:val="0"/>
        <w:spacing w:line="240" w:lineRule="atLeast"/>
        <w:ind w:firstLine="64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（一）线上备案：</w:t>
      </w:r>
      <w:r>
        <w:rPr>
          <w:rFonts w:hint="eastAsia" w:ascii="仿宋_GB2312" w:hAnsi="仿宋_GB2312" w:eastAsia="仿宋_GB2312" w:cs="仿宋_GB2312"/>
          <w:sz w:val="32"/>
          <w:szCs w:val="32"/>
        </w:rPr>
        <w:t>参保人可通过国家医保服务平台APP、微信小程序“国家医保服务平台”办理</w:t>
      </w:r>
      <w:r>
        <w:rPr>
          <w:rFonts w:hint="eastAsia" w:ascii="仿宋_GB2312" w:hAnsi="仿宋_GB2312" w:eastAsia="仿宋_GB2312" w:cs="仿宋_GB2312"/>
          <w:b/>
          <w:bCs/>
          <w:sz w:val="32"/>
          <w:szCs w:val="32"/>
        </w:rPr>
        <w:t>跨省</w:t>
      </w:r>
      <w:r>
        <w:rPr>
          <w:rFonts w:hint="eastAsia" w:ascii="仿宋_GB2312" w:hAnsi="仿宋_GB2312" w:eastAsia="仿宋_GB2312" w:cs="仿宋_GB2312"/>
          <w:sz w:val="32"/>
          <w:szCs w:val="32"/>
        </w:rPr>
        <w:t>异地就医备案；或使用四川医保APP、微信小程序“四川医保公共服务平台”等网上渠道办理</w:t>
      </w:r>
      <w:r>
        <w:rPr>
          <w:rFonts w:hint="eastAsia" w:ascii="仿宋_GB2312" w:hAnsi="仿宋_GB2312" w:eastAsia="仿宋_GB2312" w:cs="仿宋_GB2312"/>
          <w:b/>
          <w:bCs/>
          <w:sz w:val="32"/>
          <w:szCs w:val="32"/>
        </w:rPr>
        <w:t>跨省</w:t>
      </w:r>
      <w:r>
        <w:rPr>
          <w:rFonts w:hint="eastAsia" w:ascii="仿宋_GB2312" w:hAnsi="仿宋_GB2312" w:eastAsia="仿宋_GB2312" w:cs="仿宋_GB2312"/>
          <w:sz w:val="32"/>
          <w:szCs w:val="32"/>
        </w:rPr>
        <w:t>和</w:t>
      </w:r>
      <w:r>
        <w:rPr>
          <w:rFonts w:hint="eastAsia" w:ascii="仿宋_GB2312" w:hAnsi="仿宋_GB2312" w:eastAsia="仿宋_GB2312" w:cs="仿宋_GB2312"/>
          <w:b/>
          <w:bCs/>
          <w:sz w:val="32"/>
          <w:szCs w:val="32"/>
        </w:rPr>
        <w:t>省内</w:t>
      </w:r>
      <w:r>
        <w:rPr>
          <w:rFonts w:hint="eastAsia" w:ascii="仿宋_GB2312" w:hAnsi="仿宋_GB2312" w:eastAsia="仿宋_GB2312" w:cs="仿宋_GB2312"/>
          <w:sz w:val="32"/>
          <w:szCs w:val="32"/>
        </w:rPr>
        <w:t>异地就医备案，即时办理、即时生效。</w:t>
      </w:r>
    </w:p>
    <w:p>
      <w:pPr>
        <w:adjustRightInd w:val="0"/>
        <w:snapToGrid w:val="0"/>
        <w:spacing w:line="240" w:lineRule="atLeast"/>
        <w:ind w:firstLine="640"/>
        <w:rPr>
          <w:rFonts w:ascii="仿宋_GB2312" w:hAnsi="仿宋_GB2312" w:eastAsia="仿宋_GB2312" w:cs="仿宋_GB2312"/>
          <w:sz w:val="32"/>
          <w:szCs w:val="32"/>
        </w:rPr>
      </w:pPr>
      <w:r>
        <w:rPr>
          <w:rFonts w:hint="eastAsia" w:ascii="楷体_GB2312" w:hAnsi="楷体_GB2312" w:eastAsia="楷体_GB2312" w:cs="楷体_GB2312"/>
          <w:sz w:val="32"/>
          <w:szCs w:val="32"/>
        </w:rPr>
        <w:t>（二）线下备案：</w:t>
      </w:r>
      <w:r>
        <w:rPr>
          <w:rFonts w:hint="eastAsia" w:ascii="仿宋_GB2312" w:hAnsi="仿宋_GB2312" w:eastAsia="仿宋_GB2312" w:cs="仿宋_GB2312"/>
          <w:sz w:val="32"/>
          <w:szCs w:val="32"/>
        </w:rPr>
        <w:t>参保人根据备案类别提交相应资料到参保地医保经办机构服务窗口，现场办理备案。</w:t>
      </w:r>
    </w:p>
    <w:p>
      <w:pPr>
        <w:adjustRightInd w:val="0"/>
        <w:snapToGrid w:val="0"/>
        <w:spacing w:line="240" w:lineRule="atLeast"/>
        <w:ind w:firstLine="640"/>
        <w:rPr>
          <w:rFonts w:hint="eastAsia" w:ascii="黑体" w:hAnsi="黑体" w:eastAsia="黑体" w:cs="黑体"/>
          <w:sz w:val="32"/>
          <w:szCs w:val="32"/>
        </w:rPr>
      </w:pPr>
      <w:r>
        <w:rPr>
          <w:rFonts w:hint="eastAsia" w:ascii="黑体" w:hAnsi="黑体" w:eastAsia="黑体" w:cs="黑体"/>
          <w:sz w:val="32"/>
          <w:szCs w:val="32"/>
        </w:rPr>
        <w:t>三、备案资料</w:t>
      </w:r>
    </w:p>
    <w:tbl>
      <w:tblPr>
        <w:tblStyle w:val="2"/>
        <w:tblW w:w="854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23"/>
        <w:gridCol w:w="3544"/>
        <w:gridCol w:w="3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8546" w:type="dxa"/>
            <w:gridSpan w:val="4"/>
            <w:noWrap w:val="0"/>
            <w:vAlign w:val="top"/>
          </w:tcPr>
          <w:p>
            <w:pPr>
              <w:adjustRightInd w:val="0"/>
              <w:snapToGrid w:val="0"/>
              <w:spacing w:line="240" w:lineRule="atLeast"/>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基本医疗保险参保人员异地就医备案资料清单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trPr>
        <w:tc>
          <w:tcPr>
            <w:tcW w:w="962"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1023"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备案类别</w:t>
            </w:r>
          </w:p>
        </w:tc>
        <w:tc>
          <w:tcPr>
            <w:tcW w:w="3544" w:type="dxa"/>
            <w:noWrap w:val="0"/>
            <w:vAlign w:val="top"/>
          </w:tcPr>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所需材料</w:t>
            </w:r>
          </w:p>
        </w:tc>
        <w:tc>
          <w:tcPr>
            <w:tcW w:w="3017" w:type="dxa"/>
            <w:noWrap w:val="0"/>
            <w:vAlign w:val="top"/>
          </w:tcPr>
          <w:p>
            <w:pPr>
              <w:adjustRightInd w:val="0"/>
              <w:snapToGrid w:val="0"/>
              <w:spacing w:line="240" w:lineRule="atLeas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962"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023"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异地安置退休人员备案</w:t>
            </w:r>
          </w:p>
        </w:tc>
        <w:tc>
          <w:tcPr>
            <w:tcW w:w="3544" w:type="dxa"/>
            <w:noWrap w:val="0"/>
            <w:vAlign w:val="top"/>
          </w:tcPr>
          <w:p>
            <w:pPr>
              <w:numPr>
                <w:ilvl w:val="0"/>
                <w:numId w:val="1"/>
              </w:numPr>
              <w:adjustRightInd w:val="0"/>
              <w:snapToGrid w:val="0"/>
              <w:spacing w:line="240" w:lineRule="atLeast"/>
              <w:jc w:val="left"/>
              <w:rPr>
                <w:rFonts w:hint="eastAsia" w:ascii="仿宋_GB2312" w:hAnsi="仿宋_GB2312" w:eastAsia="仿宋_GB2312" w:cs="仿宋_GB2312"/>
                <w:sz w:val="28"/>
                <w:szCs w:val="28"/>
              </w:rPr>
            </w:pPr>
            <w:bookmarkStart w:id="1" w:name="OLE_LINK1"/>
            <w:r>
              <w:rPr>
                <w:rFonts w:hint="eastAsia" w:ascii="仿宋_GB2312" w:hAnsi="仿宋_GB2312" w:eastAsia="仿宋_GB2312" w:cs="仿宋_GB2312"/>
                <w:sz w:val="28"/>
                <w:szCs w:val="28"/>
              </w:rPr>
              <w:t>有效身份证件或医保电子凭证或社会保障卡；</w:t>
            </w:r>
          </w:p>
          <w:p>
            <w:pPr>
              <w:numPr>
                <w:ilvl w:val="0"/>
                <w:numId w:val="1"/>
              </w:num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《异地就医登记备案表》；</w:t>
            </w:r>
          </w:p>
          <w:p>
            <w:pPr>
              <w:numPr>
                <w:ilvl w:val="0"/>
                <w:numId w:val="1"/>
              </w:num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异地安置认定材料：户口簿首页和本人“常住人口登记卡”，或《基本医疗保险异地就医备案个人承诺书》</w:t>
            </w:r>
            <w:bookmarkEnd w:id="1"/>
            <w:r>
              <w:rPr>
                <w:rFonts w:hint="eastAsia" w:ascii="仿宋_GB2312" w:hAnsi="仿宋_GB2312" w:eastAsia="仿宋_GB2312" w:cs="仿宋_GB2312"/>
                <w:sz w:val="28"/>
                <w:szCs w:val="28"/>
              </w:rPr>
              <w:t>。</w:t>
            </w:r>
          </w:p>
        </w:tc>
        <w:tc>
          <w:tcPr>
            <w:tcW w:w="3017" w:type="dxa"/>
            <w:noWrap w:val="0"/>
            <w:vAlign w:val="top"/>
          </w:tcPr>
          <w:p>
            <w:pPr>
              <w:adjustRightInd w:val="0"/>
              <w:snapToGrid w:val="0"/>
              <w:spacing w:line="240" w:lineRule="atLeas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7" w:hRule="atLeast"/>
        </w:trPr>
        <w:tc>
          <w:tcPr>
            <w:tcW w:w="962"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023"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异地长期居住人员备案</w:t>
            </w:r>
          </w:p>
        </w:tc>
        <w:tc>
          <w:tcPr>
            <w:tcW w:w="3544" w:type="dxa"/>
            <w:noWrap w:val="0"/>
            <w:vAlign w:val="top"/>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1.有效身份证件或医保电子凭证或社会保障卡；</w:t>
            </w:r>
          </w:p>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2.《异地就医登记备案表》；</w:t>
            </w:r>
          </w:p>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3.异地长期居住认定材料：居住证、户口簿首页和本人“常住人口登记卡”任选其一，或《基本医疗保险异地就医备案个人承诺书》。</w:t>
            </w:r>
          </w:p>
        </w:tc>
        <w:tc>
          <w:tcPr>
            <w:tcW w:w="3017" w:type="dxa"/>
            <w:noWrap w:val="0"/>
            <w:vAlign w:val="top"/>
          </w:tcPr>
          <w:p>
            <w:pPr>
              <w:adjustRightInd w:val="0"/>
              <w:snapToGrid w:val="0"/>
              <w:spacing w:line="240" w:lineRule="atLeast"/>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参保人员在居住地公安局派出所或者受公安机构委托的社区服务机构办理申领居住证手续后尚未领取的，可提交有关部门出具的受理凭证</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962"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023"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常住异地工作人员备案</w:t>
            </w:r>
          </w:p>
        </w:tc>
        <w:tc>
          <w:tcPr>
            <w:tcW w:w="3544" w:type="dxa"/>
            <w:noWrap w:val="0"/>
            <w:vAlign w:val="top"/>
          </w:tcPr>
          <w:p>
            <w:pPr>
              <w:numPr>
                <w:ilvl w:val="0"/>
                <w:numId w:val="2"/>
              </w:numPr>
              <w:adjustRightInd w:val="0"/>
              <w:snapToGrid w:val="0"/>
              <w:spacing w:line="240" w:lineRule="atLeast"/>
              <w:jc w:val="left"/>
              <w:rPr>
                <w:rFonts w:hint="eastAsia" w:ascii="仿宋_GB2312" w:hAnsi="仿宋_GB2312" w:eastAsia="仿宋_GB2312" w:cs="仿宋_GB2312"/>
                <w:sz w:val="28"/>
                <w:szCs w:val="28"/>
              </w:rPr>
            </w:pPr>
            <w:bookmarkStart w:id="2" w:name="OLE_LINK4"/>
            <w:r>
              <w:rPr>
                <w:rFonts w:hint="eastAsia" w:ascii="仿宋_GB2312" w:hAnsi="仿宋_GB2312" w:eastAsia="仿宋_GB2312" w:cs="仿宋_GB2312"/>
                <w:sz w:val="28"/>
                <w:szCs w:val="28"/>
              </w:rPr>
              <w:t>有效身份证件或医保电子凭证或社会保障卡；</w:t>
            </w:r>
          </w:p>
          <w:p>
            <w:pPr>
              <w:numPr>
                <w:ilvl w:val="0"/>
                <w:numId w:val="2"/>
              </w:num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《异地就医登记备案表》；</w:t>
            </w:r>
          </w:p>
          <w:bookmarkEnd w:id="2"/>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3.异地工作认定材料：参保地工作单位派出凭证、异地工作劳动合同任选其一，或《基本医疗保险异地就医备案个人承诺书》。</w:t>
            </w:r>
          </w:p>
        </w:tc>
        <w:tc>
          <w:tcPr>
            <w:tcW w:w="3017" w:type="dxa"/>
            <w:noWrap w:val="0"/>
            <w:vAlign w:val="top"/>
          </w:tcPr>
          <w:p>
            <w:pPr>
              <w:adjustRightInd w:val="0"/>
              <w:snapToGrid w:val="0"/>
              <w:spacing w:line="240" w:lineRule="atLeas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2" w:hRule="atLeast"/>
        </w:trPr>
        <w:tc>
          <w:tcPr>
            <w:tcW w:w="962"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023"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异地转诊人员备案</w:t>
            </w:r>
          </w:p>
        </w:tc>
        <w:tc>
          <w:tcPr>
            <w:tcW w:w="3544" w:type="dxa"/>
            <w:noWrap w:val="0"/>
            <w:vAlign w:val="top"/>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1.有效身份证件或医保电子凭证或社会保障卡；</w:t>
            </w:r>
          </w:p>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2.《异地就医登记备案表》；</w:t>
            </w:r>
          </w:p>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3.参保地规定的定点医疗机构开具的转诊转院单。</w:t>
            </w:r>
          </w:p>
        </w:tc>
        <w:tc>
          <w:tcPr>
            <w:tcW w:w="3017" w:type="dxa"/>
            <w:noWrap w:val="0"/>
            <w:vAlign w:val="top"/>
          </w:tcPr>
          <w:p>
            <w:pPr>
              <w:adjustRightInd w:val="0"/>
              <w:snapToGrid w:val="0"/>
              <w:spacing w:line="240" w:lineRule="atLeast"/>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962"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023" w:type="dxa"/>
            <w:noWrap w:val="0"/>
            <w:vAlign w:val="top"/>
          </w:tcPr>
          <w:p>
            <w:pPr>
              <w:adjustRightInd w:val="0"/>
              <w:snapToGrid w:val="0"/>
              <w:spacing w:line="240" w:lineRule="atLeas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其他临时外出就医人员备案</w:t>
            </w:r>
          </w:p>
        </w:tc>
        <w:tc>
          <w:tcPr>
            <w:tcW w:w="3544" w:type="dxa"/>
            <w:noWrap w:val="0"/>
            <w:vAlign w:val="top"/>
          </w:tcPr>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1.有效身份证件或医保电子凭证或社会保障卡；</w:t>
            </w:r>
          </w:p>
          <w:p>
            <w:pPr>
              <w:adjustRightInd w:val="0"/>
              <w:snapToGrid w:val="0"/>
              <w:spacing w:line="240" w:lineRule="atLeas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2.《异地就医登记备案表》。</w:t>
            </w:r>
          </w:p>
          <w:p>
            <w:pPr>
              <w:adjustRightInd w:val="0"/>
              <w:snapToGrid w:val="0"/>
              <w:spacing w:line="240" w:lineRule="atLeast"/>
              <w:jc w:val="left"/>
              <w:rPr>
                <w:rFonts w:hint="eastAsia" w:ascii="仿宋_GB2312" w:hAnsi="仿宋_GB2312" w:eastAsia="仿宋_GB2312" w:cs="仿宋_GB2312"/>
                <w:sz w:val="28"/>
                <w:szCs w:val="28"/>
              </w:rPr>
            </w:pPr>
          </w:p>
        </w:tc>
        <w:tc>
          <w:tcPr>
            <w:tcW w:w="3017" w:type="dxa"/>
            <w:noWrap w:val="0"/>
            <w:vAlign w:val="top"/>
          </w:tcPr>
          <w:p>
            <w:pPr>
              <w:adjustRightInd w:val="0"/>
              <w:snapToGrid w:val="0"/>
              <w:spacing w:line="240" w:lineRule="atLeast"/>
              <w:jc w:val="center"/>
              <w:rPr>
                <w:rFonts w:hint="eastAsia" w:ascii="仿宋_GB2312" w:hAnsi="仿宋_GB2312" w:eastAsia="仿宋_GB2312" w:cs="仿宋_GB2312"/>
                <w:sz w:val="28"/>
                <w:szCs w:val="28"/>
              </w:rPr>
            </w:pPr>
          </w:p>
        </w:tc>
      </w:tr>
    </w:tbl>
    <w:p>
      <w:pPr>
        <w:adjustRightInd w:val="0"/>
        <w:snapToGrid w:val="0"/>
        <w:spacing w:line="240" w:lineRule="atLeast"/>
        <w:rPr>
          <w:rFonts w:hint="eastAsia" w:ascii="黑体" w:hAnsi="黑体" w:eastAsia="黑体" w:cs="黑体"/>
          <w:sz w:val="32"/>
          <w:szCs w:val="32"/>
        </w:rPr>
      </w:pPr>
      <w:r>
        <w:rPr>
          <w:rFonts w:hint="eastAsia" w:ascii="黑体" w:hAnsi="黑体" w:eastAsia="黑体" w:cs="黑体"/>
          <w:sz w:val="32"/>
          <w:szCs w:val="32"/>
        </w:rPr>
        <w:t xml:space="preserve">    四、异地就医直接结算问题及解决方式</w:t>
      </w:r>
    </w:p>
    <w:p>
      <w:pPr>
        <w:adjustRightInd w:val="0"/>
        <w:snapToGrid w:val="0"/>
        <w:spacing w:line="240" w:lineRule="atLeas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参保人员在就医地医药机构办理异地直接结算时遇到问题，信息系统会提示具体原因及报错系统名称，参保人员可以根据系统提示联系相应的参保地医保经办机构，由参保地医保经办机构收集相关报错信息在州医保运维群反馈解决。</w:t>
      </w:r>
    </w:p>
    <w:p>
      <w:pPr>
        <w:numPr>
          <w:ilvl w:val="0"/>
          <w:numId w:val="3"/>
        </w:numPr>
        <w:adjustRightInd w:val="0"/>
        <w:snapToGrid w:val="0"/>
        <w:spacing w:line="240" w:lineRule="atLeast"/>
        <w:ind w:firstLine="640"/>
        <w:rPr>
          <w:rFonts w:hint="eastAsia" w:ascii="黑体" w:hAnsi="黑体" w:eastAsia="黑体" w:cs="黑体"/>
          <w:sz w:val="32"/>
          <w:szCs w:val="32"/>
        </w:rPr>
      </w:pPr>
      <w:r>
        <w:rPr>
          <w:rFonts w:hint="eastAsia" w:ascii="黑体" w:hAnsi="黑体" w:eastAsia="黑体" w:cs="黑体"/>
          <w:sz w:val="32"/>
          <w:szCs w:val="32"/>
        </w:rPr>
        <w:t>甘孜州医保经办机构异地就医咨询电话</w:t>
      </w:r>
    </w:p>
    <w:tbl>
      <w:tblPr>
        <w:tblStyle w:val="2"/>
        <w:tblW w:w="8175" w:type="dxa"/>
        <w:tblInd w:w="0" w:type="dxa"/>
        <w:tblLayout w:type="fixed"/>
        <w:tblCellMar>
          <w:top w:w="0" w:type="dxa"/>
          <w:left w:w="0" w:type="dxa"/>
          <w:bottom w:w="0" w:type="dxa"/>
          <w:right w:w="0" w:type="dxa"/>
        </w:tblCellMar>
      </w:tblPr>
      <w:tblGrid>
        <w:gridCol w:w="1660"/>
        <w:gridCol w:w="3418"/>
        <w:gridCol w:w="3097"/>
      </w:tblGrid>
      <w:tr>
        <w:tblPrEx>
          <w:tblLayout w:type="fixed"/>
          <w:tblCellMar>
            <w:top w:w="0" w:type="dxa"/>
            <w:left w:w="0" w:type="dxa"/>
            <w:bottom w:w="0" w:type="dxa"/>
            <w:right w:w="0" w:type="dxa"/>
          </w:tblCellMar>
        </w:tblPrEx>
        <w:trPr>
          <w:trHeight w:val="561" w:hRule="atLeast"/>
        </w:trPr>
        <w:tc>
          <w:tcPr>
            <w:tcW w:w="1660" w:type="dxa"/>
            <w:tcBorders>
              <w:top w:val="single" w:color="000000" w:sz="8" w:space="0"/>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bottom"/>
              <w:rPr>
                <w:rFonts w:hint="eastAsia"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医保区划</w:t>
            </w:r>
          </w:p>
        </w:tc>
        <w:tc>
          <w:tcPr>
            <w:tcW w:w="3418"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bottom"/>
              <w:rPr>
                <w:rFonts w:hint="eastAsia"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经办机构名称</w:t>
            </w:r>
          </w:p>
        </w:tc>
        <w:tc>
          <w:tcPr>
            <w:tcW w:w="3097" w:type="dxa"/>
            <w:tcBorders>
              <w:top w:val="single" w:color="000000" w:sz="8" w:space="0"/>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bottom"/>
              <w:rPr>
                <w:rFonts w:hint="eastAsia"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联系电话</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州本级</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甘孜州医疗保障事务中心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0836-2821744</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康定市</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康定市医疗保障事务中心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0836-2834991</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泸定县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泸定县医疗保障事务中心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0836-3128919</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丹巴县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丹巴县医疗保障事务中心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0836-35296</w:t>
            </w:r>
            <w:r>
              <w:rPr>
                <w:rFonts w:ascii="仿宋_GB2312" w:hAnsi="宋体" w:eastAsia="仿宋_GB2312" w:cs="仿宋_GB2312"/>
                <w:color w:val="000000"/>
                <w:kern w:val="0"/>
                <w:sz w:val="28"/>
                <w:szCs w:val="28"/>
                <w:lang w:bidi="ar"/>
              </w:rPr>
              <w:t>18</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九龙县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九龙县医疗保障事务中心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0836-3321723</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道孚县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道孚县医疗保障事务中心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0836-7123340</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炉霍县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bottom"/>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炉霍县医疗保障事务中心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0836-8850882</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甘孜县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甘孜县医疗保障事务中心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0836-6861</w:t>
            </w:r>
            <w:r>
              <w:rPr>
                <w:rFonts w:ascii="仿宋_GB2312" w:hAnsi="宋体" w:eastAsia="仿宋_GB2312" w:cs="仿宋_GB2312"/>
                <w:color w:val="000000"/>
                <w:kern w:val="0"/>
                <w:sz w:val="28"/>
                <w:szCs w:val="28"/>
                <w:lang w:bidi="ar"/>
              </w:rPr>
              <w:t>300</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新龙县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bottom"/>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新龙县医疗保障事务中心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0836-8121201</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色达县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色达县医疗保障事务中心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0836-8522890</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石渠县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石渠县医疗保障事务中心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0836-6650162</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白玉县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白玉县医疗保障事务中心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0836-8323665</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德格县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德格县医疗保障事务中心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0836-8222865</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雅江县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雅江县医疗保障事务中心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ascii="仿宋_GB2312" w:hAnsi="宋体" w:eastAsia="仿宋_GB2312" w:cs="仿宋_GB2312"/>
                <w:color w:val="000000"/>
                <w:kern w:val="0"/>
                <w:sz w:val="28"/>
                <w:szCs w:val="28"/>
                <w:lang w:bidi="ar"/>
              </w:rPr>
              <w:t>0836-</w:t>
            </w:r>
            <w:r>
              <w:rPr>
                <w:rFonts w:hint="eastAsia" w:ascii="仿宋_GB2312" w:hAnsi="宋体" w:eastAsia="仿宋_GB2312" w:cs="仿宋_GB2312"/>
                <w:color w:val="000000"/>
                <w:kern w:val="0"/>
                <w:sz w:val="28"/>
                <w:szCs w:val="28"/>
                <w:lang w:bidi="ar"/>
              </w:rPr>
              <w:t>5123969</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理塘县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理塘县医疗保障事务中心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0836-5321023</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巴塘县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巴塘县医疗保障事务中心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0836-5621259</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稻城县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稻城县医疗保障事务中心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0836-5726960</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乡城县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乡城县医疗保障事务中心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0836-5826227</w:t>
            </w:r>
          </w:p>
        </w:tc>
      </w:tr>
      <w:tr>
        <w:tblPrEx>
          <w:tblLayout w:type="fixed"/>
          <w:tblCellMar>
            <w:top w:w="0" w:type="dxa"/>
            <w:left w:w="0" w:type="dxa"/>
            <w:bottom w:w="0" w:type="dxa"/>
            <w:right w:w="0" w:type="dxa"/>
          </w:tblCellMar>
        </w:tblPrEx>
        <w:trPr>
          <w:trHeight w:val="561" w:hRule="atLeast"/>
        </w:trPr>
        <w:tc>
          <w:tcPr>
            <w:tcW w:w="1660" w:type="dxa"/>
            <w:tcBorders>
              <w:top w:val="nil"/>
              <w:left w:val="single" w:color="000000" w:sz="8" w:space="0"/>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得荣县</w:t>
            </w:r>
          </w:p>
        </w:tc>
        <w:tc>
          <w:tcPr>
            <w:tcW w:w="3418"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得荣县医疗保障事务中心</w:t>
            </w:r>
          </w:p>
        </w:tc>
        <w:tc>
          <w:tcPr>
            <w:tcW w:w="3097" w:type="dxa"/>
            <w:tcBorders>
              <w:top w:val="nil"/>
              <w:left w:val="nil"/>
              <w:bottom w:val="single" w:color="000000" w:sz="8" w:space="0"/>
              <w:right w:val="single" w:color="000000" w:sz="8" w:space="0"/>
            </w:tcBorders>
            <w:shd w:val="clear" w:color="auto" w:fill="FFFFFF"/>
            <w:noWrap w:val="0"/>
            <w:tcMar>
              <w:top w:w="15" w:type="dxa"/>
              <w:left w:w="15" w:type="dxa"/>
              <w:right w:w="15" w:type="dxa"/>
            </w:tcMar>
            <w:vAlign w:val="center"/>
          </w:tcPr>
          <w:p>
            <w:pPr>
              <w:widowControl/>
              <w:adjustRightInd w:val="0"/>
              <w:snapToGrid w:val="0"/>
              <w:spacing w:line="240" w:lineRule="atLeast"/>
              <w:jc w:val="center"/>
              <w:textAlignment w:val="center"/>
              <w:rPr>
                <w:rFonts w:hint="eastAsia" w:ascii="仿宋_GB2312" w:hAnsi="宋体" w:eastAsia="仿宋_GB2312" w:cs="仿宋_GB2312"/>
                <w:color w:val="000000"/>
                <w:kern w:val="0"/>
                <w:sz w:val="28"/>
                <w:szCs w:val="28"/>
                <w:lang w:bidi="ar"/>
              </w:rPr>
            </w:pPr>
            <w:r>
              <w:rPr>
                <w:rFonts w:hint="eastAsia" w:ascii="仿宋_GB2312" w:hAnsi="宋体" w:eastAsia="仿宋_GB2312" w:cs="仿宋_GB2312"/>
                <w:color w:val="000000"/>
                <w:kern w:val="0"/>
                <w:sz w:val="28"/>
                <w:szCs w:val="28"/>
                <w:lang w:bidi="ar"/>
              </w:rPr>
              <w:t>0836-5922</w:t>
            </w:r>
            <w:r>
              <w:rPr>
                <w:rFonts w:ascii="仿宋_GB2312" w:hAnsi="宋体" w:eastAsia="仿宋_GB2312" w:cs="仿宋_GB2312"/>
                <w:color w:val="000000"/>
                <w:kern w:val="0"/>
                <w:sz w:val="28"/>
                <w:szCs w:val="28"/>
                <w:lang w:bidi="ar"/>
              </w:rPr>
              <w:t>874</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4BEA2"/>
    <w:multiLevelType w:val="singleLevel"/>
    <w:tmpl w:val="6964BEA2"/>
    <w:lvl w:ilvl="0" w:tentative="0">
      <w:start w:val="1"/>
      <w:numFmt w:val="decimal"/>
      <w:suff w:val="nothing"/>
      <w:lvlText w:val="%1."/>
      <w:lvlJc w:val="left"/>
    </w:lvl>
  </w:abstractNum>
  <w:abstractNum w:abstractNumId="1">
    <w:nsid w:val="6964C019"/>
    <w:multiLevelType w:val="singleLevel"/>
    <w:tmpl w:val="6964C019"/>
    <w:lvl w:ilvl="0" w:tentative="0">
      <w:start w:val="1"/>
      <w:numFmt w:val="decimal"/>
      <w:suff w:val="nothing"/>
      <w:lvlText w:val="%1."/>
      <w:lvlJc w:val="left"/>
    </w:lvl>
  </w:abstractNum>
  <w:abstractNum w:abstractNumId="2">
    <w:nsid w:val="6964C4A9"/>
    <w:multiLevelType w:val="singleLevel"/>
    <w:tmpl w:val="6964C4A9"/>
    <w:lvl w:ilvl="0" w:tentative="0">
      <w:start w:val="5"/>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B36539"/>
    <w:rsid w:val="33B3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2026-03-24T02:17:00Z</dcterms:created>
  <dc:creator>འཛུམ་དཀར།</dc:creator>
  <cp:lastModifiedBy>འཛུམ་དཀར།</cp:lastModifiedBy>
  <dcterms:modified xsi:type="dcterms:W3CDTF">2026-03-24T02:18:12Z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