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rPr>
          <w:rFonts w:hint="eastAsia" w:ascii="黑体" w:hAnsi="黑体" w:eastAsia="黑体" w:cs="黑体"/>
          <w:color w:val="000000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40"/>
          <w:lang w:val="en-US" w:eastAsia="zh-CN"/>
        </w:rPr>
        <w:t>附件1：</w:t>
      </w:r>
    </w:p>
    <w:p>
      <w:pPr>
        <w:numPr>
          <w:ilvl w:val="0"/>
          <w:numId w:val="0"/>
        </w:numPr>
        <w:ind w:firstLine="880" w:firstLineChars="2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各招生项目教练员咨询联系方式一览表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招生项目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教练员姓名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田径（中长跑）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扎西启珍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田径（投掷）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向正凤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摔跤（女子）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色尔江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摔跤（男子）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洛布邓珠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柔道（女子）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拥姆初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柔道（男子）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杨德全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篮球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桑  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F9F4A"/>
    <w:rsid w:val="7BFFCD6B"/>
    <w:rsid w:val="FFEF9F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2026-05-20T01:00:00Z</dcterms:created>
  <dc:creator>政策法规科（校外教育监管科）:泽汪拉姆</dc:creator>
  <cp:lastModifiedBy>政策法规科（校外教育监管科）:泽汪拉姆</cp:lastModifiedBy>
  <dcterms:modified xsi:type="dcterms:W3CDTF">2026-05-19T17:03:46Z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