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 w:val="28"/>
          <w:szCs w:val="28"/>
        </w:rPr>
      </w:pPr>
      <w:bookmarkStart w:id="0" w:name="_Toc34036449"/>
      <w:r>
        <w:rPr>
          <w:rFonts w:hint="eastAsia" w:ascii="方正小标宋简体" w:eastAsia="方正小标宋简体"/>
          <w:sz w:val="32"/>
          <w:szCs w:val="44"/>
        </w:rPr>
        <w:t>附件</w:t>
      </w:r>
      <w:r>
        <w:rPr>
          <w:rFonts w:ascii="方正小标宋简体" w:eastAsia="方正小标宋简体"/>
          <w:sz w:val="32"/>
          <w:szCs w:val="44"/>
        </w:rPr>
        <w:t>:</w:t>
      </w:r>
    </w:p>
    <w:p>
      <w:pPr>
        <w:jc w:val="center"/>
        <w:rPr>
          <w:rFonts w:ascii="方正小标宋简体" w:eastAsia="方正小标宋简体"/>
          <w:sz w:val="44"/>
          <w:szCs w:val="44"/>
        </w:rPr>
      </w:pPr>
      <w:bookmarkStart w:id="3" w:name="_GoBack"/>
      <w:r>
        <w:rPr>
          <w:rFonts w:hint="eastAsia" w:ascii="方正小标宋简体" w:eastAsia="方正小标宋简体"/>
          <w:sz w:val="44"/>
          <w:szCs w:val="44"/>
        </w:rPr>
        <w:t>得荣县征收农用地区片综合地价修订成果</w:t>
      </w:r>
    </w:p>
    <w:bookmarkEnd w:id="3"/>
    <w:p>
      <w:pPr>
        <w:widowControl/>
        <w:spacing w:before="156" w:beforeLines="50" w:after="156" w:afterLines="50"/>
        <w:outlineLvl w:val="0"/>
        <w:rPr>
          <w:rFonts w:ascii="仿宋_GB2312" w:eastAsia="仿宋_GB2312"/>
          <w:b/>
          <w:sz w:val="32"/>
          <w:szCs w:val="32"/>
        </w:rPr>
      </w:pPr>
      <w:r>
        <w:rPr>
          <w:rFonts w:hint="eastAsia" w:ascii="仿宋_GB2312" w:eastAsia="仿宋_GB2312"/>
          <w:b/>
          <w:sz w:val="32"/>
          <w:szCs w:val="32"/>
        </w:rPr>
        <w:t>一、测算范围</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征收农用地区片综合地价修订涉及得荣县行政辖区内的所有集体农用地范围，包括耕地、园地、林地、草地4个一级地类以及农村道路、水库水面、坑塘水面、沟渠、设施农用地、田坎6个二级地类。测算范围共计全县1</w:t>
      </w:r>
      <w:r>
        <w:rPr>
          <w:rFonts w:ascii="Times New Roman" w:hAnsi="Times New Roman" w:eastAsia="仿宋_GB2312" w:cs="Times New Roman"/>
          <w:sz w:val="32"/>
          <w:szCs w:val="32"/>
        </w:rPr>
        <w:t>0</w:t>
      </w:r>
      <w:r>
        <w:rPr>
          <w:rFonts w:hint="eastAsia" w:ascii="Times New Roman" w:hAnsi="Times New Roman" w:eastAsia="仿宋_GB2312" w:cs="Times New Roman"/>
          <w:sz w:val="32"/>
          <w:szCs w:val="32"/>
        </w:rPr>
        <w:t>个乡镇，土地面积</w:t>
      </w:r>
      <w:r>
        <w:rPr>
          <w:rFonts w:ascii="Times New Roman" w:hAnsi="Times New Roman" w:eastAsia="仿宋_GB2312" w:cs="Times New Roman"/>
          <w:sz w:val="32"/>
          <w:szCs w:val="32"/>
        </w:rPr>
        <w:t>291366.47</w:t>
      </w:r>
      <w:r>
        <w:rPr>
          <w:rFonts w:hint="eastAsia" w:ascii="Times New Roman" w:hAnsi="Times New Roman" w:eastAsia="仿宋_GB2312" w:cs="Times New Roman"/>
          <w:sz w:val="32"/>
          <w:szCs w:val="32"/>
        </w:rPr>
        <w:t>公顷。与上轮相比，测算范围无变化。</w:t>
      </w:r>
    </w:p>
    <w:p>
      <w:pPr>
        <w:widowControl/>
        <w:spacing w:before="156" w:beforeLines="50" w:after="156" w:afterLines="50"/>
        <w:outlineLvl w:val="0"/>
        <w:rPr>
          <w:rFonts w:ascii="仿宋_GB2312" w:eastAsia="仿宋_GB2312"/>
          <w:b/>
          <w:sz w:val="32"/>
          <w:szCs w:val="32"/>
        </w:rPr>
      </w:pPr>
      <w:bookmarkStart w:id="1" w:name="_Toc34036444"/>
      <w:r>
        <w:rPr>
          <w:rFonts w:hint="eastAsia" w:ascii="仿宋_GB2312" w:eastAsia="仿宋_GB2312"/>
          <w:b/>
          <w:sz w:val="32"/>
          <w:szCs w:val="32"/>
        </w:rPr>
        <w:t>二、基准</w:t>
      </w:r>
      <w:bookmarkEnd w:id="1"/>
      <w:r>
        <w:rPr>
          <w:rFonts w:hint="eastAsia" w:ascii="仿宋_GB2312" w:eastAsia="仿宋_GB2312"/>
          <w:b/>
          <w:sz w:val="32"/>
          <w:szCs w:val="32"/>
        </w:rPr>
        <w:t>日</w:t>
      </w:r>
    </w:p>
    <w:p>
      <w:pPr>
        <w:ind w:firstLine="640" w:firstLineChars="200"/>
        <w:rPr>
          <w:rFonts w:ascii="仿宋_GB2312" w:eastAsia="仿宋_GB2312"/>
          <w:sz w:val="32"/>
          <w:szCs w:val="32"/>
        </w:rPr>
      </w:pPr>
      <w:r>
        <w:rPr>
          <w:rFonts w:hint="eastAsia" w:ascii="Times New Roman" w:hAnsi="Times New Roman" w:eastAsia="仿宋_GB2312" w:cs="Times New Roman"/>
          <w:sz w:val="32"/>
          <w:szCs w:val="32"/>
        </w:rPr>
        <w:t>本次征收农用地区片综合地价对应的基准日为202</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年1月1日，有效期为3年。</w:t>
      </w:r>
    </w:p>
    <w:p>
      <w:pPr>
        <w:widowControl/>
        <w:spacing w:before="156" w:beforeLines="50" w:after="156" w:afterLines="50"/>
        <w:outlineLvl w:val="0"/>
        <w:rPr>
          <w:rFonts w:ascii="仿宋_GB2312" w:eastAsia="仿宋_GB2312"/>
          <w:b/>
          <w:sz w:val="32"/>
          <w:szCs w:val="32"/>
        </w:rPr>
      </w:pPr>
      <w:r>
        <w:rPr>
          <w:rFonts w:hint="eastAsia" w:ascii="仿宋_GB2312" w:eastAsia="仿宋_GB2312"/>
          <w:b/>
          <w:sz w:val="32"/>
          <w:szCs w:val="32"/>
        </w:rPr>
        <w:t>三、区片综合地价修订</w:t>
      </w:r>
      <w:r>
        <w:rPr>
          <w:rFonts w:ascii="仿宋_GB2312" w:eastAsia="仿宋_GB2312"/>
          <w:b/>
          <w:sz w:val="32"/>
          <w:szCs w:val="32"/>
        </w:rPr>
        <w:t>结果</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本轮征收农用地区片综合地价修订采用多因素综合评价法，将得荣县划分为两个区片，分别为位于一区片的太阳谷镇、瓦卡镇、白松镇</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个镇，位于二区片的徐龙乡、日雨镇、奔都乡、八日乡、古学乡、贡波乡、茨巫乡</w:t>
      </w:r>
      <w:r>
        <w:rPr>
          <w:rFonts w:ascii="Times New Roman" w:hAnsi="Times New Roman" w:eastAsia="仿宋_GB2312" w:cs="Times New Roman"/>
          <w:sz w:val="32"/>
          <w:szCs w:val="32"/>
        </w:rPr>
        <w:t>7</w:t>
      </w:r>
      <w:r>
        <w:rPr>
          <w:rFonts w:hint="eastAsia" w:ascii="Times New Roman" w:hAnsi="Times New Roman" w:eastAsia="仿宋_GB2312" w:cs="Times New Roman"/>
          <w:sz w:val="32"/>
          <w:szCs w:val="32"/>
        </w:rPr>
        <w:t>个乡镇。与上轮征地区片比较，区片分布无变化。</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征收农用地区片综合地价为得荣县征收集体农用地的土地补偿费和安置补助费标准。不包括法律规定用于社会保险缴费补贴的被征地农民社会保障费用、征收农用地涉及的地上附着物和青苗等其他补偿费用。</w:t>
      </w:r>
      <w:r>
        <w:rPr>
          <w:rFonts w:ascii="Times New Roman" w:hAnsi="Times New Roman" w:eastAsia="仿宋_GB2312" w:cs="Times New Roman"/>
          <w:sz w:val="32"/>
          <w:szCs w:val="32"/>
        </w:rPr>
        <w:t>本次征收农用地区片</w:t>
      </w:r>
      <w:r>
        <w:rPr>
          <w:rFonts w:hint="eastAsia" w:ascii="Times New Roman" w:hAnsi="Times New Roman" w:eastAsia="仿宋_GB2312" w:cs="Times New Roman"/>
          <w:sz w:val="32"/>
          <w:szCs w:val="32"/>
        </w:rPr>
        <w:t>综合</w:t>
      </w:r>
      <w:r>
        <w:rPr>
          <w:rFonts w:ascii="Times New Roman" w:hAnsi="Times New Roman" w:eastAsia="仿宋_GB2312" w:cs="Times New Roman"/>
          <w:sz w:val="32"/>
          <w:szCs w:val="32"/>
        </w:rPr>
        <w:t>地价</w:t>
      </w:r>
      <w:r>
        <w:rPr>
          <w:rFonts w:hint="eastAsia" w:ascii="Times New Roman" w:hAnsi="Times New Roman" w:eastAsia="仿宋_GB2312" w:cs="Times New Roman"/>
          <w:sz w:val="32"/>
          <w:szCs w:val="32"/>
        </w:rPr>
        <w:t>修订后</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一区片</w:t>
      </w:r>
      <w:r>
        <w:rPr>
          <w:rFonts w:ascii="Times New Roman" w:hAnsi="Times New Roman" w:eastAsia="仿宋_GB2312" w:cs="Times New Roman"/>
          <w:sz w:val="32"/>
          <w:szCs w:val="32"/>
        </w:rPr>
        <w:t>为</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91</w:t>
      </w:r>
      <w:r>
        <w:rPr>
          <w:rFonts w:hint="eastAsia" w:ascii="Times New Roman" w:hAnsi="Times New Roman" w:eastAsia="仿宋_GB2312" w:cs="Times New Roman"/>
          <w:sz w:val="32"/>
          <w:szCs w:val="32"/>
        </w:rPr>
        <w:t>00</w:t>
      </w:r>
      <w:r>
        <w:rPr>
          <w:rFonts w:ascii="Times New Roman" w:hAnsi="Times New Roman" w:eastAsia="仿宋_GB2312" w:cs="Times New Roman"/>
          <w:sz w:val="32"/>
          <w:szCs w:val="32"/>
        </w:rPr>
        <w:t>元/亩，</w:t>
      </w:r>
      <w:r>
        <w:rPr>
          <w:rFonts w:hint="eastAsia" w:ascii="Times New Roman" w:hAnsi="Times New Roman" w:eastAsia="仿宋_GB2312" w:cs="Times New Roman"/>
          <w:sz w:val="32"/>
          <w:szCs w:val="32"/>
        </w:rPr>
        <w:t>二区片</w:t>
      </w:r>
      <w:r>
        <w:rPr>
          <w:rFonts w:ascii="Times New Roman" w:hAnsi="Times New Roman" w:eastAsia="仿宋_GB2312" w:cs="Times New Roman"/>
          <w:sz w:val="32"/>
          <w:szCs w:val="32"/>
        </w:rPr>
        <w:t>为377</w:t>
      </w:r>
      <w:r>
        <w:rPr>
          <w:rFonts w:hint="eastAsia" w:ascii="Times New Roman" w:hAnsi="Times New Roman" w:eastAsia="仿宋_GB2312" w:cs="Times New Roman"/>
          <w:sz w:val="32"/>
          <w:szCs w:val="32"/>
        </w:rPr>
        <w:t>00</w:t>
      </w:r>
      <w:r>
        <w:rPr>
          <w:rFonts w:ascii="Times New Roman" w:hAnsi="Times New Roman" w:eastAsia="仿宋_GB2312" w:cs="Times New Roman"/>
          <w:sz w:val="32"/>
          <w:szCs w:val="32"/>
        </w:rPr>
        <w:t>元/亩。</w:t>
      </w:r>
      <w:r>
        <w:rPr>
          <w:rFonts w:hint="eastAsia" w:ascii="Times New Roman" w:hAnsi="Times New Roman" w:eastAsia="仿宋_GB2312" w:cs="Times New Roman"/>
          <w:sz w:val="32"/>
          <w:szCs w:val="32"/>
        </w:rPr>
        <w:t>在</w:t>
      </w:r>
      <w:r>
        <w:rPr>
          <w:rFonts w:ascii="Times New Roman" w:hAnsi="Times New Roman" w:eastAsia="仿宋_GB2312" w:cs="Times New Roman"/>
          <w:sz w:val="32"/>
          <w:szCs w:val="32"/>
        </w:rPr>
        <w:t>此基础上，本次设置</w:t>
      </w:r>
      <w:r>
        <w:rPr>
          <w:rFonts w:hint="eastAsia" w:ascii="Times New Roman" w:hAnsi="Times New Roman" w:eastAsia="仿宋_GB2312" w:cs="Times New Roman"/>
          <w:sz w:val="32"/>
          <w:szCs w:val="32"/>
        </w:rPr>
        <w:t>耕地</w:t>
      </w:r>
      <w:r>
        <w:rPr>
          <w:rFonts w:ascii="Times New Roman" w:hAnsi="Times New Roman" w:eastAsia="仿宋_GB2312" w:cs="Times New Roman"/>
          <w:sz w:val="32"/>
          <w:szCs w:val="32"/>
        </w:rPr>
        <w:t>调</w:t>
      </w:r>
      <w:r>
        <w:rPr>
          <w:rFonts w:hint="eastAsia" w:ascii="Times New Roman" w:hAnsi="Times New Roman" w:eastAsia="仿宋_GB2312" w:cs="Times New Roman"/>
          <w:sz w:val="32"/>
          <w:szCs w:val="32"/>
        </w:rPr>
        <w:t>节</w:t>
      </w:r>
      <w:r>
        <w:rPr>
          <w:rFonts w:ascii="Times New Roman" w:hAnsi="Times New Roman" w:eastAsia="仿宋_GB2312" w:cs="Times New Roman"/>
          <w:sz w:val="32"/>
          <w:szCs w:val="32"/>
        </w:rPr>
        <w:t>系数</w:t>
      </w:r>
      <w:r>
        <w:rPr>
          <w:rFonts w:hint="eastAsia" w:ascii="Times New Roman" w:hAnsi="Times New Roman" w:eastAsia="仿宋_GB2312" w:cs="Times New Roman"/>
          <w:sz w:val="32"/>
          <w:szCs w:val="32"/>
        </w:rPr>
        <w:t>与上轮保持一致</w:t>
      </w:r>
      <w:r>
        <w:rPr>
          <w:rFonts w:ascii="Times New Roman" w:hAnsi="Times New Roman" w:eastAsia="仿宋_GB2312" w:cs="Times New Roman"/>
          <w:sz w:val="32"/>
          <w:szCs w:val="32"/>
        </w:rPr>
        <w:t>为1.5</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即</w:t>
      </w:r>
      <w:r>
        <w:rPr>
          <w:rFonts w:hint="eastAsia" w:ascii="Times New Roman" w:hAnsi="Times New Roman" w:eastAsia="仿宋_GB2312" w:cs="Times New Roman"/>
          <w:sz w:val="32"/>
          <w:szCs w:val="32"/>
        </w:rPr>
        <w:t>征收</w:t>
      </w:r>
      <w:r>
        <w:rPr>
          <w:rFonts w:ascii="Times New Roman" w:hAnsi="Times New Roman" w:eastAsia="仿宋_GB2312" w:cs="Times New Roman"/>
          <w:sz w:val="32"/>
          <w:szCs w:val="32"/>
        </w:rPr>
        <w:t>耕地的补偿标准为区片综合地价的1.5</w:t>
      </w:r>
      <w:r>
        <w:rPr>
          <w:rFonts w:hint="eastAsia" w:ascii="Times New Roman" w:hAnsi="Times New Roman" w:eastAsia="仿宋_GB2312" w:cs="Times New Roman"/>
          <w:sz w:val="32"/>
          <w:szCs w:val="32"/>
        </w:rPr>
        <w:t>倍</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一区片</w:t>
      </w:r>
      <w:r>
        <w:rPr>
          <w:rFonts w:ascii="Times New Roman" w:hAnsi="Times New Roman" w:eastAsia="仿宋_GB2312" w:cs="Times New Roman"/>
          <w:sz w:val="32"/>
          <w:szCs w:val="32"/>
        </w:rPr>
        <w:t>58650</w:t>
      </w:r>
      <w:r>
        <w:rPr>
          <w:rFonts w:hint="eastAsia" w:ascii="Times New Roman" w:hAnsi="Times New Roman" w:eastAsia="仿宋_GB2312" w:cs="Times New Roman"/>
          <w:sz w:val="32"/>
          <w:szCs w:val="32"/>
        </w:rPr>
        <w:t>元/亩，二区片</w:t>
      </w:r>
      <w:r>
        <w:rPr>
          <w:rFonts w:ascii="Times New Roman" w:hAnsi="Times New Roman" w:eastAsia="仿宋_GB2312" w:cs="Times New Roman"/>
          <w:sz w:val="32"/>
          <w:szCs w:val="32"/>
        </w:rPr>
        <w:t>56550</w:t>
      </w:r>
      <w:r>
        <w:rPr>
          <w:rFonts w:hint="eastAsia" w:ascii="Times New Roman" w:hAnsi="Times New Roman" w:eastAsia="仿宋_GB2312" w:cs="Times New Roman"/>
          <w:sz w:val="32"/>
          <w:szCs w:val="32"/>
        </w:rPr>
        <w:t>元/亩。</w:t>
      </w:r>
    </w:p>
    <w:p>
      <w:pPr>
        <w:spacing w:line="360" w:lineRule="auto"/>
        <w:jc w:val="center"/>
        <w:rPr>
          <w:rFonts w:ascii="仿宋_GB2312" w:eastAsia="仿宋_GB2312"/>
          <w:b/>
          <w:sz w:val="28"/>
          <w:szCs w:val="32"/>
        </w:rPr>
      </w:pPr>
      <w:r>
        <w:rPr>
          <w:rFonts w:hint="eastAsia" w:ascii="仿宋_GB2312" w:eastAsia="仿宋_GB2312"/>
          <w:b/>
          <w:sz w:val="28"/>
          <w:szCs w:val="32"/>
        </w:rPr>
        <w:t>得荣县征收农用地区片综合地价表</w:t>
      </w:r>
    </w:p>
    <w:tbl>
      <w:tblPr>
        <w:tblStyle w:val="7"/>
        <w:tblW w:w="4997" w:type="pct"/>
        <w:tblInd w:w="0" w:type="dxa"/>
        <w:tblLayout w:type="fixed"/>
        <w:tblCellMar>
          <w:top w:w="0" w:type="dxa"/>
          <w:left w:w="108" w:type="dxa"/>
          <w:bottom w:w="0" w:type="dxa"/>
          <w:right w:w="108" w:type="dxa"/>
        </w:tblCellMar>
      </w:tblPr>
      <w:tblGrid>
        <w:gridCol w:w="604"/>
        <w:gridCol w:w="1150"/>
        <w:gridCol w:w="881"/>
        <w:gridCol w:w="1150"/>
        <w:gridCol w:w="1364"/>
        <w:gridCol w:w="2320"/>
        <w:gridCol w:w="1048"/>
      </w:tblGrid>
      <w:tr>
        <w:tblPrEx>
          <w:tblCellMar>
            <w:top w:w="0" w:type="dxa"/>
            <w:left w:w="108" w:type="dxa"/>
            <w:bottom w:w="0" w:type="dxa"/>
            <w:right w:w="108" w:type="dxa"/>
          </w:tblCellMar>
        </w:tblPrEx>
        <w:trPr>
          <w:trHeight w:val="285" w:hRule="atLeast"/>
        </w:trPr>
        <w:tc>
          <w:tcPr>
            <w:tcW w:w="35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sz w:val="24"/>
                <w:szCs w:val="24"/>
              </w:rPr>
            </w:pPr>
            <w:r>
              <w:rPr>
                <w:rFonts w:hint="eastAsia" w:ascii="Times New Roman" w:hAnsi="Times New Roman" w:eastAsia="仿宋" w:cs="仿宋"/>
                <w:color w:val="000000"/>
                <w:kern w:val="0"/>
                <w:sz w:val="24"/>
                <w:szCs w:val="24"/>
                <w:lang w:bidi="ar"/>
              </w:rPr>
              <w:t>序号</w:t>
            </w:r>
          </w:p>
        </w:tc>
        <w:tc>
          <w:tcPr>
            <w:tcW w:w="6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sz w:val="24"/>
                <w:szCs w:val="24"/>
              </w:rPr>
            </w:pPr>
            <w:r>
              <w:rPr>
                <w:rFonts w:hint="eastAsia" w:ascii="Times New Roman" w:hAnsi="Times New Roman" w:eastAsia="仿宋" w:cs="仿宋"/>
                <w:color w:val="000000"/>
                <w:kern w:val="0"/>
                <w:sz w:val="24"/>
                <w:szCs w:val="24"/>
                <w:lang w:bidi="ar"/>
              </w:rPr>
              <w:t>区片编号</w:t>
            </w:r>
          </w:p>
        </w:tc>
        <w:tc>
          <w:tcPr>
            <w:tcW w:w="5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sz w:val="24"/>
                <w:szCs w:val="24"/>
              </w:rPr>
            </w:pPr>
            <w:r>
              <w:rPr>
                <w:rFonts w:hint="eastAsia" w:ascii="Times New Roman" w:hAnsi="Times New Roman" w:eastAsia="仿宋" w:cs="仿宋"/>
                <w:color w:val="000000"/>
                <w:kern w:val="0"/>
                <w:sz w:val="24"/>
                <w:szCs w:val="24"/>
                <w:lang w:bidi="ar"/>
              </w:rPr>
              <w:t>区片价档次</w:t>
            </w:r>
          </w:p>
        </w:tc>
        <w:tc>
          <w:tcPr>
            <w:tcW w:w="6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sz w:val="24"/>
                <w:szCs w:val="24"/>
              </w:rPr>
            </w:pPr>
            <w:r>
              <w:rPr>
                <w:rFonts w:hint="eastAsia" w:ascii="Times New Roman" w:hAnsi="Times New Roman" w:eastAsia="仿宋" w:cs="仿宋"/>
                <w:color w:val="000000"/>
                <w:kern w:val="0"/>
                <w:sz w:val="24"/>
                <w:szCs w:val="24"/>
                <w:lang w:bidi="ar"/>
              </w:rPr>
              <w:t>区片综合地价（元</w:t>
            </w:r>
            <w:r>
              <w:rPr>
                <w:rStyle w:val="15"/>
                <w:rFonts w:hint="default" w:ascii="Times New Roman" w:hAnsi="Times New Roman"/>
                <w:lang w:bidi="ar"/>
              </w:rPr>
              <w:t>/</w:t>
            </w:r>
            <w:r>
              <w:rPr>
                <w:rFonts w:hint="eastAsia" w:ascii="Times New Roman" w:hAnsi="Times New Roman" w:eastAsia="仿宋" w:cs="仿宋"/>
                <w:color w:val="000000"/>
                <w:kern w:val="0"/>
                <w:sz w:val="24"/>
                <w:szCs w:val="24"/>
                <w:lang w:bidi="ar"/>
              </w:rPr>
              <w:t>亩）</w:t>
            </w:r>
          </w:p>
        </w:tc>
        <w:tc>
          <w:tcPr>
            <w:tcW w:w="21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sz w:val="24"/>
                <w:szCs w:val="24"/>
              </w:rPr>
            </w:pPr>
            <w:r>
              <w:rPr>
                <w:rFonts w:hint="eastAsia" w:ascii="Times New Roman" w:hAnsi="Times New Roman" w:eastAsia="仿宋" w:cs="仿宋"/>
                <w:color w:val="000000"/>
                <w:kern w:val="0"/>
                <w:sz w:val="24"/>
                <w:szCs w:val="24"/>
                <w:lang w:bidi="ar"/>
              </w:rPr>
              <w:t>区片范围描述</w:t>
            </w:r>
          </w:p>
        </w:tc>
        <w:tc>
          <w:tcPr>
            <w:tcW w:w="61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sz w:val="24"/>
                <w:szCs w:val="24"/>
              </w:rPr>
            </w:pPr>
            <w:r>
              <w:rPr>
                <w:rFonts w:hint="eastAsia" w:ascii="Times New Roman" w:hAnsi="Times New Roman" w:eastAsia="仿宋" w:cs="仿宋"/>
                <w:color w:val="000000"/>
                <w:kern w:val="0"/>
                <w:sz w:val="24"/>
                <w:szCs w:val="24"/>
                <w:lang w:bidi="ar"/>
              </w:rPr>
              <w:t>备注</w:t>
            </w:r>
          </w:p>
        </w:tc>
      </w:tr>
      <w:tr>
        <w:tblPrEx>
          <w:tblCellMar>
            <w:top w:w="0" w:type="dxa"/>
            <w:left w:w="108" w:type="dxa"/>
            <w:bottom w:w="0" w:type="dxa"/>
            <w:right w:w="108" w:type="dxa"/>
          </w:tblCellMar>
        </w:tblPrEx>
        <w:trPr>
          <w:trHeight w:val="570" w:hRule="atLeast"/>
        </w:trPr>
        <w:tc>
          <w:tcPr>
            <w:tcW w:w="35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仿宋"/>
                <w:color w:val="000000"/>
                <w:sz w:val="24"/>
                <w:szCs w:val="24"/>
              </w:rPr>
            </w:pPr>
          </w:p>
        </w:tc>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仿宋"/>
                <w:color w:val="000000"/>
                <w:sz w:val="24"/>
                <w:szCs w:val="24"/>
              </w:rPr>
            </w:pPr>
          </w:p>
        </w:tc>
        <w:tc>
          <w:tcPr>
            <w:tcW w:w="5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仿宋"/>
                <w:color w:val="000000"/>
                <w:sz w:val="24"/>
                <w:szCs w:val="24"/>
              </w:rPr>
            </w:pPr>
          </w:p>
        </w:tc>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仿宋"/>
                <w:color w:val="000000"/>
                <w:sz w:val="24"/>
                <w:szCs w:val="24"/>
              </w:rPr>
            </w:pP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sz w:val="24"/>
                <w:szCs w:val="24"/>
              </w:rPr>
            </w:pPr>
            <w:r>
              <w:rPr>
                <w:rFonts w:hint="eastAsia" w:ascii="Times New Roman" w:hAnsi="Times New Roman" w:eastAsia="仿宋" w:cs="仿宋"/>
                <w:color w:val="000000"/>
                <w:kern w:val="0"/>
                <w:sz w:val="24"/>
                <w:szCs w:val="24"/>
                <w:lang w:bidi="ar"/>
              </w:rPr>
              <w:t>乡镇（街道）名称</w:t>
            </w:r>
          </w:p>
        </w:tc>
        <w:tc>
          <w:tcPr>
            <w:tcW w:w="13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sz w:val="24"/>
                <w:szCs w:val="24"/>
              </w:rPr>
            </w:pPr>
            <w:r>
              <w:rPr>
                <w:rFonts w:hint="eastAsia" w:ascii="Times New Roman" w:hAnsi="Times New Roman" w:eastAsia="仿宋" w:cs="仿宋"/>
                <w:color w:val="000000"/>
                <w:kern w:val="0"/>
                <w:sz w:val="24"/>
                <w:szCs w:val="24"/>
                <w:lang w:bidi="ar"/>
              </w:rPr>
              <w:t>村（社区）名称</w:t>
            </w:r>
          </w:p>
        </w:tc>
        <w:tc>
          <w:tcPr>
            <w:tcW w:w="6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仿宋"/>
                <w:color w:val="000000"/>
                <w:sz w:val="24"/>
                <w:szCs w:val="24"/>
              </w:rPr>
            </w:pPr>
          </w:p>
        </w:tc>
      </w:tr>
      <w:tr>
        <w:tblPrEx>
          <w:tblCellMar>
            <w:top w:w="0" w:type="dxa"/>
            <w:left w:w="108" w:type="dxa"/>
            <w:bottom w:w="0" w:type="dxa"/>
            <w:right w:w="108" w:type="dxa"/>
          </w:tblCellMar>
        </w:tblPrEx>
        <w:trPr>
          <w:trHeight w:val="312" w:hRule="atLeast"/>
        </w:trPr>
        <w:tc>
          <w:tcPr>
            <w:tcW w:w="35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r>
              <w:rPr>
                <w:rFonts w:ascii="Times New Roman" w:hAnsi="Times New Roman" w:eastAsia="仿宋" w:cs="Times New Roman"/>
                <w:color w:val="000000"/>
                <w:kern w:val="0"/>
                <w:sz w:val="24"/>
                <w:szCs w:val="24"/>
              </w:rPr>
              <w:t>1</w:t>
            </w:r>
          </w:p>
        </w:tc>
        <w:tc>
          <w:tcPr>
            <w:tcW w:w="6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r>
              <w:rPr>
                <w:rFonts w:hint="eastAsia" w:ascii="Times New Roman" w:hAnsi="Times New Roman" w:eastAsia="仿宋" w:cs="Times New Roman"/>
                <w:color w:val="000000"/>
                <w:kern w:val="0"/>
                <w:sz w:val="24"/>
                <w:szCs w:val="24"/>
              </w:rPr>
              <w:t>513338</w:t>
            </w:r>
            <w:r>
              <w:rPr>
                <w:rFonts w:ascii="Times New Roman" w:hAnsi="Times New Roman" w:eastAsia="仿宋" w:cs="Times New Roman"/>
                <w:color w:val="000000"/>
                <w:kern w:val="0"/>
                <w:sz w:val="24"/>
                <w:szCs w:val="24"/>
              </w:rPr>
              <w:t>20260001</w:t>
            </w:r>
          </w:p>
        </w:tc>
        <w:tc>
          <w:tcPr>
            <w:tcW w:w="5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sz w:val="24"/>
                <w:szCs w:val="24"/>
              </w:rPr>
            </w:pPr>
            <w:r>
              <w:rPr>
                <w:rFonts w:hint="eastAsia" w:ascii="Times New Roman" w:hAnsi="Times New Roman" w:eastAsia="仿宋" w:cs="仿宋"/>
                <w:color w:val="000000"/>
                <w:kern w:val="0"/>
                <w:sz w:val="24"/>
                <w:szCs w:val="24"/>
                <w:lang w:bidi="ar"/>
              </w:rPr>
              <w:t>Ⅰ</w:t>
            </w:r>
          </w:p>
        </w:tc>
        <w:tc>
          <w:tcPr>
            <w:tcW w:w="675" w:type="pct"/>
            <w:vMerge w:val="restart"/>
            <w:tcBorders>
              <w:top w:val="single" w:color="000000" w:sz="4" w:space="0"/>
              <w:left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r>
              <w:rPr>
                <w:rFonts w:hint="eastAsia" w:ascii="Times New Roman" w:hAnsi="Times New Roman" w:eastAsia="仿宋" w:cs="Times New Roman"/>
                <w:color w:val="000000"/>
                <w:kern w:val="0"/>
                <w:sz w:val="24"/>
                <w:szCs w:val="24"/>
              </w:rPr>
              <w:t>39100</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太阳谷镇</w:t>
            </w:r>
          </w:p>
        </w:tc>
        <w:tc>
          <w:tcPr>
            <w:tcW w:w="13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包含所辖全部村</w:t>
            </w:r>
          </w:p>
        </w:tc>
        <w:tc>
          <w:tcPr>
            <w:tcW w:w="615" w:type="pct"/>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宋体"/>
                <w:color w:val="000000"/>
                <w:sz w:val="22"/>
              </w:rPr>
            </w:pPr>
            <w:r>
              <w:rPr>
                <w:rFonts w:hint="eastAsia" w:ascii="Times New Roman" w:hAnsi="Times New Roman" w:eastAsia="仿宋" w:cs="仿宋"/>
                <w:color w:val="000000"/>
                <w:kern w:val="0"/>
                <w:sz w:val="24"/>
                <w:szCs w:val="24"/>
                <w:lang w:bidi="ar"/>
              </w:rPr>
              <w:t>耕地调节系数为</w:t>
            </w:r>
            <w:r>
              <w:rPr>
                <w:rFonts w:ascii="Times New Roman" w:hAnsi="Times New Roman" w:eastAsia="仿宋" w:cs="Times New Roman"/>
                <w:color w:val="000000"/>
                <w:kern w:val="0"/>
                <w:sz w:val="24"/>
                <w:szCs w:val="24"/>
                <w:lang w:bidi="ar"/>
              </w:rPr>
              <w:t>1.5</w:t>
            </w:r>
          </w:p>
        </w:tc>
      </w:tr>
      <w:tr>
        <w:tblPrEx>
          <w:tblCellMar>
            <w:top w:w="0" w:type="dxa"/>
            <w:left w:w="108" w:type="dxa"/>
            <w:bottom w:w="0" w:type="dxa"/>
            <w:right w:w="108" w:type="dxa"/>
          </w:tblCellMar>
        </w:tblPrEx>
        <w:trPr>
          <w:trHeight w:val="312" w:hRule="atLeast"/>
        </w:trPr>
        <w:tc>
          <w:tcPr>
            <w:tcW w:w="35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p>
        </w:tc>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p>
        </w:tc>
        <w:tc>
          <w:tcPr>
            <w:tcW w:w="5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仿宋"/>
                <w:color w:val="000000"/>
                <w:sz w:val="24"/>
                <w:szCs w:val="24"/>
              </w:rPr>
            </w:pPr>
          </w:p>
        </w:tc>
        <w:tc>
          <w:tcPr>
            <w:tcW w:w="67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瓦卡镇</w:t>
            </w:r>
          </w:p>
        </w:tc>
        <w:tc>
          <w:tcPr>
            <w:tcW w:w="13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包含所辖全部村</w:t>
            </w:r>
          </w:p>
        </w:tc>
        <w:tc>
          <w:tcPr>
            <w:tcW w:w="61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r>
      <w:tr>
        <w:tblPrEx>
          <w:tblCellMar>
            <w:top w:w="0" w:type="dxa"/>
            <w:left w:w="108" w:type="dxa"/>
            <w:bottom w:w="0" w:type="dxa"/>
            <w:right w:w="108" w:type="dxa"/>
          </w:tblCellMar>
        </w:tblPrEx>
        <w:trPr>
          <w:trHeight w:val="312" w:hRule="atLeast"/>
        </w:trPr>
        <w:tc>
          <w:tcPr>
            <w:tcW w:w="35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p>
        </w:tc>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p>
        </w:tc>
        <w:tc>
          <w:tcPr>
            <w:tcW w:w="5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仿宋"/>
                <w:color w:val="000000"/>
                <w:sz w:val="24"/>
                <w:szCs w:val="24"/>
              </w:rPr>
            </w:pPr>
          </w:p>
        </w:tc>
        <w:tc>
          <w:tcPr>
            <w:tcW w:w="67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白松镇</w:t>
            </w:r>
          </w:p>
        </w:tc>
        <w:tc>
          <w:tcPr>
            <w:tcW w:w="13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包含所辖全部村</w:t>
            </w:r>
          </w:p>
        </w:tc>
        <w:tc>
          <w:tcPr>
            <w:tcW w:w="61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r>
      <w:tr>
        <w:tblPrEx>
          <w:tblCellMar>
            <w:top w:w="0" w:type="dxa"/>
            <w:left w:w="108" w:type="dxa"/>
            <w:bottom w:w="0" w:type="dxa"/>
            <w:right w:w="108" w:type="dxa"/>
          </w:tblCellMar>
        </w:tblPrEx>
        <w:trPr>
          <w:trHeight w:val="312" w:hRule="atLeast"/>
        </w:trPr>
        <w:tc>
          <w:tcPr>
            <w:tcW w:w="354" w:type="pct"/>
            <w:vMerge w:val="restart"/>
            <w:tcBorders>
              <w:top w:val="single" w:color="000000" w:sz="4" w:space="0"/>
              <w:left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r>
              <w:rPr>
                <w:rFonts w:hint="eastAsia" w:ascii="Times New Roman" w:hAnsi="Times New Roman" w:eastAsia="仿宋" w:cs="Times New Roman"/>
                <w:color w:val="000000"/>
                <w:kern w:val="0"/>
                <w:sz w:val="24"/>
                <w:szCs w:val="24"/>
              </w:rPr>
              <w:t>2</w:t>
            </w:r>
          </w:p>
        </w:tc>
        <w:tc>
          <w:tcPr>
            <w:tcW w:w="675" w:type="pct"/>
            <w:vMerge w:val="restart"/>
            <w:tcBorders>
              <w:top w:val="single" w:color="000000" w:sz="4" w:space="0"/>
              <w:left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r>
              <w:rPr>
                <w:rFonts w:hint="eastAsia" w:ascii="Times New Roman" w:hAnsi="Times New Roman" w:eastAsia="仿宋" w:cs="Times New Roman"/>
                <w:color w:val="000000"/>
                <w:kern w:val="0"/>
                <w:sz w:val="24"/>
                <w:szCs w:val="24"/>
              </w:rPr>
              <w:t>513338202</w:t>
            </w:r>
            <w:r>
              <w:rPr>
                <w:rFonts w:ascii="Times New Roman" w:hAnsi="Times New Roman" w:eastAsia="仿宋" w:cs="Times New Roman"/>
                <w:color w:val="000000"/>
                <w:kern w:val="0"/>
                <w:sz w:val="24"/>
                <w:szCs w:val="24"/>
              </w:rPr>
              <w:t>6</w:t>
            </w:r>
            <w:r>
              <w:rPr>
                <w:rFonts w:hint="eastAsia" w:ascii="Times New Roman" w:hAnsi="Times New Roman" w:eastAsia="仿宋" w:cs="Times New Roman"/>
                <w:color w:val="000000"/>
                <w:kern w:val="0"/>
                <w:sz w:val="24"/>
                <w:szCs w:val="24"/>
              </w:rPr>
              <w:t>000</w:t>
            </w:r>
            <w:r>
              <w:rPr>
                <w:rFonts w:ascii="Times New Roman" w:hAnsi="Times New Roman" w:eastAsia="仿宋" w:cs="Times New Roman"/>
                <w:color w:val="000000"/>
                <w:kern w:val="0"/>
                <w:sz w:val="24"/>
                <w:szCs w:val="24"/>
              </w:rPr>
              <w:t>2</w:t>
            </w:r>
          </w:p>
        </w:tc>
        <w:tc>
          <w:tcPr>
            <w:tcW w:w="517" w:type="pct"/>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sz w:val="24"/>
                <w:szCs w:val="24"/>
              </w:rPr>
            </w:pPr>
            <w:r>
              <w:rPr>
                <w:rFonts w:hint="eastAsia" w:ascii="Times New Roman" w:hAnsi="Times New Roman" w:eastAsia="仿宋" w:cs="仿宋"/>
                <w:color w:val="000000"/>
                <w:kern w:val="0"/>
                <w:sz w:val="24"/>
                <w:szCs w:val="24"/>
                <w:lang w:bidi="ar"/>
              </w:rPr>
              <w:t>Ⅱ</w:t>
            </w:r>
          </w:p>
        </w:tc>
        <w:tc>
          <w:tcPr>
            <w:tcW w:w="675" w:type="pct"/>
            <w:vMerge w:val="restart"/>
            <w:tcBorders>
              <w:top w:val="single" w:color="000000" w:sz="4" w:space="0"/>
              <w:left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r>
              <w:rPr>
                <w:rFonts w:hint="eastAsia" w:ascii="Times New Roman" w:hAnsi="Times New Roman" w:eastAsia="仿宋" w:cs="Times New Roman"/>
                <w:color w:val="000000"/>
                <w:kern w:val="0"/>
                <w:sz w:val="24"/>
                <w:szCs w:val="24"/>
              </w:rPr>
              <w:t>37700</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徐龙乡</w:t>
            </w:r>
          </w:p>
        </w:tc>
        <w:tc>
          <w:tcPr>
            <w:tcW w:w="13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包含所辖全部村</w:t>
            </w:r>
          </w:p>
        </w:tc>
        <w:tc>
          <w:tcPr>
            <w:tcW w:w="61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r>
      <w:tr>
        <w:tblPrEx>
          <w:tblCellMar>
            <w:top w:w="0" w:type="dxa"/>
            <w:left w:w="108" w:type="dxa"/>
            <w:bottom w:w="0" w:type="dxa"/>
            <w:right w:w="108" w:type="dxa"/>
          </w:tblCellMar>
        </w:tblPrEx>
        <w:trPr>
          <w:trHeight w:val="312" w:hRule="atLeast"/>
        </w:trPr>
        <w:tc>
          <w:tcPr>
            <w:tcW w:w="354"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c>
          <w:tcPr>
            <w:tcW w:w="67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c>
          <w:tcPr>
            <w:tcW w:w="517"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仿宋" w:cs="仿宋"/>
                <w:color w:val="000000"/>
                <w:sz w:val="24"/>
                <w:szCs w:val="24"/>
              </w:rPr>
            </w:pPr>
          </w:p>
        </w:tc>
        <w:tc>
          <w:tcPr>
            <w:tcW w:w="67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日雨镇</w:t>
            </w:r>
          </w:p>
        </w:tc>
        <w:tc>
          <w:tcPr>
            <w:tcW w:w="13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包含所辖全部村</w:t>
            </w:r>
          </w:p>
        </w:tc>
        <w:tc>
          <w:tcPr>
            <w:tcW w:w="61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r>
      <w:tr>
        <w:tblPrEx>
          <w:tblCellMar>
            <w:top w:w="0" w:type="dxa"/>
            <w:left w:w="108" w:type="dxa"/>
            <w:bottom w:w="0" w:type="dxa"/>
            <w:right w:w="108" w:type="dxa"/>
          </w:tblCellMar>
        </w:tblPrEx>
        <w:trPr>
          <w:trHeight w:val="312" w:hRule="atLeast"/>
        </w:trPr>
        <w:tc>
          <w:tcPr>
            <w:tcW w:w="354"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c>
          <w:tcPr>
            <w:tcW w:w="67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c>
          <w:tcPr>
            <w:tcW w:w="517"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仿宋" w:cs="仿宋"/>
                <w:color w:val="000000"/>
                <w:sz w:val="24"/>
                <w:szCs w:val="24"/>
              </w:rPr>
            </w:pPr>
          </w:p>
        </w:tc>
        <w:tc>
          <w:tcPr>
            <w:tcW w:w="67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奔都乡</w:t>
            </w:r>
          </w:p>
        </w:tc>
        <w:tc>
          <w:tcPr>
            <w:tcW w:w="13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包含所辖全部村</w:t>
            </w:r>
          </w:p>
        </w:tc>
        <w:tc>
          <w:tcPr>
            <w:tcW w:w="61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r>
      <w:tr>
        <w:tblPrEx>
          <w:tblCellMar>
            <w:top w:w="0" w:type="dxa"/>
            <w:left w:w="108" w:type="dxa"/>
            <w:bottom w:w="0" w:type="dxa"/>
            <w:right w:w="108" w:type="dxa"/>
          </w:tblCellMar>
        </w:tblPrEx>
        <w:trPr>
          <w:trHeight w:val="312" w:hRule="atLeast"/>
        </w:trPr>
        <w:tc>
          <w:tcPr>
            <w:tcW w:w="354"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c>
          <w:tcPr>
            <w:tcW w:w="67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c>
          <w:tcPr>
            <w:tcW w:w="517"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仿宋" w:cs="仿宋"/>
                <w:color w:val="000000"/>
                <w:sz w:val="24"/>
                <w:szCs w:val="24"/>
              </w:rPr>
            </w:pPr>
          </w:p>
        </w:tc>
        <w:tc>
          <w:tcPr>
            <w:tcW w:w="67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八日乡</w:t>
            </w:r>
          </w:p>
        </w:tc>
        <w:tc>
          <w:tcPr>
            <w:tcW w:w="13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包含所辖全部村</w:t>
            </w:r>
          </w:p>
        </w:tc>
        <w:tc>
          <w:tcPr>
            <w:tcW w:w="61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r>
      <w:tr>
        <w:tblPrEx>
          <w:tblCellMar>
            <w:top w:w="0" w:type="dxa"/>
            <w:left w:w="108" w:type="dxa"/>
            <w:bottom w:w="0" w:type="dxa"/>
            <w:right w:w="108" w:type="dxa"/>
          </w:tblCellMar>
        </w:tblPrEx>
        <w:trPr>
          <w:trHeight w:val="312" w:hRule="atLeast"/>
        </w:trPr>
        <w:tc>
          <w:tcPr>
            <w:tcW w:w="354"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c>
          <w:tcPr>
            <w:tcW w:w="67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c>
          <w:tcPr>
            <w:tcW w:w="517"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仿宋" w:cs="仿宋"/>
                <w:color w:val="000000"/>
                <w:sz w:val="24"/>
                <w:szCs w:val="24"/>
              </w:rPr>
            </w:pPr>
          </w:p>
        </w:tc>
        <w:tc>
          <w:tcPr>
            <w:tcW w:w="67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古学乡</w:t>
            </w:r>
          </w:p>
        </w:tc>
        <w:tc>
          <w:tcPr>
            <w:tcW w:w="13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包含所辖全部村</w:t>
            </w:r>
          </w:p>
        </w:tc>
        <w:tc>
          <w:tcPr>
            <w:tcW w:w="61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r>
      <w:tr>
        <w:tblPrEx>
          <w:tblCellMar>
            <w:top w:w="0" w:type="dxa"/>
            <w:left w:w="108" w:type="dxa"/>
            <w:bottom w:w="0" w:type="dxa"/>
            <w:right w:w="108" w:type="dxa"/>
          </w:tblCellMar>
        </w:tblPrEx>
        <w:trPr>
          <w:trHeight w:val="312" w:hRule="atLeast"/>
        </w:trPr>
        <w:tc>
          <w:tcPr>
            <w:tcW w:w="354"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c>
          <w:tcPr>
            <w:tcW w:w="67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c>
          <w:tcPr>
            <w:tcW w:w="517"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仿宋" w:cs="仿宋"/>
                <w:color w:val="000000"/>
                <w:sz w:val="24"/>
                <w:szCs w:val="24"/>
              </w:rPr>
            </w:pPr>
          </w:p>
        </w:tc>
        <w:tc>
          <w:tcPr>
            <w:tcW w:w="67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贡波乡</w:t>
            </w:r>
          </w:p>
        </w:tc>
        <w:tc>
          <w:tcPr>
            <w:tcW w:w="13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包含所辖全部村</w:t>
            </w:r>
          </w:p>
        </w:tc>
        <w:tc>
          <w:tcPr>
            <w:tcW w:w="615" w:type="pct"/>
            <w:vMerge w:val="continue"/>
            <w:tcBorders>
              <w:left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r>
      <w:tr>
        <w:tblPrEx>
          <w:tblCellMar>
            <w:top w:w="0" w:type="dxa"/>
            <w:left w:w="108" w:type="dxa"/>
            <w:bottom w:w="0" w:type="dxa"/>
            <w:right w:w="108" w:type="dxa"/>
          </w:tblCellMar>
        </w:tblPrEx>
        <w:trPr>
          <w:trHeight w:val="312" w:hRule="atLeast"/>
        </w:trPr>
        <w:tc>
          <w:tcPr>
            <w:tcW w:w="354" w:type="pct"/>
            <w:vMerge w:val="continue"/>
            <w:tcBorders>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c>
          <w:tcPr>
            <w:tcW w:w="675" w:type="pct"/>
            <w:vMerge w:val="continue"/>
            <w:tcBorders>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c>
          <w:tcPr>
            <w:tcW w:w="517" w:type="pct"/>
            <w:vMerge w:val="continue"/>
            <w:tcBorders>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仿宋"/>
                <w:color w:val="000000"/>
                <w:sz w:val="24"/>
                <w:szCs w:val="24"/>
              </w:rPr>
            </w:pPr>
          </w:p>
        </w:tc>
        <w:tc>
          <w:tcPr>
            <w:tcW w:w="675" w:type="pct"/>
            <w:vMerge w:val="continue"/>
            <w:tcBorders>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 w:cs="Times New Roman"/>
                <w:color w:val="000000"/>
                <w:kern w:val="0"/>
                <w:sz w:val="24"/>
                <w:szCs w:val="24"/>
              </w:rPr>
            </w:pP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茨巫乡</w:t>
            </w:r>
          </w:p>
        </w:tc>
        <w:tc>
          <w:tcPr>
            <w:tcW w:w="13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 w:cs="仿宋"/>
                <w:color w:val="000000"/>
                <w:kern w:val="0"/>
                <w:sz w:val="24"/>
                <w:szCs w:val="24"/>
                <w:lang w:bidi="ar"/>
              </w:rPr>
            </w:pPr>
            <w:r>
              <w:rPr>
                <w:rFonts w:hint="eastAsia" w:ascii="仿宋" w:hAnsi="仿宋" w:eastAsia="仿宋" w:cs="仿宋"/>
                <w:color w:val="000000"/>
                <w:kern w:val="0"/>
                <w:sz w:val="24"/>
                <w:szCs w:val="24"/>
                <w:lang w:bidi="ar"/>
              </w:rPr>
              <w:t>包含所辖全部村</w:t>
            </w:r>
          </w:p>
        </w:tc>
        <w:tc>
          <w:tcPr>
            <w:tcW w:w="615" w:type="pct"/>
            <w:vMerge w:val="continue"/>
            <w:tcBorders>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宋体"/>
                <w:color w:val="000000"/>
                <w:sz w:val="22"/>
              </w:rPr>
            </w:pPr>
          </w:p>
        </w:tc>
      </w:tr>
    </w:tbl>
    <w:p>
      <w:pPr>
        <w:widowControl/>
        <w:spacing w:before="156" w:beforeLines="50" w:after="156" w:afterLines="50"/>
        <w:outlineLvl w:val="0"/>
        <w:rPr>
          <w:rFonts w:ascii="仿宋_GB2312" w:eastAsia="仿宋_GB2312"/>
          <w:b/>
          <w:sz w:val="32"/>
          <w:szCs w:val="32"/>
        </w:rPr>
      </w:pPr>
      <w:r>
        <w:rPr>
          <w:rFonts w:hint="eastAsia" w:ascii="仿宋_GB2312" w:eastAsia="仿宋_GB2312"/>
          <w:b/>
          <w:sz w:val="32"/>
          <w:szCs w:val="32"/>
        </w:rPr>
        <w:t>四、</w:t>
      </w:r>
      <w:bookmarkEnd w:id="0"/>
      <w:r>
        <w:rPr>
          <w:rFonts w:hint="eastAsia" w:ascii="仿宋_GB2312" w:eastAsia="仿宋_GB2312"/>
          <w:b/>
          <w:sz w:val="32"/>
          <w:szCs w:val="32"/>
        </w:rPr>
        <w:t>区片综合地价分配比例</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按照征地补偿费用主要用于被征地农民的原则，参照近年实际支付的征地补偿费用在农村集体和农民个人之间的分配比例，综合确定本次得荣县征收农用地区片综合地价中土地补偿费和安置补助费的比例为6:4，与上轮一致。</w:t>
      </w:r>
    </w:p>
    <w:p>
      <w:pPr>
        <w:ind w:firstLine="640" w:firstLineChars="200"/>
        <w:rPr>
          <w:rFonts w:ascii="Times New Roman" w:hAnsi="Times New Roman" w:eastAsia="仿宋_GB2312" w:cs="Times New Roman"/>
          <w:sz w:val="32"/>
          <w:szCs w:val="32"/>
        </w:rPr>
        <w:sectPr>
          <w:pgSz w:w="11906" w:h="16838"/>
          <w:pgMar w:top="1440" w:right="1800" w:bottom="1440" w:left="1800" w:header="851" w:footer="992" w:gutter="0"/>
          <w:cols w:space="425" w:num="1"/>
          <w:docGrid w:type="lines" w:linePitch="312" w:charSpace="0"/>
        </w:sectPr>
      </w:pPr>
    </w:p>
    <w:p>
      <w:pPr>
        <w:widowControl/>
        <w:spacing w:before="156" w:beforeLines="50" w:after="156" w:afterLines="50"/>
        <w:rPr>
          <w:rFonts w:ascii="仿宋_GB2312" w:eastAsia="仿宋_GB2312"/>
          <w:b/>
          <w:sz w:val="32"/>
          <w:szCs w:val="32"/>
        </w:rPr>
      </w:pPr>
      <w:bookmarkStart w:id="2" w:name="_Toc34036455"/>
      <w:r>
        <w:rPr>
          <w:rFonts w:hint="eastAsia" w:ascii="仿宋_GB2312" w:eastAsia="仿宋_GB2312"/>
          <w:b/>
          <w:sz w:val="32"/>
          <w:szCs w:val="32"/>
        </w:rPr>
        <w:t>附图：得荣县征收农用地区片综合地价分布图</w:t>
      </w:r>
      <w:bookmarkEnd w:id="2"/>
    </w:p>
    <w:p>
      <w:pPr>
        <w:widowControl/>
        <w:spacing w:before="156" w:beforeLines="50" w:after="156" w:afterLines="50"/>
        <w:jc w:val="center"/>
        <w:rPr>
          <w:rFonts w:ascii="Times New Roman" w:hAnsi="Times New Roman" w:eastAsia="仿宋_GB2312" w:cs="Times New Roman"/>
          <w:sz w:val="32"/>
          <w:szCs w:val="32"/>
        </w:rPr>
      </w:pPr>
      <w:r>
        <w:rPr>
          <w:rFonts w:hint="eastAsia" w:ascii="Times New Roman" w:hAnsi="Times New Roman" w:eastAsia="仿宋" w:cs="Times New Roman"/>
          <w:b/>
          <w:sz w:val="24"/>
          <w:szCs w:val="28"/>
        </w:rPr>
        <w:drawing>
          <wp:inline distT="0" distB="0" distL="114300" distR="114300">
            <wp:extent cx="5268595" cy="7447915"/>
            <wp:effectExtent l="0" t="0" r="8255" b="635"/>
            <wp:docPr id="1" name="图片 1" descr="得荣县征收农用地区片综合地价分布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得荣县征收农用地区片综合地价分布图"/>
                    <pic:cNvPicPr>
                      <a:picLocks noChangeAspect="1"/>
                    </pic:cNvPicPr>
                  </pic:nvPicPr>
                  <pic:blipFill>
                    <a:blip r:embed="rId4"/>
                    <a:stretch>
                      <a:fillRect/>
                    </a:stretch>
                  </pic:blipFill>
                  <pic:spPr>
                    <a:xfrm>
                      <a:off x="0" y="0"/>
                      <a:ext cx="5268595" cy="744791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82"/>
    <w:rsid w:val="00073E95"/>
    <w:rsid w:val="00091FD1"/>
    <w:rsid w:val="000D2FD2"/>
    <w:rsid w:val="001122C6"/>
    <w:rsid w:val="001362D6"/>
    <w:rsid w:val="00150E09"/>
    <w:rsid w:val="00162872"/>
    <w:rsid w:val="00197428"/>
    <w:rsid w:val="001B292E"/>
    <w:rsid w:val="00207F0F"/>
    <w:rsid w:val="0022379B"/>
    <w:rsid w:val="00223C02"/>
    <w:rsid w:val="00230477"/>
    <w:rsid w:val="00237177"/>
    <w:rsid w:val="0024775C"/>
    <w:rsid w:val="002B36FB"/>
    <w:rsid w:val="00450F1A"/>
    <w:rsid w:val="0045304F"/>
    <w:rsid w:val="005D4E52"/>
    <w:rsid w:val="00633C9F"/>
    <w:rsid w:val="00695E26"/>
    <w:rsid w:val="006D7713"/>
    <w:rsid w:val="006E4043"/>
    <w:rsid w:val="006F3D89"/>
    <w:rsid w:val="007211B8"/>
    <w:rsid w:val="00737545"/>
    <w:rsid w:val="00744D44"/>
    <w:rsid w:val="00751359"/>
    <w:rsid w:val="007A3311"/>
    <w:rsid w:val="007B4D9F"/>
    <w:rsid w:val="007C655F"/>
    <w:rsid w:val="007D100F"/>
    <w:rsid w:val="007E155C"/>
    <w:rsid w:val="007F4CE0"/>
    <w:rsid w:val="008047C3"/>
    <w:rsid w:val="00810168"/>
    <w:rsid w:val="008178AB"/>
    <w:rsid w:val="008539A3"/>
    <w:rsid w:val="00897730"/>
    <w:rsid w:val="008B1643"/>
    <w:rsid w:val="008E43D7"/>
    <w:rsid w:val="00954422"/>
    <w:rsid w:val="009C4D68"/>
    <w:rsid w:val="009E4C41"/>
    <w:rsid w:val="009E5E94"/>
    <w:rsid w:val="00A117B3"/>
    <w:rsid w:val="00A15681"/>
    <w:rsid w:val="00A23242"/>
    <w:rsid w:val="00A70EC7"/>
    <w:rsid w:val="00A71DC5"/>
    <w:rsid w:val="00A904B4"/>
    <w:rsid w:val="00A914FE"/>
    <w:rsid w:val="00AB21CA"/>
    <w:rsid w:val="00AB6689"/>
    <w:rsid w:val="00AF0141"/>
    <w:rsid w:val="00B17248"/>
    <w:rsid w:val="00B763CD"/>
    <w:rsid w:val="00B95732"/>
    <w:rsid w:val="00BA2960"/>
    <w:rsid w:val="00BC7B43"/>
    <w:rsid w:val="00BF780D"/>
    <w:rsid w:val="00C8769E"/>
    <w:rsid w:val="00CA6FFC"/>
    <w:rsid w:val="00CF5A24"/>
    <w:rsid w:val="00D17FFC"/>
    <w:rsid w:val="00D4434B"/>
    <w:rsid w:val="00D6428F"/>
    <w:rsid w:val="00D71B3E"/>
    <w:rsid w:val="00D914C4"/>
    <w:rsid w:val="00DD4D18"/>
    <w:rsid w:val="00E21323"/>
    <w:rsid w:val="00E243ED"/>
    <w:rsid w:val="00E44A82"/>
    <w:rsid w:val="00E669C8"/>
    <w:rsid w:val="00EC5D1C"/>
    <w:rsid w:val="00ED2DF9"/>
    <w:rsid w:val="00F32E86"/>
    <w:rsid w:val="00F55ADD"/>
    <w:rsid w:val="00F624E5"/>
    <w:rsid w:val="00F628F2"/>
    <w:rsid w:val="00F8739D"/>
    <w:rsid w:val="00FD3ED0"/>
    <w:rsid w:val="00FF2897"/>
    <w:rsid w:val="0A180298"/>
    <w:rsid w:val="0B721D8A"/>
    <w:rsid w:val="43915DBC"/>
    <w:rsid w:val="4FADFD99"/>
    <w:rsid w:val="55656C75"/>
    <w:rsid w:val="5EBF57BB"/>
    <w:rsid w:val="6AD076E5"/>
    <w:rsid w:val="70F71C9C"/>
    <w:rsid w:val="7D667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0"/>
    <w:semiHidden/>
    <w:unhideWhenUsed/>
    <w:qFormat/>
    <w:uiPriority w:val="99"/>
    <w:rPr>
      <w:rFonts w:ascii="宋体" w:eastAsia="宋体"/>
      <w:sz w:val="18"/>
      <w:szCs w:val="18"/>
    </w:rPr>
  </w:style>
  <w:style w:type="paragraph" w:styleId="3">
    <w:name w:val="Balloon Text"/>
    <w:basedOn w:val="1"/>
    <w:link w:val="9"/>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批注框文本 Char"/>
    <w:basedOn w:val="8"/>
    <w:link w:val="3"/>
    <w:semiHidden/>
    <w:qFormat/>
    <w:uiPriority w:val="99"/>
    <w:rPr>
      <w:sz w:val="18"/>
      <w:szCs w:val="18"/>
    </w:rPr>
  </w:style>
  <w:style w:type="character" w:customStyle="1" w:styleId="10">
    <w:name w:val="文档结构图 Char"/>
    <w:basedOn w:val="8"/>
    <w:link w:val="2"/>
    <w:semiHidden/>
    <w:qFormat/>
    <w:uiPriority w:val="99"/>
    <w:rPr>
      <w:rFonts w:ascii="宋体" w:eastAsia="宋体"/>
      <w:sz w:val="18"/>
      <w:szCs w:val="18"/>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character" w:customStyle="1" w:styleId="13">
    <w:name w:val="font11"/>
    <w:basedOn w:val="8"/>
    <w:qFormat/>
    <w:uiPriority w:val="0"/>
    <w:rPr>
      <w:rFonts w:hint="eastAsia" w:ascii="仿宋" w:hAnsi="仿宋" w:eastAsia="仿宋" w:cs="仿宋"/>
      <w:color w:val="000000"/>
      <w:sz w:val="24"/>
      <w:szCs w:val="24"/>
      <w:u w:val="none"/>
    </w:rPr>
  </w:style>
  <w:style w:type="character" w:customStyle="1" w:styleId="14">
    <w:name w:val="font21"/>
    <w:basedOn w:val="8"/>
    <w:qFormat/>
    <w:uiPriority w:val="0"/>
    <w:rPr>
      <w:rFonts w:hint="default" w:ascii="Times New Roman" w:hAnsi="Times New Roman" w:cs="Times New Roman"/>
      <w:color w:val="000000"/>
      <w:sz w:val="24"/>
      <w:szCs w:val="24"/>
      <w:u w:val="none"/>
    </w:rPr>
  </w:style>
  <w:style w:type="character" w:customStyle="1" w:styleId="15">
    <w:name w:val="font31"/>
    <w:basedOn w:val="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1206</Words>
  <Characters>1304</Characters>
  <Lines>10</Lines>
  <Paragraphs>2</Paragraphs>
  <TotalTime>47</TotalTime>
  <ScaleCrop>false</ScaleCrop>
  <LinksUpToDate>false</LinksUpToDate>
  <CharactersWithSpaces>1304</CharactersWithSpaces>
  <Application>WPS Office_11.8.2.1127_F1E327BC-269C-435d-A152-05C5408002CA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2020-07-17T09:22:00Z</dcterms:created>
  <dc:creator>xb21cn</dc:creator>
  <cp:lastModifiedBy>文秘室:赵珈</cp:lastModifiedBy>
  <cp:lastPrinted>2026-05-22T10:57:00Z</cp:lastPrinted>
  <dcterms:modified xsi:type="dcterms:W3CDTF">2026-05-22T15:19:07Z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2052-11.8.2.1127</vt:lpwstr>
  </property>
  <property fmtid="{D5CDD505-2E9C-101B-9397-08002B2CF9AE}" pid="3" name="KSOTemplateDocerSaveRecord">
    <vt:lpwstr>eyJoZGlkIjoiMzEwNTM5NzYwMDRjMzkwZTVkZjY2ODkwMGIxNGU0OTUiLCJ1c2VySWQiOiI0MzA4OTUyMDkifQ==</vt:lpwstr>
  </property>
  <property fmtid="{D5CDD505-2E9C-101B-9397-08002B2CF9AE}" pid="4" name="ICV">
    <vt:lpwstr>7ADD5CC5044922456B03106A5BB6D56A</vt:lpwstr>
  </property>
</Properties>
</file>