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91D5D6">
      <w:pPr>
        <w:widowControl w:val="0"/>
        <w:kinsoku/>
        <w:wordWrap w:val="0"/>
        <w:autoSpaceDE/>
        <w:autoSpaceDN/>
        <w:spacing w:line="560" w:lineRule="exact"/>
        <w:jc w:val="both"/>
        <w:rPr>
          <w:rFonts w:ascii="Times New Roman" w:hAnsi="Times New Roman" w:eastAsia="仿宋_GB2312"/>
          <w:highlight w:val="none"/>
          <w:shd w:val="clear" w:color="auto" w:fill="FFFFFF"/>
          <w:lang w:eastAsia="zh-CN"/>
        </w:rPr>
      </w:pPr>
    </w:p>
    <w:p w14:paraId="29C0A030">
      <w:pPr>
        <w:widowControl w:val="0"/>
        <w:kinsoku/>
        <w:wordWrap w:val="0"/>
        <w:autoSpaceDE/>
        <w:autoSpaceDN/>
        <w:spacing w:line="560" w:lineRule="exact"/>
        <w:jc w:val="both"/>
        <w:rPr>
          <w:rFonts w:ascii="Times New Roman" w:hAnsi="Times New Roman" w:eastAsia="仿宋_GB2312"/>
          <w:highlight w:val="none"/>
          <w:shd w:val="clear" w:color="auto" w:fill="FFFFFF"/>
        </w:rPr>
      </w:pPr>
    </w:p>
    <w:p w14:paraId="4B57861B">
      <w:pPr>
        <w:widowControl w:val="0"/>
        <w:kinsoku/>
        <w:wordWrap w:val="0"/>
        <w:autoSpaceDE/>
        <w:autoSpaceDN/>
        <w:spacing w:line="560" w:lineRule="exact"/>
        <w:jc w:val="both"/>
        <w:rPr>
          <w:rFonts w:ascii="Times New Roman" w:hAnsi="Times New Roman" w:eastAsia="仿宋_GB2312"/>
          <w:highlight w:val="none"/>
          <w:shd w:val="clear" w:color="auto" w:fill="FFFFFF"/>
        </w:rPr>
      </w:pPr>
      <w:bookmarkStart w:id="0" w:name="_GoBack"/>
      <w:bookmarkEnd w:id="0"/>
    </w:p>
    <w:p w14:paraId="61803903">
      <w:pPr>
        <w:widowControl w:val="0"/>
        <w:kinsoku/>
        <w:wordWrap w:val="0"/>
        <w:autoSpaceDE/>
        <w:autoSpaceDN/>
        <w:spacing w:line="560" w:lineRule="exact"/>
        <w:jc w:val="both"/>
        <w:rPr>
          <w:rFonts w:ascii="Times New Roman" w:hAnsi="Times New Roman" w:eastAsia="仿宋_GB2312"/>
          <w:highlight w:val="none"/>
          <w:shd w:val="clear" w:color="auto" w:fill="FFFFFF"/>
        </w:rPr>
      </w:pPr>
    </w:p>
    <w:p w14:paraId="2571559A">
      <w:pPr>
        <w:widowControl w:val="0"/>
        <w:kinsoku/>
        <w:wordWrap w:val="0"/>
        <w:autoSpaceDE/>
        <w:autoSpaceDN/>
        <w:spacing w:line="800" w:lineRule="exact"/>
        <w:jc w:val="both"/>
        <w:rPr>
          <w:rFonts w:ascii="Times New Roman" w:hAnsi="Times New Roman"/>
          <w:highlight w:val="none"/>
        </w:rPr>
      </w:pPr>
      <w:r>
        <w:rPr>
          <w:rFonts w:hint="eastAsia" w:ascii="Times New Roman" w:hAnsi="Times New Roman" w:eastAsia="仿宋_GB2312"/>
          <w:highlight w:val="none"/>
          <w:shd w:val="clear" w:color="auto" w:fill="FFFFFF"/>
          <w:lang w:eastAsia="zh-CN"/>
        </w:rPr>
        <w:t xml:space="preserve">                </w:t>
      </w:r>
    </w:p>
    <w:p w14:paraId="0D0EEA9B">
      <w:pPr>
        <w:widowControl w:val="0"/>
        <w:kinsoku/>
        <w:wordWrap w:val="0"/>
        <w:autoSpaceDE/>
        <w:autoSpaceDN/>
        <w:adjustRightInd/>
        <w:snapToGrid/>
        <w:spacing w:line="100" w:lineRule="exact"/>
        <w:jc w:val="both"/>
        <w:textAlignment w:val="auto"/>
        <w:rPr>
          <w:rFonts w:ascii="Times New Roman" w:hAnsi="Times New Roman" w:eastAsia="仿宋_GB2312" w:cs="仿宋_GB2312"/>
          <w:sz w:val="32"/>
          <w:szCs w:val="32"/>
          <w:highlight w:val="none"/>
          <w:shd w:val="clear" w:color="auto" w:fill="FFFFFF"/>
          <w:lang w:eastAsia="zh-CN"/>
        </w:rPr>
      </w:pPr>
      <w:r>
        <w:rPr>
          <w:rFonts w:hint="eastAsia" w:ascii="Times New Roman" w:hAnsi="Times New Roman" w:eastAsia="仿宋_GB2312"/>
          <w:highlight w:val="none"/>
          <w:shd w:val="clear" w:color="auto" w:fill="FFFFFF"/>
          <w:lang w:eastAsia="zh-CN"/>
        </w:rPr>
        <w:t xml:space="preserve">         </w:t>
      </w:r>
    </w:p>
    <w:p w14:paraId="500E4963">
      <w:pPr>
        <w:widowControl w:val="0"/>
        <w:kinsoku/>
        <w:wordWrap w:val="0"/>
        <w:autoSpaceDE/>
        <w:autoSpaceDN/>
        <w:spacing w:line="40" w:lineRule="exact"/>
        <w:jc w:val="both"/>
        <w:rPr>
          <w:rFonts w:ascii="Times New Roman" w:hAnsi="Times New Roman"/>
          <w:highlight w:val="none"/>
          <w:lang w:eastAsia="zh-CN"/>
        </w:rPr>
      </w:pPr>
    </w:p>
    <w:p w14:paraId="25F3183D">
      <w:pPr>
        <w:widowControl w:val="0"/>
        <w:kinsoku/>
        <w:wordWrap w:val="0"/>
        <w:autoSpaceDE/>
        <w:autoSpaceDN/>
        <w:adjustRightInd/>
        <w:snapToGrid/>
        <w:spacing w:line="550" w:lineRule="exact"/>
        <w:jc w:val="right"/>
        <w:textAlignment w:val="auto"/>
        <w:rPr>
          <w:rFonts w:hint="eastAsia" w:ascii="Times New Roman" w:hAnsi="Times New Roman" w:eastAsia="方正仿宋_GBK" w:cs="方正仿宋_GBK"/>
          <w:color w:val="auto"/>
          <w:sz w:val="32"/>
          <w:szCs w:val="32"/>
          <w:highlight w:val="none"/>
          <w:shd w:val="clear" w:color="auto" w:fill="FFFFFF"/>
          <w:lang w:eastAsia="zh-CN"/>
        </w:rPr>
      </w:pPr>
      <w:r>
        <w:rPr>
          <w:rFonts w:hint="eastAsia" w:ascii="Times New Roman" w:hAnsi="Times New Roman" w:eastAsia="方正仿宋_GBK" w:cs="方正仿宋_GBK"/>
          <w:color w:val="auto"/>
          <w:sz w:val="32"/>
          <w:szCs w:val="32"/>
          <w:highlight w:val="none"/>
          <w:shd w:val="clear" w:color="auto" w:fill="FFFFFF"/>
          <w:lang w:eastAsia="zh-CN"/>
        </w:rPr>
        <w:t>甘</w:t>
      </w:r>
      <w:r>
        <w:rPr>
          <w:rFonts w:hint="eastAsia" w:ascii="Times New Roman" w:hAnsi="Times New Roman" w:eastAsia="方正仿宋_GBK" w:cs="方正仿宋_GBK"/>
          <w:color w:val="auto"/>
          <w:sz w:val="32"/>
          <w:szCs w:val="32"/>
          <w:highlight w:val="none"/>
          <w:shd w:val="clear" w:color="auto" w:fill="FFFFFF"/>
          <w:lang w:val="en-US" w:eastAsia="zh-CN"/>
        </w:rPr>
        <w:t>环审批</w:t>
      </w:r>
      <w:r>
        <w:rPr>
          <w:rFonts w:hint="eastAsia" w:ascii="Times New Roman" w:hAnsi="Times New Roman" w:eastAsia="仿宋_GB2312" w:cs="仿宋_GB2312"/>
          <w:color w:val="auto"/>
          <w:sz w:val="32"/>
          <w:szCs w:val="32"/>
          <w:highlight w:val="none"/>
          <w:lang w:val="en-US" w:eastAsia="zh-CN"/>
        </w:rPr>
        <w:t>〔2026〕</w:t>
      </w:r>
      <w:r>
        <w:rPr>
          <w:rFonts w:hint="eastAsia" w:ascii="Times New Roman" w:hAnsi="Times New Roman" w:eastAsia="方正仿宋_GBK" w:cs="方正仿宋_GBK"/>
          <w:color w:val="auto"/>
          <w:sz w:val="32"/>
          <w:szCs w:val="32"/>
          <w:highlight w:val="none"/>
          <w:shd w:val="clear" w:color="auto" w:fill="FFFFFF"/>
          <w:lang w:val="en-US" w:eastAsia="zh-CN"/>
        </w:rPr>
        <w:t>14</w:t>
      </w:r>
      <w:r>
        <w:rPr>
          <w:rFonts w:hint="eastAsia" w:ascii="Times New Roman" w:hAnsi="Times New Roman" w:eastAsia="方正仿宋_GBK" w:cs="方正仿宋_GBK"/>
          <w:color w:val="auto"/>
          <w:sz w:val="32"/>
          <w:szCs w:val="32"/>
          <w:highlight w:val="none"/>
          <w:shd w:val="clear" w:color="auto" w:fill="FFFFFF"/>
          <w:lang w:eastAsia="zh-CN"/>
        </w:rPr>
        <w:t>号</w:t>
      </w:r>
    </w:p>
    <w:p w14:paraId="45D4394E">
      <w:pPr>
        <w:keepNext w:val="0"/>
        <w:keepLines w:val="0"/>
        <w:pageBreakBefore w:val="0"/>
        <w:widowControl w:val="0"/>
        <w:kinsoku/>
        <w:wordWrap/>
        <w:overflowPunct/>
        <w:topLinePunct w:val="0"/>
        <w:autoSpaceDE/>
        <w:autoSpaceDN/>
        <w:bidi w:val="0"/>
        <w:adjustRightInd w:val="0"/>
        <w:snapToGrid/>
        <w:spacing w:line="670" w:lineRule="exact"/>
        <w:jc w:val="center"/>
        <w:textAlignment w:val="auto"/>
        <w:rPr>
          <w:rFonts w:hint="eastAsia" w:ascii="Times New Roman" w:hAnsi="Times New Roman" w:eastAsia="方正小标宋简体" w:cs="方正小标宋简体"/>
          <w:color w:val="000000" w:themeColor="text1"/>
          <w:kern w:val="44"/>
          <w:sz w:val="44"/>
          <w:szCs w:val="44"/>
          <w:highlight w:val="none"/>
          <w:lang w:eastAsia="zh-CN"/>
          <w14:textFill>
            <w14:solidFill>
              <w14:schemeClr w14:val="tx1"/>
            </w14:solidFill>
          </w14:textFill>
        </w:rPr>
      </w:pPr>
    </w:p>
    <w:p w14:paraId="3FD83AB4">
      <w:pPr>
        <w:pStyle w:val="11"/>
        <w:autoSpaceDE/>
        <w:autoSpaceDN/>
        <w:spacing w:before="0" w:line="670" w:lineRule="exact"/>
        <w:ind w:left="0"/>
        <w:jc w:val="center"/>
        <w:textAlignment w:val="auto"/>
        <w:rPr>
          <w:rFonts w:ascii="Times New Roman" w:hAnsi="Times New Roman" w:eastAsia="方正小标宋_GBK" w:cs="方正小标宋_GBK"/>
          <w:color w:val="auto"/>
          <w:sz w:val="44"/>
          <w:szCs w:val="44"/>
        </w:rPr>
      </w:pPr>
      <w:r>
        <w:rPr>
          <w:rFonts w:hint="eastAsia" w:ascii="Times New Roman" w:hAnsi="Times New Roman" w:eastAsia="方正小标宋_GBK" w:cs="方正小标宋_GBK"/>
          <w:color w:val="auto"/>
          <w:sz w:val="44"/>
          <w:szCs w:val="44"/>
        </w:rPr>
        <w:t>甘孜州生态环境局</w:t>
      </w:r>
    </w:p>
    <w:p w14:paraId="551D9A5A">
      <w:pPr>
        <w:widowControl w:val="0"/>
        <w:autoSpaceDE/>
        <w:autoSpaceDN/>
        <w:adjustRightInd/>
        <w:snapToGrid/>
        <w:spacing w:line="670" w:lineRule="exact"/>
        <w:jc w:val="center"/>
        <w:textAlignment w:val="auto"/>
        <w:rPr>
          <w:rFonts w:hint="eastAsia" w:ascii="Times New Roman" w:hAnsi="Times New Roman" w:eastAsia="方正小标宋简体" w:cs="方正小标宋简体"/>
          <w:color w:val="auto"/>
          <w:sz w:val="44"/>
          <w:szCs w:val="44"/>
          <w:lang w:eastAsia="zh-CN"/>
        </w:rPr>
      </w:pPr>
      <w:r>
        <w:rPr>
          <w:rFonts w:hint="eastAsia" w:ascii="Times New Roman" w:hAnsi="Times New Roman" w:eastAsia="方正小标宋简体" w:cs="方正小标宋简体"/>
          <w:color w:val="auto"/>
          <w:sz w:val="44"/>
          <w:szCs w:val="44"/>
          <w:lang w:eastAsia="zh-CN"/>
        </w:rPr>
        <w:t>关于甘孜白玉110千伏变电站主变扩建工程</w:t>
      </w:r>
    </w:p>
    <w:p w14:paraId="05F79793">
      <w:pPr>
        <w:widowControl w:val="0"/>
        <w:autoSpaceDE/>
        <w:autoSpaceDN/>
        <w:adjustRightInd/>
        <w:snapToGrid/>
        <w:spacing w:line="670" w:lineRule="exact"/>
        <w:jc w:val="center"/>
        <w:textAlignment w:val="auto"/>
        <w:rPr>
          <w:rFonts w:ascii="Times New Roman" w:hAnsi="Times New Roman" w:eastAsia="方正小标宋简体" w:cs="方正小标宋简体"/>
          <w:color w:val="auto"/>
          <w:sz w:val="44"/>
          <w:szCs w:val="44"/>
          <w:lang w:eastAsia="zh-CN"/>
        </w:rPr>
      </w:pPr>
      <w:r>
        <w:rPr>
          <w:rFonts w:hint="eastAsia" w:ascii="Times New Roman" w:hAnsi="Times New Roman" w:eastAsia="方正小标宋简体" w:cs="方正小标宋简体"/>
          <w:color w:val="auto"/>
          <w:sz w:val="44"/>
          <w:szCs w:val="44"/>
          <w:lang w:eastAsia="zh-CN"/>
        </w:rPr>
        <w:t>环境影响报告表的批复</w:t>
      </w:r>
    </w:p>
    <w:p w14:paraId="2E8C8A78">
      <w:pPr>
        <w:widowControl w:val="0"/>
        <w:autoSpaceDE/>
        <w:autoSpaceDN/>
        <w:adjustRightInd/>
        <w:snapToGrid/>
        <w:spacing w:line="670" w:lineRule="exact"/>
        <w:jc w:val="center"/>
        <w:textAlignment w:val="auto"/>
        <w:rPr>
          <w:rFonts w:ascii="Times New Roman" w:hAnsi="Times New Roman" w:eastAsia="方正楷体_GBK" w:cs="方正楷体_GBK"/>
          <w:b/>
          <w:bCs/>
          <w:color w:val="auto"/>
          <w:spacing w:val="-11"/>
          <w:sz w:val="32"/>
          <w:szCs w:val="32"/>
          <w:lang w:eastAsia="zh-CN"/>
        </w:rPr>
      </w:pPr>
      <w:r>
        <w:rPr>
          <w:rFonts w:hint="eastAsia" w:ascii="Times New Roman" w:hAnsi="Times New Roman" w:eastAsia="方正楷体_GBK" w:cs="方正楷体_GBK"/>
          <w:b/>
          <w:bCs/>
          <w:color w:val="auto"/>
          <w:spacing w:val="-11"/>
          <w:sz w:val="32"/>
          <w:szCs w:val="32"/>
          <w:lang w:eastAsia="zh-CN"/>
        </w:rPr>
        <w:t>（项目代码：</w:t>
      </w:r>
      <w:r>
        <w:rPr>
          <w:rFonts w:ascii="Times New Roman" w:hAnsi="Times New Roman" w:eastAsia="方正楷体_GBK" w:cs="方正楷体_GBK"/>
          <w:b/>
          <w:bCs/>
          <w:color w:val="auto"/>
          <w:spacing w:val="-11"/>
          <w:sz w:val="32"/>
          <w:lang w:eastAsia="zh-CN"/>
        </w:rPr>
        <w:t>2501-513300-04-01-110581</w:t>
      </w:r>
      <w:r>
        <w:rPr>
          <w:rFonts w:hint="eastAsia" w:ascii="Times New Roman" w:hAnsi="Times New Roman" w:eastAsia="方正楷体_GBK" w:cs="方正楷体_GBK"/>
          <w:b/>
          <w:bCs/>
          <w:color w:val="auto"/>
          <w:spacing w:val="-11"/>
          <w:sz w:val="32"/>
          <w:szCs w:val="32"/>
          <w:lang w:eastAsia="zh-CN"/>
        </w:rPr>
        <w:t>）</w:t>
      </w:r>
    </w:p>
    <w:p w14:paraId="1AF080B0">
      <w:pPr>
        <w:widowControl w:val="0"/>
        <w:autoSpaceDE/>
        <w:autoSpaceDN/>
        <w:adjustRightInd/>
        <w:snapToGrid/>
        <w:spacing w:line="576" w:lineRule="exact"/>
        <w:jc w:val="both"/>
        <w:textAlignment w:val="auto"/>
        <w:rPr>
          <w:rFonts w:hint="eastAsia" w:ascii="Times New Roman" w:hAnsi="Times New Roman" w:eastAsia="方正仿宋_GBK" w:cs="方正仿宋_GBK"/>
          <w:color w:val="auto"/>
          <w:sz w:val="32"/>
          <w:szCs w:val="32"/>
          <w:lang w:eastAsia="zh-CN"/>
        </w:rPr>
      </w:pPr>
    </w:p>
    <w:p w14:paraId="35D27A3E">
      <w:pPr>
        <w:widowControl w:val="0"/>
        <w:autoSpaceDE/>
        <w:autoSpaceDN/>
        <w:adjustRightInd/>
        <w:snapToGrid/>
        <w:spacing w:line="576" w:lineRule="exact"/>
        <w:jc w:val="both"/>
        <w:textAlignment w:val="auto"/>
        <w:rPr>
          <w:rFonts w:hint="eastAsia" w:ascii="Times New Roman" w:hAnsi="Times New Roman" w:eastAsia="方正仿宋_GBK" w:cs="方正仿宋_GBK"/>
          <w:color w:val="auto"/>
          <w:kern w:val="2"/>
          <w:sz w:val="32"/>
          <w:szCs w:val="32"/>
          <w:lang w:eastAsia="zh-CN"/>
        </w:rPr>
      </w:pPr>
      <w:r>
        <w:rPr>
          <w:rFonts w:hint="eastAsia" w:ascii="Times New Roman" w:hAnsi="Times New Roman" w:eastAsia="方正仿宋_GBK" w:cs="方正仿宋_GBK"/>
          <w:color w:val="auto"/>
          <w:kern w:val="2"/>
          <w:sz w:val="32"/>
          <w:szCs w:val="32"/>
          <w:lang w:eastAsia="zh-CN"/>
        </w:rPr>
        <w:t>国网四川省电力公司甘孜供电公司：</w:t>
      </w:r>
    </w:p>
    <w:p w14:paraId="74305A07">
      <w:pPr>
        <w:widowControl w:val="0"/>
        <w:autoSpaceDE/>
        <w:autoSpaceDN/>
        <w:adjustRightInd/>
        <w:snapToGrid/>
        <w:spacing w:line="576" w:lineRule="exact"/>
        <w:ind w:firstLine="640" w:firstLineChars="200"/>
        <w:jc w:val="both"/>
        <w:textAlignment w:val="auto"/>
        <w:rPr>
          <w:rFonts w:hint="eastAsia" w:ascii="Times New Roman" w:hAnsi="Times New Roman" w:eastAsia="方正仿宋_GBK" w:cs="方正仿宋_GBK"/>
          <w:color w:val="auto"/>
          <w:kern w:val="2"/>
          <w:sz w:val="32"/>
          <w:szCs w:val="32"/>
          <w:lang w:eastAsia="zh-CN"/>
        </w:rPr>
      </w:pPr>
      <w:r>
        <w:rPr>
          <w:rFonts w:hint="eastAsia" w:ascii="Times New Roman" w:hAnsi="Times New Roman" w:eastAsia="方正仿宋_GBK" w:cs="方正仿宋_GBK"/>
          <w:color w:val="auto"/>
          <w:kern w:val="2"/>
          <w:sz w:val="32"/>
          <w:szCs w:val="32"/>
          <w:lang w:eastAsia="zh-CN"/>
        </w:rPr>
        <w:t>你公司报送的《</w:t>
      </w:r>
      <w:r>
        <w:rPr>
          <w:rFonts w:hint="eastAsia" w:ascii="Times New Roman" w:hAnsi="Times New Roman" w:eastAsia="方正仿宋_GBK" w:cs="方正仿宋_GBK"/>
          <w:color w:val="auto"/>
          <w:sz w:val="32"/>
          <w:szCs w:val="32"/>
          <w:lang w:eastAsia="zh-CN"/>
        </w:rPr>
        <w:t>关于甘孜白玉110千伏变电站主变扩建工程环境影响报告表</w:t>
      </w:r>
      <w:r>
        <w:rPr>
          <w:rFonts w:hint="eastAsia" w:ascii="Times New Roman" w:hAnsi="Times New Roman" w:eastAsia="方正仿宋_GBK" w:cs="方正仿宋_GBK"/>
          <w:color w:val="auto"/>
          <w:kern w:val="2"/>
          <w:sz w:val="32"/>
          <w:szCs w:val="32"/>
          <w:lang w:eastAsia="zh-CN"/>
        </w:rPr>
        <w:t>》（以下简称《报告表》）收悉，经研究，现批复如下：</w:t>
      </w:r>
    </w:p>
    <w:p w14:paraId="0C76C8F9">
      <w:pPr>
        <w:pStyle w:val="3"/>
        <w:keepNext w:val="0"/>
        <w:keepLines w:val="0"/>
        <w:widowControl w:val="0"/>
        <w:autoSpaceDE/>
        <w:autoSpaceDN/>
        <w:spacing w:before="0" w:after="0" w:line="576" w:lineRule="exact"/>
        <w:ind w:firstLine="640" w:firstLineChars="200"/>
        <w:jc w:val="both"/>
        <w:textAlignment w:val="auto"/>
        <w:rPr>
          <w:rFonts w:hint="eastAsia" w:ascii="Times New Roman" w:hAnsi="Times New Roman" w:eastAsia="方正黑体_GBK" w:cs="方正黑体_GBK"/>
          <w:b w:val="0"/>
          <w:bCs/>
          <w:color w:val="auto"/>
          <w:szCs w:val="32"/>
          <w:lang w:eastAsia="zh-CN"/>
        </w:rPr>
      </w:pPr>
      <w:r>
        <w:rPr>
          <w:rFonts w:hint="eastAsia" w:ascii="Times New Roman" w:hAnsi="Times New Roman" w:eastAsia="方正黑体_GBK" w:cs="方正黑体_GBK"/>
          <w:b w:val="0"/>
          <w:bCs/>
          <w:color w:val="auto"/>
          <w:szCs w:val="32"/>
          <w:lang w:eastAsia="zh-CN"/>
        </w:rPr>
        <w:t>一、项目基本情况</w:t>
      </w:r>
    </w:p>
    <w:p w14:paraId="44472F50">
      <w:pPr>
        <w:widowControl w:val="0"/>
        <w:kinsoku/>
        <w:autoSpaceDE/>
        <w:autoSpaceDN/>
        <w:spacing w:line="576" w:lineRule="exact"/>
        <w:ind w:firstLine="640" w:firstLineChars="200"/>
        <w:jc w:val="both"/>
        <w:textAlignment w:val="auto"/>
        <w:rPr>
          <w:rFonts w:hint="eastAsia" w:ascii="Times New Roman" w:hAnsi="Times New Roman" w:eastAsia="方正仿宋_GBK" w:cs="方正仿宋_GBK"/>
          <w:color w:val="auto"/>
          <w:kern w:val="2"/>
          <w:sz w:val="32"/>
          <w:szCs w:val="32"/>
          <w:lang w:val="en-US" w:eastAsia="zh-CN"/>
        </w:rPr>
        <w:sectPr>
          <w:headerReference r:id="rId3" w:type="default"/>
          <w:footerReference r:id="rId4" w:type="default"/>
          <w:pgSz w:w="11900" w:h="16830"/>
          <w:pgMar w:top="2098" w:right="1531" w:bottom="1871" w:left="1531" w:header="0" w:footer="1417" w:gutter="0"/>
          <w:pgNumType w:fmt="decimal" w:start="2"/>
          <w:cols w:space="720" w:num="1"/>
        </w:sectPr>
      </w:pPr>
      <w:r>
        <w:rPr>
          <w:rFonts w:hint="eastAsia" w:ascii="Times New Roman" w:hAnsi="Times New Roman" w:eastAsia="方正仿宋_GBK" w:cs="方正仿宋_GBK"/>
          <w:color w:val="auto"/>
          <w:kern w:val="2"/>
          <w:sz w:val="32"/>
          <w:szCs w:val="32"/>
          <w:lang w:eastAsia="zh-CN"/>
        </w:rPr>
        <w:t>本项目建设地点位于甘孜州白玉县建设镇甘孜白玉110kV变电站内，不新增用地，建设性质为扩建。主要建设内容包括变电站围墙内扩建</w:t>
      </w:r>
      <w:r>
        <w:rPr>
          <w:rFonts w:hint="eastAsia" w:ascii="Times New Roman" w:hAnsi="Times New Roman" w:eastAsia="方正仿宋_GBK" w:cs="方正仿宋_GBK"/>
          <w:color w:val="auto"/>
          <w:kern w:val="2"/>
          <w:sz w:val="32"/>
          <w:szCs w:val="32"/>
          <w:lang w:val="en-US" w:eastAsia="zh-CN"/>
        </w:rPr>
        <w:t>1台</w:t>
      </w:r>
      <w:r>
        <w:rPr>
          <w:rFonts w:hint="eastAsia" w:ascii="Times New Roman" w:hAnsi="Times New Roman" w:eastAsia="方正仿宋_GBK" w:cs="方正仿宋_GBK"/>
          <w:color w:val="auto"/>
          <w:kern w:val="2"/>
          <w:sz w:val="32"/>
          <w:szCs w:val="32"/>
          <w:lang w:eastAsia="zh-CN"/>
        </w:rPr>
        <w:t>1×50MVA主变，配套新增主变</w:t>
      </w:r>
      <w:r>
        <w:rPr>
          <w:rFonts w:hint="eastAsia" w:ascii="Times New Roman" w:hAnsi="Times New Roman" w:eastAsia="方正仿宋_GBK" w:cs="方正仿宋_GBK"/>
          <w:color w:val="auto"/>
          <w:kern w:val="2"/>
          <w:sz w:val="32"/>
          <w:szCs w:val="32"/>
          <w:lang w:val="en-US" w:eastAsia="zh-CN"/>
        </w:rPr>
        <w:t>110千伏中性点成套装置；完善扩建主变35千伏中性点经35千伏消</w:t>
      </w:r>
    </w:p>
    <w:p w14:paraId="3E974F87">
      <w:pPr>
        <w:widowControl w:val="0"/>
        <w:kinsoku/>
        <w:autoSpaceDE/>
        <w:autoSpaceDN/>
        <w:spacing w:line="576" w:lineRule="exact"/>
        <w:ind w:firstLine="0" w:firstLineChars="0"/>
        <w:jc w:val="both"/>
        <w:textAlignment w:val="auto"/>
        <w:rPr>
          <w:rFonts w:hint="eastAsia" w:ascii="Times New Roman" w:hAnsi="Times New Roman" w:eastAsia="方正仿宋_GBK" w:cs="方正仿宋_GBK"/>
          <w:color w:val="auto"/>
          <w:kern w:val="2"/>
          <w:sz w:val="32"/>
          <w:szCs w:val="32"/>
          <w:lang w:eastAsia="zh-CN"/>
        </w:rPr>
      </w:pPr>
      <w:r>
        <w:rPr>
          <w:rFonts w:hint="eastAsia" w:ascii="Times New Roman" w:hAnsi="Times New Roman" w:eastAsia="方正仿宋_GBK" w:cs="方正仿宋_GBK"/>
          <w:color w:val="auto"/>
          <w:kern w:val="2"/>
          <w:sz w:val="32"/>
          <w:szCs w:val="32"/>
          <w:lang w:val="en-US" w:eastAsia="zh-CN"/>
        </w:rPr>
        <w:t>弧线圈接地系统，新增35千伏中性点避雷器1台、35千伏中性点隔离开关1组；</w:t>
      </w:r>
      <w:r>
        <w:rPr>
          <w:rFonts w:hint="eastAsia" w:ascii="Times New Roman" w:hAnsi="Times New Roman" w:eastAsia="方正仿宋_GBK" w:cs="方正仿宋_GBK"/>
          <w:color w:val="auto"/>
          <w:kern w:val="2"/>
          <w:sz w:val="32"/>
          <w:szCs w:val="32"/>
          <w:lang w:eastAsia="zh-CN"/>
        </w:rPr>
        <w:t>扩建35千伏出线3回，扩建10千伏出线4回，在扩建主变</w:t>
      </w:r>
      <w:r>
        <w:rPr>
          <w:rFonts w:hint="eastAsia" w:ascii="Times New Roman" w:hAnsi="Times New Roman" w:eastAsia="方正仿宋_GBK" w:cs="方正仿宋_GBK"/>
          <w:color w:val="auto"/>
          <w:kern w:val="2"/>
          <w:sz w:val="32"/>
          <w:szCs w:val="32"/>
          <w:lang w:val="en-US" w:eastAsia="zh-CN"/>
        </w:rPr>
        <w:t>10千伏侧装设2</w:t>
      </w:r>
      <w:r>
        <w:rPr>
          <w:rFonts w:hint="eastAsia" w:ascii="Times New Roman" w:hAnsi="Times New Roman" w:eastAsia="方正仿宋_GBK" w:cs="方正仿宋_GBK"/>
          <w:color w:val="auto"/>
          <w:kern w:val="2"/>
          <w:sz w:val="32"/>
          <w:szCs w:val="32"/>
          <w:lang w:eastAsia="zh-CN"/>
        </w:rPr>
        <w:t>×</w:t>
      </w:r>
      <w:r>
        <w:rPr>
          <w:rFonts w:hint="eastAsia" w:ascii="Times New Roman" w:hAnsi="Times New Roman" w:eastAsia="方正仿宋_GBK" w:cs="方正仿宋_GBK"/>
          <w:color w:val="auto"/>
          <w:kern w:val="2"/>
          <w:sz w:val="32"/>
          <w:szCs w:val="32"/>
          <w:lang w:val="en-US" w:eastAsia="zh-CN"/>
        </w:rPr>
        <w:t>4Mvar并联电容器。</w:t>
      </w:r>
      <w:r>
        <w:rPr>
          <w:rFonts w:hint="eastAsia" w:ascii="Times New Roman" w:hAnsi="Times New Roman" w:eastAsia="方正仿宋_GBK" w:cs="方正仿宋_GBK"/>
          <w:color w:val="auto"/>
          <w:kern w:val="2"/>
          <w:sz w:val="32"/>
          <w:szCs w:val="32"/>
          <w:lang w:eastAsia="zh-CN"/>
        </w:rPr>
        <w:t>项目总投资1969万元，其中环保投资37.6万元，占总投资1.91%。</w:t>
      </w:r>
    </w:p>
    <w:p w14:paraId="36BA1C6C">
      <w:pPr>
        <w:widowControl w:val="0"/>
        <w:kinsoku/>
        <w:autoSpaceDE/>
        <w:autoSpaceDN/>
        <w:spacing w:line="576" w:lineRule="exact"/>
        <w:ind w:firstLine="640" w:firstLineChars="200"/>
        <w:jc w:val="both"/>
        <w:textAlignment w:val="auto"/>
        <w:rPr>
          <w:rFonts w:hint="eastAsia"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项目建设总体符合国家产业政策、白玉县国土空间规划、地方电力规划以及甘孜州生态环境分区管控相关要求，在全面落实《报告表》提出的各项生态环境保护措施和下列工作要求的前提下，该项目建设和运营过程中产生的电磁、噪声等不利生态影响可得到有效减缓和控制。据此，我局原则同意该项目环境影响报告表结论。</w:t>
      </w:r>
    </w:p>
    <w:p w14:paraId="70CD45D2">
      <w:pPr>
        <w:pStyle w:val="3"/>
        <w:keepNext w:val="0"/>
        <w:keepLines w:val="0"/>
        <w:widowControl w:val="0"/>
        <w:autoSpaceDE/>
        <w:autoSpaceDN/>
        <w:spacing w:before="0" w:after="0" w:line="576" w:lineRule="exact"/>
        <w:ind w:firstLine="640" w:firstLineChars="200"/>
        <w:jc w:val="both"/>
        <w:textAlignment w:val="auto"/>
        <w:rPr>
          <w:rFonts w:hint="eastAsia" w:ascii="Times New Roman" w:hAnsi="Times New Roman" w:eastAsia="方正黑体_GBK" w:cs="方正黑体_GBK"/>
          <w:b w:val="0"/>
          <w:bCs/>
          <w:color w:val="auto"/>
          <w:szCs w:val="32"/>
          <w:lang w:eastAsia="zh-CN"/>
        </w:rPr>
      </w:pPr>
      <w:r>
        <w:rPr>
          <w:rFonts w:hint="eastAsia" w:ascii="Times New Roman" w:hAnsi="Times New Roman" w:eastAsia="方正黑体_GBK" w:cs="方正黑体_GBK"/>
          <w:b w:val="0"/>
          <w:bCs/>
          <w:color w:val="auto"/>
          <w:szCs w:val="32"/>
          <w:lang w:eastAsia="zh-CN"/>
        </w:rPr>
        <w:t>二、项目建设及运营期应重点做好以下工作</w:t>
      </w:r>
    </w:p>
    <w:p w14:paraId="14698B95">
      <w:pPr>
        <w:widowControl w:val="0"/>
        <w:autoSpaceDE/>
        <w:autoSpaceDN/>
        <w:spacing w:line="576" w:lineRule="exact"/>
        <w:ind w:firstLine="640" w:firstLineChars="200"/>
        <w:jc w:val="both"/>
        <w:textAlignment w:val="auto"/>
        <w:rPr>
          <w:rFonts w:hint="eastAsia" w:ascii="Times New Roman" w:hAnsi="Times New Roman" w:eastAsia="方正仿宋_GBK" w:cs="方正仿宋_GBK"/>
          <w:snapToGrid/>
          <w:color w:val="000000" w:themeColor="text1"/>
          <w:kern w:val="2"/>
          <w:sz w:val="32"/>
          <w:szCs w:val="32"/>
          <w:lang w:eastAsia="zh-CN"/>
          <w14:textFill>
            <w14:solidFill>
              <w14:schemeClr w14:val="tx1"/>
            </w14:solidFill>
          </w14:textFill>
        </w:rPr>
      </w:pPr>
      <w:r>
        <w:rPr>
          <w:rFonts w:hint="eastAsia" w:ascii="Times New Roman" w:hAnsi="Times New Roman" w:eastAsia="方正楷体_GBK" w:cs="方正楷体_GBK"/>
          <w:snapToGrid/>
          <w:color w:val="000000" w:themeColor="text1"/>
          <w:kern w:val="2"/>
          <w:sz w:val="32"/>
          <w:szCs w:val="32"/>
          <w:lang w:eastAsia="zh-CN"/>
          <w14:textFill>
            <w14:solidFill>
              <w14:schemeClr w14:val="tx1"/>
            </w14:solidFill>
          </w14:textFill>
        </w:rPr>
        <w:t>（一）加强施工期环境保护工作。</w:t>
      </w:r>
      <w:r>
        <w:rPr>
          <w:rFonts w:hint="eastAsia" w:ascii="Times New Roman" w:hAnsi="Times New Roman" w:eastAsia="方正仿宋_GBK" w:cs="方正仿宋_GBK"/>
          <w:snapToGrid/>
          <w:color w:val="000000" w:themeColor="text1"/>
          <w:kern w:val="2"/>
          <w:sz w:val="32"/>
          <w:szCs w:val="32"/>
          <w:lang w:eastAsia="zh-CN"/>
          <w14:textFill>
            <w14:solidFill>
              <w14:schemeClr w14:val="tx1"/>
            </w14:solidFill>
          </w14:textFill>
        </w:rPr>
        <w:t>认真落实施工过程中各项污染防治和生态环境保护措施。优化施工布置，合理安排施工时间，采取有效措施控制和减小施工噪声、扬尘对周围环境的影响，加强施工废水处理、垃圾清运、废弃物收集、转运，降低施工对周边环境影响。</w:t>
      </w:r>
    </w:p>
    <w:p w14:paraId="1C7E5E2C">
      <w:pPr>
        <w:kinsoku/>
        <w:wordWrap w:val="0"/>
        <w:autoSpaceDE/>
        <w:autoSpaceDN/>
        <w:adjustRightInd/>
        <w:snapToGrid/>
        <w:spacing w:line="576" w:lineRule="exact"/>
        <w:ind w:firstLine="640" w:firstLineChars="200"/>
        <w:jc w:val="both"/>
        <w:textAlignment w:val="auto"/>
        <w:rPr>
          <w:rFonts w:hint="eastAsia" w:ascii="Times New Roman" w:hAnsi="Times New Roman" w:eastAsia="方正仿宋_GBK" w:cs="方正仿宋_GBK"/>
          <w:b w:val="0"/>
          <w:bCs w:val="0"/>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b w:val="0"/>
          <w:bCs w:val="0"/>
          <w:snapToGrid/>
          <w:color w:val="000000" w:themeColor="text1"/>
          <w:kern w:val="2"/>
          <w:sz w:val="32"/>
          <w:szCs w:val="32"/>
          <w:lang w:eastAsia="zh-CN"/>
          <w14:textFill>
            <w14:solidFill>
              <w14:schemeClr w14:val="tx1"/>
            </w14:solidFill>
          </w14:textFill>
        </w:rPr>
        <w:t>（</w:t>
      </w:r>
      <w:r>
        <w:rPr>
          <w:rFonts w:hint="eastAsia" w:ascii="Times New Roman" w:hAnsi="Times New Roman" w:eastAsia="方正楷体_GBK" w:cs="方正楷体_GBK"/>
          <w:b w:val="0"/>
          <w:bCs w:val="0"/>
          <w:snapToGrid/>
          <w:color w:val="000000" w:themeColor="text1"/>
          <w:kern w:val="2"/>
          <w:sz w:val="32"/>
          <w:szCs w:val="32"/>
          <w:lang w:val="en-US" w:eastAsia="zh-CN"/>
          <w14:textFill>
            <w14:solidFill>
              <w14:schemeClr w14:val="tx1"/>
            </w14:solidFill>
          </w14:textFill>
        </w:rPr>
        <w:t>二</w:t>
      </w:r>
      <w:r>
        <w:rPr>
          <w:rFonts w:hint="eastAsia" w:ascii="Times New Roman" w:hAnsi="Times New Roman" w:eastAsia="方正楷体_GBK" w:cs="方正楷体_GBK"/>
          <w:b w:val="0"/>
          <w:bCs w:val="0"/>
          <w:snapToGrid/>
          <w:color w:val="000000" w:themeColor="text1"/>
          <w:kern w:val="2"/>
          <w:sz w:val="32"/>
          <w:szCs w:val="32"/>
          <w:lang w:eastAsia="zh-CN"/>
          <w14:textFill>
            <w14:solidFill>
              <w14:schemeClr w14:val="tx1"/>
            </w14:solidFill>
          </w14:textFill>
        </w:rPr>
        <w:t>）落实噪声防治措施。</w:t>
      </w:r>
      <w:r>
        <w:rPr>
          <w:rFonts w:hint="eastAsia" w:ascii="Times New Roman" w:hAnsi="Times New Roman" w:eastAsia="方正仿宋_GBK" w:cs="方正仿宋_GBK"/>
          <w:b w:val="0"/>
          <w:bCs w:val="0"/>
          <w:snapToGrid/>
          <w:kern w:val="2"/>
          <w:sz w:val="32"/>
          <w:szCs w:val="32"/>
          <w:lang w:eastAsia="zh-CN"/>
        </w:rPr>
        <w:t>项目建设运营应选用低噪声设备，合理布置施工设备，采取隔声降噪措施，严禁夜间施工和噪声扰民。</w:t>
      </w:r>
    </w:p>
    <w:p w14:paraId="6DE1B6C2">
      <w:pPr>
        <w:widowControl w:val="0"/>
        <w:autoSpaceDE/>
        <w:autoSpaceDN/>
        <w:spacing w:line="576" w:lineRule="exact"/>
        <w:ind w:firstLine="640" w:firstLineChars="200"/>
        <w:jc w:val="both"/>
        <w:textAlignment w:val="auto"/>
        <w:rPr>
          <w:rFonts w:hint="eastAsia" w:ascii="Times New Roman" w:hAnsi="Times New Roman" w:eastAsia="方正仿宋_GBK" w:cs="方正仿宋_GBK"/>
          <w:color w:val="auto"/>
          <w:sz w:val="32"/>
          <w:szCs w:val="32"/>
          <w:lang w:eastAsia="zh-CN"/>
        </w:rPr>
      </w:pPr>
      <w:r>
        <w:rPr>
          <w:rFonts w:hint="eastAsia" w:ascii="Times New Roman" w:hAnsi="Times New Roman" w:eastAsia="方正楷体_GBK" w:cs="方正楷体_GBK"/>
          <w:snapToGrid/>
          <w:color w:val="000000" w:themeColor="text1"/>
          <w:kern w:val="2"/>
          <w:sz w:val="32"/>
          <w:szCs w:val="32"/>
          <w:lang w:eastAsia="zh-CN"/>
          <w14:textFill>
            <w14:solidFill>
              <w14:schemeClr w14:val="tx1"/>
            </w14:solidFill>
          </w14:textFill>
        </w:rPr>
        <w:t>（三）落实电磁环境防治措施。</w:t>
      </w:r>
      <w:r>
        <w:rPr>
          <w:rFonts w:hint="eastAsia" w:ascii="Times New Roman" w:hAnsi="Times New Roman" w:eastAsia="方正仿宋_GBK" w:cs="方正仿宋_GBK"/>
          <w:snapToGrid/>
          <w:color w:val="auto"/>
          <w:kern w:val="2"/>
          <w:sz w:val="32"/>
          <w:szCs w:val="32"/>
          <w:lang w:eastAsia="zh-CN"/>
        </w:rPr>
        <w:t>优化站内配电装置等布局，按规范设置警示和防护指示标志，</w:t>
      </w:r>
      <w:r>
        <w:rPr>
          <w:rFonts w:hint="eastAsia" w:ascii="Times New Roman" w:hAnsi="Times New Roman" w:eastAsia="方正仿宋_GBK" w:cs="方正仿宋_GBK"/>
          <w:color w:val="auto"/>
          <w:sz w:val="32"/>
          <w:szCs w:val="32"/>
          <w:lang w:eastAsia="zh-CN"/>
        </w:rPr>
        <w:t>确保项目周边建筑的环境电磁辐射满足有关标准限值。</w:t>
      </w:r>
    </w:p>
    <w:p w14:paraId="254A29CA">
      <w:pPr>
        <w:widowControl w:val="0"/>
        <w:autoSpaceDE/>
        <w:autoSpaceDN/>
        <w:spacing w:line="576" w:lineRule="exact"/>
        <w:ind w:firstLine="640" w:firstLineChars="200"/>
        <w:jc w:val="both"/>
        <w:textAlignment w:val="auto"/>
        <w:rPr>
          <w:rFonts w:hint="eastAsia" w:ascii="Times New Roman" w:hAnsi="Times New Roman" w:eastAsia="方正仿宋_GBK" w:cs="方正仿宋_GBK"/>
          <w:snapToGrid/>
          <w:color w:val="auto"/>
          <w:kern w:val="2"/>
          <w:sz w:val="32"/>
          <w:szCs w:val="32"/>
          <w:lang w:eastAsia="zh-CN"/>
        </w:rPr>
      </w:pPr>
      <w:r>
        <w:rPr>
          <w:rFonts w:hint="eastAsia" w:ascii="Times New Roman" w:hAnsi="Times New Roman" w:eastAsia="方正楷体_GBK" w:cs="方正楷体_GBK"/>
          <w:snapToGrid/>
          <w:color w:val="000000" w:themeColor="text1"/>
          <w:kern w:val="2"/>
          <w:sz w:val="32"/>
          <w:szCs w:val="32"/>
          <w:lang w:eastAsia="zh-CN"/>
          <w14:textFill>
            <w14:solidFill>
              <w14:schemeClr w14:val="tx1"/>
            </w14:solidFill>
          </w14:textFill>
        </w:rPr>
        <w:t>（四）加强固体废物管理。</w:t>
      </w:r>
      <w:r>
        <w:rPr>
          <w:rFonts w:hint="eastAsia" w:ascii="Times New Roman" w:hAnsi="Times New Roman" w:eastAsia="方正仿宋_GBK" w:cs="方正仿宋_GBK"/>
          <w:snapToGrid/>
          <w:color w:val="auto"/>
          <w:kern w:val="2"/>
          <w:sz w:val="32"/>
          <w:szCs w:val="32"/>
          <w:lang w:eastAsia="zh-CN"/>
        </w:rPr>
        <w:t>依法依规分类落实并持续优化固体废物处置和污染防治要求，事故油池、事故油坑等重点防渗区域需做好防渗漏措施，防范事故油泄漏风险；事故废油和废蓄电池等危险废物应按照相关法规标准贮存，并交由有危险废物处理资质的单位利用或处置。</w:t>
      </w:r>
    </w:p>
    <w:p w14:paraId="57F75B34">
      <w:pPr>
        <w:widowControl w:val="0"/>
        <w:autoSpaceDE/>
        <w:autoSpaceDN/>
        <w:spacing w:line="576" w:lineRule="exact"/>
        <w:ind w:firstLine="640" w:firstLineChars="200"/>
        <w:jc w:val="both"/>
        <w:textAlignment w:val="auto"/>
        <w:rPr>
          <w:rFonts w:hint="eastAsia" w:ascii="Times New Roman" w:hAnsi="Times New Roman" w:eastAsia="方正仿宋_GBK" w:cs="方正仿宋_GBK"/>
          <w:snapToGrid/>
          <w:color w:val="auto"/>
          <w:kern w:val="2"/>
          <w:sz w:val="32"/>
          <w:szCs w:val="32"/>
          <w:lang w:eastAsia="zh-CN"/>
        </w:rPr>
      </w:pPr>
      <w:r>
        <w:rPr>
          <w:rFonts w:hint="eastAsia" w:ascii="Times New Roman" w:hAnsi="Times New Roman" w:eastAsia="方正楷体_GBK" w:cs="方正楷体_GBK"/>
          <w:snapToGrid/>
          <w:color w:val="000000" w:themeColor="text1"/>
          <w:kern w:val="2"/>
          <w:sz w:val="32"/>
          <w:szCs w:val="32"/>
          <w:lang w:eastAsia="zh-CN"/>
          <w14:textFill>
            <w14:solidFill>
              <w14:schemeClr w14:val="tx1"/>
            </w14:solidFill>
          </w14:textFill>
        </w:rPr>
        <w:t>（五）落实环境监测和风险防范。</w:t>
      </w:r>
      <w:r>
        <w:rPr>
          <w:rFonts w:hint="eastAsia" w:ascii="Times New Roman" w:hAnsi="Times New Roman" w:eastAsia="方正仿宋_GBK" w:cs="方正仿宋_GBK"/>
          <w:snapToGrid/>
          <w:color w:val="auto"/>
          <w:kern w:val="2"/>
          <w:sz w:val="32"/>
          <w:szCs w:val="32"/>
          <w:lang w:eastAsia="zh-CN"/>
        </w:rPr>
        <w:t>建设单位应制定和落实环境监测计划，并按计划开展电磁环境及声环境监测，确保电磁环境及声环境满足相关标准要求。结合项目建设运营特点，认真制定环境风险应急预案，落实环境风险防范措施，严防环境风险事故发生。</w:t>
      </w:r>
    </w:p>
    <w:p w14:paraId="2059A661">
      <w:pPr>
        <w:widowControl w:val="0"/>
        <w:autoSpaceDE/>
        <w:autoSpaceDN/>
        <w:spacing w:line="576" w:lineRule="exact"/>
        <w:ind w:firstLine="640" w:firstLineChars="200"/>
        <w:jc w:val="both"/>
        <w:textAlignment w:val="auto"/>
        <w:rPr>
          <w:rFonts w:hint="eastAsia" w:ascii="Times New Roman" w:hAnsi="Times New Roman" w:eastAsia="方正仿宋_GBK" w:cs="方正仿宋_GBK"/>
          <w:snapToGrid/>
          <w:color w:val="auto"/>
          <w:kern w:val="2"/>
          <w:sz w:val="32"/>
          <w:szCs w:val="32"/>
          <w:lang w:eastAsia="zh-CN"/>
        </w:rPr>
      </w:pPr>
      <w:r>
        <w:rPr>
          <w:rFonts w:hint="eastAsia" w:ascii="Times New Roman" w:hAnsi="Times New Roman" w:eastAsia="方正楷体_GBK" w:cs="方正楷体_GBK"/>
          <w:snapToGrid/>
          <w:color w:val="000000" w:themeColor="text1"/>
          <w:kern w:val="2"/>
          <w:sz w:val="32"/>
          <w:szCs w:val="32"/>
          <w:lang w:eastAsia="zh-CN"/>
          <w14:textFill>
            <w14:solidFill>
              <w14:schemeClr w14:val="tx1"/>
            </w14:solidFill>
          </w14:textFill>
        </w:rPr>
        <w:t>（六）加强公众沟通和科普宣传。</w:t>
      </w:r>
      <w:r>
        <w:rPr>
          <w:rFonts w:hint="eastAsia" w:ascii="Times New Roman" w:hAnsi="Times New Roman" w:eastAsia="方正仿宋_GBK" w:cs="方正仿宋_GBK"/>
          <w:color w:val="auto"/>
          <w:sz w:val="32"/>
          <w:szCs w:val="32"/>
          <w:lang w:eastAsia="zh-CN"/>
        </w:rPr>
        <w:t>在项目运行管理中，你公司按要求做好环境信息公开，主动接受社会监督。切实做好电磁辐射相关知识的宣传工作，消除公众的疑虑和担心，及时回应公众合理环境诉求。</w:t>
      </w:r>
    </w:p>
    <w:p w14:paraId="7DA1D85C">
      <w:pPr>
        <w:widowControl w:val="0"/>
        <w:autoSpaceDE/>
        <w:autoSpaceDN/>
        <w:spacing w:line="576" w:lineRule="exact"/>
        <w:ind w:firstLine="640" w:firstLineChars="200"/>
        <w:jc w:val="both"/>
        <w:textAlignment w:val="auto"/>
        <w:rPr>
          <w:rFonts w:hint="eastAsia" w:ascii="Times New Roman" w:hAnsi="Times New Roman" w:eastAsia="方正仿宋_GBK" w:cs="方正仿宋_GBK"/>
          <w:color w:val="auto"/>
          <w:sz w:val="32"/>
          <w:szCs w:val="32"/>
          <w:lang w:eastAsia="zh-CN"/>
        </w:rPr>
      </w:pPr>
      <w:r>
        <w:rPr>
          <w:rFonts w:hint="eastAsia" w:ascii="Times New Roman" w:hAnsi="Times New Roman" w:eastAsia="方正楷体_GBK" w:cs="方正楷体_GBK"/>
          <w:snapToGrid/>
          <w:color w:val="000000" w:themeColor="text1"/>
          <w:kern w:val="2"/>
          <w:sz w:val="32"/>
          <w:szCs w:val="32"/>
          <w:lang w:eastAsia="zh-CN"/>
          <w14:textFill>
            <w14:solidFill>
              <w14:schemeClr w14:val="tx1"/>
            </w14:solidFill>
          </w14:textFill>
        </w:rPr>
        <w:t>（七）</w:t>
      </w:r>
      <w:r>
        <w:rPr>
          <w:rFonts w:hint="eastAsia" w:ascii="Times New Roman" w:hAnsi="Times New Roman" w:eastAsia="方正仿宋_GBK" w:cs="方正仿宋_GBK"/>
          <w:snapToGrid/>
          <w:color w:val="auto"/>
          <w:kern w:val="2"/>
          <w:sz w:val="32"/>
          <w:szCs w:val="32"/>
          <w:lang w:eastAsia="zh-CN"/>
        </w:rPr>
        <w:t>其他事项严格按照《报告表》要求执行。</w:t>
      </w:r>
    </w:p>
    <w:p w14:paraId="00FF9E10">
      <w:pPr>
        <w:widowControl w:val="0"/>
        <w:autoSpaceDE/>
        <w:autoSpaceDN/>
        <w:spacing w:line="576" w:lineRule="exact"/>
        <w:ind w:firstLine="640" w:firstLineChars="200"/>
        <w:jc w:val="both"/>
        <w:textAlignment w:val="auto"/>
        <w:rPr>
          <w:rFonts w:hint="eastAsia" w:ascii="Times New Roman" w:hAnsi="Times New Roman" w:eastAsia="方正仿宋_GBK" w:cs="方正仿宋_GBK"/>
          <w:color w:val="auto"/>
          <w:kern w:val="2"/>
          <w:sz w:val="32"/>
          <w:szCs w:val="32"/>
          <w:lang w:eastAsia="zh-CN"/>
        </w:rPr>
      </w:pPr>
      <w:r>
        <w:rPr>
          <w:rFonts w:hint="eastAsia" w:ascii="Times New Roman" w:hAnsi="Times New Roman" w:eastAsia="方正黑体_GBK" w:cs="方正黑体_GBK"/>
          <w:bCs/>
          <w:color w:val="auto"/>
          <w:kern w:val="0"/>
          <w:sz w:val="32"/>
          <w:szCs w:val="32"/>
          <w:lang w:eastAsia="zh-CN"/>
        </w:rPr>
        <w:t>三、项目建设必须严格执行配套建设的环境保护设施与主体工程同时设计、同时施工、同时投产使用的环境保护“三同时”制度。</w:t>
      </w:r>
      <w:r>
        <w:rPr>
          <w:rFonts w:hint="eastAsia" w:ascii="Times New Roman" w:hAnsi="Times New Roman" w:eastAsia="方正仿宋_GBK" w:cs="方正仿宋_GBK"/>
          <w:color w:val="auto"/>
          <w:kern w:val="2"/>
          <w:sz w:val="32"/>
          <w:szCs w:val="32"/>
          <w:lang w:eastAsia="zh-CN"/>
        </w:rPr>
        <w:t>项目竣工后，你公司是建设项目竣工环境保护验收的责任主体，应当按照规定的程序和标准，组织对配套建设的环境保护设施进行验收，编制验收报告，公开相关信息，接受社会监督。验收合格后，项目方可投入运行。</w:t>
      </w:r>
    </w:p>
    <w:p w14:paraId="2FBD291E">
      <w:pPr>
        <w:widowControl w:val="0"/>
        <w:autoSpaceDE/>
        <w:autoSpaceDN/>
        <w:adjustRightInd/>
        <w:snapToGrid/>
        <w:spacing w:line="576" w:lineRule="exact"/>
        <w:ind w:firstLine="640" w:firstLineChars="200"/>
        <w:jc w:val="both"/>
        <w:textAlignment w:val="auto"/>
        <w:rPr>
          <w:rFonts w:hint="eastAsia" w:ascii="Times New Roman" w:hAnsi="Times New Roman" w:eastAsia="方正仿宋_GBK" w:cs="方正仿宋_GBK"/>
          <w:color w:val="auto"/>
          <w:kern w:val="2"/>
          <w:sz w:val="32"/>
          <w:szCs w:val="32"/>
          <w:lang w:eastAsia="zh-CN"/>
        </w:rPr>
      </w:pPr>
      <w:r>
        <w:rPr>
          <w:rFonts w:hint="eastAsia" w:ascii="Times New Roman" w:hAnsi="Times New Roman" w:eastAsia="方正仿宋_GBK" w:cs="方正仿宋_GBK"/>
          <w:color w:val="auto"/>
          <w:kern w:val="2"/>
          <w:sz w:val="32"/>
          <w:szCs w:val="32"/>
          <w:lang w:eastAsia="zh-CN"/>
        </w:rPr>
        <w:t>项目环境影响评价文件经批准后，如工程的性质、规模、工艺、地点或者防治污染、防止生态破坏的措施发生重大变动，建设单位应当重新报批报告表，否则不得实施建设。如工程超过5年未开工建设，环境影响评价文件应按要求重新报批。</w:t>
      </w:r>
    </w:p>
    <w:p w14:paraId="633C77C4">
      <w:pPr>
        <w:widowControl w:val="0"/>
        <w:autoSpaceDE/>
        <w:autoSpaceDN/>
        <w:adjustRightInd/>
        <w:snapToGrid/>
        <w:spacing w:line="576" w:lineRule="exact"/>
        <w:ind w:firstLine="640" w:firstLineChars="200"/>
        <w:jc w:val="both"/>
        <w:textAlignment w:val="auto"/>
        <w:rPr>
          <w:rFonts w:hint="eastAsia" w:ascii="Times New Roman" w:hAnsi="Times New Roman" w:eastAsia="方正仿宋_GBK" w:cs="方正仿宋_GBK"/>
          <w:color w:val="auto"/>
          <w:kern w:val="2"/>
          <w:sz w:val="32"/>
          <w:szCs w:val="32"/>
          <w:lang w:eastAsia="zh-CN"/>
        </w:rPr>
      </w:pPr>
      <w:r>
        <w:rPr>
          <w:rFonts w:hint="eastAsia" w:ascii="Times New Roman" w:hAnsi="Times New Roman" w:eastAsia="方正黑体_GBK" w:cs="方正黑体_GBK"/>
          <w:bCs/>
          <w:color w:val="auto"/>
          <w:kern w:val="0"/>
          <w:sz w:val="32"/>
          <w:szCs w:val="32"/>
          <w:lang w:eastAsia="zh-CN"/>
        </w:rPr>
        <w:t>四、</w:t>
      </w:r>
      <w:r>
        <w:rPr>
          <w:rFonts w:hint="eastAsia" w:ascii="Times New Roman" w:hAnsi="Times New Roman" w:eastAsia="方正仿宋_GBK" w:cs="方正仿宋_GBK"/>
          <w:color w:val="auto"/>
          <w:kern w:val="2"/>
          <w:sz w:val="32"/>
          <w:szCs w:val="32"/>
          <w:lang w:eastAsia="zh-CN"/>
        </w:rPr>
        <w:t>甘孜州生态环境保护综合行政执法支队、甘孜州白玉生态环境局要切实承担事中事后监管主要责任，履行属地服务指导和监管职责，按照《关于进一步完善建设项目环境保护“三同时”及竣工环境保护自主验收监管工作机制的意见》（环执法〔2021〕70号）要求，加强对该项目环境保护“三同时”及自主验收监管。</w:t>
      </w:r>
    </w:p>
    <w:p w14:paraId="0D85E61D">
      <w:pPr>
        <w:widowControl w:val="0"/>
        <w:autoSpaceDE/>
        <w:autoSpaceDN/>
        <w:adjustRightInd/>
        <w:snapToGrid/>
        <w:spacing w:line="576" w:lineRule="exact"/>
        <w:ind w:firstLine="640" w:firstLineChars="200"/>
        <w:jc w:val="both"/>
        <w:textAlignment w:val="auto"/>
        <w:rPr>
          <w:rFonts w:hint="eastAsia" w:ascii="Times New Roman" w:hAnsi="Times New Roman" w:eastAsia="方正仿宋_GBK" w:cs="方正仿宋_GBK"/>
          <w:color w:val="auto"/>
          <w:sz w:val="32"/>
          <w:szCs w:val="32"/>
          <w:lang w:eastAsia="zh-CN"/>
        </w:rPr>
      </w:pPr>
      <w:r>
        <w:rPr>
          <w:rFonts w:hint="eastAsia" w:ascii="Times New Roman" w:hAnsi="Times New Roman" w:eastAsia="方正黑体_GBK" w:cs="方正黑体_GBK"/>
          <w:bCs/>
          <w:color w:val="auto"/>
          <w:kern w:val="0"/>
          <w:sz w:val="32"/>
          <w:szCs w:val="32"/>
          <w:lang w:eastAsia="zh-CN"/>
        </w:rPr>
        <w:t>五、</w:t>
      </w:r>
      <w:r>
        <w:rPr>
          <w:rFonts w:hint="eastAsia" w:ascii="Times New Roman" w:hAnsi="Times New Roman" w:eastAsia="方正仿宋_GBK" w:cs="方正仿宋_GBK"/>
          <w:color w:val="auto"/>
          <w:kern w:val="2"/>
          <w:sz w:val="32"/>
          <w:szCs w:val="32"/>
          <w:lang w:eastAsia="zh-CN"/>
        </w:rPr>
        <w:t>你公司应在收到本批复15个工作日内，将批复后的报告表分送甘孜州生态环境保护综合执法支队和甘孜州白玉生态环境局备案，并按规定接受各级生态环境主管部门的日常监督检查。</w:t>
      </w:r>
    </w:p>
    <w:p w14:paraId="683F4D99">
      <w:pPr>
        <w:widowControl w:val="0"/>
        <w:kinsoku/>
        <w:wordWrap w:val="0"/>
        <w:autoSpaceDE/>
        <w:autoSpaceDN/>
        <w:adjustRightInd w:val="0"/>
        <w:snapToGrid w:val="0"/>
        <w:spacing w:before="0" w:beforeLines="0" w:beforeAutospacing="0" w:after="0" w:afterLines="0" w:afterAutospacing="0" w:line="550" w:lineRule="exact"/>
        <w:ind w:left="218" w:leftChars="104" w:firstLine="0" w:firstLineChars="0"/>
        <w:jc w:val="both"/>
        <w:textAlignment w:val="baseline"/>
        <w:rPr>
          <w:rFonts w:hint="eastAsia" w:ascii="Times New Roman" w:hAnsi="Times New Roman" w:eastAsia="方正仿宋_GBK" w:cs="方正仿宋_GBK"/>
          <w:sz w:val="32"/>
          <w:szCs w:val="32"/>
          <w:shd w:val="clear" w:color="auto" w:fill="FFFFFF"/>
          <w:lang w:eastAsia="zh-CN"/>
        </w:rPr>
      </w:pPr>
    </w:p>
    <w:p w14:paraId="08339ED9">
      <w:pPr>
        <w:widowControl w:val="0"/>
        <w:kinsoku/>
        <w:wordWrap w:val="0"/>
        <w:autoSpaceDE/>
        <w:autoSpaceDN/>
        <w:adjustRightInd w:val="0"/>
        <w:snapToGrid w:val="0"/>
        <w:spacing w:before="0" w:beforeLines="0" w:beforeAutospacing="0" w:after="0" w:afterLines="0" w:afterAutospacing="0" w:line="576" w:lineRule="exact"/>
        <w:ind w:firstLine="0" w:firstLineChars="0"/>
        <w:jc w:val="both"/>
        <w:textAlignment w:val="baseline"/>
        <w:rPr>
          <w:rFonts w:hint="eastAsia" w:ascii="Times New Roman" w:hAnsi="Times New Roman" w:eastAsia="方正仿宋_GBK" w:cs="方正仿宋_GBK"/>
          <w:sz w:val="32"/>
          <w:szCs w:val="32"/>
          <w:highlight w:val="none"/>
          <w:shd w:val="clear" w:color="auto" w:fill="FFFFFF"/>
          <w:lang w:eastAsia="zh-CN"/>
        </w:rPr>
      </w:pPr>
    </w:p>
    <w:p w14:paraId="2CEDBFB6">
      <w:pPr>
        <w:pStyle w:val="23"/>
        <w:widowControl w:val="0"/>
        <w:kinsoku/>
        <w:wordWrap w:val="0"/>
        <w:autoSpaceDE/>
        <w:autoSpaceDN/>
        <w:adjustRightInd/>
        <w:snapToGrid/>
        <w:spacing w:before="0" w:beforeLines="0" w:beforeAutospacing="0" w:after="0" w:afterLines="0" w:afterAutospacing="0" w:line="576" w:lineRule="exact"/>
        <w:ind w:firstLine="640" w:firstLineChars="200"/>
        <w:jc w:val="both"/>
        <w:textAlignment w:val="auto"/>
        <w:rPr>
          <w:rFonts w:hint="eastAsia" w:ascii="Times New Roman" w:hAnsi="Times New Roman" w:eastAsia="方正仿宋_GBK" w:cs="方正仿宋_GBK"/>
          <w:color w:val="auto"/>
          <w:sz w:val="32"/>
          <w:szCs w:val="32"/>
          <w:highlight w:val="none"/>
          <w:shd w:val="clear" w:color="auto" w:fill="auto"/>
          <w:lang w:eastAsia="zh-CN"/>
        </w:rPr>
      </w:pPr>
      <w:r>
        <w:rPr>
          <w:rFonts w:hint="eastAsia" w:ascii="Times New Roman" w:hAnsi="Times New Roman" w:eastAsia="方正仿宋_GBK" w:cs="方正仿宋_GBK"/>
          <w:sz w:val="32"/>
          <w:szCs w:val="32"/>
          <w:highlight w:val="none"/>
          <w:shd w:val="clear" w:color="auto" w:fill="FFFFFF"/>
          <w:lang w:eastAsia="zh-CN"/>
        </w:rPr>
        <w:t xml:space="preserve">              </w:t>
      </w:r>
      <w:r>
        <w:rPr>
          <w:rFonts w:hint="eastAsia" w:ascii="Times New Roman" w:hAnsi="Times New Roman" w:eastAsia="方正仿宋_GBK" w:cs="方正仿宋_GBK"/>
          <w:sz w:val="32"/>
          <w:szCs w:val="32"/>
          <w:highlight w:val="none"/>
          <w:shd w:val="clear" w:color="auto" w:fill="FFFFFF"/>
          <w:lang w:val="en-US" w:eastAsia="zh-CN"/>
        </w:rPr>
        <w:tab/>
      </w:r>
      <w:r>
        <w:rPr>
          <w:rFonts w:hint="eastAsia" w:ascii="Times New Roman" w:hAnsi="Times New Roman" w:eastAsia="方正仿宋_GBK" w:cs="方正仿宋_GBK"/>
          <w:sz w:val="32"/>
          <w:szCs w:val="32"/>
          <w:highlight w:val="none"/>
          <w:shd w:val="clear" w:color="auto" w:fill="FFFFFF"/>
          <w:lang w:val="en-US" w:eastAsia="zh-CN"/>
        </w:rPr>
        <w:tab/>
      </w:r>
      <w:r>
        <w:rPr>
          <w:rFonts w:hint="eastAsia" w:ascii="Times New Roman" w:hAnsi="Times New Roman" w:eastAsia="方正仿宋_GBK" w:cs="方正仿宋_GBK"/>
          <w:sz w:val="32"/>
          <w:szCs w:val="32"/>
          <w:highlight w:val="none"/>
          <w:shd w:val="clear" w:color="auto" w:fill="FFFFFF"/>
          <w:lang w:val="en-US" w:eastAsia="zh-CN"/>
        </w:rPr>
        <w:tab/>
      </w:r>
      <w:r>
        <w:rPr>
          <w:rFonts w:hint="eastAsia" w:ascii="Times New Roman" w:hAnsi="Times New Roman" w:eastAsia="方正仿宋_GBK" w:cs="方正仿宋_GBK"/>
          <w:sz w:val="32"/>
          <w:szCs w:val="32"/>
          <w:highlight w:val="none"/>
          <w:shd w:val="clear" w:color="auto" w:fill="FFFFFF"/>
          <w:lang w:val="en-US" w:eastAsia="zh-CN"/>
        </w:rPr>
        <w:tab/>
      </w:r>
      <w:r>
        <w:rPr>
          <w:rFonts w:hint="eastAsia" w:ascii="Times New Roman" w:hAnsi="Times New Roman" w:eastAsia="方正仿宋_GBK" w:cs="方正仿宋_GBK"/>
          <w:sz w:val="32"/>
          <w:szCs w:val="32"/>
          <w:highlight w:val="none"/>
          <w:shd w:val="clear" w:color="auto" w:fill="FFFFFF"/>
          <w:lang w:val="en-US" w:eastAsia="zh-CN"/>
        </w:rPr>
        <w:t xml:space="preserve">                            </w:t>
      </w:r>
      <w:r>
        <w:rPr>
          <w:rFonts w:hint="eastAsia" w:ascii="Times New Roman" w:hAnsi="Times New Roman" w:eastAsia="方正仿宋_GBK" w:cs="方正仿宋_GBK"/>
          <w:color w:val="auto"/>
          <w:sz w:val="32"/>
          <w:szCs w:val="32"/>
          <w:highlight w:val="none"/>
          <w:shd w:val="clear" w:color="auto" w:fill="auto"/>
          <w:lang w:eastAsia="zh-CN"/>
        </w:rPr>
        <w:t>甘孜州生态环境局</w:t>
      </w:r>
    </w:p>
    <w:p w14:paraId="6EEF0B33">
      <w:pPr>
        <w:pStyle w:val="23"/>
        <w:keepNext w:val="0"/>
        <w:keepLines w:val="0"/>
        <w:pageBreakBefore w:val="0"/>
        <w:widowControl w:val="0"/>
        <w:shd w:val="clear" w:color="auto" w:fill="auto"/>
        <w:kinsoku/>
        <w:wordWrap w:val="0"/>
        <w:overflowPunct/>
        <w:topLinePunct w:val="0"/>
        <w:autoSpaceDE/>
        <w:autoSpaceDN/>
        <w:bidi w:val="0"/>
        <w:adjustRightInd/>
        <w:snapToGrid/>
        <w:spacing w:before="0" w:beforeLines="0" w:beforeAutospacing="0" w:after="0" w:afterLines="0" w:afterAutospacing="0" w:line="576" w:lineRule="exact"/>
        <w:ind w:firstLine="5760" w:firstLineChars="1800"/>
        <w:jc w:val="both"/>
        <w:textAlignment w:val="auto"/>
        <w:outlineLvl w:val="0"/>
        <w:rPr>
          <w:rFonts w:hint="eastAsia" w:ascii="Times New Roman" w:hAnsi="Times New Roman" w:eastAsia="方正仿宋_GBK" w:cs="方正仿宋_GBK"/>
          <w:b w:val="0"/>
          <w:bCs w:val="0"/>
          <w:spacing w:val="0"/>
          <w:sz w:val="32"/>
          <w:szCs w:val="32"/>
          <w:highlight w:val="none"/>
        </w:rPr>
      </w:pPr>
      <w:r>
        <w:rPr>
          <w:rFonts w:hint="eastAsia" w:ascii="Times New Roman" w:hAnsi="Times New Roman" w:eastAsia="方正仿宋_GBK" w:cs="方正仿宋_GBK"/>
          <w:color w:val="auto"/>
          <w:sz w:val="32"/>
          <w:szCs w:val="32"/>
          <w:highlight w:val="none"/>
          <w:shd w:val="clear" w:color="auto" w:fill="auto"/>
          <w:lang w:eastAsia="zh-CN"/>
        </w:rPr>
        <w:t>202</w:t>
      </w:r>
      <w:r>
        <w:rPr>
          <w:rFonts w:hint="eastAsia" w:ascii="Times New Roman" w:hAnsi="Times New Roman" w:eastAsia="方正仿宋_GBK" w:cs="方正仿宋_GBK"/>
          <w:color w:val="auto"/>
          <w:sz w:val="32"/>
          <w:szCs w:val="32"/>
          <w:highlight w:val="none"/>
          <w:shd w:val="clear" w:color="auto" w:fill="auto"/>
          <w:lang w:eastAsia="zh-CN"/>
        </w:rPr>
        <w:t>6</w:t>
      </w:r>
      <w:r>
        <w:rPr>
          <w:rFonts w:hint="eastAsia" w:ascii="Times New Roman" w:hAnsi="Times New Roman" w:eastAsia="方正仿宋_GBK" w:cs="方正仿宋_GBK"/>
          <w:color w:val="auto"/>
          <w:sz w:val="32"/>
          <w:szCs w:val="32"/>
          <w:highlight w:val="none"/>
          <w:shd w:val="clear" w:color="auto" w:fill="auto"/>
          <w:lang w:eastAsia="zh-CN"/>
        </w:rPr>
        <w:t>年</w:t>
      </w:r>
      <w:r>
        <w:rPr>
          <w:rFonts w:hint="eastAsia" w:ascii="Times New Roman" w:hAnsi="Times New Roman" w:eastAsia="方正仿宋_GBK" w:cs="方正仿宋_GBK"/>
          <w:color w:val="auto"/>
          <w:sz w:val="32"/>
          <w:szCs w:val="32"/>
          <w:highlight w:val="none"/>
          <w:shd w:val="clear" w:color="auto" w:fill="auto"/>
          <w:lang w:val="en-US" w:eastAsia="zh-CN"/>
        </w:rPr>
        <w:t>5</w:t>
      </w:r>
      <w:r>
        <w:rPr>
          <w:rFonts w:hint="eastAsia" w:ascii="Times New Roman" w:hAnsi="Times New Roman" w:eastAsia="方正仿宋_GBK" w:cs="方正仿宋_GBK"/>
          <w:color w:val="auto"/>
          <w:sz w:val="32"/>
          <w:szCs w:val="32"/>
          <w:highlight w:val="none"/>
          <w:shd w:val="clear" w:color="auto" w:fill="auto"/>
          <w:lang w:eastAsia="zh-CN"/>
        </w:rPr>
        <w:t>月</w:t>
      </w:r>
      <w:r>
        <w:rPr>
          <w:rFonts w:hint="eastAsia" w:ascii="Times New Roman" w:hAnsi="Times New Roman" w:eastAsia="方正仿宋_GBK" w:cs="方正仿宋_GBK"/>
          <w:color w:val="auto"/>
          <w:sz w:val="32"/>
          <w:szCs w:val="32"/>
          <w:highlight w:val="none"/>
          <w:shd w:val="clear" w:color="auto" w:fill="auto"/>
          <w:lang w:val="en-US" w:eastAsia="zh-CN"/>
        </w:rPr>
        <w:t>28</w:t>
      </w:r>
      <w:r>
        <w:rPr>
          <w:rFonts w:hint="eastAsia" w:ascii="Times New Roman" w:hAnsi="Times New Roman" w:eastAsia="方正仿宋_GBK" w:cs="方正仿宋_GBK"/>
          <w:color w:val="auto"/>
          <w:sz w:val="32"/>
          <w:szCs w:val="32"/>
          <w:highlight w:val="none"/>
          <w:shd w:val="clear" w:color="auto" w:fill="auto"/>
          <w:lang w:eastAsia="zh-CN"/>
        </w:rPr>
        <w:t>日</w:t>
      </w:r>
    </w:p>
    <w:p w14:paraId="4C8C8343">
      <w:pPr>
        <w:keepNext w:val="0"/>
        <w:keepLines w:val="0"/>
        <w:pageBreakBefore w:val="0"/>
        <w:widowControl w:val="0"/>
        <w:shd w:val="clear" w:color="auto" w:fill="auto"/>
        <w:kinsoku/>
        <w:wordWrap w:val="0"/>
        <w:overflowPunct/>
        <w:topLinePunct w:val="0"/>
        <w:autoSpaceDE/>
        <w:autoSpaceDN/>
        <w:bidi w:val="0"/>
        <w:snapToGrid w:val="0"/>
        <w:spacing w:line="240" w:lineRule="auto"/>
        <w:jc w:val="both"/>
        <w:textAlignment w:val="auto"/>
        <w:outlineLvl w:val="0"/>
        <w:rPr>
          <w:rFonts w:hint="eastAsia" w:ascii="Times New Roman" w:hAnsi="Times New Roman" w:eastAsia="方正黑体_GBK" w:cs="方正黑体_GBK"/>
          <w:b w:val="0"/>
          <w:bCs w:val="0"/>
          <w:spacing w:val="0"/>
          <w:sz w:val="28"/>
          <w:szCs w:val="28"/>
          <w:highlight w:val="none"/>
        </w:rPr>
      </w:pPr>
    </w:p>
    <w:p w14:paraId="2445B737">
      <w:pPr>
        <w:keepNext w:val="0"/>
        <w:keepLines w:val="0"/>
        <w:pageBreakBefore w:val="0"/>
        <w:widowControl w:val="0"/>
        <w:shd w:val="clear" w:color="auto" w:fill="auto"/>
        <w:kinsoku/>
        <w:wordWrap/>
        <w:overflowPunct/>
        <w:topLinePunct w:val="0"/>
        <w:autoSpaceDE/>
        <w:autoSpaceDN/>
        <w:bidi w:val="0"/>
        <w:snapToGrid/>
        <w:spacing w:line="480" w:lineRule="exact"/>
        <w:jc w:val="left"/>
        <w:textAlignment w:val="auto"/>
        <w:outlineLvl w:val="9"/>
        <w:rPr>
          <w:rFonts w:hint="eastAsia" w:ascii="Times New Roman" w:hAnsi="Times New Roman" w:eastAsia="方正小标宋_GBK" w:cs="方正小标宋_GBK"/>
          <w:b w:val="0"/>
          <w:bCs w:val="0"/>
          <w:snapToGrid/>
          <w:spacing w:val="0"/>
          <w:kern w:val="2"/>
          <w:sz w:val="30"/>
          <w:szCs w:val="30"/>
          <w:highlight w:val="none"/>
          <w:lang w:eastAsia="zh-CN"/>
        </w:rPr>
      </w:pPr>
      <w:r>
        <w:rPr>
          <w:rFonts w:hint="eastAsia" w:ascii="Times New Roman" w:hAnsi="Times New Roman" w:eastAsia="方正黑体_GBK" w:cs="方正黑体_GBK"/>
          <w:b w:val="0"/>
          <w:bCs w:val="0"/>
          <w:spacing w:val="0"/>
          <w:sz w:val="30"/>
          <w:szCs w:val="30"/>
          <w:highlight w:val="none"/>
        </w:rPr>
        <w:t>信息公开选项</w:t>
      </w:r>
      <w:r>
        <w:rPr>
          <w:rFonts w:hint="eastAsia" w:ascii="Times New Roman" w:hAnsi="Times New Roman" w:eastAsia="方正黑体简体" w:cs="方正黑体简体"/>
          <w:b w:val="0"/>
          <w:bCs w:val="0"/>
          <w:spacing w:val="0"/>
          <w:sz w:val="30"/>
          <w:szCs w:val="30"/>
          <w:highlight w:val="none"/>
        </w:rPr>
        <w:t>：</w:t>
      </w:r>
      <w:r>
        <w:rPr>
          <w:rFonts w:hint="eastAsia" w:ascii="Times New Roman" w:hAnsi="Times New Roman" w:eastAsia="方正小标宋_GBK" w:cs="方正小标宋_GBK"/>
          <w:b w:val="0"/>
          <w:bCs w:val="0"/>
          <w:snapToGrid/>
          <w:spacing w:val="0"/>
          <w:kern w:val="2"/>
          <w:sz w:val="30"/>
          <w:szCs w:val="30"/>
          <w:highlight w:val="none"/>
          <w:lang w:eastAsia="zh-CN"/>
        </w:rPr>
        <w:t>主动公开</w:t>
      </w:r>
    </w:p>
    <w:p w14:paraId="3F370D0F">
      <w:pPr>
        <w:pStyle w:val="25"/>
        <w:widowControl w:val="0"/>
        <w:kinsoku/>
        <w:autoSpaceDE/>
        <w:autoSpaceDN/>
        <w:adjustRightInd/>
        <w:snapToGrid/>
        <w:spacing w:after="0" w:line="480" w:lineRule="exact"/>
        <w:ind w:left="0" w:leftChars="0" w:firstLine="280" w:firstLineChars="100"/>
        <w:jc w:val="both"/>
        <w:textAlignment w:val="auto"/>
        <w:rPr>
          <w:rFonts w:ascii="Times New Roman" w:hAnsi="Times New Roman" w:eastAsia="方正仿宋简体" w:cs="方正仿宋简体"/>
          <w:color w:val="auto"/>
          <w:sz w:val="28"/>
          <w:szCs w:val="28"/>
          <w:lang w:eastAsia="zh-CN"/>
        </w:rPr>
      </w:pPr>
      <w:r>
        <w:rPr>
          <w:rFonts w:hint="eastAsia" w:ascii="Times New Roman" w:hAnsi="Times New Roman" w:eastAsia="方正仿宋简体" w:cs="方正仿宋简体"/>
          <w:color w:val="auto"/>
          <w:sz w:val="28"/>
          <w:szCs w:val="28"/>
          <w:lang w:eastAsia="zh-CN"/>
        </w:rPr>
        <mc:AlternateContent>
          <mc:Choice Requires="wps">
            <w:drawing>
              <wp:anchor distT="0" distB="0" distL="114300" distR="114300" simplePos="0" relativeHeight="251662336" behindDoc="0" locked="0" layoutInCell="1" allowOverlap="1">
                <wp:simplePos x="0" y="0"/>
                <wp:positionH relativeFrom="column">
                  <wp:posOffset>-45720</wp:posOffset>
                </wp:positionH>
                <wp:positionV relativeFrom="paragraph">
                  <wp:posOffset>62230</wp:posOffset>
                </wp:positionV>
                <wp:extent cx="5727700" cy="6985"/>
                <wp:effectExtent l="0" t="0" r="0" b="0"/>
                <wp:wrapNone/>
                <wp:docPr id="3" name="直接连接符 3"/>
                <wp:cNvGraphicFramePr/>
                <a:graphic xmlns:a="http://schemas.openxmlformats.org/drawingml/2006/main">
                  <a:graphicData uri="http://schemas.microsoft.com/office/word/2010/wordprocessingShape">
                    <wps:wsp>
                      <wps:cNvCnPr/>
                      <wps:spPr>
                        <a:xfrm>
                          <a:off x="0" y="0"/>
                          <a:ext cx="5727700" cy="698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6pt;margin-top:4.9pt;height:0.55pt;width:451pt;z-index:251662336;mso-width-relative:page;mso-height-relative:page;" filled="f" stroked="t" coordsize="21600,21600" o:gfxdata="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pq3tS1QAAAAcBAAAPAAAAAAAAAAEAIAAAACIAAABkcnMvZG93bnJldi54bWxQSwECFAAU&#10;AAAACACHTuJAIbiKQPQBAADpAwAADgAAAAAAAAABACAAAAAkAQAAZHJzL2Uyb0RvYy54bWxQSwUG&#10;AAAAAAYABgBZAQAAigUAAAAA&#10;">
                <v:fill on="f" focussize="0,0"/>
                <v:stroke color="#000000" joinstyle="round"/>
                <v:imagedata o:title=""/>
                <o:lock v:ext="edit" aspectratio="f"/>
              </v:line>
            </w:pict>
          </mc:Fallback>
        </mc:AlternateContent>
      </w:r>
      <w:r>
        <w:rPr>
          <w:rFonts w:hint="eastAsia" w:ascii="Times New Roman" w:hAnsi="Times New Roman" w:eastAsia="方正仿宋简体" w:cs="方正仿宋简体"/>
          <w:color w:val="auto"/>
          <w:sz w:val="28"/>
          <w:szCs w:val="28"/>
          <w:lang w:eastAsia="zh-CN"/>
        </w:rPr>
        <w:t>抄送：白玉县人民政府，甘孜州发展和改革委员会，</w:t>
      </w:r>
    </w:p>
    <w:p w14:paraId="193CFD39">
      <w:pPr>
        <w:widowControl w:val="0"/>
        <w:kinsoku/>
        <w:wordWrap/>
        <w:autoSpaceDE/>
        <w:autoSpaceDN/>
        <w:adjustRightInd/>
        <w:snapToGrid/>
        <w:spacing w:line="480" w:lineRule="exact"/>
        <w:ind w:left="1117" w:leftChars="532" w:firstLine="0" w:firstLineChars="0"/>
        <w:jc w:val="left"/>
        <w:textAlignment w:val="auto"/>
        <w:rPr>
          <w:rFonts w:hint="eastAsia" w:ascii="Times New Roman" w:hAnsi="Times New Roman" w:eastAsia="方正仿宋简体" w:cs="方正仿宋简体"/>
          <w:color w:val="auto"/>
          <w:sz w:val="28"/>
          <w:szCs w:val="28"/>
          <w:lang w:eastAsia="zh-CN"/>
        </w:rPr>
      </w:pPr>
      <w:r>
        <w:rPr>
          <w:rFonts w:hint="eastAsia" w:ascii="Times New Roman" w:hAnsi="Times New Roman" w:eastAsia="方正仿宋简体" w:cs="方正仿宋简体"/>
          <w:color w:val="auto"/>
          <w:sz w:val="28"/>
          <w:szCs w:val="28"/>
          <w:lang w:eastAsia="zh-CN"/>
        </w:rPr>
        <w:t>甘孜州生态环境保护综合执法支队，甘孜州环境影响评估中心，甘孜州白玉生态环境局，成都维清环保科技有限公司。</w:t>
      </w:r>
    </w:p>
    <w:p w14:paraId="2C953F3B">
      <w:pPr>
        <w:widowControl w:val="0"/>
        <w:kinsoku/>
        <w:wordWrap/>
        <w:autoSpaceDE/>
        <w:autoSpaceDN/>
        <w:adjustRightInd/>
        <w:snapToGrid/>
        <w:spacing w:after="0" w:line="480" w:lineRule="exact"/>
        <w:ind w:left="0" w:leftChars="0" w:firstLine="300" w:firstLineChars="100"/>
        <w:jc w:val="left"/>
        <w:textAlignment w:val="auto"/>
        <w:rPr>
          <w:rFonts w:hint="eastAsia" w:ascii="Times New Roman" w:hAnsi="Times New Roman" w:eastAsia="方正仿宋_GBK" w:cs="方正仿宋_GBK"/>
          <w:b w:val="0"/>
          <w:bCs w:val="0"/>
          <w:sz w:val="30"/>
          <w:szCs w:val="30"/>
          <w:highlight w:val="none"/>
          <w:lang w:eastAsia="zh-CN"/>
        </w:rPr>
      </w:pPr>
      <w:r>
        <w:rPr>
          <w:rFonts w:hint="eastAsia" w:ascii="Times New Roman" w:hAnsi="Times New Roman" w:eastAsia="方正仿宋_GBK" w:cs="方正仿宋_GBK"/>
          <w:sz w:val="30"/>
          <w:szCs w:val="30"/>
          <w:highlight w:val="none"/>
          <w:lang w:eastAsia="zh-CN"/>
        </w:rPr>
        <mc:AlternateContent>
          <mc:Choice Requires="wps">
            <w:drawing>
              <wp:anchor distT="0" distB="0" distL="114300" distR="114300" simplePos="0" relativeHeight="251661312" behindDoc="0" locked="0" layoutInCell="1" allowOverlap="1">
                <wp:simplePos x="0" y="0"/>
                <wp:positionH relativeFrom="column">
                  <wp:posOffset>-36830</wp:posOffset>
                </wp:positionH>
                <wp:positionV relativeFrom="paragraph">
                  <wp:posOffset>36195</wp:posOffset>
                </wp:positionV>
                <wp:extent cx="5727700" cy="6985"/>
                <wp:effectExtent l="0" t="0" r="0" b="0"/>
                <wp:wrapNone/>
                <wp:docPr id="15" name="直接连接符 15"/>
                <wp:cNvGraphicFramePr/>
                <a:graphic xmlns:a="http://schemas.openxmlformats.org/drawingml/2006/main">
                  <a:graphicData uri="http://schemas.microsoft.com/office/word/2010/wordprocessingShape">
                    <wps:wsp>
                      <wps:cNvCnPr/>
                      <wps:spPr>
                        <a:xfrm>
                          <a:off x="0" y="0"/>
                          <a:ext cx="5727700" cy="6985"/>
                        </a:xfrm>
                        <a:prstGeom prst="line">
                          <a:avLst/>
                        </a:prstGeom>
                        <a:ln w="63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9pt;margin-top:2.85pt;height:0.55pt;width:451pt;z-index:251661312;mso-width-relative:page;mso-height-relative:page;" filled="f" stroked="t" coordsize="21600,21600" o:gfxdata="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tAlfK1AAAAAYBAAAPAAAAAAAAAAEAIAAAACIAAABkcnMvZG93bnJldi54bWxQSwECFAAU&#10;AAAACACHTuJAz7yVivUBAADrAwAADgAAAAAAAAABACAAAAAjAQAAZHJzL2Uyb0RvYy54bWxQSwUG&#10;AAAAAAYABgBZAQAAigUAAAAA&#10;">
                <v:fill on="f" focussize="0,0"/>
                <v:stroke weight="0.5pt" color="#000000" joinstyle="round"/>
                <v:imagedata o:title=""/>
                <o:lock v:ext="edit" aspectratio="f"/>
              </v:line>
            </w:pict>
          </mc:Fallback>
        </mc:AlternateContent>
      </w:r>
      <w:r>
        <w:rPr>
          <w:rFonts w:hint="eastAsia" w:ascii="Times New Roman" w:hAnsi="Times New Roman" w:eastAsia="方正仿宋_GBK" w:cs="方正仿宋_GBK"/>
          <w:sz w:val="30"/>
          <w:szCs w:val="30"/>
          <w:highlight w:val="none"/>
          <w:lang w:eastAsia="zh-CN"/>
        </w:rPr>
        <mc:AlternateContent>
          <mc:Choice Requires="wps">
            <w:drawing>
              <wp:anchor distT="0" distB="0" distL="114300" distR="114300" simplePos="0" relativeHeight="251660288" behindDoc="0" locked="0" layoutInCell="1" allowOverlap="1">
                <wp:simplePos x="0" y="0"/>
                <wp:positionH relativeFrom="column">
                  <wp:posOffset>-19685</wp:posOffset>
                </wp:positionH>
                <wp:positionV relativeFrom="paragraph">
                  <wp:posOffset>323215</wp:posOffset>
                </wp:positionV>
                <wp:extent cx="5727700" cy="6985"/>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27700" cy="698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55pt;margin-top:25.45pt;height:0.55pt;width:451pt;z-index:251660288;mso-width-relative:page;mso-height-relative:page;" filled="f" stroked="t" coordsize="21600,21600" o:gfxdata="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S3/fvXAAAACAEAAA8AAAAAAAAAAQAgAAAAIgAAAGRycy9kb3ducmV2LnhtbFBLAQIU&#10;ABQAAAAIAIdO4kCiFcR59AEAAOsDAAAOAAAAAAAAAAEAIAAAACYBAABkcnMvZTJvRG9jLnhtbFBL&#10;BQYAAAAABgAGAFkBAACMBQAAAAA=&#10;">
                <v:fill on="f" focussize="0,0"/>
                <v:stroke color="#000000" joinstyle="round"/>
                <v:imagedata o:title=""/>
                <o:lock v:ext="edit" aspectratio="f"/>
              </v:line>
            </w:pict>
          </mc:Fallback>
        </mc:AlternateContent>
      </w:r>
      <w:r>
        <w:rPr>
          <w:rFonts w:hint="eastAsia" w:ascii="Times New Roman" w:hAnsi="Times New Roman" w:eastAsia="方正仿宋_GBK" w:cs="方正仿宋_GBK"/>
          <w:sz w:val="30"/>
          <w:szCs w:val="30"/>
          <w:highlight w:val="none"/>
          <w:lang w:eastAsia="zh-CN"/>
        </w:rPr>
        <w:t xml:space="preserve">甘孜州生态环境局办公室                </w:t>
      </w:r>
      <w:r>
        <w:rPr>
          <w:rFonts w:hint="eastAsia" w:ascii="Times New Roman" w:hAnsi="Times New Roman" w:eastAsia="方正仿宋_GBK" w:cs="方正仿宋_GBK"/>
          <w:sz w:val="30"/>
          <w:szCs w:val="30"/>
          <w:highlight w:val="none"/>
          <w:lang w:val="en-US" w:eastAsia="zh-CN"/>
        </w:rPr>
        <w:t xml:space="preserve">             </w:t>
      </w:r>
      <w:r>
        <w:rPr>
          <w:rFonts w:hint="eastAsia" w:ascii="Times New Roman" w:hAnsi="Times New Roman" w:eastAsia="方正仿宋_GBK" w:cs="方正仿宋_GBK"/>
          <w:sz w:val="30"/>
          <w:szCs w:val="30"/>
          <w:highlight w:val="none"/>
          <w:lang w:eastAsia="zh-CN"/>
        </w:rPr>
        <w:t xml:space="preserve"> </w:t>
      </w:r>
      <w:r>
        <w:rPr>
          <w:rFonts w:hint="eastAsia" w:ascii="Times New Roman" w:hAnsi="Times New Roman" w:eastAsia="方正仿宋_GBK" w:cs="方正仿宋_GBK"/>
          <w:b w:val="0"/>
          <w:bCs w:val="0"/>
          <w:color w:val="auto"/>
          <w:sz w:val="30"/>
          <w:szCs w:val="30"/>
          <w:highlight w:val="none"/>
          <w:lang w:eastAsia="zh-CN"/>
        </w:rPr>
        <w:t>202</w:t>
      </w:r>
      <w:r>
        <w:rPr>
          <w:rFonts w:hint="eastAsia" w:ascii="Times New Roman" w:hAnsi="Times New Roman" w:eastAsia="方正仿宋_GBK" w:cs="方正仿宋_GBK"/>
          <w:b w:val="0"/>
          <w:bCs w:val="0"/>
          <w:color w:val="auto"/>
          <w:sz w:val="30"/>
          <w:szCs w:val="30"/>
          <w:highlight w:val="none"/>
          <w:lang w:val="en-US" w:eastAsia="zh-CN"/>
        </w:rPr>
        <w:t>6</w:t>
      </w:r>
      <w:r>
        <w:rPr>
          <w:rFonts w:hint="eastAsia" w:ascii="Times New Roman" w:hAnsi="Times New Roman" w:eastAsia="方正仿宋_GBK" w:cs="方正仿宋_GBK"/>
          <w:b w:val="0"/>
          <w:bCs w:val="0"/>
          <w:color w:val="auto"/>
          <w:sz w:val="30"/>
          <w:szCs w:val="30"/>
          <w:highlight w:val="none"/>
          <w:lang w:eastAsia="zh-CN"/>
        </w:rPr>
        <w:t>年</w:t>
      </w:r>
      <w:r>
        <w:rPr>
          <w:rFonts w:hint="eastAsia" w:ascii="Times New Roman" w:hAnsi="Times New Roman" w:eastAsia="方正仿宋_GBK" w:cs="方正仿宋_GBK"/>
          <w:b w:val="0"/>
          <w:bCs w:val="0"/>
          <w:color w:val="auto"/>
          <w:sz w:val="30"/>
          <w:szCs w:val="30"/>
          <w:highlight w:val="none"/>
          <w:lang w:val="en-US" w:eastAsia="zh-CN"/>
        </w:rPr>
        <w:t>5</w:t>
      </w:r>
      <w:r>
        <w:rPr>
          <w:rFonts w:hint="eastAsia" w:ascii="Times New Roman" w:hAnsi="Times New Roman" w:eastAsia="方正仿宋_GBK" w:cs="方正仿宋_GBK"/>
          <w:b w:val="0"/>
          <w:bCs w:val="0"/>
          <w:color w:val="auto"/>
          <w:sz w:val="30"/>
          <w:szCs w:val="30"/>
          <w:highlight w:val="none"/>
          <w:lang w:eastAsia="zh-CN"/>
        </w:rPr>
        <w:t>月</w:t>
      </w:r>
      <w:r>
        <w:rPr>
          <w:rFonts w:hint="eastAsia" w:ascii="Times New Roman" w:hAnsi="Times New Roman" w:eastAsia="方正仿宋_GBK" w:cs="方正仿宋_GBK"/>
          <w:b w:val="0"/>
          <w:bCs w:val="0"/>
          <w:color w:val="auto"/>
          <w:sz w:val="30"/>
          <w:szCs w:val="30"/>
          <w:highlight w:val="none"/>
          <w:lang w:val="en-US" w:eastAsia="zh-CN"/>
        </w:rPr>
        <w:t>28</w:t>
      </w:r>
      <w:r>
        <w:rPr>
          <w:rFonts w:hint="eastAsia" w:ascii="Times New Roman" w:hAnsi="Times New Roman" w:eastAsia="方正仿宋_GBK" w:cs="方正仿宋_GBK"/>
          <w:b w:val="0"/>
          <w:bCs w:val="0"/>
          <w:color w:val="auto"/>
          <w:sz w:val="30"/>
          <w:szCs w:val="30"/>
          <w:highlight w:val="none"/>
          <w:lang w:eastAsia="zh-CN"/>
        </w:rPr>
        <w:t>日</w:t>
      </w:r>
      <w:r>
        <w:rPr>
          <w:rFonts w:hint="eastAsia" w:ascii="Times New Roman" w:hAnsi="Times New Roman" w:eastAsia="方正仿宋简体" w:cs="方正仿宋简体"/>
          <w:b w:val="0"/>
          <w:bCs w:val="0"/>
          <w:color w:val="auto"/>
          <w:sz w:val="30"/>
          <w:szCs w:val="30"/>
          <w:highlight w:val="none"/>
          <w:lang w:eastAsia="zh-CN"/>
        </w:rPr>
        <w:t>印发</w:t>
      </w:r>
    </w:p>
    <w:sectPr>
      <w:footerReference r:id="rId5" w:type="default"/>
      <w:pgSz w:w="11900" w:h="16830"/>
      <w:pgMar w:top="2098" w:right="1531" w:bottom="1871" w:left="1531" w:header="0" w:footer="1417" w:gutter="0"/>
      <w:pgNumType w:fmt="decimal" w:start="2"/>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Luxi Sans">
    <w:altName w:val="华文仿宋"/>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仿宋简体">
    <w:altName w:val="方正仿宋_GBK"/>
    <w:panose1 w:val="02000000000000000000"/>
    <w:charset w:val="86"/>
    <w:family w:val="script"/>
    <w:pitch w:val="default"/>
    <w:sig w:usb0="00000000" w:usb1="00000000" w:usb2="00000012" w:usb3="00000000" w:csb0="00040001" w:csb1="00000000"/>
  </w:font>
  <w:font w:name="方正黑体简体">
    <w:altName w:val="方正黑体_GBK"/>
    <w:panose1 w:val="02010601030101010101"/>
    <w:charset w:val="86"/>
    <w:family w:val="script"/>
    <w:pitch w:val="default"/>
    <w:sig w:usb0="00000000" w:usb1="00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C30F6">
    <w:pPr>
      <w:spacing w:line="14" w:lineRule="auto"/>
      <w:rPr>
        <w:sz w:val="2"/>
      </w:rPr>
    </w:pPr>
  </w:p>
  <w:p w14:paraId="40DD397C">
    <w:pPr>
      <w:spacing w:line="14" w:lineRule="auto"/>
      <w:rPr>
        <w:sz w:val="2"/>
      </w:rPr>
    </w:pPr>
    <w:r>
      <w:rPr>
        <w:sz w:val="2"/>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-154305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DFD876">
                          <w:pPr>
                            <w:pStyle w:val="16"/>
                            <w:rPr>
                              <w:rFonts w:hint="eastAsia" w:asciiTheme="minorEastAsia" w:hAnsiTheme="minorEastAsia" w:eastAsiaTheme="minorEastAsia" w:cstheme="minorEastAsia"/>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2.15pt;height:144pt;width:144pt;mso-position-horizontal:outside;mso-position-horizontal-relative:margin;mso-wrap-style:none;z-index:251664384;mso-width-relative:page;mso-height-relative:page;" filled="f" stroked="f" coordsize="21600,21600" o:gfxdata="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XtrWt2&#10;dX8BfWdZ2OgHy2OaKKS3y32AmEnjKFCvylk3dF6q0nlKYmv/uU9Rj3+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Ewxn41gAAAAgBAAAPAAAAAAAAAAEAIAAAACIAAABkcnMvZG93bnJldi54bWxQ&#10;SwECFAAUAAAACACHTuJAuow4KzICAABhBAAADgAAAAAAAAABACAAAAAlAQAAZHJzL2Uyb0RvYy54&#10;bWxQSwUGAAAAAAYABgBZAQAAyQUAAAAA&#10;">
              <v:fill on="f" focussize="0,0"/>
              <v:stroke on="f" weight="0.5pt"/>
              <v:imagedata o:title=""/>
              <o:lock v:ext="edit" aspectratio="f"/>
              <v:textbox inset="0mm,0mm,0mm,0mm" style="mso-fit-shape-to-text:t;">
                <w:txbxContent>
                  <w:p w14:paraId="3CDFD876">
                    <w:pPr>
                      <w:pStyle w:val="16"/>
                      <w:rPr>
                        <w:rFonts w:hint="eastAsia" w:asciiTheme="minorEastAsia" w:hAnsiTheme="minorEastAsia" w:eastAsiaTheme="minorEastAsia" w:cstheme="minorEastAsia"/>
                        <w:sz w:val="28"/>
                        <w:szCs w:val="28"/>
                      </w:rPr>
                    </w:pPr>
                  </w:p>
                </w:txbxContent>
              </v:textbox>
            </v:shape>
          </w:pict>
        </mc:Fallback>
      </mc:AlternateContent>
    </w:r>
    <w:r>
      <w:rPr>
        <w:sz w:val="2"/>
        <w:lang w:eastAsia="zh-CN"/>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-206375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14D4DE">
                          <w:pPr>
                            <w:pStyle w:val="16"/>
                            <w:rPr>
                              <w:rFonts w:ascii="Times New Roman" w:hAnsi="Times New Roman" w:cs="Times New Roman"/>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6.25pt;height:144pt;width:144pt;mso-position-horizontal:outside;mso-position-horizontal-relative:margin;mso-wrap-style:none;z-index:251663360;mso-width-relative:page;mso-height-relative:page;" filled="f" stroked="f" coordsize="21600,21600" o:gfxdata="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3k7T9sLVA3CpkSOS6B4brdDs&#10;m57Z3uRnEHOm6wxv+aZC8i3z4YE5tAIejGEJ91gKaZDE9BYlpXFf/3Ue41EheCmp0VoZ1ZgkSuQH&#10;jcoBMAyGG4z9YOijujPo1TGG0PLWxAUX5GAWzqgvmKBVzAEX0xyZMhoG8y507Y0J5GK1aoPQa5aF&#10;rd5ZHqGjeN6ujgECtrpGUToleq3QbW1l+smI7fznvo16+hssH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krwsS1gAAAAgBAAAPAAAAAAAAAAEAIAAAACIAAABkcnMvZG93bnJldi54bWxQSwECFAAU&#10;AAAACACHTuJAr2PYMCwCAABVBAAADgAAAAAAAAABACAAAAAlAQAAZHJzL2Uyb0RvYy54bWxQSwUG&#10;AAAAAAYABgBZAQAAwwUAAAAA&#10;">
              <v:fill on="f" focussize="0,0"/>
              <v:stroke on="f" weight="0.5pt"/>
              <v:imagedata o:title=""/>
              <o:lock v:ext="edit" aspectratio="f"/>
              <v:textbox inset="0mm,0mm,0mm,0mm" style="mso-fit-shape-to-text:t;">
                <w:txbxContent>
                  <w:p w14:paraId="0514D4DE">
                    <w:pPr>
                      <w:pStyle w:val="16"/>
                      <w:rPr>
                        <w:rFonts w:ascii="Times New Roman" w:hAnsi="Times New Roman" w:cs="Times New Roman"/>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519FA">
    <w:pPr>
      <w:spacing w:line="14" w:lineRule="auto"/>
      <w:rPr>
        <w:sz w:val="2"/>
      </w:rPr>
    </w:pPr>
  </w:p>
  <w:p w14:paraId="2E7FABED">
    <w:pPr>
      <w:spacing w:line="14" w:lineRule="auto"/>
      <w:rPr>
        <w:sz w:val="2"/>
      </w:rPr>
    </w:pPr>
    <w:r>
      <w:rPr>
        <w:sz w:val="2"/>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-154305</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33A87E">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2.15pt;height:144pt;width:144pt;mso-position-horizontal:outside;mso-position-horizontal-relative:margin;mso-wrap-style:none;z-index:251666432;mso-width-relative:page;mso-height-relative:page;" filled="f" stroked="f" coordsize="21600,21600" o:gfxdata="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TDGfjWAAAACAEAAA8AAAAAAAAAAQAgAAAAIgAAAGRycy9kb3ducmV2LnhtbFBL&#10;AQIUABQAAAAIAIdO4kDrADh6MQIAAGMEAAAOAAAAAAAAAAEAIAAAACUBAABkcnMvZTJvRG9jLnht&#10;bFBLBQYAAAAABgAGAFkBAADIBQAAAAA=&#10;">
              <v:fill on="f" focussize="0,0"/>
              <v:stroke on="f" weight="0.5pt"/>
              <v:imagedata o:title=""/>
              <o:lock v:ext="edit" aspectratio="f"/>
              <v:textbox inset="0mm,0mm,0mm,0mm" style="mso-fit-shape-to-text:t;">
                <w:txbxContent>
                  <w:p w14:paraId="3C33A87E">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sz w:val="2"/>
        <w:lang w:eastAsia="zh-CN"/>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-206375</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F658D4">
                          <w:pPr>
                            <w:pStyle w:val="16"/>
                            <w:rPr>
                              <w:rFonts w:ascii="Times New Roman" w:hAnsi="Times New Roman" w:cs="Times New Roman"/>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6.25pt;height:144pt;width:144pt;mso-position-horizontal:outside;mso-position-horizontal-relative:margin;mso-wrap-style:none;z-index:251665408;mso-width-relative:page;mso-height-relative:page;" filled="f" stroked="f" coordsize="21600,21600" o:gfxdata="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SvCxLWAAAACAEAAA8AAAAAAAAAAQAgAAAAIgAAAGRycy9kb3ducmV2LnhtbFBLAQIUABQA&#10;AAAIAIdO4kCaRnGMKwIAAFcEAAAOAAAAAAAAAAEAIAAAACUBAABkcnMvZTJvRG9jLnhtbFBLBQYA&#10;AAAABgAGAFkBAADCBQAAAAA=&#10;">
              <v:fill on="f" focussize="0,0"/>
              <v:stroke on="f" weight="0.5pt"/>
              <v:imagedata o:title=""/>
              <o:lock v:ext="edit" aspectratio="f"/>
              <v:textbox inset="0mm,0mm,0mm,0mm" style="mso-fit-shape-to-text:t;">
                <w:txbxContent>
                  <w:p w14:paraId="1EF658D4">
                    <w:pPr>
                      <w:pStyle w:val="16"/>
                      <w:rPr>
                        <w:rFonts w:ascii="Times New Roman" w:hAnsi="Times New Roman" w:cs="Times New Roman"/>
                        <w:sz w:val="28"/>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3DB34">
    <w:pPr>
      <w:spacing w:line="52" w:lineRule="auto"/>
      <w:rPr>
        <w:sz w:val="2"/>
      </w:rPr>
    </w:pPr>
    <w:r>
      <w:rPr>
        <w:lang w:eastAsia="zh-CN"/>
      </w:rPr>
      <mc:AlternateContent>
        <mc:Choice Requires="wps">
          <w:drawing>
            <wp:anchor distT="0" distB="0" distL="114300" distR="114300" simplePos="0" relativeHeight="251659264" behindDoc="0" locked="0" layoutInCell="0" allowOverlap="1">
              <wp:simplePos x="0" y="0"/>
              <wp:positionH relativeFrom="page">
                <wp:posOffset>401955</wp:posOffset>
              </wp:positionH>
              <wp:positionV relativeFrom="page">
                <wp:posOffset>1022985</wp:posOffset>
              </wp:positionV>
              <wp:extent cx="431165" cy="9525"/>
              <wp:effectExtent l="0" t="0" r="0" b="0"/>
              <wp:wrapNone/>
              <wp:docPr id="10" name="矩形 10"/>
              <wp:cNvGraphicFramePr/>
              <a:graphic xmlns:a="http://schemas.openxmlformats.org/drawingml/2006/main">
                <a:graphicData uri="http://schemas.microsoft.com/office/word/2010/wordprocessingShape">
                  <wps:wsp>
                    <wps:cNvSpPr/>
                    <wps:spPr>
                      <a:xfrm>
                        <a:off x="0" y="0"/>
                        <a:ext cx="431165" cy="9525"/>
                      </a:xfrm>
                      <a:prstGeom prst="rect">
                        <a:avLst/>
                      </a:prstGeom>
                      <a:solidFill>
                        <a:srgbClr val="FFFFFF"/>
                      </a:solidFill>
                      <a:ln>
                        <a:noFill/>
                      </a:ln>
                      <a:effectLst/>
                    </wps:spPr>
                    <wps:bodyPr upright="1"/>
                  </wps:wsp>
                </a:graphicData>
              </a:graphic>
            </wp:anchor>
          </w:drawing>
        </mc:Choice>
        <mc:Fallback>
          <w:pict>
            <v:rect id="_x0000_s1026" o:spid="_x0000_s1026" o:spt="1" style="position:absolute;left:0pt;margin-left:31.65pt;margin-top:80.55pt;height:0.75pt;width:33.95pt;mso-position-horizontal-relative:page;mso-position-vertical-relative:page;z-index:251659264;mso-width-relative:page;mso-height-relative:page;" fillcolor="#FFFFFF" filled="t" stroked="f" coordsize="21600,21600" o:allowincell="f" o:gfxdata="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TtHN&#10;NdYAAAAKAQAADwAAAAAAAAABACAAAAAiAAAAZHJzL2Rvd25yZXYueG1sUEsBAhQAFAAAAAgAh07i&#10;QDjkaVuyAQAAbAMAAA4AAAAAAAAAAQAgAAAAJQEAAGRycy9lMm9Eb2MueG1sUEsFBgAAAAAGAAYA&#10;WQEAAEkFAAAAAA==&#10;">
              <v:fill on="t" focussize="0,0"/>
              <v:stroke on="f"/>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isplayBackgroundShape w:val="1"/>
  <w:embedTrueTypeFonts/>
  <w:saveSubsetFonts/>
  <w:bordersDoNotSurroundHeader w:val="1"/>
  <w:bordersDoNotSurroundFooter w:val="1"/>
  <w:trackRevisions w:val="1"/>
  <w:documentProtection w:enforcement="0"/>
  <w:defaultTabStop w:val="420"/>
  <w:noPunctuationKerning w:val="1"/>
  <w:characterSpacingControl w:val="doNotCompress"/>
  <w:hdrShapeDefaults>
    <o:shapelayout v:ext="edit">
      <o:idmap v:ext="edit" data="3"/>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jc5OGU1NjU0Mjg4YWQ3NjYwNTBkM2VhNTg2NWJkYTAifQ=="/>
  </w:docVars>
  <w:rsids>
    <w:rsidRoot w:val="00DC2CD1"/>
    <w:rsid w:val="001248A4"/>
    <w:rsid w:val="00127DEA"/>
    <w:rsid w:val="001B7271"/>
    <w:rsid w:val="0020529D"/>
    <w:rsid w:val="00287C77"/>
    <w:rsid w:val="002D2325"/>
    <w:rsid w:val="002F185B"/>
    <w:rsid w:val="003A24E9"/>
    <w:rsid w:val="004237BF"/>
    <w:rsid w:val="005A328F"/>
    <w:rsid w:val="005F5938"/>
    <w:rsid w:val="00644EEA"/>
    <w:rsid w:val="00775A45"/>
    <w:rsid w:val="00822A27"/>
    <w:rsid w:val="00883B00"/>
    <w:rsid w:val="0089444E"/>
    <w:rsid w:val="00984034"/>
    <w:rsid w:val="00AB0268"/>
    <w:rsid w:val="00B70907"/>
    <w:rsid w:val="00CB1F54"/>
    <w:rsid w:val="00D028B1"/>
    <w:rsid w:val="00DC2CD1"/>
    <w:rsid w:val="00E2264D"/>
    <w:rsid w:val="00E33FF3"/>
    <w:rsid w:val="07BFB100"/>
    <w:rsid w:val="07F715C6"/>
    <w:rsid w:val="0F022DEF"/>
    <w:rsid w:val="0F571139"/>
    <w:rsid w:val="0FB27DE8"/>
    <w:rsid w:val="0FF53569"/>
    <w:rsid w:val="108D39A0"/>
    <w:rsid w:val="11D54B9C"/>
    <w:rsid w:val="1A6F0D79"/>
    <w:rsid w:val="1B9B2FF4"/>
    <w:rsid w:val="1BB7344B"/>
    <w:rsid w:val="1BBF18BC"/>
    <w:rsid w:val="1CF20A63"/>
    <w:rsid w:val="1E758680"/>
    <w:rsid w:val="275E0F08"/>
    <w:rsid w:val="2BFB3D91"/>
    <w:rsid w:val="2D2A4A40"/>
    <w:rsid w:val="2DF21A11"/>
    <w:rsid w:val="2DFF6E98"/>
    <w:rsid w:val="2F7D8E89"/>
    <w:rsid w:val="346302B1"/>
    <w:rsid w:val="359332F6"/>
    <w:rsid w:val="36FFDF59"/>
    <w:rsid w:val="371D7D04"/>
    <w:rsid w:val="37DFFB96"/>
    <w:rsid w:val="3AF91D07"/>
    <w:rsid w:val="3BEF2C7A"/>
    <w:rsid w:val="3BFFC6E7"/>
    <w:rsid w:val="3D074865"/>
    <w:rsid w:val="3DFEE637"/>
    <w:rsid w:val="3E75ED56"/>
    <w:rsid w:val="3EEDC83A"/>
    <w:rsid w:val="3EF6E51A"/>
    <w:rsid w:val="3F7FDEDA"/>
    <w:rsid w:val="3FA7CB69"/>
    <w:rsid w:val="3FBE46C2"/>
    <w:rsid w:val="3FBFCFBF"/>
    <w:rsid w:val="3FFB1385"/>
    <w:rsid w:val="3FFF1293"/>
    <w:rsid w:val="46F6697D"/>
    <w:rsid w:val="47BF364F"/>
    <w:rsid w:val="4CFFD3C6"/>
    <w:rsid w:val="4D2B23F8"/>
    <w:rsid w:val="4F4D14CB"/>
    <w:rsid w:val="4FBD6C9D"/>
    <w:rsid w:val="4FEA1AB7"/>
    <w:rsid w:val="50CE367A"/>
    <w:rsid w:val="56F53EF3"/>
    <w:rsid w:val="57E740D4"/>
    <w:rsid w:val="57E7A79E"/>
    <w:rsid w:val="57FF897D"/>
    <w:rsid w:val="588D6F55"/>
    <w:rsid w:val="595F34AB"/>
    <w:rsid w:val="59B937CD"/>
    <w:rsid w:val="5B4FEBE9"/>
    <w:rsid w:val="5DF7DAE2"/>
    <w:rsid w:val="5DFBB1AC"/>
    <w:rsid w:val="5E42470E"/>
    <w:rsid w:val="5E7FFE5C"/>
    <w:rsid w:val="5EFF352D"/>
    <w:rsid w:val="5F3B711E"/>
    <w:rsid w:val="5F6B27AE"/>
    <w:rsid w:val="5F7F1073"/>
    <w:rsid w:val="5FEFC9B6"/>
    <w:rsid w:val="5FF33FFF"/>
    <w:rsid w:val="5FF66281"/>
    <w:rsid w:val="62AB440F"/>
    <w:rsid w:val="65BF01BD"/>
    <w:rsid w:val="66FD3090"/>
    <w:rsid w:val="671E0F55"/>
    <w:rsid w:val="675F72D4"/>
    <w:rsid w:val="67DEE56C"/>
    <w:rsid w:val="67F546B3"/>
    <w:rsid w:val="68FFF4F8"/>
    <w:rsid w:val="6B677826"/>
    <w:rsid w:val="6BD6E799"/>
    <w:rsid w:val="6BEF36DF"/>
    <w:rsid w:val="6BFE9C34"/>
    <w:rsid w:val="6C6039DA"/>
    <w:rsid w:val="6C6F518E"/>
    <w:rsid w:val="6CF96173"/>
    <w:rsid w:val="6D33133C"/>
    <w:rsid w:val="6D6E3416"/>
    <w:rsid w:val="6D7FFED9"/>
    <w:rsid w:val="6DDFFBDC"/>
    <w:rsid w:val="6DEE552E"/>
    <w:rsid w:val="6DF5278E"/>
    <w:rsid w:val="6E97DA69"/>
    <w:rsid w:val="6FB8E99A"/>
    <w:rsid w:val="6FF6AE11"/>
    <w:rsid w:val="6FFDE2FC"/>
    <w:rsid w:val="71CB575B"/>
    <w:rsid w:val="71FDA3D4"/>
    <w:rsid w:val="726FF8E6"/>
    <w:rsid w:val="734723CC"/>
    <w:rsid w:val="73CFE6FA"/>
    <w:rsid w:val="73FD6AA1"/>
    <w:rsid w:val="75AB55A7"/>
    <w:rsid w:val="75E5F8A1"/>
    <w:rsid w:val="75F60686"/>
    <w:rsid w:val="75F7C0DC"/>
    <w:rsid w:val="76DF86E8"/>
    <w:rsid w:val="777B4487"/>
    <w:rsid w:val="77B5C8F6"/>
    <w:rsid w:val="77BBA932"/>
    <w:rsid w:val="77C3DB3D"/>
    <w:rsid w:val="77FED181"/>
    <w:rsid w:val="78FB8429"/>
    <w:rsid w:val="7AFF9BB6"/>
    <w:rsid w:val="7B79543D"/>
    <w:rsid w:val="7BCBF09C"/>
    <w:rsid w:val="7BED1548"/>
    <w:rsid w:val="7BFA32BE"/>
    <w:rsid w:val="7BFAC9F9"/>
    <w:rsid w:val="7BFE9249"/>
    <w:rsid w:val="7BFF81BF"/>
    <w:rsid w:val="7D678D7C"/>
    <w:rsid w:val="7D8FC703"/>
    <w:rsid w:val="7D9404C0"/>
    <w:rsid w:val="7DFDF6ED"/>
    <w:rsid w:val="7DFF8EC8"/>
    <w:rsid w:val="7E3FE503"/>
    <w:rsid w:val="7E5EF602"/>
    <w:rsid w:val="7E767249"/>
    <w:rsid w:val="7E7F7C46"/>
    <w:rsid w:val="7EB41CCF"/>
    <w:rsid w:val="7EE2F48C"/>
    <w:rsid w:val="7EFF57F7"/>
    <w:rsid w:val="7F76798A"/>
    <w:rsid w:val="7FD91B40"/>
    <w:rsid w:val="7FDEF4D9"/>
    <w:rsid w:val="7FDF0122"/>
    <w:rsid w:val="7FDFBEFD"/>
    <w:rsid w:val="7FE7EA6A"/>
    <w:rsid w:val="7FEA2ADF"/>
    <w:rsid w:val="7FEF40DD"/>
    <w:rsid w:val="7FF41C08"/>
    <w:rsid w:val="7FFAF49F"/>
    <w:rsid w:val="7FFB64C0"/>
    <w:rsid w:val="7FFF1A1C"/>
    <w:rsid w:val="7FFF48B5"/>
    <w:rsid w:val="7FFFCD66"/>
    <w:rsid w:val="916E1B5F"/>
    <w:rsid w:val="95BD9540"/>
    <w:rsid w:val="9D5D76F3"/>
    <w:rsid w:val="9E9C01CE"/>
    <w:rsid w:val="9EF50DBC"/>
    <w:rsid w:val="9F59DF18"/>
    <w:rsid w:val="9F5F3A9A"/>
    <w:rsid w:val="A3DA6AC5"/>
    <w:rsid w:val="AF7D4D47"/>
    <w:rsid w:val="B5FB7737"/>
    <w:rsid w:val="B62FC31E"/>
    <w:rsid w:val="B99F1E6B"/>
    <w:rsid w:val="B9EC35C6"/>
    <w:rsid w:val="BC3D7348"/>
    <w:rsid w:val="BC7A672A"/>
    <w:rsid w:val="BFEB4E60"/>
    <w:rsid w:val="BFF536C1"/>
    <w:rsid w:val="BFFA8F7D"/>
    <w:rsid w:val="BFFE5507"/>
    <w:rsid w:val="BFFF35E0"/>
    <w:rsid w:val="C3BE5563"/>
    <w:rsid w:val="CA8D8A4F"/>
    <w:rsid w:val="CDFCB6DE"/>
    <w:rsid w:val="CFAB5125"/>
    <w:rsid w:val="D6E9DD4E"/>
    <w:rsid w:val="D7F3F5B3"/>
    <w:rsid w:val="DBF94732"/>
    <w:rsid w:val="DDA4633D"/>
    <w:rsid w:val="DDB7E9BF"/>
    <w:rsid w:val="DDF3C19B"/>
    <w:rsid w:val="DE758F0E"/>
    <w:rsid w:val="DEE38F7F"/>
    <w:rsid w:val="DFB771FC"/>
    <w:rsid w:val="DFE6A999"/>
    <w:rsid w:val="DFFF6A3C"/>
    <w:rsid w:val="E3E3A092"/>
    <w:rsid w:val="E4FFEA05"/>
    <w:rsid w:val="E5BAC1A1"/>
    <w:rsid w:val="E7AD2DBA"/>
    <w:rsid w:val="E7DF58F3"/>
    <w:rsid w:val="E95FEDFA"/>
    <w:rsid w:val="E9F9B9B4"/>
    <w:rsid w:val="EAD90F78"/>
    <w:rsid w:val="EB2F9623"/>
    <w:rsid w:val="EB8EFC60"/>
    <w:rsid w:val="EBFB4F36"/>
    <w:rsid w:val="EC3EF99D"/>
    <w:rsid w:val="ECBD1976"/>
    <w:rsid w:val="EDD5925C"/>
    <w:rsid w:val="EE7E203B"/>
    <w:rsid w:val="EECEE540"/>
    <w:rsid w:val="EEEFA37E"/>
    <w:rsid w:val="EEFF0943"/>
    <w:rsid w:val="EF7F9451"/>
    <w:rsid w:val="EF9C8AE7"/>
    <w:rsid w:val="EFBFA815"/>
    <w:rsid w:val="F16E4B16"/>
    <w:rsid w:val="F19E774D"/>
    <w:rsid w:val="F1FF278C"/>
    <w:rsid w:val="F2C48A87"/>
    <w:rsid w:val="F4FDCAC9"/>
    <w:rsid w:val="F4FFB7B4"/>
    <w:rsid w:val="F5997006"/>
    <w:rsid w:val="F62E7EFD"/>
    <w:rsid w:val="F6EE48AD"/>
    <w:rsid w:val="F7D7B474"/>
    <w:rsid w:val="F7DB8F71"/>
    <w:rsid w:val="F7F78B68"/>
    <w:rsid w:val="F9B37761"/>
    <w:rsid w:val="FA34F519"/>
    <w:rsid w:val="FAAFC4C5"/>
    <w:rsid w:val="FB5F8ACF"/>
    <w:rsid w:val="FB93C442"/>
    <w:rsid w:val="FBBD1A69"/>
    <w:rsid w:val="FBDBA4FD"/>
    <w:rsid w:val="FC5E4795"/>
    <w:rsid w:val="FC7F3342"/>
    <w:rsid w:val="FCA38209"/>
    <w:rsid w:val="FCDBD752"/>
    <w:rsid w:val="FCF7F445"/>
    <w:rsid w:val="FD5C9BAC"/>
    <w:rsid w:val="FD7FDAB7"/>
    <w:rsid w:val="FDF91472"/>
    <w:rsid w:val="FDFB79DC"/>
    <w:rsid w:val="FDFC8722"/>
    <w:rsid w:val="FE67A300"/>
    <w:rsid w:val="FEADCA48"/>
    <w:rsid w:val="FEBD69D2"/>
    <w:rsid w:val="FED73FB0"/>
    <w:rsid w:val="FEDB19BD"/>
    <w:rsid w:val="FEE643A1"/>
    <w:rsid w:val="FEFC9E37"/>
    <w:rsid w:val="FF5719F9"/>
    <w:rsid w:val="FF6B2FBA"/>
    <w:rsid w:val="FFBF2196"/>
    <w:rsid w:val="FFBF4C66"/>
    <w:rsid w:val="FFDF07A5"/>
    <w:rsid w:val="FFDFCC8A"/>
    <w:rsid w:val="FFE9DA54"/>
    <w:rsid w:val="FFEE5821"/>
    <w:rsid w:val="FFF609DC"/>
    <w:rsid w:val="FFFA10C0"/>
    <w:rsid w:val="FFFFEE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spacing w:beforeAutospacing="1" w:afterAutospacing="1"/>
      <w:outlineLvl w:val="0"/>
    </w:pPr>
    <w:rPr>
      <w:rFonts w:hint="eastAsia" w:ascii="宋体" w:hAnsi="宋体" w:eastAsia="宋体" w:cs="Times New Roman"/>
      <w:b/>
      <w:bCs/>
      <w:kern w:val="44"/>
      <w:sz w:val="48"/>
      <w:szCs w:val="48"/>
      <w:lang w:eastAsia="zh-CN"/>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unhideWhenUsed/>
    <w:qFormat/>
    <w:uiPriority w:val="0"/>
    <w:pPr>
      <w:spacing w:before="100" w:beforeAutospacing="1" w:after="100" w:afterAutospacing="1"/>
      <w:outlineLvl w:val="2"/>
    </w:pPr>
    <w:rPr>
      <w:rFonts w:hint="eastAsia" w:ascii="宋体" w:hAnsi="宋体"/>
      <w:b/>
      <w:sz w:val="27"/>
      <w:szCs w:val="27"/>
    </w:rPr>
  </w:style>
  <w:style w:type="paragraph" w:styleId="5">
    <w:name w:val="heading 4"/>
    <w:basedOn w:val="1"/>
    <w:next w:val="1"/>
    <w:semiHidden/>
    <w:unhideWhenUsed/>
    <w:qFormat/>
    <w:uiPriority w:val="0"/>
    <w:pPr>
      <w:keepNext/>
      <w:keepLines/>
      <w:spacing w:beforeLines="0" w:beforeAutospacing="0" w:afterLines="0" w:afterAutospacing="0" w:line="600" w:lineRule="exact"/>
      <w:outlineLvl w:val="3"/>
    </w:pPr>
    <w:rPr>
      <w:rFonts w:ascii="Arial" w:hAnsi="Arial" w:eastAsia="黑体"/>
      <w:sz w:val="32"/>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7">
    <w:name w:val="caption"/>
    <w:basedOn w:val="1"/>
    <w:next w:val="1"/>
    <w:unhideWhenUsed/>
    <w:qFormat/>
    <w:uiPriority w:val="0"/>
    <w:rPr>
      <w:rFonts w:eastAsia="黑体"/>
      <w:sz w:val="24"/>
    </w:rPr>
  </w:style>
  <w:style w:type="paragraph" w:styleId="8">
    <w:name w:val="index 5"/>
    <w:basedOn w:val="1"/>
    <w:next w:val="1"/>
    <w:qFormat/>
    <w:uiPriority w:val="0"/>
    <w:pPr>
      <w:ind w:left="1680"/>
    </w:pPr>
  </w:style>
  <w:style w:type="paragraph" w:styleId="9">
    <w:name w:val="annotation text"/>
    <w:basedOn w:val="1"/>
    <w:qFormat/>
    <w:uiPriority w:val="0"/>
    <w:pPr>
      <w:jc w:val="left"/>
    </w:pPr>
  </w:style>
  <w:style w:type="paragraph" w:styleId="10">
    <w:name w:val="Salutation"/>
    <w:basedOn w:val="1"/>
    <w:next w:val="1"/>
    <w:qFormat/>
    <w:uiPriority w:val="0"/>
    <w:pPr>
      <w:widowControl w:val="0"/>
      <w:suppressAutoHyphens/>
      <w:jc w:val="both"/>
    </w:pPr>
    <w:rPr>
      <w:rFonts w:ascii="Calibri" w:hAnsi="Calibri" w:eastAsia="宋体" w:cs="Times New Roman"/>
      <w:color w:val="auto"/>
      <w:kern w:val="2"/>
      <w:szCs w:val="24"/>
      <w:lang w:eastAsia="zh-CN"/>
    </w:rPr>
  </w:style>
  <w:style w:type="paragraph" w:styleId="11">
    <w:name w:val="Body Text"/>
    <w:basedOn w:val="1"/>
    <w:link w:val="46"/>
    <w:qFormat/>
    <w:uiPriority w:val="1"/>
    <w:pPr>
      <w:spacing w:before="1"/>
      <w:ind w:left="100"/>
    </w:pPr>
    <w:rPr>
      <w:rFonts w:ascii="宋体" w:hAnsi="宋体" w:eastAsia="宋体" w:cs="宋体"/>
      <w:sz w:val="24"/>
      <w:szCs w:val="24"/>
      <w:lang w:val="zh-CN" w:eastAsia="zh-CN" w:bidi="zh-CN"/>
    </w:rPr>
  </w:style>
  <w:style w:type="paragraph" w:styleId="12">
    <w:name w:val="Body Text Indent"/>
    <w:basedOn w:val="1"/>
    <w:qFormat/>
    <w:uiPriority w:val="0"/>
    <w:pPr>
      <w:spacing w:after="120"/>
      <w:ind w:left="420" w:leftChars="200"/>
    </w:pPr>
  </w:style>
  <w:style w:type="paragraph" w:styleId="13">
    <w:name w:val="Plain Text"/>
    <w:basedOn w:val="1"/>
    <w:qFormat/>
    <w:uiPriority w:val="0"/>
    <w:rPr>
      <w:rFonts w:ascii="宋体"/>
      <w:szCs w:val="20"/>
    </w:rPr>
  </w:style>
  <w:style w:type="paragraph" w:styleId="14">
    <w:name w:val="Body Text Indent 2"/>
    <w:basedOn w:val="1"/>
    <w:next w:val="1"/>
    <w:qFormat/>
    <w:uiPriority w:val="0"/>
    <w:pPr>
      <w:spacing w:after="120" w:line="480" w:lineRule="auto"/>
      <w:ind w:left="420" w:leftChars="200"/>
    </w:pPr>
  </w:style>
  <w:style w:type="paragraph" w:styleId="15">
    <w:name w:val="Balloon Text"/>
    <w:basedOn w:val="1"/>
    <w:qFormat/>
    <w:uiPriority w:val="0"/>
    <w:rPr>
      <w:sz w:val="18"/>
      <w:szCs w:val="18"/>
    </w:rPr>
  </w:style>
  <w:style w:type="paragraph" w:styleId="16">
    <w:name w:val="footer"/>
    <w:basedOn w:val="1"/>
    <w:qFormat/>
    <w:uiPriority w:val="0"/>
    <w:pPr>
      <w:tabs>
        <w:tab w:val="center" w:pos="4153"/>
        <w:tab w:val="right" w:pos="8306"/>
      </w:tabs>
    </w:pPr>
    <w:rPr>
      <w:sz w:val="18"/>
    </w:rPr>
  </w:style>
  <w:style w:type="paragraph" w:styleId="17">
    <w:name w:val="header"/>
    <w:basedOn w:val="1"/>
    <w:next w:val="16"/>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8">
    <w:name w:val="toc 1"/>
    <w:basedOn w:val="1"/>
    <w:next w:val="1"/>
    <w:qFormat/>
    <w:uiPriority w:val="0"/>
    <w:pPr>
      <w:tabs>
        <w:tab w:val="left" w:pos="0"/>
        <w:tab w:val="right" w:leader="dot" w:pos="8789"/>
      </w:tabs>
      <w:spacing w:line="560" w:lineRule="exact"/>
      <w:jc w:val="distribute"/>
    </w:pPr>
    <w:rPr>
      <w:rFonts w:eastAsia="楷体_GB2312"/>
      <w:b/>
      <w:sz w:val="28"/>
      <w:szCs w:val="28"/>
    </w:rPr>
  </w:style>
  <w:style w:type="paragraph" w:styleId="19">
    <w:name w:val="footnote text"/>
    <w:basedOn w:val="1"/>
    <w:unhideWhenUsed/>
    <w:qFormat/>
    <w:uiPriority w:val="99"/>
    <w:rPr>
      <w:rFonts w:ascii="Times New Roman" w:hAnsi="Times New Roman" w:eastAsia="宋体" w:cs="Times New Roman"/>
      <w:kern w:val="1"/>
      <w:sz w:val="18"/>
      <w:szCs w:val="18"/>
    </w:rPr>
  </w:style>
  <w:style w:type="paragraph" w:styleId="20">
    <w:name w:val="table of figures"/>
    <w:basedOn w:val="1"/>
    <w:next w:val="1"/>
    <w:qFormat/>
    <w:uiPriority w:val="0"/>
    <w:pPr>
      <w:ind w:left="200" w:leftChars="200" w:hanging="200" w:hangingChars="200"/>
    </w:pPr>
  </w:style>
  <w:style w:type="paragraph" w:styleId="21">
    <w:name w:val="Body Text 2"/>
    <w:basedOn w:val="1"/>
    <w:qFormat/>
    <w:uiPriority w:val="0"/>
  </w:style>
  <w:style w:type="paragraph" w:styleId="2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sz w:val="24"/>
      <w:szCs w:val="24"/>
      <w:lang w:eastAsia="zh-CN"/>
    </w:rPr>
  </w:style>
  <w:style w:type="paragraph" w:styleId="23">
    <w:name w:val="Normal (Web)"/>
    <w:basedOn w:val="1"/>
    <w:qFormat/>
    <w:uiPriority w:val="0"/>
    <w:pPr>
      <w:spacing w:before="100" w:beforeAutospacing="1" w:after="100" w:afterAutospacing="1"/>
    </w:pPr>
    <w:rPr>
      <w:rFonts w:ascii="宋体" w:hAnsi="宋体" w:cs="宋体"/>
      <w:sz w:val="24"/>
      <w:szCs w:val="24"/>
    </w:rPr>
  </w:style>
  <w:style w:type="paragraph" w:styleId="24">
    <w:name w:val="Body Text First Indent"/>
    <w:basedOn w:val="11"/>
    <w:next w:val="1"/>
    <w:link w:val="45"/>
    <w:qFormat/>
    <w:uiPriority w:val="0"/>
    <w:pPr>
      <w:ind w:firstLine="420" w:firstLineChars="100"/>
    </w:pPr>
  </w:style>
  <w:style w:type="paragraph" w:styleId="25">
    <w:name w:val="Body Text First Indent 2"/>
    <w:basedOn w:val="12"/>
    <w:next w:val="1"/>
    <w:qFormat/>
    <w:uiPriority w:val="0"/>
    <w:pPr>
      <w:ind w:firstLine="420" w:firstLineChars="200"/>
    </w:p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0"/>
    <w:rPr>
      <w:b/>
    </w:rPr>
  </w:style>
  <w:style w:type="character" w:styleId="30">
    <w:name w:val="Hyperlink"/>
    <w:basedOn w:val="28"/>
    <w:qFormat/>
    <w:uiPriority w:val="0"/>
    <w:rPr>
      <w:color w:val="0000FF"/>
      <w:u w:val="single"/>
    </w:rPr>
  </w:style>
  <w:style w:type="paragraph" w:customStyle="1" w:styleId="31">
    <w:name w:val="ToCaption"/>
    <w:basedOn w:val="1"/>
    <w:next w:val="1"/>
    <w:qFormat/>
    <w:uiPriority w:val="0"/>
    <w:pPr>
      <w:ind w:left="200" w:leftChars="200" w:hanging="200" w:hangingChars="200"/>
    </w:pPr>
  </w:style>
  <w:style w:type="paragraph" w:customStyle="1" w:styleId="32">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33">
    <w:name w:val="Normal (Web)1"/>
    <w:basedOn w:val="1"/>
    <w:next w:val="34"/>
    <w:qFormat/>
    <w:uiPriority w:val="0"/>
    <w:rPr>
      <w:sz w:val="24"/>
    </w:rPr>
  </w:style>
  <w:style w:type="paragraph" w:customStyle="1" w:styleId="34">
    <w:name w:val="Date1"/>
    <w:basedOn w:val="1"/>
    <w:next w:val="1"/>
    <w:qFormat/>
    <w:uiPriority w:val="0"/>
    <w:pPr>
      <w:ind w:left="2500" w:leftChars="2500"/>
    </w:pPr>
    <w:rPr>
      <w:sz w:val="32"/>
      <w:szCs w:val="32"/>
    </w:rPr>
  </w:style>
  <w:style w:type="paragraph" w:customStyle="1" w:styleId="35">
    <w:name w:val="简单回函地址"/>
    <w:basedOn w:val="1"/>
    <w:next w:val="36"/>
    <w:qFormat/>
    <w:uiPriority w:val="0"/>
    <w:rPr>
      <w:rFonts w:ascii="宋体" w:hAnsi="宋体" w:cs="宋体"/>
      <w:szCs w:val="20"/>
    </w:rPr>
  </w:style>
  <w:style w:type="paragraph" w:customStyle="1" w:styleId="36">
    <w:name w:val="正文2"/>
    <w:basedOn w:val="12"/>
    <w:next w:val="1"/>
    <w:qFormat/>
    <w:uiPriority w:val="99"/>
  </w:style>
  <w:style w:type="paragraph" w:customStyle="1" w:styleId="37">
    <w:name w:val="BodyText1I2"/>
    <w:basedOn w:val="38"/>
    <w:next w:val="1"/>
    <w:qFormat/>
    <w:uiPriority w:val="0"/>
    <w:pPr>
      <w:ind w:firstLine="420" w:firstLineChars="200"/>
    </w:pPr>
    <w:rPr>
      <w:rFonts w:ascii="仿宋_GB2312"/>
      <w:sz w:val="32"/>
      <w:szCs w:val="32"/>
    </w:rPr>
  </w:style>
  <w:style w:type="paragraph" w:customStyle="1" w:styleId="38">
    <w:name w:val="BodyTextIndent"/>
    <w:basedOn w:val="1"/>
    <w:qFormat/>
    <w:uiPriority w:val="0"/>
    <w:pPr>
      <w:ind w:firstLine="645"/>
    </w:pPr>
  </w:style>
  <w:style w:type="table" w:customStyle="1" w:styleId="39">
    <w:name w:val="Table Normal"/>
    <w:semiHidden/>
    <w:unhideWhenUsed/>
    <w:qFormat/>
    <w:uiPriority w:val="0"/>
    <w:tblPr>
      <w:tblCellMar>
        <w:top w:w="0" w:type="dxa"/>
        <w:left w:w="0" w:type="dxa"/>
        <w:bottom w:w="0" w:type="dxa"/>
        <w:right w:w="0" w:type="dxa"/>
      </w:tblCellMar>
    </w:tblPr>
  </w:style>
  <w:style w:type="paragraph" w:customStyle="1" w:styleId="40">
    <w:name w:val="Table Text"/>
    <w:basedOn w:val="1"/>
    <w:semiHidden/>
    <w:qFormat/>
    <w:uiPriority w:val="0"/>
  </w:style>
  <w:style w:type="paragraph" w:customStyle="1" w:styleId="41">
    <w:name w:val="称呼1"/>
    <w:basedOn w:val="1"/>
    <w:next w:val="1"/>
    <w:qFormat/>
    <w:uiPriority w:val="0"/>
  </w:style>
  <w:style w:type="character" w:customStyle="1" w:styleId="42">
    <w:name w:val="Char Char"/>
    <w:link w:val="43"/>
    <w:qFormat/>
    <w:uiPriority w:val="0"/>
    <w:rPr>
      <w:b/>
      <w:kern w:val="0"/>
      <w:sz w:val="24"/>
    </w:rPr>
  </w:style>
  <w:style w:type="paragraph" w:customStyle="1" w:styleId="43">
    <w:name w:val="Char"/>
    <w:basedOn w:val="1"/>
    <w:link w:val="42"/>
    <w:qFormat/>
    <w:uiPriority w:val="0"/>
    <w:pPr>
      <w:spacing w:line="360" w:lineRule="auto"/>
      <w:ind w:firstLine="200" w:firstLineChars="200"/>
    </w:pPr>
    <w:rPr>
      <w:b/>
      <w:sz w:val="24"/>
    </w:rPr>
  </w:style>
  <w:style w:type="paragraph" w:customStyle="1" w:styleId="44">
    <w:name w:val="Default"/>
    <w:qFormat/>
    <w:uiPriority w:val="0"/>
    <w:pPr>
      <w:widowControl w:val="0"/>
      <w:autoSpaceDE w:val="0"/>
      <w:autoSpaceDN w:val="0"/>
      <w:adjustRightInd w:val="0"/>
    </w:pPr>
    <w:rPr>
      <w:rFonts w:ascii="Times New Roman" w:hAnsi="Times New Roman" w:eastAsia="宋体" w:cs="宋体"/>
      <w:color w:val="000000"/>
      <w:sz w:val="24"/>
      <w:szCs w:val="24"/>
      <w:lang w:val="en-US" w:eastAsia="zh-CN" w:bidi="ar-SA"/>
    </w:rPr>
  </w:style>
  <w:style w:type="character" w:customStyle="1" w:styleId="45">
    <w:name w:val="正文首行缩进 Char"/>
    <w:basedOn w:val="46"/>
    <w:link w:val="24"/>
    <w:qFormat/>
    <w:uiPriority w:val="0"/>
    <w:rPr>
      <w:rFonts w:ascii="宋体" w:hAnsi="宋体" w:eastAsia="宋体" w:cs="宋体"/>
      <w:sz w:val="24"/>
      <w:szCs w:val="24"/>
      <w:lang w:val="zh-CN" w:eastAsia="zh-CN" w:bidi="zh-CN"/>
    </w:rPr>
  </w:style>
  <w:style w:type="character" w:customStyle="1" w:styleId="46">
    <w:name w:val="正文文本 Char"/>
    <w:basedOn w:val="28"/>
    <w:link w:val="11"/>
    <w:qFormat/>
    <w:uiPriority w:val="0"/>
    <w:rPr>
      <w:rFonts w:ascii="宋体" w:hAnsi="宋体" w:eastAsia="宋体" w:cs="宋体"/>
      <w:sz w:val="24"/>
      <w:szCs w:val="24"/>
      <w:lang w:val="zh-CN" w:eastAsia="zh-CN" w:bidi="zh-CN"/>
    </w:rPr>
  </w:style>
  <w:style w:type="paragraph" w:customStyle="1" w:styleId="47">
    <w:name w:val="表文"/>
    <w:basedOn w:val="1"/>
    <w:qFormat/>
    <w:uiPriority w:val="0"/>
    <w:pPr>
      <w:jc w:val="center"/>
    </w:pPr>
    <w:rPr>
      <w:rFonts w:hint="eastAsia"/>
      <w:sz w:val="24"/>
    </w:rPr>
  </w:style>
  <w:style w:type="character" w:customStyle="1" w:styleId="48">
    <w:name w:val="article_title5"/>
    <w:basedOn w:val="28"/>
    <w:qFormat/>
    <w:uiPriority w:val="0"/>
  </w:style>
  <w:style w:type="character" w:customStyle="1" w:styleId="49">
    <w:name w:val="font31"/>
    <w:basedOn w:val="28"/>
    <w:qFormat/>
    <w:uiPriority w:val="0"/>
    <w:rPr>
      <w:rFonts w:hint="eastAsia" w:ascii="仿宋" w:hAnsi="仿宋" w:eastAsia="仿宋" w:cs="仿宋"/>
      <w:color w:val="000000"/>
      <w:sz w:val="32"/>
      <w:szCs w:val="32"/>
      <w:u w:val="none"/>
    </w:rPr>
  </w:style>
  <w:style w:type="character" w:customStyle="1" w:styleId="50">
    <w:name w:val="font01"/>
    <w:basedOn w:val="28"/>
    <w:qFormat/>
    <w:uiPriority w:val="0"/>
    <w:rPr>
      <w:rFonts w:hint="eastAsia" w:ascii="宋体" w:hAnsi="宋体" w:eastAsia="宋体" w:cs="宋体"/>
      <w:color w:val="000000"/>
      <w:sz w:val="22"/>
      <w:szCs w:val="22"/>
      <w:u w:val="none"/>
    </w:rPr>
  </w:style>
  <w:style w:type="character" w:customStyle="1" w:styleId="51">
    <w:name w:val="font21"/>
    <w:basedOn w:val="28"/>
    <w:qFormat/>
    <w:uiPriority w:val="0"/>
    <w:rPr>
      <w:rFonts w:hint="default" w:ascii="Times New Roman" w:hAnsi="Times New Roman" w:cs="Times New Roman"/>
      <w:color w:val="000000"/>
      <w:sz w:val="22"/>
      <w:szCs w:val="22"/>
      <w:u w:val="none"/>
    </w:rPr>
  </w:style>
  <w:style w:type="paragraph" w:customStyle="1" w:styleId="52">
    <w:name w:val="Body text|1"/>
    <w:basedOn w:val="1"/>
    <w:qFormat/>
    <w:uiPriority w:val="0"/>
    <w:pPr>
      <w:widowControl w:val="0"/>
      <w:spacing w:line="410" w:lineRule="auto"/>
      <w:ind w:firstLine="400"/>
    </w:pPr>
    <w:rPr>
      <w:rFonts w:ascii="宋体" w:hAnsi="宋体" w:eastAsia="宋体" w:cs="宋体"/>
      <w:sz w:val="30"/>
      <w:szCs w:val="30"/>
      <w:lang w:val="zh-TW" w:eastAsia="zh-TW" w:bidi="zh-TW"/>
    </w:rPr>
  </w:style>
  <w:style w:type="paragraph" w:customStyle="1" w:styleId="53">
    <w:name w:val="Body text|2"/>
    <w:basedOn w:val="1"/>
    <w:qFormat/>
    <w:uiPriority w:val="0"/>
    <w:pPr>
      <w:widowControl w:val="0"/>
      <w:spacing w:after="280" w:line="586" w:lineRule="exact"/>
      <w:ind w:firstLine="640"/>
    </w:pPr>
    <w:rPr>
      <w:sz w:val="32"/>
      <w:szCs w:val="32"/>
    </w:rPr>
  </w:style>
  <w:style w:type="paragraph" w:customStyle="1" w:styleId="54">
    <w:name w:val="二级标题"/>
    <w:basedOn w:val="3"/>
    <w:next w:val="1"/>
    <w:qFormat/>
    <w:uiPriority w:val="0"/>
    <w:pPr>
      <w:keepNext w:val="0"/>
      <w:keepLines w:val="0"/>
      <w:spacing w:before="0" w:after="0" w:line="560" w:lineRule="exact"/>
      <w:ind w:firstLine="200" w:firstLineChars="200"/>
    </w:pPr>
    <w:rPr>
      <w:rFonts w:ascii="Times New Roman" w:hAnsi="Times New Roman" w:cs="Times New Roman"/>
      <w:b w:val="0"/>
      <w:szCs w:val="30"/>
      <w:lang w:val="zh-CN"/>
    </w:rPr>
  </w:style>
  <w:style w:type="paragraph" w:customStyle="1" w:styleId="55">
    <w:name w:val="正文01"/>
    <w:basedOn w:val="1"/>
    <w:qFormat/>
    <w:uiPriority w:val="0"/>
    <w:pPr>
      <w:spacing w:line="560" w:lineRule="exact"/>
      <w:ind w:firstLine="200" w:firstLineChars="200"/>
    </w:pPr>
    <w:rPr>
      <w:rFonts w:ascii="Calibri" w:hAnsi="Calibri"/>
    </w:rPr>
  </w:style>
  <w:style w:type="character" w:customStyle="1" w:styleId="56">
    <w:name w:val="15"/>
    <w:basedOn w:val="28"/>
    <w:qFormat/>
    <w:uiPriority w:val="0"/>
    <w:rPr>
      <w:rFonts w:hint="default" w:ascii="Calibri" w:hAnsi="Calibri"/>
      <w:b/>
      <w:bCs/>
    </w:rPr>
  </w:style>
  <w:style w:type="paragraph" w:customStyle="1" w:styleId="57">
    <w:name w:val="Char1"/>
    <w:basedOn w:val="1"/>
    <w:qFormat/>
    <w:uiPriority w:val="0"/>
    <w:pPr>
      <w:spacing w:after="160" w:line="240" w:lineRule="exact"/>
    </w:pPr>
    <w:rPr>
      <w:szCs w:val="20"/>
    </w:rPr>
  </w:style>
  <w:style w:type="character" w:customStyle="1" w:styleId="58">
    <w:name w:val=" Char Char"/>
    <w:link w:val="59"/>
    <w:qFormat/>
    <w:uiPriority w:val="0"/>
    <w:rPr>
      <w:b/>
      <w:kern w:val="0"/>
      <w:sz w:val="24"/>
    </w:rPr>
  </w:style>
  <w:style w:type="paragraph" w:customStyle="1" w:styleId="59">
    <w:name w:val=" Char"/>
    <w:basedOn w:val="1"/>
    <w:link w:val="58"/>
    <w:qFormat/>
    <w:uiPriority w:val="0"/>
    <w:pPr>
      <w:spacing w:line="360" w:lineRule="auto"/>
      <w:ind w:firstLine="200" w:firstLineChars="200"/>
    </w:pPr>
    <w:rPr>
      <w:b/>
      <w:kern w:val="0"/>
      <w:sz w:val="24"/>
    </w:rPr>
  </w:style>
  <w:style w:type="paragraph" w:customStyle="1" w:styleId="60">
    <w:name w:val="节标题"/>
    <w:basedOn w:val="1"/>
    <w:next w:val="1"/>
    <w:qFormat/>
    <w:uiPriority w:val="0"/>
    <w:pPr>
      <w:widowControl/>
      <w:spacing w:line="289" w:lineRule="atLeast"/>
      <w:jc w:val="center"/>
      <w:textAlignment w:val="baseline"/>
    </w:pPr>
    <w:rPr>
      <w:rFonts w:ascii="Calibri" w:hAnsi="Calibri" w:eastAsia="宋体" w:cs="宋体"/>
      <w:color w:val="000000"/>
      <w:sz w:val="28"/>
      <w:szCs w:val="28"/>
    </w:rPr>
  </w:style>
  <w:style w:type="character" w:customStyle="1" w:styleId="61">
    <w:name w:val="16"/>
    <w:basedOn w:val="28"/>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4371</Words>
  <Characters>4700</Characters>
  <Lines>34</Lines>
  <Paragraphs>9</Paragraphs>
  <TotalTime>1</TotalTime>
  <ScaleCrop>false</ScaleCrop>
  <LinksUpToDate>false</LinksUpToDate>
  <CharactersWithSpaces>4821</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2024-01-03T17:15:00Z</dcterms:created>
  <dc:creator>Kingsoft-PDF</dc:creator>
  <cp:lastModifiedBy>kylin</cp:lastModifiedBy>
  <cp:lastPrinted>2026-05-28T18:45:00Z</cp:lastPrinted>
  <dcterms:modified xsi:type="dcterms:W3CDTF">2026-05-28T15:34:55Z</dcterms:modified>
  <dc:subject>pdfbuilder</dc:subject>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2023-11-29T09:15:16Z</vt:filetime>
  </property>
  <property fmtid="{D5CDD505-2E9C-101B-9397-08002B2CF9AE}" pid="4" name="UsrData">
    <vt:lpwstr>656690a0d48727001f80256fwl</vt:lpwstr>
  </property>
  <property fmtid="{D5CDD505-2E9C-101B-9397-08002B2CF9AE}" pid="5" name="KSOProductBuildVer">
    <vt:lpwstr>2052-12.1.2.23578</vt:lpwstr>
  </property>
  <property fmtid="{D5CDD505-2E9C-101B-9397-08002B2CF9AE}" pid="6" name="ICV">
    <vt:lpwstr>6F773416D46058B16CAF176A6985EC0D</vt:lpwstr>
  </property>
  <property fmtid="{D5CDD505-2E9C-101B-9397-08002B2CF9AE}" pid="7" name="KSOTemplateDocerSaveRecord">
    <vt:lpwstr>eyJoZGlkIjoiNjQwZDgzYTk5YTg4M2I5OGY1OWRkNjgxYzgzY2VmYmYiLCJ1c2VySWQiOiI5NjU4NTc1MzMifQ==</vt:lpwstr>
  </property>
</Properties>
</file>