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490A5A">
      <w:pPr>
        <w:spacing w:before="277" w:line="219" w:lineRule="auto"/>
        <w:ind w:left="719"/>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rPr>
        <w:t>泸定县烟草制品零售点合理布局</w:t>
      </w:r>
      <w:r>
        <w:rPr>
          <w:rFonts w:hint="eastAsia" w:ascii="方正小标宋简体" w:hAnsi="方正小标宋简体" w:eastAsia="方正小标宋简体" w:cs="方正小标宋简体"/>
          <w:b w:val="0"/>
          <w:bCs w:val="0"/>
          <w:sz w:val="44"/>
          <w:szCs w:val="44"/>
          <w:lang w:eastAsia="zh-CN"/>
        </w:rPr>
        <w:t>规定（</w:t>
      </w:r>
      <w:r>
        <w:rPr>
          <w:rFonts w:hint="eastAsia" w:ascii="方正小标宋简体" w:hAnsi="方正小标宋简体" w:eastAsia="方正小标宋简体" w:cs="方正小标宋简体"/>
          <w:b w:val="0"/>
          <w:bCs w:val="0"/>
          <w:sz w:val="44"/>
          <w:szCs w:val="44"/>
          <w:lang w:val="en-US" w:eastAsia="zh-CN"/>
        </w:rPr>
        <w:t>草案</w:t>
      </w:r>
      <w:r>
        <w:rPr>
          <w:rFonts w:hint="eastAsia" w:ascii="方正小标宋简体" w:hAnsi="方正小标宋简体" w:eastAsia="方正小标宋简体" w:cs="方正小标宋简体"/>
          <w:b/>
          <w:bCs/>
          <w:sz w:val="44"/>
          <w:szCs w:val="44"/>
          <w:lang w:eastAsia="zh-CN"/>
        </w:rPr>
        <w:t>）</w:t>
      </w:r>
    </w:p>
    <w:p w14:paraId="184FACFE">
      <w:pPr>
        <w:spacing w:line="293" w:lineRule="auto"/>
        <w:rPr>
          <w:rFonts w:ascii="Arial"/>
          <w:sz w:val="21"/>
        </w:rPr>
      </w:pPr>
      <w:bookmarkStart w:id="3" w:name="_GoBack"/>
      <w:bookmarkEnd w:id="3"/>
    </w:p>
    <w:p w14:paraId="735EB60A">
      <w:pPr>
        <w:pStyle w:val="5"/>
        <w:keepNext w:val="0"/>
        <w:keepLines w:val="0"/>
        <w:pageBreakBefore w:val="0"/>
        <w:widowControl w:val="0"/>
        <w:kinsoku/>
        <w:wordWrap/>
        <w:overflowPunct/>
        <w:topLinePunct w:val="0"/>
        <w:autoSpaceDE/>
        <w:autoSpaceDN/>
        <w:bidi w:val="0"/>
        <w:adjustRightInd/>
        <w:snapToGrid/>
        <w:spacing w:before="100" w:line="360" w:lineRule="auto"/>
        <w:ind w:left="3305"/>
        <w:textAlignment w:val="auto"/>
        <w:outlineLvl w:val="2"/>
        <w:rPr>
          <w:rFonts w:hint="eastAsia" w:ascii="方正黑体_GBK" w:hAnsi="方正黑体_GBK" w:eastAsia="方正黑体_GBK" w:cs="方正黑体_GBK"/>
          <w:b/>
          <w:bCs/>
          <w:sz w:val="32"/>
          <w:szCs w:val="32"/>
        </w:rPr>
      </w:pPr>
      <w:r>
        <w:rPr>
          <w:rFonts w:hint="eastAsia" w:ascii="方正黑体_GBK" w:hAnsi="方正黑体_GBK" w:eastAsia="方正黑体_GBK" w:cs="方正黑体_GBK"/>
          <w:b/>
          <w:bCs/>
          <w:spacing w:val="-27"/>
          <w:sz w:val="32"/>
          <w:szCs w:val="32"/>
        </w:rPr>
        <w:t>第</w:t>
      </w:r>
      <w:r>
        <w:rPr>
          <w:rFonts w:hint="eastAsia" w:ascii="方正黑体_GBK" w:hAnsi="方正黑体_GBK" w:eastAsia="方正黑体_GBK" w:cs="方正黑体_GBK"/>
          <w:b/>
          <w:bCs/>
          <w:spacing w:val="-30"/>
          <w:sz w:val="32"/>
          <w:szCs w:val="32"/>
        </w:rPr>
        <w:t xml:space="preserve"> </w:t>
      </w:r>
      <w:r>
        <w:rPr>
          <w:rFonts w:hint="eastAsia" w:ascii="方正黑体_GBK" w:hAnsi="方正黑体_GBK" w:eastAsia="方正黑体_GBK" w:cs="方正黑体_GBK"/>
          <w:b/>
          <w:bCs/>
          <w:spacing w:val="-27"/>
          <w:sz w:val="32"/>
          <w:szCs w:val="32"/>
        </w:rPr>
        <w:t>一</w:t>
      </w:r>
      <w:r>
        <w:rPr>
          <w:rFonts w:hint="eastAsia" w:ascii="方正黑体_GBK" w:hAnsi="方正黑体_GBK" w:eastAsia="方正黑体_GBK" w:cs="方正黑体_GBK"/>
          <w:b/>
          <w:bCs/>
          <w:spacing w:val="-34"/>
          <w:sz w:val="32"/>
          <w:szCs w:val="32"/>
        </w:rPr>
        <w:t xml:space="preserve"> </w:t>
      </w:r>
      <w:r>
        <w:rPr>
          <w:rFonts w:hint="eastAsia" w:ascii="方正黑体_GBK" w:hAnsi="方正黑体_GBK" w:eastAsia="方正黑体_GBK" w:cs="方正黑体_GBK"/>
          <w:b/>
          <w:bCs/>
          <w:spacing w:val="-27"/>
          <w:sz w:val="32"/>
          <w:szCs w:val="32"/>
        </w:rPr>
        <w:t>章</w:t>
      </w:r>
      <w:r>
        <w:rPr>
          <w:rFonts w:hint="eastAsia" w:ascii="方正黑体_GBK" w:hAnsi="方正黑体_GBK" w:eastAsia="方正黑体_GBK" w:cs="方正黑体_GBK"/>
          <w:b/>
          <w:bCs/>
          <w:spacing w:val="-22"/>
          <w:sz w:val="32"/>
          <w:szCs w:val="32"/>
        </w:rPr>
        <w:t xml:space="preserve"> </w:t>
      </w:r>
      <w:r>
        <w:rPr>
          <w:rFonts w:hint="eastAsia" w:ascii="方正黑体_GBK" w:hAnsi="方正黑体_GBK" w:eastAsia="方正黑体_GBK" w:cs="方正黑体_GBK"/>
          <w:b/>
          <w:bCs/>
          <w:spacing w:val="-22"/>
          <w:sz w:val="32"/>
          <w:szCs w:val="32"/>
          <w:lang w:val="en-US" w:eastAsia="zh-CN"/>
        </w:rPr>
        <w:t xml:space="preserve"> </w:t>
      </w:r>
      <w:r>
        <w:rPr>
          <w:rFonts w:hint="eastAsia" w:ascii="方正黑体_GBK" w:hAnsi="方正黑体_GBK" w:eastAsia="方正黑体_GBK" w:cs="方正黑体_GBK"/>
          <w:b/>
          <w:bCs/>
          <w:spacing w:val="-27"/>
          <w:sz w:val="32"/>
          <w:szCs w:val="32"/>
        </w:rPr>
        <w:t>总</w:t>
      </w:r>
      <w:r>
        <w:rPr>
          <w:rFonts w:hint="eastAsia" w:ascii="方正黑体_GBK" w:hAnsi="方正黑体_GBK" w:eastAsia="方正黑体_GBK" w:cs="方正黑体_GBK"/>
          <w:b/>
          <w:bCs/>
          <w:spacing w:val="-33"/>
          <w:sz w:val="32"/>
          <w:szCs w:val="32"/>
        </w:rPr>
        <w:t xml:space="preserve"> </w:t>
      </w:r>
      <w:r>
        <w:rPr>
          <w:rFonts w:hint="eastAsia" w:ascii="方正黑体_GBK" w:hAnsi="方正黑体_GBK" w:eastAsia="方正黑体_GBK" w:cs="方正黑体_GBK"/>
          <w:b/>
          <w:bCs/>
          <w:spacing w:val="-27"/>
          <w:sz w:val="32"/>
          <w:szCs w:val="32"/>
        </w:rPr>
        <w:t>则</w:t>
      </w:r>
    </w:p>
    <w:p w14:paraId="4CB79987">
      <w:pPr>
        <w:pStyle w:val="5"/>
        <w:keepNext w:val="0"/>
        <w:keepLines w:val="0"/>
        <w:pageBreakBefore w:val="0"/>
        <w:widowControl w:val="0"/>
        <w:kinsoku/>
        <w:wordWrap/>
        <w:overflowPunct/>
        <w:topLinePunct w:val="0"/>
        <w:autoSpaceDE/>
        <w:autoSpaceDN/>
        <w:bidi w:val="0"/>
        <w:adjustRightInd/>
        <w:snapToGrid/>
        <w:spacing w:before="0" w:after="0" w:line="360" w:lineRule="auto"/>
        <w:ind w:left="17" w:firstLine="692"/>
        <w:jc w:val="left"/>
        <w:textAlignment w:val="auto"/>
        <w:rPr>
          <w:rFonts w:hint="eastAsia" w:ascii="方正仿宋_GB2312" w:hAnsi="方正仿宋_GB2312" w:eastAsia="方正仿宋_GB2312" w:cs="方正仿宋_GB2312"/>
          <w:spacing w:val="9"/>
          <w:sz w:val="32"/>
          <w:szCs w:val="32"/>
        </w:rPr>
      </w:pPr>
      <w:r>
        <w:rPr>
          <w:rFonts w:hint="eastAsia" w:ascii="方正仿宋_GB2312" w:hAnsi="方正仿宋_GB2312" w:eastAsia="方正仿宋_GB2312" w:cs="方正仿宋_GB2312"/>
          <w:b/>
          <w:bCs/>
          <w:spacing w:val="25"/>
          <w:sz w:val="32"/>
          <w:szCs w:val="32"/>
        </w:rPr>
        <w:t>第一条</w:t>
      </w:r>
      <w:r>
        <w:rPr>
          <w:rFonts w:hint="eastAsia" w:ascii="华文仿宋" w:hAnsi="华文仿宋" w:eastAsia="华文仿宋" w:cs="华文仿宋"/>
          <w:b/>
          <w:bCs/>
          <w:spacing w:val="25"/>
          <w:sz w:val="32"/>
          <w:szCs w:val="32"/>
          <w:lang w:val="en-US" w:eastAsia="zh-CN"/>
        </w:rPr>
        <w:t xml:space="preserve"> </w:t>
      </w:r>
      <w:r>
        <w:rPr>
          <w:rFonts w:hint="eastAsia" w:ascii="方正仿宋_GB2312" w:hAnsi="方正仿宋_GB2312" w:eastAsia="方正仿宋_GB2312" w:cs="方正仿宋_GB2312"/>
          <w:spacing w:val="25"/>
          <w:sz w:val="32"/>
          <w:szCs w:val="32"/>
        </w:rPr>
        <w:t>为适应国家简政放权和行政审批制度改革要</w:t>
      </w:r>
      <w:r>
        <w:rPr>
          <w:rFonts w:hint="eastAsia" w:ascii="方正仿宋_GB2312" w:hAnsi="方正仿宋_GB2312" w:eastAsia="方正仿宋_GB2312" w:cs="方正仿宋_GB2312"/>
          <w:spacing w:val="13"/>
          <w:sz w:val="32"/>
          <w:szCs w:val="32"/>
        </w:rPr>
        <w:t>求，切实放宽烟草专卖零售许可准入条件，</w:t>
      </w:r>
      <w:r>
        <w:rPr>
          <w:rFonts w:hint="eastAsia" w:ascii="方正仿宋_GB2312" w:hAnsi="方正仿宋_GB2312" w:eastAsia="方正仿宋_GB2312" w:cs="方正仿宋_GB2312"/>
          <w:kern w:val="0"/>
          <w:sz w:val="32"/>
          <w:szCs w:val="32"/>
        </w:rPr>
        <w:t>加强烟草制品</w:t>
      </w:r>
      <w:r>
        <w:rPr>
          <w:rFonts w:hint="eastAsia" w:ascii="方正仿宋_GB2312" w:hAnsi="方正仿宋_GB2312" w:eastAsia="方正仿宋_GB2312" w:cs="方正仿宋_GB2312"/>
          <w:color w:val="000000"/>
          <w:sz w:val="32"/>
          <w:szCs w:val="32"/>
        </w:rPr>
        <w:t>（不含电子烟）</w:t>
      </w:r>
      <w:r>
        <w:rPr>
          <w:rFonts w:hint="eastAsia" w:ascii="方正仿宋_GB2312" w:hAnsi="方正仿宋_GB2312" w:eastAsia="方正仿宋_GB2312" w:cs="方正仿宋_GB2312"/>
          <w:kern w:val="0"/>
          <w:sz w:val="32"/>
          <w:szCs w:val="32"/>
        </w:rPr>
        <w:t>零售点管理，合理配置烟草市场资源，</w:t>
      </w:r>
      <w:r>
        <w:rPr>
          <w:rFonts w:hint="eastAsia" w:ascii="方正仿宋_GB2312" w:hAnsi="方正仿宋_GB2312" w:eastAsia="方正仿宋_GB2312" w:cs="方正仿宋_GB2312"/>
          <w:sz w:val="32"/>
          <w:szCs w:val="32"/>
        </w:rPr>
        <w:t>促进烟草市场健康发展，保障国家利益，维护烟草制品经营者、消费者和未成年人的合法权益，根据《中华人民共和国行政许可法》、《中华人民共和国烟草专卖法》及其实施条例、《烟草专卖许可证管理办法》</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pacing w:val="11"/>
          <w:sz w:val="32"/>
          <w:szCs w:val="32"/>
        </w:rPr>
        <w:t>《中华人民共和国未成年人保护法》</w:t>
      </w:r>
      <w:r>
        <w:rPr>
          <w:rFonts w:hint="eastAsia" w:ascii="方正仿宋_GB2312" w:hAnsi="方正仿宋_GB2312" w:eastAsia="方正仿宋_GB2312" w:cs="方正仿宋_GB2312"/>
          <w:spacing w:val="11"/>
          <w:sz w:val="32"/>
          <w:szCs w:val="32"/>
          <w:lang w:eastAsia="zh-CN"/>
        </w:rPr>
        <w:t>、《</w:t>
      </w:r>
      <w:r>
        <w:rPr>
          <w:rFonts w:hint="eastAsia" w:ascii="方正仿宋_GB2312" w:hAnsi="方正仿宋_GB2312" w:eastAsia="方正仿宋_GB2312" w:cs="方正仿宋_GB2312"/>
          <w:i w:val="0"/>
          <w:iCs w:val="0"/>
          <w:caps w:val="0"/>
          <w:color w:val="000000"/>
          <w:spacing w:val="0"/>
          <w:sz w:val="32"/>
          <w:szCs w:val="32"/>
          <w:shd w:val="clear" w:color="auto" w:fill="FFFFFF"/>
        </w:rPr>
        <w:t>四川省烟草专卖条例</w:t>
      </w:r>
      <w:r>
        <w:rPr>
          <w:rFonts w:hint="eastAsia" w:ascii="方正仿宋_GB2312" w:hAnsi="方正仿宋_GB2312" w:eastAsia="方正仿宋_GB2312" w:cs="方正仿宋_GB2312"/>
          <w:spacing w:val="11"/>
          <w:sz w:val="32"/>
          <w:szCs w:val="32"/>
          <w:lang w:eastAsia="zh-CN"/>
        </w:rPr>
        <w:t>》</w:t>
      </w:r>
      <w:r>
        <w:rPr>
          <w:rFonts w:hint="eastAsia" w:ascii="方正仿宋_GB2312" w:hAnsi="方正仿宋_GB2312" w:eastAsia="方正仿宋_GB2312" w:cs="方正仿宋_GB2312"/>
          <w:i w:val="0"/>
          <w:iCs w:val="0"/>
          <w:caps w:val="0"/>
          <w:color w:val="000000"/>
          <w:spacing w:val="0"/>
          <w:sz w:val="32"/>
          <w:szCs w:val="32"/>
          <w:shd w:val="clear" w:color="auto" w:fill="FFFFFF"/>
        </w:rPr>
        <w:t>等有关法律、行政法规，</w:t>
      </w:r>
      <w:r>
        <w:rPr>
          <w:rFonts w:hint="eastAsia" w:ascii="方正仿宋_GB2312" w:hAnsi="方正仿宋_GB2312" w:eastAsia="方正仿宋_GB2312" w:cs="方正仿宋_GB2312"/>
          <w:spacing w:val="9"/>
          <w:sz w:val="32"/>
          <w:szCs w:val="32"/>
        </w:rPr>
        <w:t>结合本县实际，制定本规</w:t>
      </w:r>
      <w:r>
        <w:rPr>
          <w:rFonts w:hint="eastAsia" w:ascii="方正仿宋_GB2312" w:hAnsi="方正仿宋_GB2312" w:eastAsia="方正仿宋_GB2312" w:cs="方正仿宋_GB2312"/>
          <w:spacing w:val="9"/>
          <w:sz w:val="32"/>
          <w:szCs w:val="32"/>
          <w:lang w:eastAsia="zh-CN"/>
        </w:rPr>
        <w:t>定</w:t>
      </w:r>
      <w:r>
        <w:rPr>
          <w:rFonts w:hint="eastAsia" w:ascii="方正仿宋_GB2312" w:hAnsi="方正仿宋_GB2312" w:eastAsia="方正仿宋_GB2312" w:cs="方正仿宋_GB2312"/>
          <w:spacing w:val="9"/>
          <w:sz w:val="32"/>
          <w:szCs w:val="32"/>
        </w:rPr>
        <w:t>。</w:t>
      </w:r>
    </w:p>
    <w:p w14:paraId="066B7C68">
      <w:pPr>
        <w:pStyle w:val="5"/>
        <w:keepNext w:val="0"/>
        <w:keepLines w:val="0"/>
        <w:pageBreakBefore w:val="0"/>
        <w:widowControl w:val="0"/>
        <w:kinsoku/>
        <w:wordWrap/>
        <w:overflowPunct/>
        <w:topLinePunct w:val="0"/>
        <w:autoSpaceDE/>
        <w:autoSpaceDN/>
        <w:bidi w:val="0"/>
        <w:adjustRightInd/>
        <w:snapToGrid/>
        <w:spacing w:before="0" w:after="0" w:line="360" w:lineRule="auto"/>
        <w:ind w:left="17" w:firstLine="692"/>
        <w:jc w:val="left"/>
        <w:textAlignment w:val="auto"/>
        <w:rPr>
          <w:rFonts w:hint="eastAsia" w:ascii="方正仿宋_GB2312" w:hAnsi="方正仿宋_GB2312" w:eastAsia="方正仿宋_GB2312" w:cs="方正仿宋_GB2312"/>
          <w:b w:val="0"/>
          <w:bCs w:val="0"/>
          <w:sz w:val="32"/>
          <w:szCs w:val="32"/>
        </w:rPr>
      </w:pPr>
      <w:r>
        <w:rPr>
          <w:rFonts w:hint="eastAsia" w:ascii="方正仿宋_GB2312" w:hAnsi="方正仿宋_GB2312" w:eastAsia="方正仿宋_GB2312" w:cs="方正仿宋_GB2312"/>
          <w:b/>
          <w:bCs/>
          <w:spacing w:val="25"/>
          <w:sz w:val="32"/>
          <w:szCs w:val="32"/>
        </w:rPr>
        <w:t>第二条</w:t>
      </w:r>
      <w:r>
        <w:rPr>
          <w:rFonts w:hint="eastAsia" w:ascii="华文仿宋" w:hAnsi="华文仿宋" w:eastAsia="华文仿宋" w:cs="华文仿宋"/>
          <w:b/>
          <w:sz w:val="32"/>
          <w:szCs w:val="32"/>
        </w:rPr>
        <w:t xml:space="preserve"> </w:t>
      </w:r>
      <w:r>
        <w:rPr>
          <w:rFonts w:hint="eastAsia" w:ascii="方正仿宋_GB2312" w:hAnsi="方正仿宋_GB2312" w:eastAsia="方正仿宋_GB2312" w:cs="方正仿宋_GB2312"/>
          <w:b w:val="0"/>
          <w:bCs w:val="0"/>
          <w:spacing w:val="22"/>
          <w:sz w:val="32"/>
          <w:szCs w:val="32"/>
          <w:lang w:eastAsia="zh-CN"/>
        </w:rPr>
        <w:t>本规定所称</w:t>
      </w:r>
      <w:r>
        <w:rPr>
          <w:rFonts w:hint="eastAsia" w:ascii="方正仿宋_GB2312" w:hAnsi="方正仿宋_GB2312" w:eastAsia="方正仿宋_GB2312" w:cs="方正仿宋_GB2312"/>
          <w:b w:val="0"/>
          <w:bCs w:val="0"/>
          <w:spacing w:val="22"/>
          <w:sz w:val="32"/>
          <w:szCs w:val="32"/>
        </w:rPr>
        <w:t>烟草制品零售点(以下简称“零售点”)是指</w:t>
      </w:r>
      <w:r>
        <w:rPr>
          <w:rFonts w:hint="eastAsia" w:ascii="方正仿宋_GB2312" w:hAnsi="方正仿宋_GB2312" w:eastAsia="方正仿宋_GB2312" w:cs="方正仿宋_GB2312"/>
          <w:b w:val="0"/>
          <w:bCs w:val="0"/>
          <w:spacing w:val="23"/>
          <w:sz w:val="32"/>
          <w:szCs w:val="32"/>
        </w:rPr>
        <w:t>依法取得烟草专卖零售许可证从事烟草制品零售业务的公</w:t>
      </w:r>
      <w:r>
        <w:rPr>
          <w:rFonts w:hint="eastAsia" w:ascii="方正仿宋_GB2312" w:hAnsi="方正仿宋_GB2312" w:eastAsia="方正仿宋_GB2312" w:cs="方正仿宋_GB2312"/>
          <w:b w:val="0"/>
          <w:bCs w:val="0"/>
          <w:spacing w:val="8"/>
          <w:sz w:val="32"/>
          <w:szCs w:val="32"/>
        </w:rPr>
        <w:t>民、法人及其他组织开展烟草制品零售业务的经营场所。</w:t>
      </w:r>
    </w:p>
    <w:p w14:paraId="0792008B">
      <w:pPr>
        <w:keepNext w:val="0"/>
        <w:keepLines w:val="0"/>
        <w:pageBreakBefore w:val="0"/>
        <w:kinsoku/>
        <w:wordWrap/>
        <w:overflowPunct/>
        <w:topLinePunct w:val="0"/>
        <w:autoSpaceDE/>
        <w:autoSpaceDN/>
        <w:bidi w:val="0"/>
        <w:adjustRightInd/>
        <w:snapToGrid/>
        <w:spacing w:line="360" w:lineRule="auto"/>
        <w:ind w:firstLine="743"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5"/>
          <w:kern w:val="2"/>
          <w:sz w:val="32"/>
          <w:szCs w:val="32"/>
          <w:lang w:val="en-US" w:eastAsia="zh-CN" w:bidi="ar-SA"/>
        </w:rPr>
        <w:t>第三条</w:t>
      </w:r>
      <w:r>
        <w:rPr>
          <w:rFonts w:hint="eastAsia" w:ascii="华文仿宋" w:hAnsi="华文仿宋" w:eastAsia="华文仿宋" w:cs="华文仿宋"/>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本规定所称合理布局，是指坚持统筹兼顾、因地制宜，充分体现泸定县行政区域内城市和农村、新区和老区以及不同业态之间的区别，综合考虑区域单元功能、经济发展规划、人口流动趋势以及卷烟需求满足程度等因素，对烟草制品零售点的空间分布、以及经营场所条件等事项予以规范和管理。</w:t>
      </w:r>
    </w:p>
    <w:p w14:paraId="7A2CFC5E">
      <w:pPr>
        <w:keepNext w:val="0"/>
        <w:keepLines w:val="0"/>
        <w:pageBreakBefore w:val="0"/>
        <w:kinsoku/>
        <w:wordWrap/>
        <w:overflowPunct/>
        <w:topLinePunct w:val="0"/>
        <w:autoSpaceDE/>
        <w:autoSpaceDN/>
        <w:bidi w:val="0"/>
        <w:adjustRightInd/>
        <w:snapToGrid/>
        <w:spacing w:line="360" w:lineRule="auto"/>
        <w:ind w:firstLine="743"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5"/>
          <w:kern w:val="2"/>
          <w:sz w:val="32"/>
          <w:szCs w:val="32"/>
          <w:lang w:val="en-US" w:eastAsia="zh-CN" w:bidi="ar-SA"/>
        </w:rPr>
        <w:t>第四条</w:t>
      </w:r>
      <w:r>
        <w:rPr>
          <w:rFonts w:hint="eastAsia" w:ascii="华文仿宋" w:hAnsi="华文仿宋" w:eastAsia="华文仿宋" w:cs="华文仿宋"/>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烟草制品零售点布局应当遵循“依法行政、科学规划、服务社会、动态平衡”的原则。</w:t>
      </w:r>
    </w:p>
    <w:p w14:paraId="0E9637D6">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泸定县行政区划内烟草制品零售点的布局管理，适用本规定。</w:t>
      </w:r>
    </w:p>
    <w:p w14:paraId="677068A6">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第五条</w:t>
      </w:r>
      <w:r>
        <w:rPr>
          <w:rFonts w:hint="eastAsia" w:ascii="方正仿宋_GB2312" w:hAnsi="方正仿宋_GB2312" w:eastAsia="方正仿宋_GB2312" w:cs="方正仿宋_GB2312"/>
          <w:b w:val="0"/>
          <w:bCs w:val="0"/>
          <w:color w:val="auto"/>
          <w:spacing w:val="22"/>
          <w:kern w:val="2"/>
          <w:sz w:val="32"/>
          <w:szCs w:val="32"/>
          <w:lang w:val="en-US" w:eastAsia="zh-CN" w:bidi="ar-SA"/>
        </w:rPr>
        <w:t xml:space="preserve"> 烟草制品零售点布局规定情况及登记备案情况，根据《甘孜州烟草专卖局行政执法公示制度(试行)》规定进行实时公示、及时发布。</w:t>
      </w:r>
    </w:p>
    <w:p w14:paraId="70599E8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二</w:t>
      </w:r>
      <w:r>
        <w:rPr>
          <w:rFonts w:hint="eastAsia" w:ascii="方正黑体_GBK" w:hAnsi="方正黑体_GBK" w:eastAsia="方正黑体_GBK" w:cs="方正黑体_GBK"/>
          <w:sz w:val="32"/>
          <w:szCs w:val="32"/>
        </w:rPr>
        <w:t>章</w:t>
      </w:r>
      <w:r>
        <w:rPr>
          <w:rFonts w:hint="eastAsia" w:ascii="方正黑体_GBK" w:hAnsi="方正黑体_GBK" w:eastAsia="方正黑体_GBK" w:cs="方正黑体_GBK"/>
          <w:sz w:val="32"/>
          <w:szCs w:val="32"/>
          <w:lang w:eastAsia="zh-CN"/>
        </w:rPr>
        <w:t>布局</w:t>
      </w:r>
      <w:r>
        <w:rPr>
          <w:rFonts w:hint="eastAsia" w:ascii="方正黑体_GBK" w:hAnsi="方正黑体_GBK" w:eastAsia="方正黑体_GBK" w:cs="方正黑体_GBK"/>
          <w:sz w:val="32"/>
          <w:szCs w:val="32"/>
          <w:lang w:val="en-US" w:eastAsia="zh-CN"/>
        </w:rPr>
        <w:t>规划</w:t>
      </w:r>
      <w:r>
        <w:rPr>
          <w:rFonts w:hint="eastAsia" w:ascii="方正黑体_GBK" w:hAnsi="方正黑体_GBK" w:eastAsia="方正黑体_GBK" w:cs="方正黑体_GBK"/>
          <w:sz w:val="32"/>
          <w:szCs w:val="32"/>
          <w:lang w:eastAsia="zh-CN"/>
        </w:rPr>
        <w:t>标准</w:t>
      </w:r>
    </w:p>
    <w:p w14:paraId="36806066">
      <w:pPr>
        <w:pStyle w:val="5"/>
        <w:keepNext w:val="0"/>
        <w:keepLines w:val="0"/>
        <w:pageBreakBefore w:val="0"/>
        <w:kinsoku/>
        <w:wordWrap/>
        <w:overflowPunct/>
        <w:topLinePunct w:val="0"/>
        <w:autoSpaceDE/>
        <w:autoSpaceDN/>
        <w:bidi w:val="0"/>
        <w:adjustRightInd/>
        <w:snapToGrid/>
        <w:spacing w:before="0" w:after="0" w:line="360" w:lineRule="auto"/>
        <w:ind w:right="175" w:firstLine="731" w:firstLineChars="200"/>
        <w:jc w:val="left"/>
        <w:textAlignment w:val="auto"/>
        <w:rPr>
          <w:rFonts w:hint="eastAsia" w:ascii="方正仿宋_GBK" w:hAnsi="方正仿宋_GBK" w:eastAsia="方正仿宋_GBK" w:cs="方正仿宋_GBK"/>
          <w:sz w:val="32"/>
          <w:szCs w:val="32"/>
        </w:rPr>
      </w:pPr>
      <w:r>
        <w:rPr>
          <w:rFonts w:hint="eastAsia" w:ascii="方正仿宋_GB2312" w:hAnsi="方正仿宋_GB2312" w:eastAsia="方正仿宋_GB2312" w:cs="方正仿宋_GB2312"/>
          <w:b/>
          <w:bCs/>
          <w:color w:val="auto"/>
          <w:spacing w:val="22"/>
          <w:kern w:val="2"/>
          <w:sz w:val="32"/>
          <w:szCs w:val="32"/>
          <w:lang w:val="en-US" w:eastAsia="zh-CN" w:bidi="ar-SA"/>
        </w:rPr>
        <w:t>第六条</w:t>
      </w:r>
      <w:r>
        <w:rPr>
          <w:rFonts w:hint="eastAsia" w:ascii="方正仿宋_GBK" w:hAnsi="方正仿宋_GBK" w:eastAsia="方正仿宋_GBK" w:cs="方正仿宋_GBK"/>
          <w:spacing w:val="7"/>
          <w:sz w:val="32"/>
          <w:szCs w:val="32"/>
          <w:lang w:val="en-US" w:eastAsia="zh-CN"/>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烟草制品零售点分布要覆盖本县所有乡(镇)、街道、社区、集贸市场和乡村集市等，同时，要综合考量行政村的地理区位、人口规模、消费习惯及交通便利程度等因素，确保许可资源全覆盖，满足群众基本消费需求，以夯实农村市场发展基础，服务乡村振兴大局。</w:t>
      </w:r>
    </w:p>
    <w:p w14:paraId="1F0CF83F">
      <w:pPr>
        <w:pStyle w:val="5"/>
        <w:keepNext w:val="0"/>
        <w:keepLines w:val="0"/>
        <w:pageBreakBefore w:val="0"/>
        <w:kinsoku/>
        <w:wordWrap/>
        <w:overflowPunct/>
        <w:topLinePunct w:val="0"/>
        <w:autoSpaceDE/>
        <w:autoSpaceDN/>
        <w:bidi w:val="0"/>
        <w:adjustRightInd/>
        <w:snapToGrid/>
        <w:spacing w:before="0" w:after="0" w:line="360" w:lineRule="auto"/>
        <w:ind w:left="773"/>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第七条</w:t>
      </w:r>
      <w:r>
        <w:rPr>
          <w:rFonts w:hint="eastAsia" w:ascii="方正仿宋_GBK" w:hAnsi="方正仿宋_GBK" w:eastAsia="方正仿宋_GBK" w:cs="方正仿宋_GBK"/>
          <w:spacing w:val="15"/>
          <w:sz w:val="32"/>
          <w:szCs w:val="32"/>
          <w:lang w:val="en-US" w:eastAsia="zh-CN"/>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申请人、经营场所的条件</w:t>
      </w:r>
    </w:p>
    <w:p w14:paraId="3ECC667A">
      <w:pPr>
        <w:pStyle w:val="5"/>
        <w:keepNext w:val="0"/>
        <w:keepLines w:val="0"/>
        <w:pageBreakBefore w:val="0"/>
        <w:kinsoku/>
        <w:wordWrap/>
        <w:overflowPunct/>
        <w:topLinePunct w:val="0"/>
        <w:autoSpaceDE/>
        <w:autoSpaceDN/>
        <w:bidi w:val="0"/>
        <w:adjustRightInd/>
        <w:snapToGrid/>
        <w:spacing w:before="0" w:after="0" w:line="360" w:lineRule="auto"/>
        <w:ind w:left="773"/>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(一)申请人条件</w:t>
      </w:r>
    </w:p>
    <w:p w14:paraId="279DE726">
      <w:pPr>
        <w:pStyle w:val="5"/>
        <w:keepNext w:val="0"/>
        <w:keepLines w:val="0"/>
        <w:pageBreakBefore w:val="0"/>
        <w:kinsoku/>
        <w:wordWrap/>
        <w:overflowPunct/>
        <w:topLinePunct w:val="0"/>
        <w:autoSpaceDE/>
        <w:autoSpaceDN/>
        <w:bidi w:val="0"/>
        <w:adjustRightInd/>
        <w:snapToGrid/>
        <w:spacing w:before="0" w:after="0" w:line="360" w:lineRule="auto"/>
        <w:ind w:left="123" w:right="171" w:firstLine="650"/>
        <w:jc w:val="left"/>
        <w:textAlignment w:val="auto"/>
        <w:rPr>
          <w:rFonts w:hint="eastAsia" w:ascii="方正仿宋_GBK" w:hAnsi="方正仿宋_GBK" w:eastAsia="方正仿宋_GBK" w:cs="方正仿宋_GBK"/>
          <w:sz w:val="32"/>
          <w:szCs w:val="32"/>
        </w:rPr>
      </w:pPr>
      <w:r>
        <w:rPr>
          <w:rFonts w:hint="eastAsia" w:ascii="方正仿宋_GB2312" w:hAnsi="方正仿宋_GB2312" w:eastAsia="方正仿宋_GB2312" w:cs="方正仿宋_GB2312"/>
          <w:b w:val="0"/>
          <w:bCs w:val="0"/>
          <w:color w:val="auto"/>
          <w:spacing w:val="22"/>
          <w:kern w:val="2"/>
          <w:sz w:val="32"/>
          <w:szCs w:val="32"/>
          <w:lang w:val="en-US" w:eastAsia="zh-CN" w:bidi="ar-SA"/>
        </w:rPr>
        <w:t>应当持有有效的居民身份证，应年满18周岁及以上，且具有完全民事行为能力。</w:t>
      </w:r>
    </w:p>
    <w:p w14:paraId="041FDA6C">
      <w:pPr>
        <w:pStyle w:val="5"/>
        <w:keepNext w:val="0"/>
        <w:keepLines w:val="0"/>
        <w:pageBreakBefore w:val="0"/>
        <w:kinsoku/>
        <w:wordWrap/>
        <w:overflowPunct/>
        <w:topLinePunct w:val="0"/>
        <w:autoSpaceDE/>
        <w:autoSpaceDN/>
        <w:bidi w:val="0"/>
        <w:adjustRightInd/>
        <w:snapToGrid/>
        <w:spacing w:before="0" w:after="0" w:line="360" w:lineRule="auto"/>
        <w:ind w:left="123" w:right="171" w:firstLine="65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(二)经营场所条件</w:t>
      </w:r>
    </w:p>
    <w:p w14:paraId="0C494BA0">
      <w:pPr>
        <w:pStyle w:val="5"/>
        <w:keepNext w:val="0"/>
        <w:keepLines w:val="0"/>
        <w:pageBreakBefore w:val="0"/>
        <w:kinsoku/>
        <w:wordWrap/>
        <w:overflowPunct/>
        <w:topLinePunct w:val="0"/>
        <w:autoSpaceDE/>
        <w:autoSpaceDN/>
        <w:bidi w:val="0"/>
        <w:adjustRightInd/>
        <w:snapToGrid/>
        <w:spacing w:before="0" w:after="0" w:line="360" w:lineRule="auto"/>
        <w:ind w:right="171"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申请人必须具有确切地址的固定经营场所且与住所相独立。</w:t>
      </w:r>
    </w:p>
    <w:p w14:paraId="37ACCCAD">
      <w:pPr>
        <w:pStyle w:val="9"/>
        <w:keepNext w:val="0"/>
        <w:keepLines w:val="0"/>
        <w:pageBreakBefore w:val="0"/>
        <w:kinsoku/>
        <w:wordWrap/>
        <w:overflowPunct/>
        <w:topLinePunct w:val="0"/>
        <w:autoSpaceDE/>
        <w:autoSpaceDN/>
        <w:bidi w:val="0"/>
        <w:adjustRightInd/>
        <w:snapToGrid/>
        <w:spacing w:after="0"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第八条</w:t>
      </w:r>
      <w:r>
        <w:rPr>
          <w:rFonts w:hint="eastAsia" w:ascii="方正仿宋_GBK" w:hAnsi="方正仿宋_GBK" w:eastAsia="方正仿宋_GBK" w:cs="方正仿宋_GBK"/>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申请新办烟草专卖零售许可证，应当核查以下材料：</w:t>
      </w:r>
    </w:p>
    <w:p w14:paraId="15EDD5E3">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zh-CN" w:eastAsia="zh-CN" w:bidi="ar-SA"/>
        </w:rPr>
      </w:pPr>
      <w:r>
        <w:rPr>
          <w:rFonts w:hint="eastAsia" w:ascii="方正仿宋_GB2312" w:hAnsi="方正仿宋_GB2312" w:eastAsia="方正仿宋_GB2312" w:cs="方正仿宋_GB2312"/>
          <w:b w:val="0"/>
          <w:bCs w:val="0"/>
          <w:color w:val="auto"/>
          <w:spacing w:val="22"/>
          <w:kern w:val="2"/>
          <w:sz w:val="32"/>
          <w:szCs w:val="32"/>
          <w:lang w:val="zh-CN" w:eastAsia="zh-CN" w:bidi="ar-SA"/>
        </w:rPr>
        <w:t>（一）申请表；</w:t>
      </w:r>
    </w:p>
    <w:p w14:paraId="7065E950">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zh-CN" w:eastAsia="zh-CN" w:bidi="ar-SA"/>
        </w:rPr>
      </w:pPr>
      <w:r>
        <w:rPr>
          <w:rFonts w:hint="eastAsia" w:ascii="方正仿宋_GB2312" w:hAnsi="方正仿宋_GB2312" w:eastAsia="方正仿宋_GB2312" w:cs="方正仿宋_GB2312"/>
          <w:b w:val="0"/>
          <w:bCs w:val="0"/>
          <w:color w:val="auto"/>
          <w:spacing w:val="22"/>
          <w:kern w:val="2"/>
          <w:sz w:val="32"/>
          <w:szCs w:val="32"/>
          <w:lang w:val="zh-CN" w:eastAsia="zh-CN" w:bidi="ar-SA"/>
        </w:rPr>
        <w:t>（二）营业执照；</w:t>
      </w:r>
    </w:p>
    <w:p w14:paraId="42CA765C">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zh-CN" w:eastAsia="zh-CN" w:bidi="ar-SA"/>
        </w:rPr>
      </w:pPr>
      <w:r>
        <w:rPr>
          <w:rFonts w:hint="eastAsia" w:ascii="方正仿宋_GB2312" w:hAnsi="方正仿宋_GB2312" w:eastAsia="方正仿宋_GB2312" w:cs="方正仿宋_GB2312"/>
          <w:b w:val="0"/>
          <w:bCs w:val="0"/>
          <w:color w:val="auto"/>
          <w:spacing w:val="22"/>
          <w:kern w:val="2"/>
          <w:sz w:val="32"/>
          <w:szCs w:val="32"/>
          <w:lang w:val="zh-CN" w:eastAsia="zh-CN" w:bidi="ar-SA"/>
        </w:rPr>
        <w:t>（三）个体工商户经营者、法定代表人或其他组织负责人的身份证明。</w:t>
      </w:r>
    </w:p>
    <w:p w14:paraId="49963967">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第九条</w:t>
      </w:r>
      <w:r>
        <w:rPr>
          <w:rFonts w:hint="eastAsia" w:ascii="方正仿宋_GBK" w:hAnsi="方正仿宋_GBK" w:eastAsia="方正仿宋_GBK" w:cs="方正仿宋_GBK"/>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区域规划依据泸定县城乡规划、商业网点布局和辖区特点，将全县划分为：县城主城区、城乡结合部、乡镇集镇区、一般乡村（行政村）区域、特殊区域（如旅游景区、交通枢纽、工业园区、军事管理区等）四类，采用“区域规划+距离限制+总量调控+业态优化+弹性布局”的组合模式，实施差异化布局政策。</w:t>
      </w:r>
    </w:p>
    <w:p w14:paraId="66330AA3">
      <w:pPr>
        <w:pStyle w:val="9"/>
        <w:keepNext w:val="0"/>
        <w:keepLines w:val="0"/>
        <w:pageBreakBefore w:val="0"/>
        <w:kinsoku/>
        <w:wordWrap/>
        <w:overflowPunct/>
        <w:topLinePunct w:val="0"/>
        <w:autoSpaceDE/>
        <w:autoSpaceDN/>
        <w:bidi w:val="0"/>
        <w:adjustRightInd/>
        <w:snapToGrid/>
        <w:spacing w:after="0"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第十条</w:t>
      </w:r>
      <w:r>
        <w:rPr>
          <w:rFonts w:hint="eastAsia" w:ascii="方正仿宋_GBK" w:hAnsi="方正仿宋_GBK" w:eastAsia="方正仿宋_GBK" w:cs="方正仿宋_GBK"/>
          <w:kern w:val="2"/>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烟草制品零售点区域布局标准</w:t>
      </w:r>
    </w:p>
    <w:p w14:paraId="4A0F0529">
      <w:pPr>
        <w:keepNext w:val="0"/>
        <w:keepLines w:val="0"/>
        <w:pageBreakBefore w:val="0"/>
        <w:kinsoku/>
        <w:wordWrap/>
        <w:overflowPunct/>
        <w:topLinePunct w:val="0"/>
        <w:autoSpaceDE/>
        <w:autoSpaceDN/>
        <w:bidi w:val="0"/>
        <w:adjustRightInd/>
        <w:snapToGrid/>
        <w:spacing w:line="360" w:lineRule="auto"/>
        <w:ind w:firstLine="640" w:firstLineChars="200"/>
        <w:jc w:val="left"/>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（一）</w:t>
      </w:r>
      <w:r>
        <w:rPr>
          <w:rFonts w:hint="eastAsia" w:ascii="华文仿宋" w:hAnsi="华文仿宋" w:eastAsia="华文仿宋" w:cs="华文仿宋"/>
          <w:color w:val="auto"/>
          <w:kern w:val="0"/>
          <w:sz w:val="32"/>
          <w:szCs w:val="32"/>
          <w:lang w:val="en-US" w:eastAsia="zh-CN" w:bidi="ar"/>
        </w:rPr>
        <w:t>县城主城区</w:t>
      </w:r>
      <w:r>
        <w:rPr>
          <w:rFonts w:hint="eastAsia" w:ascii="华文仿宋" w:hAnsi="华文仿宋" w:eastAsia="华文仿宋" w:cs="华文仿宋"/>
          <w:sz w:val="32"/>
          <w:szCs w:val="32"/>
          <w:lang w:eastAsia="zh-CN"/>
        </w:rPr>
        <w:t>：按照</w:t>
      </w:r>
      <w:r>
        <w:rPr>
          <w:rFonts w:hint="eastAsia" w:ascii="华文仿宋" w:hAnsi="华文仿宋" w:eastAsia="华文仿宋" w:cs="华文仿宋"/>
          <w:kern w:val="2"/>
          <w:sz w:val="32"/>
          <w:szCs w:val="32"/>
          <w:lang w:eastAsia="zh-CN"/>
        </w:rPr>
        <w:t>老城区、新城区</w:t>
      </w:r>
      <w:r>
        <w:rPr>
          <w:rFonts w:hint="eastAsia" w:ascii="华文仿宋" w:hAnsi="华文仿宋" w:eastAsia="华文仿宋" w:cs="华文仿宋"/>
          <w:sz w:val="32"/>
          <w:szCs w:val="32"/>
          <w:lang w:eastAsia="zh-CN"/>
        </w:rPr>
        <w:t>划分单元格</w:t>
      </w:r>
      <w:r>
        <w:rPr>
          <w:rFonts w:hint="eastAsia" w:ascii="华文仿宋" w:hAnsi="华文仿宋" w:eastAsia="华文仿宋" w:cs="华文仿宋"/>
          <w:sz w:val="32"/>
          <w:szCs w:val="32"/>
        </w:rPr>
        <w:t>区域，</w:t>
      </w:r>
      <w:r>
        <w:rPr>
          <w:rFonts w:hint="eastAsia" w:ascii="华文仿宋" w:hAnsi="华文仿宋" w:eastAsia="华文仿宋" w:cs="华文仿宋"/>
          <w:sz w:val="32"/>
          <w:szCs w:val="32"/>
          <w:lang w:eastAsia="zh-CN"/>
        </w:rPr>
        <w:t>采取</w:t>
      </w:r>
      <w:r>
        <w:rPr>
          <w:rFonts w:hint="eastAsia" w:ascii="华文仿宋" w:hAnsi="华文仿宋" w:eastAsia="华文仿宋" w:cs="华文仿宋"/>
          <w:color w:val="auto"/>
          <w:sz w:val="32"/>
          <w:szCs w:val="32"/>
        </w:rPr>
        <w:t>“总量</w:t>
      </w:r>
      <w:r>
        <w:rPr>
          <w:rFonts w:hint="eastAsia" w:ascii="华文仿宋" w:hAnsi="华文仿宋" w:eastAsia="华文仿宋" w:cs="华文仿宋"/>
          <w:color w:val="auto"/>
          <w:sz w:val="32"/>
          <w:szCs w:val="32"/>
          <w:lang w:val="en-US" w:eastAsia="zh-CN"/>
        </w:rPr>
        <w:t>+距离</w:t>
      </w:r>
      <w:r>
        <w:rPr>
          <w:rFonts w:hint="eastAsia" w:ascii="华文仿宋" w:hAnsi="华文仿宋" w:eastAsia="华文仿宋" w:cs="华文仿宋"/>
          <w:color w:val="auto"/>
          <w:sz w:val="32"/>
          <w:szCs w:val="32"/>
        </w:rPr>
        <w:t>”</w:t>
      </w:r>
      <w:r>
        <w:rPr>
          <w:rFonts w:hint="eastAsia" w:ascii="华文仿宋" w:hAnsi="华文仿宋" w:eastAsia="华文仿宋" w:cs="华文仿宋"/>
          <w:sz w:val="32"/>
          <w:szCs w:val="32"/>
          <w:lang w:eastAsia="zh-CN"/>
        </w:rPr>
        <w:t>布局</w:t>
      </w:r>
      <w:r>
        <w:rPr>
          <w:rFonts w:hint="eastAsia" w:ascii="华文仿宋" w:hAnsi="华文仿宋" w:eastAsia="华文仿宋" w:cs="华文仿宋"/>
          <w:sz w:val="32"/>
          <w:szCs w:val="32"/>
        </w:rPr>
        <w:t>模式，即规定最小单元格</w:t>
      </w:r>
      <w:r>
        <w:rPr>
          <w:rFonts w:hint="eastAsia" w:ascii="华文仿宋" w:hAnsi="华文仿宋" w:eastAsia="华文仿宋" w:cs="华文仿宋"/>
          <w:kern w:val="2"/>
          <w:sz w:val="32"/>
          <w:szCs w:val="32"/>
          <w:lang w:eastAsia="zh-CN"/>
        </w:rPr>
        <w:t>限制数量及限制距离</w:t>
      </w:r>
      <w:r>
        <w:rPr>
          <w:rFonts w:hint="eastAsia" w:ascii="华文仿宋" w:hAnsi="华文仿宋" w:eastAsia="华文仿宋" w:cs="华文仿宋"/>
          <w:sz w:val="32"/>
          <w:szCs w:val="32"/>
        </w:rPr>
        <w:t>。</w:t>
      </w:r>
    </w:p>
    <w:p w14:paraId="7E287EB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县城老城区【泸桥镇，包含：南段社区（大渡河东岸到山边，羊圈沟以南至康巴大桥以北）；北段社区（大渡河东岸到山边，羊圈沟以北至彩桥以南）】：烟草制品零售点控制在98户以内。每个烟草制品零售点之间间距为同侧10米、异侧10米。</w:t>
      </w:r>
    </w:p>
    <w:p w14:paraId="3F7E4728">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2、县城新城区【泸桥镇，包含：沙坝社区（大渡河西岸，城南大桥以西至辖区，含勇士路）；烟草制品零售点控制在63户以内。每个烟草制品零售点之间间距为同侧10米、异侧10米。</w:t>
      </w:r>
    </w:p>
    <w:p w14:paraId="6A4DCD0B">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K" w:hAnsi="方正仿宋_GBK" w:eastAsia="方正仿宋_GBK" w:cs="方正仿宋_GBK"/>
          <w:kern w:val="2"/>
          <w:sz w:val="32"/>
          <w:szCs w:val="32"/>
        </w:rPr>
      </w:pPr>
      <w:r>
        <w:rPr>
          <w:rFonts w:hint="eastAsia" w:ascii="方正仿宋_GB2312" w:hAnsi="方正仿宋_GB2312" w:eastAsia="方正仿宋_GB2312" w:cs="方正仿宋_GB2312"/>
          <w:b w:val="0"/>
          <w:bCs w:val="0"/>
          <w:color w:val="auto"/>
          <w:spacing w:val="22"/>
          <w:kern w:val="2"/>
          <w:sz w:val="32"/>
          <w:szCs w:val="32"/>
          <w:lang w:val="en-US" w:eastAsia="zh-CN" w:bidi="ar-SA"/>
        </w:rPr>
        <w:t>3、安乐坝片区（安沙大桥以南至田安大桥以西至康巴大桥以东）】：烟草制品零售点控制在28户以内。每个烟草制品零售点之间间距为同侧10米、异侧10米。</w:t>
      </w:r>
    </w:p>
    <w:p w14:paraId="3086027D">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（二）城乡结合部：老城区、新城区单元格无法全覆盖的城乡结合部，采取“总量+距离”模式进行管理，即规定最小单元格限制数量及限制距离。</w:t>
      </w:r>
    </w:p>
    <w:p w14:paraId="1C11E81B">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1、田坝片区：烟草制品零售点控制在22户以内，每个烟草制品零售点之间间距为同侧30米、异侧20米。</w:t>
      </w:r>
    </w:p>
    <w:p w14:paraId="6DABA599">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（三）乡镇集镇区：按照乡(镇)“集贸市场”、“乡村集市”划分单元格区域，采取“总量”布局模式，即规定最小单元格限制数量。</w:t>
      </w:r>
    </w:p>
    <w:p w14:paraId="5C2F2322">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1、冷碛镇（冷碛老街道居委会，冷碛新街道居委会、镇政府所在地行政村所辖区域集贸市场）：烟草制品零售点控制在48户以内。</w:t>
      </w:r>
    </w:p>
    <w:p w14:paraId="361DB67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2、兴隆镇（兴隆街道居委会、镇政府所在地行政村所辖区域集贸市场）：卷烟零售点控制在5户以内。其中，沈村和堡子村作为乡村集市，烟草制品零售点控制在20户以内。</w:t>
      </w:r>
    </w:p>
    <w:p w14:paraId="66BED3F8">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3、磨西镇（老街社区、镇政府所在地和海螺沟管委会所在地行政村所辖区域集贸市场）：烟草制品零售点控制在52户以内。</w:t>
      </w:r>
    </w:p>
    <w:p w14:paraId="11A0C864">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4、燕子沟镇（镇政府所在地行政村所辖区域集贸市场）：烟草制品零售点控制在10户以内。</w:t>
      </w:r>
    </w:p>
    <w:p w14:paraId="1722D108">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5、得妥镇（镇政府所在地行政村所辖区域集贸市场）：烟草制品零售点控制在16户以内。</w:t>
      </w:r>
    </w:p>
    <w:p w14:paraId="013354B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6、烹坝镇（镇政府所在地行政村所辖区域集贸市场）：烟草制品零售点控制在6户以内。其中，沙湾村作为乡村集市，烟草制品零售点控制在13户以内。</w:t>
      </w:r>
    </w:p>
    <w:p w14:paraId="6467C32C">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7、德威镇（镇政府所在地行政村所辖区域集贸市场）：烟草制品零售点控制在7户以内。</w:t>
      </w:r>
    </w:p>
    <w:p w14:paraId="1F0381E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8、岚安乡（乡政府所在地行政村所辖区域集贸市场）：烟草制品零售点控制在6户以内。</w:t>
      </w:r>
    </w:p>
    <w:p w14:paraId="32BACEF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四）一般乡村（行政村）区域：对无烟草制品零售点的行政村（空白村）采取采取“一村一点”，即：“数量”调控模式，每个行政村（空白村）可设置1个烟草制品零售点，不受所属乡镇单元格距离及指导数量限制，且该烟草制品零售点不计入所属乡镇单元格指导数量。</w:t>
      </w:r>
    </w:p>
    <w:p w14:paraId="3C05BD9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五）业态布局优化规定：除便利店、超市、烟草专业店、商场等卷烟经营需求度较高的业态外，对与卷烟经营互补性不强的娱乐服务和其他类业态，采取“总量+距离”模式进行管理。泸定县管辖范围内娱乐服务和其他类业态烟草制品零售点受所属区域数量控制，每个烟草制品零售点之间间距为同侧200米、异侧100米。</w:t>
      </w:r>
    </w:p>
    <w:p w14:paraId="313FDDE0">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（六）特殊区域：采取“总量”布局模式，即规定最小单元格限制数量。</w:t>
      </w:r>
    </w:p>
    <w:p w14:paraId="0AA082BC">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1、铁路站点、高速公路服务区对内经营的零售点，其内部根据实际消费需求可以设置1个烟草制品零售点。</w:t>
      </w:r>
    </w:p>
    <w:p w14:paraId="5E12048F">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2、大专以上高等院校，校园内部可设置2个零售点，校舍内部可设置2个零售点。校园、校舍周围2公里范围内形成的综合性便民服务商业区可以设置5个零售点。</w:t>
      </w:r>
    </w:p>
    <w:p w14:paraId="6435A246">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3、军事单位、拘留所、看守所、监狱、新开发小区、移民集中安置小区、工业产业园区等全封闭机构，可按单位需求设置1个零售点。在以上区域内设立零售点的，申请人应事先协调门卫、安保等环节，确保烟草执法人员的后续监督检查工作能够正常开展；对外经营烟草制品的，适用正常申请的条件。</w:t>
      </w:r>
    </w:p>
    <w:p w14:paraId="234F28CF">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default"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4、为优化旅游市场布局规划，满足特色消费需求，有力支撑四川烟草工商企业“文旅+烟草全产业链”融合发展。县域范围内旅游景区、游客集散中心、游客服务区、休息点、观景站（台）等，其内部可以设置 1个烟草制品零售点。其周围2公里范围内形成的综合性便民服务商业区可以设置5个烟草制品零售点。</w:t>
      </w:r>
    </w:p>
    <w:p w14:paraId="08A52092">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（七）根据烟草制品市场需求、产业政策等变化情况，布局规定可建立明确单元格区域容量调整规则，调整情况向社会公布后实施。</w:t>
      </w:r>
    </w:p>
    <w:p w14:paraId="5ED8BFF0">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第十一条</w:t>
      </w:r>
      <w:r>
        <w:rPr>
          <w:rFonts w:hint="eastAsia" w:ascii="方正仿宋_GBK" w:hAnsi="方正仿宋_GBK" w:eastAsia="方正仿宋_GBK" w:cs="方正仿宋_GBK"/>
          <w:kern w:val="2"/>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雪茄烟零售点布局实行单独布局，采用以下标准：</w:t>
      </w:r>
    </w:p>
    <w:p w14:paraId="11D1173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一）雪茄烟零售点指经营范围只包含雪茄烟本店零售的经营场所。雪茄烟零售点应有专门用于雪茄烟陈列、展示的设施，有能够恒定维持雪茄烟储存所需湿度、温度条件的设备设施，有满足雪茄烟品鉴条件的区域、工具及良好通风条件的品鉴环境。该类零售点业态不纳入娱乐服务类或其他类统计。</w:t>
      </w:r>
    </w:p>
    <w:p w14:paraId="6E3DF77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二）雪茄烟零售点与其他卷烟、电子烟零售点互不作为布局参照。泸定县烟草专卖局参考人口数量、市场特征、消费需求、合理利润等因素，对雪茄烟零售点的布局采取数量调控模式，设置区域指导数量。对机场、高铁站、旅游景区、特色商业街区、大型商场、购物中心、星级宾馆等相对独立的市场单元，可以单独设置1个雪茄烟零售点，不受区域指导数量的限制。</w:t>
      </w:r>
    </w:p>
    <w:p w14:paraId="6F623C24">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（三）泸定县烟草专卖局可以根据雪茄烟市场需求、产业政策等变化情况，对雪茄烟零售点指导数量进行动态调整，单次增减数量不超过2户，经当地政府网公告30日后实施。</w:t>
      </w:r>
    </w:p>
    <w:p w14:paraId="44A74F3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四）根据雪茄烟零售点布局规划取得的许可证，如果申请许可范围变更的，需符合申请变更许可范围所对应的零售点布局规划。同一经营地址已经办理了烟草专卖零售许可证，在有效期内不再核准雪茄烟零售许可。</w:t>
      </w:r>
    </w:p>
    <w:p w14:paraId="7BBEEF2A">
      <w:pPr>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三</w:t>
      </w:r>
      <w:r>
        <w:rPr>
          <w:rFonts w:hint="eastAsia" w:ascii="方正黑体_GBK" w:hAnsi="方正黑体_GBK" w:eastAsia="方正黑体_GBK" w:cs="方正黑体_GBK"/>
          <w:sz w:val="32"/>
          <w:szCs w:val="32"/>
        </w:rPr>
        <w:t xml:space="preserve">章 </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优待政策</w:t>
      </w:r>
    </w:p>
    <w:p w14:paraId="0656B5C3">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第十二条</w:t>
      </w:r>
      <w:r>
        <w:rPr>
          <w:rFonts w:hint="eastAsia" w:ascii="方正仿宋_GBK" w:hAnsi="方正仿宋_GBK" w:eastAsia="方正仿宋_GBK" w:cs="方正仿宋_GBK"/>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根据本地实际情况，适度考量制定优待政策</w:t>
      </w:r>
    </w:p>
    <w:p w14:paraId="29BFF55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（一）有下列情形之一的，在符合条件时可以在“限制数量”和“限制距离”上获得优待：</w:t>
      </w:r>
    </w:p>
    <w:p w14:paraId="5473DE7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残疾人：按照《四川省烟草专卖局关于残疾人办理烟草专卖零售许可证的指导意见》，对视力残疾：一级盲、二级盲；听力残疾：一、二、三级；言语残疾：一、二、三级；肢体残疾：重度（一级）、中度（二级）。不受区域数量限制，烟草制品零售点间距要求在所属区域原间距要求上放宽50%。该优待政策申请人在本行政区域范围内只能享受一次。依据本条规定办理的烟草专卖零售许可证，变更经营者(负责人)时，如新申请人不属于上述对象，则不予许可。</w:t>
      </w:r>
    </w:p>
    <w:p w14:paraId="485A612C">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2、残疾军人、烈士家属（烈士的父母、配偶、子女）或享受低保待遇，持有证件（县级以上政府相关部门出具有效证明材料），不受区域数量限制，烟草制品零售点间距要求在所属区域原间距要求上放宽50%。</w:t>
      </w:r>
    </w:p>
    <w:p w14:paraId="3844201B">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3、因学校周边限制：因中小学、幼儿园的新建或变动，导致原址不符合距离规定而申请变更地址的，不受区域数量限制，烟草制品零售点间距要求在所属区域原间距要求上放宽50%。</w:t>
      </w:r>
    </w:p>
    <w:p w14:paraId="5D898D4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4、返回原址经营：曾因学校周边限制主动搬离，后因学校拆除等原因限制消除，申请迁回原址的，不受区域数量限制，烟草制品零售点间距要求在所属区域间距要求上放宽50%。</w:t>
      </w:r>
    </w:p>
    <w:p w14:paraId="1D26F1F8">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5、被动地址变更：因道路规划、城市建设、原址拆建、集中易民、地震等自然灾害等客观原因无法在原址经营，申请变更到本单元格区域内其他地址的。不受区域数量限制，烟草制品零售点间距要求在所属区域间距要求上放宽50%。</w:t>
      </w:r>
    </w:p>
    <w:p w14:paraId="1B683B5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6、大型商场超市：大型商场、超市营业面积在200平方米及以上，可以设置1个零售点；营业面积在1000平方米及以上的综合商场、集贸市场，可以分别设置3个零售点。不受区域数量限制，烟草制品零售点间距要求在所属区域间距要求上放宽50%。</w:t>
      </w:r>
    </w:p>
    <w:p w14:paraId="4E38385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7、政策扶持需要：为支持乡村振兴、招商引资等地方政策，推销本地农产品、农副产品、文创产品或乡村振兴项目，县政府设立的定点销售点，有政府相关部门相关文件支撑，可设置1个零售点。不受区域数量限制，烟草制品零售点间距要求在所属区域间距要求上放宽50%。</w:t>
      </w:r>
    </w:p>
    <w:p w14:paraId="29269162">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bookmarkStart w:id="0" w:name="OLE_LINK5"/>
      <w:bookmarkStart w:id="1" w:name="OLE_LINK12"/>
      <w:bookmarkStart w:id="2" w:name="OLE_LINK11"/>
      <w:r>
        <w:rPr>
          <w:rFonts w:hint="eastAsia" w:ascii="方正仿宋_GB2312" w:hAnsi="方正仿宋_GB2312" w:eastAsia="方正仿宋_GB2312" w:cs="方正仿宋_GB2312"/>
          <w:b w:val="0"/>
          <w:bCs w:val="0"/>
          <w:color w:val="auto"/>
          <w:spacing w:val="22"/>
          <w:kern w:val="2"/>
          <w:sz w:val="32"/>
          <w:szCs w:val="32"/>
          <w:lang w:val="en-US" w:eastAsia="zh-CN" w:bidi="ar-SA"/>
        </w:rPr>
        <w:t>8、临时性集中区域：辖区内在一定时间段内人员大量集中的基建工区、工程项目部等，按照实际需求在工区和项目部内可设置1个烟草制品零售点，其许可证有效期限根据工程施工时间确定，该工程完工，其许可证有效期终止。</w:t>
      </w:r>
    </w:p>
    <w:bookmarkEnd w:id="0"/>
    <w:bookmarkEnd w:id="1"/>
    <w:bookmarkEnd w:id="2"/>
    <w:p w14:paraId="485743C0">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9、加油站便利店：根据《国家烟草专卖局办公室关于加油站便利店申领烟草专卖零售许可证有关事项的通知》(国烟办综〔2014〕 474号)的规定，具备安全技术和安全设备设施条件的加油站便利店可以设置1个烟草制品零售点。</w:t>
      </w:r>
    </w:p>
    <w:p w14:paraId="4DA04A4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K" w:hAnsi="方正仿宋_GBK" w:eastAsia="方正仿宋_GBK" w:cs="方正仿宋_GBK"/>
          <w:sz w:val="32"/>
          <w:szCs w:val="32"/>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10、持证人继承经营：个体工商户持证人死亡或丧失能力，其直系亲属继续在原址经营的。</w:t>
      </w:r>
    </w:p>
    <w:p w14:paraId="4096C87C">
      <w:pPr>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四</w:t>
      </w:r>
      <w:r>
        <w:rPr>
          <w:rFonts w:hint="eastAsia" w:ascii="方正黑体_GBK" w:hAnsi="方正黑体_GBK" w:eastAsia="方正黑体_GBK" w:cs="方正黑体_GBK"/>
          <w:sz w:val="32"/>
          <w:szCs w:val="32"/>
        </w:rPr>
        <w:t xml:space="preserve">章 </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lang w:eastAsia="zh-CN"/>
        </w:rPr>
        <w:t>禁止性条款</w:t>
      </w:r>
    </w:p>
    <w:p w14:paraId="391A733B">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第十三条</w:t>
      </w:r>
      <w:r>
        <w:rPr>
          <w:rFonts w:hint="eastAsia" w:ascii="方正仿宋_GBK" w:hAnsi="方正仿宋_GBK" w:eastAsia="方正仿宋_GBK" w:cs="方正仿宋_GBK"/>
          <w:b/>
          <w:color w:val="auto"/>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有下列情形之一的，不设置烟草零售点、不予发放烟草专卖零售许可证:</w:t>
      </w:r>
    </w:p>
    <w:p w14:paraId="356D79A9">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（一）申请资格方面</w:t>
      </w:r>
    </w:p>
    <w:p w14:paraId="61888B60">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1、无民事行为能力或限制民事行为能力人。</w:t>
      </w:r>
    </w:p>
    <w:p w14:paraId="083F6467">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2、外商投资的商业企业或者个体工商户，或外商投资的商业企业或者个体工商户以特许、吸纳加盟店及其他再投资等形式变相从事烟草专卖品经营的。</w:t>
      </w:r>
    </w:p>
    <w:p w14:paraId="421008E7">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3、取消从事烟草专卖业务资格不满三年的。</w:t>
      </w:r>
    </w:p>
    <w:p w14:paraId="45F60A0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4、申请人隐瞒有关情况或者提供虚假材料，烟草专卖行政主管部门作出不予受理或者不予发证决定后，申请人一年内再次提出申请的。</w:t>
      </w:r>
    </w:p>
    <w:p w14:paraId="1E6F966A">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5、申请人以欺骗、贿赂等不正当手段取得的烟草专卖许可证被撤销后，申请人三年内再次提出申请的。</w:t>
      </w:r>
    </w:p>
    <w:p w14:paraId="60665E49">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6、未领取烟草专卖零售许可证经营烟草专卖品业务，并且一年内被执法机关处罚两次以上，在三年内申请领取烟草专卖零售许可证的。</w:t>
      </w:r>
    </w:p>
    <w:p w14:paraId="1F784855">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7、未领取烟草专卖零售许可证经营烟草制品业务被追究刑事责任，在3年内申请领取烟草专卖零售许可证的。</w:t>
      </w:r>
    </w:p>
    <w:p w14:paraId="763B4683">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（二）经营场所方面</w:t>
      </w:r>
    </w:p>
    <w:p w14:paraId="4CA80A8F">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1、无固定经营场所的。</w:t>
      </w:r>
    </w:p>
    <w:p w14:paraId="389F7698">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2、经营场所与住所不相独立的。</w:t>
      </w:r>
    </w:p>
    <w:p w14:paraId="4CD3B1C5">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3、同一经营场所已经办理了烟草专卖零售许可证，且该许可证在有效期内的。</w:t>
      </w:r>
    </w:p>
    <w:p w14:paraId="2208B50C">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4、经营场所存在安全隐患，且不具备安全措施保障，不适宜经营卷烟的，包括但不限于经营或存放有毒有害、易燃易爆、放射性物品的场所。具备安全保障措施的加油站便利店除外。</w:t>
      </w:r>
    </w:p>
    <w:p w14:paraId="546F6012">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（三）经营方式方面</w:t>
      </w:r>
    </w:p>
    <w:p w14:paraId="0E19C785">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1、通过涉烟自动售货机（柜）、无人超市、电玩游戏机等自动售货形式，销售或者变相销售烟草制品的。</w:t>
      </w:r>
    </w:p>
    <w:p w14:paraId="5B08FBBD">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2、利用信息网络渠道销售卷烟的。</w:t>
      </w:r>
    </w:p>
    <w:p w14:paraId="50DE6060">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（四）特殊区域方面</w:t>
      </w:r>
    </w:p>
    <w:p w14:paraId="3903C0B1">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1、中小学、幼儿园内部，及进出通道口向外延伸50米以内的经营场所。</w:t>
      </w:r>
    </w:p>
    <w:p w14:paraId="61C2D447">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val="0"/>
          <w:bCs w:val="0"/>
          <w:color w:val="auto"/>
          <w:spacing w:val="22"/>
          <w:kern w:val="2"/>
          <w:sz w:val="32"/>
          <w:szCs w:val="32"/>
          <w:lang w:val="en-US" w:eastAsia="zh-CN" w:bidi="ar-SA"/>
        </w:rPr>
        <w:t>2、诊所、医院、党政机关内部等依照相关法律、行政法规明文规定或当地政府及相关机构明文规定不能设置烟草制品零售点的。</w:t>
      </w:r>
    </w:p>
    <w:p w14:paraId="260547D3">
      <w:pPr>
        <w:keepNext w:val="0"/>
        <w:keepLines w:val="0"/>
        <w:pageBreakBefore w:val="0"/>
        <w:kinsoku/>
        <w:wordWrap/>
        <w:overflowPunct/>
        <w:topLinePunct w:val="0"/>
        <w:autoSpaceDE/>
        <w:autoSpaceDN/>
        <w:bidi w:val="0"/>
        <w:adjustRightInd/>
        <w:snapToGrid/>
        <w:spacing w:line="360" w:lineRule="auto"/>
        <w:ind w:firstLine="728" w:firstLineChars="200"/>
        <w:jc w:val="left"/>
        <w:textAlignment w:val="auto"/>
        <w:rPr>
          <w:rFonts w:hint="eastAsia" w:ascii="方正仿宋_GB2312" w:eastAsia="方正仿宋_GB2312"/>
          <w:sz w:val="32"/>
          <w:szCs w:val="32"/>
        </w:rPr>
      </w:pPr>
      <w:r>
        <w:rPr>
          <w:rFonts w:hint="eastAsia" w:ascii="方正仿宋_GB2312" w:hAnsi="方正仿宋_GB2312" w:eastAsia="方正仿宋_GB2312" w:cs="方正仿宋_GB2312"/>
          <w:b w:val="0"/>
          <w:bCs w:val="0"/>
          <w:color w:val="auto"/>
          <w:spacing w:val="22"/>
          <w:kern w:val="2"/>
          <w:sz w:val="32"/>
          <w:szCs w:val="32"/>
          <w:lang w:val="en-US" w:eastAsia="zh-CN" w:bidi="ar-SA"/>
        </w:rPr>
        <w:t>（五）法律、法规、规章和国家烟草专卖局规定的其他不予发证的情形。</w:t>
      </w:r>
    </w:p>
    <w:p w14:paraId="2E19680D">
      <w:pPr>
        <w:jc w:val="cente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val="en-US" w:eastAsia="zh-CN"/>
        </w:rPr>
        <w:t>五</w:t>
      </w:r>
      <w:r>
        <w:rPr>
          <w:rFonts w:hint="eastAsia" w:ascii="方正黑体_GBK" w:hAnsi="方正黑体_GBK" w:eastAsia="方正黑体_GBK" w:cs="方正黑体_GBK"/>
          <w:sz w:val="32"/>
          <w:szCs w:val="32"/>
        </w:rPr>
        <w:t>章 附则</w:t>
      </w:r>
    </w:p>
    <w:p w14:paraId="4611D064">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ascii="方正仿宋_GB2312" w:hAnsi="仿宋" w:eastAsia="方正仿宋_GB2312"/>
          <w:b/>
          <w:sz w:val="32"/>
          <w:szCs w:val="32"/>
        </w:rPr>
      </w:pPr>
      <w:r>
        <w:rPr>
          <w:rFonts w:hint="eastAsia" w:ascii="方正仿宋_GB2312" w:hAnsi="方正仿宋_GB2312" w:eastAsia="方正仿宋_GB2312" w:cs="方正仿宋_GB2312"/>
          <w:b/>
          <w:bCs/>
          <w:color w:val="auto"/>
          <w:spacing w:val="22"/>
          <w:kern w:val="2"/>
          <w:sz w:val="32"/>
          <w:szCs w:val="32"/>
          <w:lang w:val="en-US" w:eastAsia="zh-CN" w:bidi="ar-SA"/>
        </w:rPr>
        <w:t>第十四条</w:t>
      </w:r>
      <w:r>
        <w:rPr>
          <w:rFonts w:hint="eastAsia" w:ascii="方正仿宋_GB2312" w:hAnsi="仿宋" w:eastAsia="方正仿宋_GB2312"/>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本规定中的“中、小学、幼儿园”，是指以未成年为教育对象，实施中等和初等教育、包括幼儿园、普通小学、普通中学和其他以未成年人为教育对象的实施中等和初等教育的各类学校，如职业中学、中等专业学校等。</w:t>
      </w:r>
    </w:p>
    <w:p w14:paraId="081DA11B">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第十五条</w:t>
      </w:r>
      <w:r>
        <w:rPr>
          <w:rFonts w:hint="eastAsia" w:ascii="方正仿宋_GB2312" w:hAnsi="仿宋" w:eastAsia="方正仿宋_GB2312"/>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本规定所称“间距”，包括道路同侧的间距和道路对面的间距。</w:t>
      </w:r>
    </w:p>
    <w:p w14:paraId="6A897C94">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第十六条</w:t>
      </w:r>
      <w:r>
        <w:rPr>
          <w:rFonts w:hint="eastAsia" w:ascii="方正仿宋_GB2312" w:hAnsi="仿宋" w:eastAsia="方正仿宋_GB2312"/>
          <w:color w:val="000000"/>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间距方式：道路同侧、对面的零售点间距均以经营场所开间门面的两点最近的墙体为准，按照道路间的最短距离进行测量；如遇道路永久性封闭、中间有隔离带（河流）等，以行人的最近线路为参照；如遇台阶、楼梯、手扶电梯以其平面坡长进行测量；如遇升降电梯以层高测量；如同时存在楼梯、手扶电梯、升降电梯，以其中最短距离为准；申请人经营场所门面多面（多间）贯通且多面经营的，以申请人与参照零售点之间距离最近的门面为起始点测量（详见附录1：距离测量图示）。</w:t>
      </w:r>
    </w:p>
    <w:p w14:paraId="768DFBFB">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ascii="微软雅黑" w:hAnsi="微软雅黑" w:eastAsia="微软雅黑"/>
          <w:color w:val="333333"/>
          <w:sz w:val="28"/>
          <w:szCs w:val="28"/>
        </w:rPr>
      </w:pPr>
      <w:r>
        <w:rPr>
          <w:rFonts w:hint="eastAsia" w:ascii="方正仿宋_GB2312" w:hAnsi="方正仿宋_GB2312" w:eastAsia="方正仿宋_GB2312" w:cs="方正仿宋_GB2312"/>
          <w:b/>
          <w:bCs/>
          <w:color w:val="auto"/>
          <w:spacing w:val="22"/>
          <w:kern w:val="2"/>
          <w:sz w:val="32"/>
          <w:szCs w:val="32"/>
          <w:lang w:val="en-US" w:eastAsia="zh-CN" w:bidi="ar-SA"/>
        </w:rPr>
        <w:t>第十七条</w:t>
      </w:r>
      <w:r>
        <w:rPr>
          <w:rFonts w:hint="eastAsia" w:ascii="方正仿宋_GB2312" w:hAnsi="仿宋" w:eastAsia="方正仿宋_GB2312"/>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本规划中“以内”“以上”包括本数。</w:t>
      </w:r>
      <w:r>
        <w:rPr>
          <w:rFonts w:ascii="微软雅黑" w:hAnsi="微软雅黑" w:eastAsia="微软雅黑"/>
          <w:color w:val="333333"/>
          <w:sz w:val="28"/>
          <w:szCs w:val="28"/>
        </w:rPr>
        <w:t xml:space="preserve"> </w:t>
      </w:r>
    </w:p>
    <w:p w14:paraId="1D1AD38D">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第十八条</w:t>
      </w:r>
      <w:r>
        <w:rPr>
          <w:rFonts w:hint="eastAsia" w:ascii="方正仿宋_GB2312" w:hAnsi="仿宋" w:eastAsia="方正仿宋_GB2312"/>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经营卷烟零售业务应主动接受烟草专卖行政主管部门的管理和监督。</w:t>
      </w:r>
    </w:p>
    <w:p w14:paraId="01FA39D1">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第十九条</w:t>
      </w:r>
      <w:r>
        <w:rPr>
          <w:rFonts w:hint="eastAsia" w:ascii="方正仿宋_GB2312" w:hAnsi="仿宋" w:eastAsia="方正仿宋_GB2312"/>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持证户应按照《烟草专卖许可证管理办法》要求，保证人证相符、证照相符、证址相符，切实做好亮证经营、规范经营，按相关规定办理变更手续、停业手续、恢复营业手续以及延续手续，泸定县烟草专卖局将按照《烟草专卖法》等有关法律、行政法规进行后续监管。</w:t>
      </w:r>
    </w:p>
    <w:p w14:paraId="750A8936">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hint="eastAsia" w:ascii="方正仿宋_GB2312" w:hAnsi="方正仿宋_GB2312" w:eastAsia="方正仿宋_GB2312" w:cs="方正仿宋_GB2312"/>
          <w:b w:val="0"/>
          <w:bCs w:val="0"/>
          <w:color w:val="auto"/>
          <w:spacing w:val="22"/>
          <w:kern w:val="2"/>
          <w:sz w:val="32"/>
          <w:szCs w:val="32"/>
          <w:lang w:val="en-US" w:eastAsia="zh-CN" w:bidi="ar-SA"/>
        </w:rPr>
      </w:pPr>
      <w:r>
        <w:rPr>
          <w:rFonts w:hint="eastAsia" w:ascii="方正仿宋_GB2312" w:hAnsi="方正仿宋_GB2312" w:eastAsia="方正仿宋_GB2312" w:cs="方正仿宋_GB2312"/>
          <w:b/>
          <w:bCs/>
          <w:color w:val="auto"/>
          <w:spacing w:val="22"/>
          <w:kern w:val="2"/>
          <w:sz w:val="32"/>
          <w:szCs w:val="32"/>
          <w:lang w:val="en-US" w:eastAsia="zh-CN" w:bidi="ar-SA"/>
        </w:rPr>
        <w:t>第二十条</w:t>
      </w:r>
      <w:r>
        <w:rPr>
          <w:rFonts w:hint="eastAsia" w:ascii="方正仿宋_GB2312" w:hAnsi="仿宋" w:eastAsia="方正仿宋_GB2312"/>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本规定自2026年*月*日起施行，本规定有效期五年。《泸定县烟草零售点合理布局规定》（泸府办发〔2025〕5号）同时废止，上级烟草专卖局有不同规定的从其规定。</w:t>
      </w:r>
    </w:p>
    <w:p w14:paraId="6CB3443B">
      <w:pPr>
        <w:keepNext w:val="0"/>
        <w:keepLines w:val="0"/>
        <w:pageBreakBefore w:val="0"/>
        <w:kinsoku/>
        <w:wordWrap/>
        <w:overflowPunct/>
        <w:topLinePunct w:val="0"/>
        <w:autoSpaceDE/>
        <w:autoSpaceDN/>
        <w:bidi w:val="0"/>
        <w:adjustRightInd/>
        <w:snapToGrid/>
        <w:spacing w:line="360" w:lineRule="auto"/>
        <w:ind w:firstLine="731" w:firstLineChars="200"/>
        <w:jc w:val="left"/>
        <w:textAlignment w:val="auto"/>
        <w:rPr>
          <w:rFonts w:ascii="方正仿宋_GB2312" w:hAnsi="仿宋" w:eastAsia="方正仿宋_GB2312"/>
          <w:sz w:val="32"/>
          <w:szCs w:val="32"/>
        </w:rPr>
      </w:pPr>
      <w:r>
        <w:rPr>
          <w:rFonts w:hint="eastAsia" w:ascii="方正仿宋_GB2312" w:hAnsi="方正仿宋_GB2312" w:eastAsia="方正仿宋_GB2312" w:cs="方正仿宋_GB2312"/>
          <w:b/>
          <w:bCs/>
          <w:color w:val="auto"/>
          <w:spacing w:val="22"/>
          <w:kern w:val="2"/>
          <w:sz w:val="32"/>
          <w:szCs w:val="32"/>
          <w:lang w:val="en-US" w:eastAsia="zh-CN" w:bidi="ar-SA"/>
        </w:rPr>
        <w:t>第二十一条</w:t>
      </w:r>
      <w:r>
        <w:rPr>
          <w:rFonts w:hint="eastAsia" w:ascii="方正仿宋_GB2312" w:hAnsi="仿宋" w:eastAsia="方正仿宋_GB2312"/>
          <w:b/>
          <w:sz w:val="32"/>
          <w:szCs w:val="32"/>
        </w:rPr>
        <w:t xml:space="preserve"> </w:t>
      </w:r>
      <w:r>
        <w:rPr>
          <w:rFonts w:hint="eastAsia" w:ascii="方正仿宋_GB2312" w:hAnsi="方正仿宋_GB2312" w:eastAsia="方正仿宋_GB2312" w:cs="方正仿宋_GB2312"/>
          <w:b w:val="0"/>
          <w:bCs w:val="0"/>
          <w:color w:val="auto"/>
          <w:spacing w:val="22"/>
          <w:kern w:val="2"/>
          <w:sz w:val="32"/>
          <w:szCs w:val="32"/>
          <w:lang w:val="en-US" w:eastAsia="zh-CN" w:bidi="ar-SA"/>
        </w:rPr>
        <w:t>本规定由泸定县烟草专卖局负责解释。</w:t>
      </w:r>
    </w:p>
    <w:p w14:paraId="483ACB21">
      <w:pPr>
        <w:keepNext w:val="0"/>
        <w:keepLines w:val="0"/>
        <w:pageBreakBefore w:val="0"/>
        <w:kinsoku/>
        <w:wordWrap/>
        <w:overflowPunct/>
        <w:topLinePunct w:val="0"/>
        <w:autoSpaceDE/>
        <w:autoSpaceDN/>
        <w:bidi w:val="0"/>
        <w:adjustRightInd/>
        <w:snapToGrid/>
        <w:spacing w:line="360" w:lineRule="auto"/>
        <w:jc w:val="left"/>
        <w:textAlignment w:val="auto"/>
      </w:pPr>
    </w:p>
    <w:p w14:paraId="5ED9EE87">
      <w:pPr>
        <w:keepNext w:val="0"/>
        <w:keepLines w:val="0"/>
        <w:pageBreakBefore w:val="0"/>
        <w:kinsoku/>
        <w:wordWrap/>
        <w:overflowPunct/>
        <w:topLinePunct w:val="0"/>
        <w:autoSpaceDE/>
        <w:autoSpaceDN/>
        <w:bidi w:val="0"/>
        <w:adjustRightInd/>
        <w:snapToGrid/>
        <w:spacing w:line="360" w:lineRule="auto"/>
        <w:jc w:val="left"/>
        <w:textAlignment w:val="auto"/>
      </w:pPr>
    </w:p>
    <w:p w14:paraId="07F63540">
      <w:pPr>
        <w:keepNext w:val="0"/>
        <w:keepLines w:val="0"/>
        <w:pageBreakBefore w:val="0"/>
        <w:kinsoku/>
        <w:wordWrap/>
        <w:overflowPunct/>
        <w:topLinePunct w:val="0"/>
        <w:autoSpaceDE/>
        <w:autoSpaceDN/>
        <w:bidi w:val="0"/>
        <w:adjustRightInd/>
        <w:snapToGrid/>
        <w:spacing w:line="360" w:lineRule="auto"/>
        <w:jc w:val="left"/>
        <w:textAlignment w:val="auto"/>
      </w:pPr>
    </w:p>
    <w:p w14:paraId="084507B6">
      <w:pPr>
        <w:keepNext w:val="0"/>
        <w:keepLines w:val="0"/>
        <w:pageBreakBefore w:val="0"/>
        <w:kinsoku/>
        <w:wordWrap/>
        <w:overflowPunct/>
        <w:topLinePunct w:val="0"/>
        <w:autoSpaceDE/>
        <w:autoSpaceDN/>
        <w:bidi w:val="0"/>
        <w:adjustRightInd/>
        <w:snapToGrid/>
        <w:spacing w:line="360" w:lineRule="auto"/>
        <w:jc w:val="left"/>
        <w:textAlignment w:val="auto"/>
      </w:pPr>
    </w:p>
    <w:p w14:paraId="321B7B6C">
      <w:pPr>
        <w:keepNext w:val="0"/>
        <w:keepLines w:val="0"/>
        <w:pageBreakBefore w:val="0"/>
        <w:kinsoku/>
        <w:wordWrap/>
        <w:overflowPunct/>
        <w:topLinePunct w:val="0"/>
        <w:autoSpaceDE/>
        <w:autoSpaceDN/>
        <w:bidi w:val="0"/>
        <w:adjustRightInd/>
        <w:snapToGrid/>
        <w:spacing w:line="360" w:lineRule="auto"/>
        <w:jc w:val="left"/>
        <w:textAlignment w:val="auto"/>
      </w:pPr>
    </w:p>
    <w:p w14:paraId="715170B1">
      <w:pPr>
        <w:keepNext w:val="0"/>
        <w:keepLines w:val="0"/>
        <w:pageBreakBefore w:val="0"/>
        <w:kinsoku/>
        <w:wordWrap/>
        <w:overflowPunct/>
        <w:topLinePunct w:val="0"/>
        <w:autoSpaceDE/>
        <w:autoSpaceDN/>
        <w:bidi w:val="0"/>
        <w:adjustRightInd/>
        <w:snapToGrid/>
        <w:spacing w:line="360" w:lineRule="auto"/>
        <w:jc w:val="left"/>
        <w:textAlignment w:val="auto"/>
      </w:pPr>
    </w:p>
    <w:p w14:paraId="6E3FA46A">
      <w:pPr>
        <w:keepNext w:val="0"/>
        <w:keepLines w:val="0"/>
        <w:pageBreakBefore w:val="0"/>
        <w:kinsoku/>
        <w:wordWrap/>
        <w:overflowPunct/>
        <w:topLinePunct w:val="0"/>
        <w:autoSpaceDE/>
        <w:autoSpaceDN/>
        <w:bidi w:val="0"/>
        <w:adjustRightInd/>
        <w:snapToGrid/>
        <w:spacing w:line="360" w:lineRule="auto"/>
        <w:jc w:val="left"/>
        <w:textAlignment w:val="auto"/>
      </w:pPr>
    </w:p>
    <w:p w14:paraId="08C11A7E">
      <w:pPr>
        <w:spacing w:line="600" w:lineRule="exact"/>
        <w:jc w:val="both"/>
        <w:rPr>
          <w:rFonts w:hint="eastAsia" w:ascii="Arial Unicode MS" w:hAnsi="Arial Unicode MS" w:eastAsia="Arial Unicode MS"/>
          <w:bCs/>
          <w:color w:val="000000"/>
          <w:sz w:val="21"/>
          <w:szCs w:val="21"/>
          <w:lang w:val="en-US" w:eastAsia="zh-CN"/>
        </w:rPr>
      </w:pPr>
    </w:p>
    <w:p w14:paraId="24F51F75">
      <w:pPr>
        <w:spacing w:line="600" w:lineRule="exact"/>
        <w:jc w:val="both"/>
        <w:rPr>
          <w:rFonts w:hint="eastAsia" w:ascii="Arial Unicode MS" w:hAnsi="Arial Unicode MS" w:eastAsia="Arial Unicode MS"/>
          <w:bCs/>
          <w:color w:val="000000"/>
          <w:sz w:val="21"/>
          <w:szCs w:val="21"/>
          <w:lang w:val="en-US" w:eastAsia="zh-CN"/>
        </w:rPr>
      </w:pPr>
    </w:p>
    <w:p w14:paraId="2412502C">
      <w:pPr>
        <w:spacing w:line="600" w:lineRule="exact"/>
        <w:jc w:val="both"/>
        <w:rPr>
          <w:rFonts w:hint="eastAsia" w:ascii="Arial Unicode MS" w:hAnsi="Arial Unicode MS" w:eastAsia="Arial Unicode MS"/>
          <w:bCs/>
          <w:color w:val="000000"/>
          <w:sz w:val="21"/>
          <w:szCs w:val="21"/>
        </w:rPr>
      </w:pPr>
      <w:r>
        <w:rPr>
          <w:rFonts w:hint="eastAsia" w:ascii="Arial Unicode MS" w:hAnsi="Arial Unicode MS" w:eastAsia="Arial Unicode MS"/>
          <w:bCs/>
          <w:color w:val="000000"/>
          <w:sz w:val="21"/>
          <w:szCs w:val="21"/>
          <w:lang w:val="en-US" w:eastAsia="zh-CN"/>
        </w:rPr>
        <w:t>附录1</w:t>
      </w:r>
      <w:r>
        <w:rPr>
          <w:rFonts w:hint="eastAsia" w:ascii="Arial Unicode MS" w:hAnsi="Arial Unicode MS" w:eastAsia="Arial Unicode MS"/>
          <w:bCs/>
          <w:color w:val="000000"/>
          <w:sz w:val="21"/>
          <w:szCs w:val="21"/>
        </w:rPr>
        <w:t>：</w:t>
      </w:r>
    </w:p>
    <w:p w14:paraId="75488870">
      <w:pPr>
        <w:spacing w:line="600" w:lineRule="exact"/>
        <w:jc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lang w:eastAsia="zh-CN"/>
        </w:rPr>
        <w:t>泸定</w:t>
      </w:r>
      <w:r>
        <w:rPr>
          <w:rFonts w:hint="eastAsia" w:ascii="方正小标宋简体" w:hAnsi="方正小标宋简体" w:eastAsia="方正小标宋简体" w:cs="方正小标宋简体"/>
          <w:bCs/>
          <w:color w:val="000000"/>
          <w:sz w:val="44"/>
          <w:szCs w:val="44"/>
        </w:rPr>
        <w:t>县烟草制品零售点距离测量图示</w:t>
      </w:r>
    </w:p>
    <w:p w14:paraId="41526700">
      <w:pPr>
        <w:ind w:firstLine="560" w:firstLineChars="200"/>
        <w:jc w:val="center"/>
        <w:rPr>
          <w:rFonts w:ascii="微软雅黑" w:hAnsi="微软雅黑" w:eastAsia="微软雅黑"/>
          <w:color w:val="333333"/>
          <w:sz w:val="28"/>
          <w:szCs w:val="28"/>
        </w:rPr>
      </w:pPr>
    </w:p>
    <w:p w14:paraId="3ABC8D07">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drawing>
          <wp:inline distT="0" distB="0" distL="114300" distR="114300">
            <wp:extent cx="5264785" cy="1692275"/>
            <wp:effectExtent l="0" t="0" r="12065" b="3175"/>
            <wp:docPr id="4" name="图片 1" descr="2982416469_158291790536_MEITU_20241031_095654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2982416469_158291790536_MEITU_20241031_095654689"/>
                    <pic:cNvPicPr>
                      <a:picLocks noChangeAspect="1"/>
                    </pic:cNvPicPr>
                  </pic:nvPicPr>
                  <pic:blipFill>
                    <a:blip r:embed="rId5"/>
                    <a:stretch>
                      <a:fillRect/>
                    </a:stretch>
                  </pic:blipFill>
                  <pic:spPr>
                    <a:xfrm>
                      <a:off x="0" y="0"/>
                      <a:ext cx="5264785" cy="1692275"/>
                    </a:xfrm>
                    <a:prstGeom prst="rect">
                      <a:avLst/>
                    </a:prstGeom>
                    <a:noFill/>
                    <a:ln>
                      <a:noFill/>
                    </a:ln>
                  </pic:spPr>
                </pic:pic>
              </a:graphicData>
            </a:graphic>
          </wp:inline>
        </w:drawing>
      </w:r>
    </w:p>
    <w:p w14:paraId="75C95379">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t>同一面测量示意图</w:t>
      </w:r>
    </w:p>
    <w:p w14:paraId="52EFC7E4">
      <w:pPr>
        <w:ind w:firstLine="560" w:firstLineChars="200"/>
        <w:jc w:val="center"/>
        <w:rPr>
          <w:rFonts w:ascii="微软雅黑" w:hAnsi="微软雅黑" w:eastAsia="微软雅黑"/>
          <w:color w:val="333333"/>
          <w:sz w:val="28"/>
          <w:szCs w:val="28"/>
        </w:rPr>
      </w:pPr>
      <w:r>
        <w:rPr>
          <w:rFonts w:ascii="微软雅黑" w:hAnsi="微软雅黑" w:eastAsia="微软雅黑"/>
          <w:color w:val="333333"/>
          <w:sz w:val="28"/>
          <w:szCs w:val="28"/>
        </w:rPr>
        <w:drawing>
          <wp:inline distT="0" distB="0" distL="114300" distR="114300">
            <wp:extent cx="4683760" cy="1296035"/>
            <wp:effectExtent l="0" t="0" r="2540" b="18415"/>
            <wp:docPr id="5" name="图片 6" descr="http://www.heqing.gov.cn/dlzhqx/c102093/202205/fbf90c97b49446a882923823c3e46d1d/images/018fc6ba85044a7e9b10f86b0285bfa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http://www.heqing.gov.cn/dlzhqx/c102093/202205/fbf90c97b49446a882923823c3e46d1d/images/018fc6ba85044a7e9b10f86b0285bfa8.png"/>
                    <pic:cNvPicPr>
                      <a:picLocks noChangeAspect="1"/>
                    </pic:cNvPicPr>
                  </pic:nvPicPr>
                  <pic:blipFill>
                    <a:blip r:embed="rId6"/>
                    <a:stretch>
                      <a:fillRect/>
                    </a:stretch>
                  </pic:blipFill>
                  <pic:spPr>
                    <a:xfrm>
                      <a:off x="0" y="0"/>
                      <a:ext cx="4683760" cy="1296035"/>
                    </a:xfrm>
                    <a:prstGeom prst="rect">
                      <a:avLst/>
                    </a:prstGeom>
                    <a:noFill/>
                    <a:ln>
                      <a:noFill/>
                    </a:ln>
                  </pic:spPr>
                </pic:pic>
              </a:graphicData>
            </a:graphic>
          </wp:inline>
        </w:drawing>
      </w:r>
    </w:p>
    <w:p w14:paraId="4EC28498">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t>背靠背测量示意图</w:t>
      </w:r>
    </w:p>
    <w:p w14:paraId="4BED8A47">
      <w:pPr>
        <w:ind w:firstLine="560" w:firstLineChars="200"/>
        <w:jc w:val="center"/>
        <w:rPr>
          <w:rFonts w:ascii="微软雅黑" w:hAnsi="微软雅黑" w:eastAsia="微软雅黑"/>
          <w:color w:val="333333"/>
          <w:sz w:val="28"/>
          <w:szCs w:val="28"/>
        </w:rPr>
      </w:pPr>
      <w:r>
        <w:rPr>
          <w:rFonts w:ascii="微软雅黑" w:hAnsi="微软雅黑" w:eastAsia="微软雅黑"/>
          <w:color w:val="333333"/>
          <w:sz w:val="28"/>
          <w:szCs w:val="28"/>
        </w:rPr>
        <w:drawing>
          <wp:inline distT="0" distB="0" distL="114300" distR="114300">
            <wp:extent cx="4531995" cy="2371725"/>
            <wp:effectExtent l="0" t="0" r="1905" b="9525"/>
            <wp:docPr id="6" name="图片 4" descr="http://www.heqing.gov.cn/dlzhqx/c102093/202205/fbf90c97b49446a882923823c3e46d1d/images/de61e012a5b84c57a5b5119f88a9c5b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http://www.heqing.gov.cn/dlzhqx/c102093/202205/fbf90c97b49446a882923823c3e46d1d/images/de61e012a5b84c57a5b5119f88a9c5b0.png"/>
                    <pic:cNvPicPr>
                      <a:picLocks noChangeAspect="1"/>
                    </pic:cNvPicPr>
                  </pic:nvPicPr>
                  <pic:blipFill>
                    <a:blip r:embed="rId7"/>
                    <a:stretch>
                      <a:fillRect/>
                    </a:stretch>
                  </pic:blipFill>
                  <pic:spPr>
                    <a:xfrm>
                      <a:off x="0" y="0"/>
                      <a:ext cx="4531995" cy="2371725"/>
                    </a:xfrm>
                    <a:prstGeom prst="rect">
                      <a:avLst/>
                    </a:prstGeom>
                    <a:noFill/>
                    <a:ln>
                      <a:noFill/>
                    </a:ln>
                  </pic:spPr>
                </pic:pic>
              </a:graphicData>
            </a:graphic>
          </wp:inline>
        </w:drawing>
      </w:r>
    </w:p>
    <w:p w14:paraId="2265E741">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t>边对边测量示意图</w:t>
      </w:r>
    </w:p>
    <w:p w14:paraId="42B8ED14">
      <w:pPr>
        <w:ind w:firstLine="560" w:firstLineChars="200"/>
        <w:jc w:val="center"/>
        <w:rPr>
          <w:rFonts w:ascii="微软雅黑" w:hAnsi="微软雅黑" w:eastAsia="微软雅黑"/>
          <w:color w:val="333333"/>
          <w:sz w:val="28"/>
          <w:szCs w:val="28"/>
        </w:rPr>
      </w:pPr>
    </w:p>
    <w:p w14:paraId="06BC28FE">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drawing>
          <wp:inline distT="0" distB="0" distL="114300" distR="114300">
            <wp:extent cx="5260340" cy="2076450"/>
            <wp:effectExtent l="0" t="0" r="16510" b="0"/>
            <wp:docPr id="7" name="图片 7" descr="2982416469_158292157569_ai_repair_20241031095817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982416469_158292157569_ai_repair_20241031095817912"/>
                    <pic:cNvPicPr>
                      <a:picLocks noChangeAspect="1"/>
                    </pic:cNvPicPr>
                  </pic:nvPicPr>
                  <pic:blipFill>
                    <a:blip r:embed="rId8"/>
                    <a:stretch>
                      <a:fillRect/>
                    </a:stretch>
                  </pic:blipFill>
                  <pic:spPr>
                    <a:xfrm>
                      <a:off x="0" y="0"/>
                      <a:ext cx="5260340" cy="2076450"/>
                    </a:xfrm>
                    <a:prstGeom prst="rect">
                      <a:avLst/>
                    </a:prstGeom>
                    <a:noFill/>
                    <a:ln>
                      <a:noFill/>
                    </a:ln>
                  </pic:spPr>
                </pic:pic>
              </a:graphicData>
            </a:graphic>
          </wp:inline>
        </w:drawing>
      </w:r>
    </w:p>
    <w:p w14:paraId="53D564F8">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t>无隔离带测量示意图</w:t>
      </w:r>
    </w:p>
    <w:p w14:paraId="59A21143">
      <w:pPr>
        <w:ind w:firstLine="560" w:firstLineChars="200"/>
        <w:jc w:val="center"/>
        <w:rPr>
          <w:rFonts w:ascii="微软雅黑" w:hAnsi="微软雅黑" w:eastAsia="微软雅黑"/>
          <w:color w:val="333333"/>
          <w:sz w:val="28"/>
          <w:szCs w:val="28"/>
        </w:rPr>
      </w:pPr>
      <w:r>
        <w:rPr>
          <w:rFonts w:ascii="微软雅黑" w:hAnsi="微软雅黑" w:eastAsia="微软雅黑"/>
          <w:color w:val="333333"/>
          <w:sz w:val="28"/>
          <w:szCs w:val="28"/>
        </w:rPr>
        <w:drawing>
          <wp:inline distT="0" distB="0" distL="114300" distR="114300">
            <wp:extent cx="3305810" cy="2260600"/>
            <wp:effectExtent l="0" t="0" r="8890" b="6350"/>
            <wp:docPr id="8" name="图片 3" descr="http://www.heqing.gov.cn/dlzhqx/c102093/202205/fbf90c97b49446a882923823c3e46d1d/images/ffab2330a6014916b952a6fdd1e46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http://www.heqing.gov.cn/dlzhqx/c102093/202205/fbf90c97b49446a882923823c3e46d1d/images/ffab2330a6014916b952a6fdd1e46181.png"/>
                    <pic:cNvPicPr>
                      <a:picLocks noChangeAspect="1"/>
                    </pic:cNvPicPr>
                  </pic:nvPicPr>
                  <pic:blipFill>
                    <a:blip r:embed="rId9"/>
                    <a:stretch>
                      <a:fillRect/>
                    </a:stretch>
                  </pic:blipFill>
                  <pic:spPr>
                    <a:xfrm>
                      <a:off x="0" y="0"/>
                      <a:ext cx="3305810" cy="2260600"/>
                    </a:xfrm>
                    <a:prstGeom prst="rect">
                      <a:avLst/>
                    </a:prstGeom>
                    <a:noFill/>
                    <a:ln>
                      <a:noFill/>
                    </a:ln>
                  </pic:spPr>
                </pic:pic>
              </a:graphicData>
            </a:graphic>
          </wp:inline>
        </w:drawing>
      </w:r>
    </w:p>
    <w:p w14:paraId="06DBA1F6">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t>有隔离带测量示意图</w:t>
      </w:r>
    </w:p>
    <w:p w14:paraId="01A8A12E">
      <w:pPr>
        <w:ind w:firstLine="560" w:firstLineChars="200"/>
        <w:jc w:val="center"/>
        <w:rPr>
          <w:rFonts w:ascii="微软雅黑" w:hAnsi="微软雅黑" w:eastAsia="微软雅黑"/>
          <w:color w:val="333333"/>
          <w:sz w:val="28"/>
          <w:szCs w:val="28"/>
        </w:rPr>
      </w:pPr>
      <w:r>
        <w:rPr>
          <w:rFonts w:ascii="微软雅黑" w:hAnsi="微软雅黑" w:eastAsia="微软雅黑"/>
          <w:color w:val="333333"/>
          <w:sz w:val="28"/>
          <w:szCs w:val="28"/>
        </w:rPr>
        <w:drawing>
          <wp:inline distT="0" distB="0" distL="114300" distR="114300">
            <wp:extent cx="3166110" cy="1969770"/>
            <wp:effectExtent l="0" t="0" r="15240" b="11430"/>
            <wp:docPr id="9" name="图片 5" descr="http://www.heqing.gov.cn/dlzhqx/c102093/202205/fbf90c97b49446a882923823c3e46d1d/images/019534f8ce0a487bbafeaceefe44ea8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http://www.heqing.gov.cn/dlzhqx/c102093/202205/fbf90c97b49446a882923823c3e46d1d/images/019534f8ce0a487bbafeaceefe44ea8b.png"/>
                    <pic:cNvPicPr>
                      <a:picLocks noChangeAspect="1"/>
                    </pic:cNvPicPr>
                  </pic:nvPicPr>
                  <pic:blipFill>
                    <a:blip r:embed="rId10"/>
                    <a:stretch>
                      <a:fillRect/>
                    </a:stretch>
                  </pic:blipFill>
                  <pic:spPr>
                    <a:xfrm>
                      <a:off x="0" y="0"/>
                      <a:ext cx="3166110" cy="1969770"/>
                    </a:xfrm>
                    <a:prstGeom prst="rect">
                      <a:avLst/>
                    </a:prstGeom>
                    <a:noFill/>
                    <a:ln>
                      <a:noFill/>
                    </a:ln>
                  </pic:spPr>
                </pic:pic>
              </a:graphicData>
            </a:graphic>
          </wp:inline>
        </w:drawing>
      </w:r>
    </w:p>
    <w:p w14:paraId="2C6C9876">
      <w:pPr>
        <w:ind w:firstLine="560" w:firstLineChars="200"/>
        <w:jc w:val="center"/>
        <w:rPr>
          <w:rFonts w:ascii="微软雅黑" w:hAnsi="微软雅黑" w:eastAsia="微软雅黑"/>
          <w:color w:val="333333"/>
          <w:sz w:val="28"/>
          <w:szCs w:val="28"/>
        </w:rPr>
      </w:pPr>
      <w:r>
        <w:rPr>
          <w:rFonts w:hint="eastAsia" w:ascii="微软雅黑" w:hAnsi="微软雅黑" w:eastAsia="微软雅黑"/>
          <w:color w:val="333333"/>
          <w:sz w:val="28"/>
          <w:szCs w:val="28"/>
        </w:rPr>
        <w:t>学校边对边测量示意图</w:t>
      </w:r>
    </w:p>
    <w:p w14:paraId="3282141C"/>
    <w:p w14:paraId="31DFCCA3">
      <w:pPr>
        <w:ind w:firstLine="640" w:firstLineChars="200"/>
        <w:jc w:val="left"/>
        <w:rPr>
          <w:rFonts w:ascii="方正仿宋_GB2312" w:hAnsi="仿宋" w:eastAsia="方正仿宋_GB2312"/>
          <w:sz w:val="32"/>
          <w:szCs w:val="32"/>
        </w:rPr>
      </w:pPr>
    </w:p>
    <w:p w14:paraId="454307E9">
      <w:pPr>
        <w:jc w:val="both"/>
        <w:rPr>
          <w:rFonts w:hint="eastAsia" w:ascii="方正仿宋_GBK" w:hAnsi="方正仿宋_GBK" w:eastAsia="方正仿宋_GBK" w:cs="方正仿宋_GBK"/>
          <w:sz w:val="32"/>
          <w:szCs w:val="32"/>
        </w:rPr>
      </w:pPr>
    </w:p>
    <w:p w14:paraId="76776B95">
      <w:pPr>
        <w:ind w:firstLine="840" w:firstLineChars="400"/>
        <w:jc w:val="both"/>
        <w:rPr>
          <w:position w:val="-52"/>
        </w:rPr>
      </w:pPr>
      <w:r>
        <w:rPr>
          <w:position w:val="-52"/>
        </w:rPr>
        <mc:AlternateContent>
          <mc:Choice Requires="wpg">
            <w:drawing>
              <wp:inline distT="0" distB="0" distL="114300" distR="114300">
                <wp:extent cx="4267835" cy="1670685"/>
                <wp:effectExtent l="12700" t="0" r="24765" b="31115"/>
                <wp:docPr id="3" name="组合 8"/>
                <wp:cNvGraphicFramePr/>
                <a:graphic xmlns:a="http://schemas.openxmlformats.org/drawingml/2006/main">
                  <a:graphicData uri="http://schemas.microsoft.com/office/word/2010/wordprocessingGroup">
                    <wpg:wgp>
                      <wpg:cNvGrpSpPr/>
                      <wpg:grpSpPr>
                        <a:xfrm>
                          <a:off x="0" y="0"/>
                          <a:ext cx="4267835" cy="1670685"/>
                          <a:chOff x="0" y="0"/>
                          <a:chExt cx="6720" cy="2631"/>
                        </a:xfrm>
                      </wpg:grpSpPr>
                      <pic:pic xmlns:pic="http://schemas.openxmlformats.org/drawingml/2006/picture">
                        <pic:nvPicPr>
                          <pic:cNvPr id="1" name="图片 9"/>
                          <pic:cNvPicPr>
                            <a:picLocks noChangeAspect="1"/>
                          </pic:cNvPicPr>
                        </pic:nvPicPr>
                        <pic:blipFill>
                          <a:blip r:embed="rId11"/>
                          <a:stretch>
                            <a:fillRect/>
                          </a:stretch>
                        </pic:blipFill>
                        <pic:spPr>
                          <a:xfrm>
                            <a:off x="0" y="0"/>
                            <a:ext cx="6720" cy="2631"/>
                          </a:xfrm>
                          <a:prstGeom prst="rect">
                            <a:avLst/>
                          </a:prstGeom>
                          <a:noFill/>
                          <a:ln>
                            <a:noFill/>
                          </a:ln>
                        </pic:spPr>
                      </pic:pic>
                      <wps:wsp>
                        <wps:cNvPr id="2" name="文本框 10"/>
                        <wps:cNvSpPr txBox="1"/>
                        <wps:spPr>
                          <a:xfrm>
                            <a:off x="-20" y="-20"/>
                            <a:ext cx="6760" cy="2671"/>
                          </a:xfrm>
                          <a:prstGeom prst="rect">
                            <a:avLst/>
                          </a:prstGeom>
                          <a:noFill/>
                          <a:ln>
                            <a:noFill/>
                          </a:ln>
                        </wps:spPr>
                        <wps:txbx>
                          <w:txbxContent>
                            <w:p w14:paraId="6229512F">
                              <w:pPr>
                                <w:spacing w:line="259" w:lineRule="auto"/>
                                <w:rPr>
                                  <w:rFonts w:ascii="Arial"/>
                                  <w:sz w:val="21"/>
                                </w:rPr>
                              </w:pPr>
                            </w:p>
                            <w:p w14:paraId="08C110AD">
                              <w:pPr>
                                <w:spacing w:line="259" w:lineRule="auto"/>
                                <w:rPr>
                                  <w:rFonts w:ascii="Arial"/>
                                  <w:sz w:val="21"/>
                                </w:rPr>
                              </w:pPr>
                            </w:p>
                            <w:p w14:paraId="41540EF2">
                              <w:pPr>
                                <w:spacing w:before="55" w:line="219" w:lineRule="auto"/>
                                <w:ind w:left="6059"/>
                                <w:rPr>
                                  <w:rFonts w:ascii="宋体" w:hAnsi="宋体" w:eastAsia="宋体" w:cs="宋体"/>
                                  <w:sz w:val="17"/>
                                  <w:szCs w:val="17"/>
                                </w:rPr>
                              </w:pPr>
                              <w:r>
                                <w:rPr>
                                  <w:rFonts w:ascii="宋体" w:hAnsi="宋体" w:eastAsia="宋体" w:cs="宋体"/>
                                  <w:color w:val="406060"/>
                                  <w:spacing w:val="1"/>
                                  <w:sz w:val="17"/>
                                  <w:szCs w:val="17"/>
                                </w:rPr>
                                <w:t>申请点</w:t>
                              </w:r>
                            </w:p>
                            <w:p w14:paraId="072C9C44">
                              <w:pPr>
                                <w:spacing w:line="330" w:lineRule="auto"/>
                                <w:rPr>
                                  <w:rFonts w:ascii="Arial"/>
                                  <w:sz w:val="21"/>
                                </w:rPr>
                              </w:pPr>
                            </w:p>
                            <w:p w14:paraId="089738AB">
                              <w:pPr>
                                <w:spacing w:before="55" w:line="221" w:lineRule="auto"/>
                                <w:ind w:left="3510"/>
                                <w:rPr>
                                  <w:rFonts w:ascii="宋体" w:hAnsi="宋体" w:eastAsia="宋体" w:cs="宋体"/>
                                  <w:sz w:val="17"/>
                                  <w:szCs w:val="17"/>
                                </w:rPr>
                              </w:pPr>
                              <w:r>
                                <w:rPr>
                                  <w:rFonts w:ascii="宋体" w:hAnsi="宋体" w:eastAsia="宋体" w:cs="宋体"/>
                                  <w:spacing w:val="-2"/>
                                  <w:position w:val="3"/>
                                  <w:sz w:val="17"/>
                                  <w:szCs w:val="17"/>
                                </w:rPr>
                                <w:t>楼梯</w:t>
                              </w:r>
                              <w:r>
                                <w:rPr>
                                  <w:rFonts w:ascii="宋体" w:hAnsi="宋体" w:eastAsia="宋体" w:cs="宋体"/>
                                  <w:spacing w:val="6"/>
                                  <w:position w:val="3"/>
                                  <w:sz w:val="17"/>
                                  <w:szCs w:val="17"/>
                                </w:rPr>
                                <w:t xml:space="preserve">           </w:t>
                              </w:r>
                              <w:r>
                                <w:rPr>
                                  <w:rFonts w:ascii="宋体" w:hAnsi="宋体" w:eastAsia="宋体" w:cs="宋体"/>
                                  <w:color w:val="406060"/>
                                  <w:spacing w:val="-2"/>
                                  <w:position w:val="-3"/>
                                  <w:sz w:val="17"/>
                                  <w:szCs w:val="17"/>
                                </w:rPr>
                                <w:t>电</w:t>
                              </w:r>
                              <w:r>
                                <w:rPr>
                                  <w:rFonts w:ascii="宋体" w:hAnsi="宋体" w:eastAsia="宋体" w:cs="宋体"/>
                                  <w:spacing w:val="-2"/>
                                  <w:position w:val="-3"/>
                                  <w:sz w:val="17"/>
                                  <w:szCs w:val="17"/>
                                </w:rPr>
                                <w:t>梯</w:t>
                              </w:r>
                            </w:p>
                            <w:p w14:paraId="614F1DD6">
                              <w:pPr>
                                <w:spacing w:line="314" w:lineRule="auto"/>
                                <w:rPr>
                                  <w:rFonts w:ascii="Arial"/>
                                  <w:sz w:val="21"/>
                                </w:rPr>
                              </w:pPr>
                            </w:p>
                            <w:p w14:paraId="11A62AD6">
                              <w:pPr>
                                <w:spacing w:before="31" w:line="75" w:lineRule="exact"/>
                                <w:ind w:left="1579"/>
                                <w:rPr>
                                  <w:rFonts w:ascii="Times New Roman" w:hAnsi="Times New Roman" w:eastAsia="Times New Roman" w:cs="Times New Roman"/>
                                  <w:sz w:val="11"/>
                                  <w:szCs w:val="11"/>
                                </w:rPr>
                              </w:pPr>
                              <w:r>
                                <w:rPr>
                                  <w:rFonts w:ascii="Times New Roman" w:hAnsi="Times New Roman" w:eastAsia="Times New Roman" w:cs="Times New Roman"/>
                                  <w:color w:val="505020"/>
                                  <w:sz w:val="11"/>
                                  <w:szCs w:val="11"/>
                                </w:rPr>
                                <w:t>a</w:t>
                              </w:r>
                            </w:p>
                            <w:p w14:paraId="4956B8D6">
                              <w:pPr>
                                <w:spacing w:line="437" w:lineRule="auto"/>
                                <w:rPr>
                                  <w:rFonts w:ascii="Arial"/>
                                  <w:sz w:val="21"/>
                                </w:rPr>
                              </w:pPr>
                            </w:p>
                            <w:p w14:paraId="433C6763">
                              <w:pPr>
                                <w:spacing w:before="55" w:line="224" w:lineRule="auto"/>
                                <w:ind w:left="270"/>
                                <w:rPr>
                                  <w:rFonts w:ascii="宋体" w:hAnsi="宋体" w:eastAsia="宋体" w:cs="宋体"/>
                                  <w:sz w:val="17"/>
                                  <w:szCs w:val="17"/>
                                </w:rPr>
                              </w:pPr>
                              <w:r>
                                <w:rPr>
                                  <w:rFonts w:ascii="仿宋" w:hAnsi="仿宋" w:eastAsia="仿宋" w:cs="仿宋"/>
                                  <w:spacing w:val="1"/>
                                  <w:sz w:val="17"/>
                                  <w:szCs w:val="17"/>
                                </w:rPr>
                                <w:t>零</w:t>
                              </w:r>
                              <w:r>
                                <w:rPr>
                                  <w:rFonts w:ascii="宋体" w:hAnsi="宋体" w:eastAsia="宋体" w:cs="宋体"/>
                                  <w:spacing w:val="1"/>
                                  <w:sz w:val="17"/>
                                  <w:szCs w:val="17"/>
                                </w:rPr>
                                <w:t>售</w:t>
                              </w:r>
                              <w:r>
                                <w:rPr>
                                  <w:rFonts w:ascii="宋体" w:hAnsi="宋体" w:eastAsia="宋体" w:cs="宋体"/>
                                  <w:color w:val="406060"/>
                                  <w:spacing w:val="1"/>
                                  <w:sz w:val="17"/>
                                  <w:szCs w:val="17"/>
                                </w:rPr>
                                <w:t>户</w:t>
                              </w:r>
                            </w:p>
                          </w:txbxContent>
                        </wps:txbx>
                        <wps:bodyPr wrap="square" lIns="0" tIns="0" rIns="0" bIns="0" upright="1"/>
                      </wps:wsp>
                    </wpg:wgp>
                  </a:graphicData>
                </a:graphic>
              </wp:inline>
            </w:drawing>
          </mc:Choice>
          <mc:Fallback>
            <w:pict>
              <v:group id="组合 8" o:spid="_x0000_s1026" o:spt="203" style="height:131.55pt;width:336.05pt;" coordsize="6720,2631" o:gfxdata="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">
                <o:lock v:ext="edit" aspectratio="f"/>
                <v:shape id="图片 9" o:spid="_x0000_s1026" o:spt="75" type="#_x0000_t75" style="position:absolute;left:0;top:0;height:2631;width:6720;" filled="f" o:preferrelative="t" stroked="f" coordsize="21600,21600" o:gfxdata="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1vRrsAAADa&#10;AAAADwAAAAAAAAABACAAAAAiAAAAZHJzL2Rvd25yZXYueG1sUEsBAhQAFAAAAAgAh07iQDMvBZ47&#10;AAAAOQAAABAAAAAAAAAAAQAgAAAACgEAAGRycy9zaGFwZXhtbC54bWxQSwUGAAAAAAYABgBbAQAA&#10;tAMAAAAA&#10;">
                  <v:fill on="f" focussize="0,0"/>
                  <v:stroke on="f"/>
                  <v:imagedata r:id="rId11" o:title=""/>
                  <o:lock v:ext="edit" aspectratio="t"/>
                </v:shape>
                <v:shape id="文本框 10" o:spid="_x0000_s1026" o:spt="202" type="#_x0000_t202" style="position:absolute;left:-20;top:-20;height:2671;width:6760;" filled="f" stroked="f" coordsize="21600,21600" o:gfxdata="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pV0I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6229512F">
                        <w:pPr>
                          <w:spacing w:line="259" w:lineRule="auto"/>
                          <w:rPr>
                            <w:rFonts w:ascii="Arial"/>
                            <w:sz w:val="21"/>
                          </w:rPr>
                        </w:pPr>
                      </w:p>
                      <w:p w14:paraId="08C110AD">
                        <w:pPr>
                          <w:spacing w:line="259" w:lineRule="auto"/>
                          <w:rPr>
                            <w:rFonts w:ascii="Arial"/>
                            <w:sz w:val="21"/>
                          </w:rPr>
                        </w:pPr>
                      </w:p>
                      <w:p w14:paraId="41540EF2">
                        <w:pPr>
                          <w:spacing w:before="55" w:line="219" w:lineRule="auto"/>
                          <w:ind w:left="6059"/>
                          <w:rPr>
                            <w:rFonts w:ascii="宋体" w:hAnsi="宋体" w:eastAsia="宋体" w:cs="宋体"/>
                            <w:sz w:val="17"/>
                            <w:szCs w:val="17"/>
                          </w:rPr>
                        </w:pPr>
                        <w:r>
                          <w:rPr>
                            <w:rFonts w:ascii="宋体" w:hAnsi="宋体" w:eastAsia="宋体" w:cs="宋体"/>
                            <w:color w:val="406060"/>
                            <w:spacing w:val="1"/>
                            <w:sz w:val="17"/>
                            <w:szCs w:val="17"/>
                          </w:rPr>
                          <w:t>申请点</w:t>
                        </w:r>
                      </w:p>
                      <w:p w14:paraId="072C9C44">
                        <w:pPr>
                          <w:spacing w:line="330" w:lineRule="auto"/>
                          <w:rPr>
                            <w:rFonts w:ascii="Arial"/>
                            <w:sz w:val="21"/>
                          </w:rPr>
                        </w:pPr>
                      </w:p>
                      <w:p w14:paraId="089738AB">
                        <w:pPr>
                          <w:spacing w:before="55" w:line="221" w:lineRule="auto"/>
                          <w:ind w:left="3510"/>
                          <w:rPr>
                            <w:rFonts w:ascii="宋体" w:hAnsi="宋体" w:eastAsia="宋体" w:cs="宋体"/>
                            <w:sz w:val="17"/>
                            <w:szCs w:val="17"/>
                          </w:rPr>
                        </w:pPr>
                        <w:r>
                          <w:rPr>
                            <w:rFonts w:ascii="宋体" w:hAnsi="宋体" w:eastAsia="宋体" w:cs="宋体"/>
                            <w:spacing w:val="-2"/>
                            <w:position w:val="3"/>
                            <w:sz w:val="17"/>
                            <w:szCs w:val="17"/>
                          </w:rPr>
                          <w:t>楼梯</w:t>
                        </w:r>
                        <w:r>
                          <w:rPr>
                            <w:rFonts w:ascii="宋体" w:hAnsi="宋体" w:eastAsia="宋体" w:cs="宋体"/>
                            <w:spacing w:val="6"/>
                            <w:position w:val="3"/>
                            <w:sz w:val="17"/>
                            <w:szCs w:val="17"/>
                          </w:rPr>
                          <w:t xml:space="preserve">           </w:t>
                        </w:r>
                        <w:r>
                          <w:rPr>
                            <w:rFonts w:ascii="宋体" w:hAnsi="宋体" w:eastAsia="宋体" w:cs="宋体"/>
                            <w:color w:val="406060"/>
                            <w:spacing w:val="-2"/>
                            <w:position w:val="-3"/>
                            <w:sz w:val="17"/>
                            <w:szCs w:val="17"/>
                          </w:rPr>
                          <w:t>电</w:t>
                        </w:r>
                        <w:r>
                          <w:rPr>
                            <w:rFonts w:ascii="宋体" w:hAnsi="宋体" w:eastAsia="宋体" w:cs="宋体"/>
                            <w:spacing w:val="-2"/>
                            <w:position w:val="-3"/>
                            <w:sz w:val="17"/>
                            <w:szCs w:val="17"/>
                          </w:rPr>
                          <w:t>梯</w:t>
                        </w:r>
                      </w:p>
                      <w:p w14:paraId="614F1DD6">
                        <w:pPr>
                          <w:spacing w:line="314" w:lineRule="auto"/>
                          <w:rPr>
                            <w:rFonts w:ascii="Arial"/>
                            <w:sz w:val="21"/>
                          </w:rPr>
                        </w:pPr>
                      </w:p>
                      <w:p w14:paraId="11A62AD6">
                        <w:pPr>
                          <w:spacing w:before="31" w:line="75" w:lineRule="exact"/>
                          <w:ind w:left="1579"/>
                          <w:rPr>
                            <w:rFonts w:ascii="Times New Roman" w:hAnsi="Times New Roman" w:eastAsia="Times New Roman" w:cs="Times New Roman"/>
                            <w:sz w:val="11"/>
                            <w:szCs w:val="11"/>
                          </w:rPr>
                        </w:pPr>
                        <w:r>
                          <w:rPr>
                            <w:rFonts w:ascii="Times New Roman" w:hAnsi="Times New Roman" w:eastAsia="Times New Roman" w:cs="Times New Roman"/>
                            <w:color w:val="505020"/>
                            <w:sz w:val="11"/>
                            <w:szCs w:val="11"/>
                          </w:rPr>
                          <w:t>a</w:t>
                        </w:r>
                      </w:p>
                      <w:p w14:paraId="4956B8D6">
                        <w:pPr>
                          <w:spacing w:line="437" w:lineRule="auto"/>
                          <w:rPr>
                            <w:rFonts w:ascii="Arial"/>
                            <w:sz w:val="21"/>
                          </w:rPr>
                        </w:pPr>
                      </w:p>
                      <w:p w14:paraId="433C6763">
                        <w:pPr>
                          <w:spacing w:before="55" w:line="224" w:lineRule="auto"/>
                          <w:ind w:left="270"/>
                          <w:rPr>
                            <w:rFonts w:ascii="宋体" w:hAnsi="宋体" w:eastAsia="宋体" w:cs="宋体"/>
                            <w:sz w:val="17"/>
                            <w:szCs w:val="17"/>
                          </w:rPr>
                        </w:pPr>
                        <w:r>
                          <w:rPr>
                            <w:rFonts w:ascii="仿宋" w:hAnsi="仿宋" w:eastAsia="仿宋" w:cs="仿宋"/>
                            <w:spacing w:val="1"/>
                            <w:sz w:val="17"/>
                            <w:szCs w:val="17"/>
                          </w:rPr>
                          <w:t>零</w:t>
                        </w:r>
                        <w:r>
                          <w:rPr>
                            <w:rFonts w:ascii="宋体" w:hAnsi="宋体" w:eastAsia="宋体" w:cs="宋体"/>
                            <w:spacing w:val="1"/>
                            <w:sz w:val="17"/>
                            <w:szCs w:val="17"/>
                          </w:rPr>
                          <w:t>售</w:t>
                        </w:r>
                        <w:r>
                          <w:rPr>
                            <w:rFonts w:ascii="宋体" w:hAnsi="宋体" w:eastAsia="宋体" w:cs="宋体"/>
                            <w:color w:val="406060"/>
                            <w:spacing w:val="1"/>
                            <w:sz w:val="17"/>
                            <w:szCs w:val="17"/>
                          </w:rPr>
                          <w:t>户</w:t>
                        </w:r>
                      </w:p>
                    </w:txbxContent>
                  </v:textbox>
                </v:shape>
                <w10:wrap type="none"/>
                <w10:anchorlock/>
              </v:group>
            </w:pict>
          </mc:Fallback>
        </mc:AlternateContent>
      </w:r>
    </w:p>
    <w:p w14:paraId="3ACF35D4">
      <w:pPr>
        <w:ind w:firstLine="560" w:firstLineChars="200"/>
        <w:jc w:val="center"/>
        <w:rPr>
          <w:rFonts w:hint="eastAsia" w:ascii="微软雅黑" w:hAnsi="微软雅黑" w:eastAsia="微软雅黑" w:cs="Times New Roman"/>
          <w:color w:val="333333"/>
          <w:sz w:val="28"/>
          <w:szCs w:val="28"/>
        </w:rPr>
      </w:pPr>
      <w:r>
        <w:rPr>
          <w:rFonts w:hint="eastAsia" w:ascii="微软雅黑" w:hAnsi="微软雅黑" w:eastAsia="微软雅黑" w:cs="Times New Roman"/>
          <w:color w:val="333333"/>
          <w:sz w:val="28"/>
          <w:szCs w:val="28"/>
        </w:rPr>
        <w:t>有台阶、楼梯、电梯的测量示意图</w:t>
      </w:r>
    </w:p>
    <w:p w14:paraId="1E24C1B4">
      <w:pPr>
        <w:ind w:firstLine="560" w:firstLineChars="200"/>
        <w:jc w:val="center"/>
        <w:rPr>
          <w:rFonts w:hint="eastAsia" w:ascii="微软雅黑" w:hAnsi="微软雅黑" w:eastAsia="微软雅黑" w:cs="Times New Roman"/>
          <w:color w:val="333333"/>
          <w:sz w:val="28"/>
          <w:szCs w:val="28"/>
        </w:rPr>
      </w:pPr>
    </w:p>
    <w:p w14:paraId="36A5CF55">
      <w:pPr>
        <w:ind w:firstLine="560" w:firstLineChars="200"/>
        <w:jc w:val="center"/>
        <w:rPr>
          <w:rFonts w:hint="eastAsia" w:ascii="微软雅黑" w:hAnsi="微软雅黑" w:eastAsia="微软雅黑" w:cs="Times New Roman"/>
          <w:color w:val="333333"/>
          <w:sz w:val="28"/>
          <w:szCs w:val="28"/>
        </w:rPr>
      </w:pPr>
    </w:p>
    <w:p w14:paraId="76060B88">
      <w:pPr>
        <w:ind w:firstLine="560" w:firstLineChars="200"/>
        <w:jc w:val="center"/>
        <w:rPr>
          <w:rFonts w:hint="eastAsia" w:ascii="微软雅黑" w:hAnsi="微软雅黑" w:eastAsia="微软雅黑" w:cs="Times New Roman"/>
          <w:color w:val="333333"/>
          <w:sz w:val="28"/>
          <w:szCs w:val="28"/>
        </w:rPr>
      </w:pPr>
    </w:p>
    <w:p w14:paraId="17E9810E">
      <w:pPr>
        <w:ind w:firstLine="560" w:firstLineChars="200"/>
        <w:jc w:val="center"/>
        <w:rPr>
          <w:rFonts w:hint="eastAsia" w:ascii="微软雅黑" w:hAnsi="微软雅黑" w:eastAsia="微软雅黑" w:cs="Times New Roman"/>
          <w:color w:val="333333"/>
          <w:sz w:val="28"/>
          <w:szCs w:val="28"/>
        </w:rPr>
      </w:pPr>
    </w:p>
    <w:p w14:paraId="1E3CD192">
      <w:pPr>
        <w:ind w:firstLine="560" w:firstLineChars="200"/>
        <w:jc w:val="center"/>
        <w:rPr>
          <w:rFonts w:hint="eastAsia" w:ascii="微软雅黑" w:hAnsi="微软雅黑" w:eastAsia="微软雅黑" w:cs="Times New Roman"/>
          <w:color w:val="333333"/>
          <w:sz w:val="28"/>
          <w:szCs w:val="28"/>
        </w:rPr>
      </w:pPr>
    </w:p>
    <w:p w14:paraId="213F8681">
      <w:pPr>
        <w:ind w:firstLine="560" w:firstLineChars="200"/>
        <w:jc w:val="center"/>
        <w:rPr>
          <w:rFonts w:hint="eastAsia" w:ascii="微软雅黑" w:hAnsi="微软雅黑" w:eastAsia="微软雅黑" w:cs="Times New Roman"/>
          <w:color w:val="333333"/>
          <w:sz w:val="28"/>
          <w:szCs w:val="28"/>
        </w:rPr>
      </w:pPr>
    </w:p>
    <w:p w14:paraId="2EF1C955">
      <w:pPr>
        <w:ind w:firstLine="560" w:firstLineChars="200"/>
        <w:jc w:val="center"/>
        <w:rPr>
          <w:rFonts w:hint="eastAsia" w:ascii="微软雅黑" w:hAnsi="微软雅黑" w:eastAsia="微软雅黑" w:cs="Times New Roman"/>
          <w:color w:val="333333"/>
          <w:sz w:val="28"/>
          <w:szCs w:val="28"/>
        </w:rPr>
      </w:pPr>
    </w:p>
    <w:p w14:paraId="4190EC3C">
      <w:pPr>
        <w:ind w:firstLine="560" w:firstLineChars="200"/>
        <w:jc w:val="center"/>
        <w:rPr>
          <w:rFonts w:hint="eastAsia" w:ascii="微软雅黑" w:hAnsi="微软雅黑" w:eastAsia="微软雅黑" w:cs="Times New Roman"/>
          <w:color w:val="333333"/>
          <w:sz w:val="28"/>
          <w:szCs w:val="28"/>
        </w:rPr>
      </w:pPr>
    </w:p>
    <w:p w14:paraId="5DD99540">
      <w:pPr>
        <w:ind w:firstLine="560" w:firstLineChars="200"/>
        <w:jc w:val="center"/>
        <w:rPr>
          <w:rFonts w:hint="eastAsia" w:ascii="微软雅黑" w:hAnsi="微软雅黑" w:eastAsia="微软雅黑" w:cs="Times New Roman"/>
          <w:color w:val="333333"/>
          <w:sz w:val="28"/>
          <w:szCs w:val="28"/>
        </w:rPr>
      </w:pPr>
    </w:p>
    <w:p w14:paraId="36C05CEB">
      <w:pPr>
        <w:ind w:firstLine="560" w:firstLineChars="200"/>
        <w:jc w:val="center"/>
        <w:rPr>
          <w:rFonts w:hint="eastAsia" w:ascii="微软雅黑" w:hAnsi="微软雅黑" w:eastAsia="微软雅黑" w:cs="Times New Roman"/>
          <w:color w:val="333333"/>
          <w:sz w:val="28"/>
          <w:szCs w:val="28"/>
        </w:rPr>
      </w:pPr>
    </w:p>
    <w:p w14:paraId="2282BBFF">
      <w:pPr>
        <w:ind w:firstLine="560" w:firstLineChars="200"/>
        <w:jc w:val="center"/>
        <w:rPr>
          <w:rFonts w:hint="eastAsia" w:ascii="微软雅黑" w:hAnsi="微软雅黑" w:eastAsia="微软雅黑" w:cs="Times New Roman"/>
          <w:color w:val="333333"/>
          <w:sz w:val="28"/>
          <w:szCs w:val="28"/>
        </w:rPr>
      </w:pPr>
    </w:p>
    <w:p w14:paraId="5E963B33">
      <w:pPr>
        <w:ind w:firstLine="560" w:firstLineChars="200"/>
        <w:jc w:val="center"/>
        <w:rPr>
          <w:rFonts w:hint="eastAsia" w:ascii="微软雅黑" w:hAnsi="微软雅黑" w:eastAsia="微软雅黑" w:cs="Times New Roman"/>
          <w:color w:val="333333"/>
          <w:sz w:val="28"/>
          <w:szCs w:val="28"/>
        </w:rPr>
      </w:pPr>
    </w:p>
    <w:p w14:paraId="00FA47B1">
      <w:pPr>
        <w:ind w:firstLine="560" w:firstLineChars="200"/>
        <w:jc w:val="center"/>
        <w:rPr>
          <w:rFonts w:hint="eastAsia" w:ascii="微软雅黑" w:hAnsi="微软雅黑" w:eastAsia="微软雅黑" w:cs="Times New Roman"/>
          <w:color w:val="333333"/>
          <w:sz w:val="28"/>
          <w:szCs w:val="28"/>
        </w:rPr>
      </w:pPr>
    </w:p>
    <w:p w14:paraId="4A3D799C">
      <w:pPr>
        <w:ind w:firstLine="560" w:firstLineChars="200"/>
        <w:jc w:val="center"/>
        <w:rPr>
          <w:rFonts w:hint="eastAsia" w:ascii="微软雅黑" w:hAnsi="微软雅黑" w:eastAsia="微软雅黑" w:cs="Times New Roman"/>
          <w:color w:val="333333"/>
          <w:sz w:val="28"/>
          <w:szCs w:val="28"/>
        </w:rPr>
      </w:pPr>
    </w:p>
    <w:p w14:paraId="027F9B53">
      <w:pPr>
        <w:ind w:firstLine="560" w:firstLineChars="200"/>
        <w:jc w:val="center"/>
        <w:rPr>
          <w:rFonts w:hint="eastAsia" w:ascii="微软雅黑" w:hAnsi="微软雅黑" w:eastAsia="微软雅黑" w:cs="Times New Roman"/>
          <w:color w:val="333333"/>
          <w:sz w:val="28"/>
          <w:szCs w:val="28"/>
        </w:rPr>
      </w:pPr>
    </w:p>
    <w:p w14:paraId="3D2A7121">
      <w:pPr>
        <w:jc w:val="both"/>
        <w:rPr>
          <w:rFonts w:hint="eastAsia" w:ascii="微软雅黑" w:hAnsi="微软雅黑" w:eastAsia="微软雅黑" w:cs="Times New Roman"/>
          <w:color w:val="333333"/>
          <w:sz w:val="28"/>
          <w:szCs w:val="28"/>
        </w:rPr>
      </w:pP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48BFAEF6-80FB-4DE0-9C60-38B2561C4E39}"/>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mic Sans Pro">
    <w:altName w:val="宋体"/>
    <w:panose1 w:val="02010600010101010101"/>
    <w:charset w:val="86"/>
    <w:family w:val="auto"/>
    <w:pitch w:val="default"/>
    <w:sig w:usb0="00000000" w:usb1="00000000" w:usb2="00000000" w:usb3="00000000" w:csb0="00040000" w:csb1="00000000"/>
  </w:font>
  <w:font w:name="Saturday Sans Regular">
    <w:altName w:val="宋体"/>
    <w:panose1 w:val="0201060001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2" w:fontKey="{835932AA-3C57-43D7-98AC-8FEE7267201C}"/>
  </w:font>
  <w:font w:name="方正黑体_GBK">
    <w:panose1 w:val="02010600010101010101"/>
    <w:charset w:val="86"/>
    <w:family w:val="auto"/>
    <w:pitch w:val="default"/>
    <w:sig w:usb0="00000001" w:usb1="080E0000" w:usb2="00000000" w:usb3="00000000" w:csb0="00040000" w:csb1="00000000"/>
    <w:embedRegular r:id="rId3" w:fontKey="{C2926CB2-2D8A-4601-9851-F52D9B12A924}"/>
  </w:font>
  <w:font w:name="方正仿宋_GB2312">
    <w:panose1 w:val="02000000000000000000"/>
    <w:charset w:val="86"/>
    <w:family w:val="auto"/>
    <w:pitch w:val="default"/>
    <w:sig w:usb0="A00002BF" w:usb1="184F6CFA" w:usb2="00000012" w:usb3="00000000" w:csb0="00040001" w:csb1="00000000"/>
    <w:embedRegular r:id="rId4" w:fontKey="{ACEFF9C0-BCB1-4E75-9FC6-7C9D31A1CBBC}"/>
  </w:font>
  <w:font w:name="华文仿宋">
    <w:panose1 w:val="02010600040101010101"/>
    <w:charset w:val="86"/>
    <w:family w:val="auto"/>
    <w:pitch w:val="default"/>
    <w:sig w:usb0="00000287" w:usb1="080F0000" w:usb2="00000000" w:usb3="00000000" w:csb0="0004009F" w:csb1="DFD70000"/>
    <w:embedRegular r:id="rId5" w:fontKey="{ED030F31-3F52-45DB-9AEB-27C7A29D1A25}"/>
  </w:font>
  <w:font w:name="方正仿宋_GBK">
    <w:panose1 w:val="02000000000000000000"/>
    <w:charset w:val="86"/>
    <w:family w:val="auto"/>
    <w:pitch w:val="default"/>
    <w:sig w:usb0="A00002BF" w:usb1="38CF7CFA" w:usb2="00082016" w:usb3="00000000" w:csb0="00040001" w:csb1="00000000"/>
    <w:embedRegular r:id="rId6" w:fontKey="{BB208A7D-3B92-426A-BB3B-9C53C54D175F}"/>
  </w:font>
  <w:font w:name="仿宋">
    <w:panose1 w:val="02010609060101010101"/>
    <w:charset w:val="86"/>
    <w:family w:val="modern"/>
    <w:pitch w:val="default"/>
    <w:sig w:usb0="800002BF" w:usb1="38CF7CFA" w:usb2="00000016" w:usb3="00000000" w:csb0="00040001" w:csb1="00000000"/>
    <w:embedRegular r:id="rId7" w:fontKey="{3E290022-B7B0-4314-8A04-883059C2BF78}"/>
  </w:font>
  <w:font w:name="微软雅黑">
    <w:panose1 w:val="020B0503020204020204"/>
    <w:charset w:val="86"/>
    <w:family w:val="swiss"/>
    <w:pitch w:val="default"/>
    <w:sig w:usb0="80000287" w:usb1="2ACF3C50" w:usb2="00000016" w:usb3="00000000" w:csb0="0004001F" w:csb1="00000000"/>
    <w:embedRegular r:id="rId8" w:fontKey="{3DE5DC34-47BD-42EE-8A9D-217E31B5452F}"/>
  </w:font>
  <w:font w:name="Arial Unicode MS">
    <w:panose1 w:val="020B0604020202020204"/>
    <w:charset w:val="86"/>
    <w:family w:val="auto"/>
    <w:pitch w:val="default"/>
    <w:sig w:usb0="FFFFFFFF" w:usb1="E9FFFFFF" w:usb2="0000003F" w:usb3="00000000" w:csb0="603F01FF" w:csb1="FFFF0000"/>
    <w:embedRegular r:id="rId9" w:fontKey="{79AB7E8C-0903-46AE-9668-172A9A0EF76A}"/>
  </w:font>
  <w:font w:name="WPSEMBED3">
    <w:panose1 w:val="02010600010101010101"/>
    <w:charset w:val="86"/>
    <w:family w:val="auto"/>
    <w:pitch w:val="default"/>
    <w:sig w:usb0="00000001" w:usb1="080E0000" w:usb2="00000000" w:usb3="00000000" w:csb0="00040000" w:csb1="00000000"/>
  </w:font>
  <w:font w:name="WPSEMBED4">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23FAF">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A54C792">
                          <w:pPr>
                            <w:pStyle w:val="6"/>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gOUnetwBAAC/AwAADgAAAAAAAAAB&#10;ACAAAAAeAQAAZHJzL2Uyb0RvYy54bWxQSwUGAAAAAAYABgBZAQAAbAUAAAAA&#10;">
              <v:fill on="f" focussize="0,0"/>
              <v:stroke on="f"/>
              <v:imagedata o:title=""/>
              <o:lock v:ext="edit" aspectratio="f"/>
              <v:textbox inset="0mm,0mm,0mm,0mm" style="mso-fit-shape-to-text:t;">
                <w:txbxContent>
                  <w:p w14:paraId="3A54C792">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81EF6"/>
    <w:rsid w:val="08310612"/>
    <w:rsid w:val="0E9582BE"/>
    <w:rsid w:val="0FD430B7"/>
    <w:rsid w:val="13FA1D01"/>
    <w:rsid w:val="14697A78"/>
    <w:rsid w:val="17C7634F"/>
    <w:rsid w:val="1DFE341F"/>
    <w:rsid w:val="1DFE4499"/>
    <w:rsid w:val="1E434492"/>
    <w:rsid w:val="1F773D70"/>
    <w:rsid w:val="1FD710C9"/>
    <w:rsid w:val="1FD93B9D"/>
    <w:rsid w:val="1FEF4DEC"/>
    <w:rsid w:val="1FF619DE"/>
    <w:rsid w:val="1FFF3CBC"/>
    <w:rsid w:val="225220A1"/>
    <w:rsid w:val="22DF04E6"/>
    <w:rsid w:val="23FFD28E"/>
    <w:rsid w:val="25B94816"/>
    <w:rsid w:val="2B951869"/>
    <w:rsid w:val="2CB04C5F"/>
    <w:rsid w:val="2D3F2F67"/>
    <w:rsid w:val="2E1B0795"/>
    <w:rsid w:val="35DBDEF2"/>
    <w:rsid w:val="38626CD1"/>
    <w:rsid w:val="38AE3560"/>
    <w:rsid w:val="3BFEAA12"/>
    <w:rsid w:val="3CF3A160"/>
    <w:rsid w:val="3DB6FA46"/>
    <w:rsid w:val="3DE3032E"/>
    <w:rsid w:val="3DF79C8C"/>
    <w:rsid w:val="3EAB8A67"/>
    <w:rsid w:val="3F60125C"/>
    <w:rsid w:val="3FBD59F8"/>
    <w:rsid w:val="3FC6277E"/>
    <w:rsid w:val="3FDB050B"/>
    <w:rsid w:val="3FFF3BDC"/>
    <w:rsid w:val="476616C5"/>
    <w:rsid w:val="4BDBD3DF"/>
    <w:rsid w:val="4E5BDB71"/>
    <w:rsid w:val="53C581D3"/>
    <w:rsid w:val="545F099F"/>
    <w:rsid w:val="54DC5076"/>
    <w:rsid w:val="57F9660C"/>
    <w:rsid w:val="59CBC9B1"/>
    <w:rsid w:val="5B6E0F27"/>
    <w:rsid w:val="5DD16EDD"/>
    <w:rsid w:val="5F4F45A4"/>
    <w:rsid w:val="5FB96AEC"/>
    <w:rsid w:val="5FEB8526"/>
    <w:rsid w:val="5FF78DCD"/>
    <w:rsid w:val="5FFDB704"/>
    <w:rsid w:val="5FFFFE1F"/>
    <w:rsid w:val="63DF43A3"/>
    <w:rsid w:val="63FF79F6"/>
    <w:rsid w:val="66BB8FBC"/>
    <w:rsid w:val="67B44BC6"/>
    <w:rsid w:val="67FFA1C6"/>
    <w:rsid w:val="68FF4EE9"/>
    <w:rsid w:val="691F0070"/>
    <w:rsid w:val="6A7E8FFD"/>
    <w:rsid w:val="6B7D07AD"/>
    <w:rsid w:val="6D7FD4BA"/>
    <w:rsid w:val="6DE561F3"/>
    <w:rsid w:val="6DE74470"/>
    <w:rsid w:val="6EB05F8B"/>
    <w:rsid w:val="6F1F3AA2"/>
    <w:rsid w:val="6F6CBAAA"/>
    <w:rsid w:val="6FFAE34C"/>
    <w:rsid w:val="728B72E8"/>
    <w:rsid w:val="73D3A7CC"/>
    <w:rsid w:val="75DE642E"/>
    <w:rsid w:val="769EACCE"/>
    <w:rsid w:val="77BC5422"/>
    <w:rsid w:val="77EF6361"/>
    <w:rsid w:val="7AABE3E6"/>
    <w:rsid w:val="7BA0583D"/>
    <w:rsid w:val="7CB318CF"/>
    <w:rsid w:val="7D5744E3"/>
    <w:rsid w:val="7DD421EB"/>
    <w:rsid w:val="7DDF8C34"/>
    <w:rsid w:val="7EBAB7C9"/>
    <w:rsid w:val="7EDBC5AC"/>
    <w:rsid w:val="7EDFD427"/>
    <w:rsid w:val="7EEF69BB"/>
    <w:rsid w:val="7EF781B6"/>
    <w:rsid w:val="7EFD31C4"/>
    <w:rsid w:val="7F373312"/>
    <w:rsid w:val="7F5D3F88"/>
    <w:rsid w:val="7F5F1E7B"/>
    <w:rsid w:val="7F7FAB1F"/>
    <w:rsid w:val="7FB914CF"/>
    <w:rsid w:val="7FBB1A63"/>
    <w:rsid w:val="7FBC1214"/>
    <w:rsid w:val="7FBF980F"/>
    <w:rsid w:val="7FC90C96"/>
    <w:rsid w:val="7FECCBB3"/>
    <w:rsid w:val="7FEF0A9A"/>
    <w:rsid w:val="7FF70BE9"/>
    <w:rsid w:val="7FF72C78"/>
    <w:rsid w:val="7FF80F13"/>
    <w:rsid w:val="7FF96806"/>
    <w:rsid w:val="7FFF0293"/>
    <w:rsid w:val="7FFF08B8"/>
    <w:rsid w:val="7FFFED16"/>
    <w:rsid w:val="9BDEB90B"/>
    <w:rsid w:val="9D5F826F"/>
    <w:rsid w:val="9DDE1AAD"/>
    <w:rsid w:val="9ED96AEC"/>
    <w:rsid w:val="9F7D02F4"/>
    <w:rsid w:val="9FDF2A79"/>
    <w:rsid w:val="A37E025A"/>
    <w:rsid w:val="B3F69B20"/>
    <w:rsid w:val="B58FD613"/>
    <w:rsid w:val="B5AD628C"/>
    <w:rsid w:val="B5D9ED3E"/>
    <w:rsid w:val="BB7B8805"/>
    <w:rsid w:val="BD7B59AC"/>
    <w:rsid w:val="BDD7D00E"/>
    <w:rsid w:val="BF7FF730"/>
    <w:rsid w:val="BFD74A41"/>
    <w:rsid w:val="CB9F05F5"/>
    <w:rsid w:val="CF4D8E40"/>
    <w:rsid w:val="D7F9D4C0"/>
    <w:rsid w:val="D7FB9D68"/>
    <w:rsid w:val="DDE7218F"/>
    <w:rsid w:val="DEFFBD1F"/>
    <w:rsid w:val="DF335B22"/>
    <w:rsid w:val="DFBF613D"/>
    <w:rsid w:val="E1FB0453"/>
    <w:rsid w:val="E5769570"/>
    <w:rsid w:val="EBBFE20E"/>
    <w:rsid w:val="EBEDD724"/>
    <w:rsid w:val="ECBF2947"/>
    <w:rsid w:val="EEEE5398"/>
    <w:rsid w:val="EEFF6EAD"/>
    <w:rsid w:val="EF3D3A63"/>
    <w:rsid w:val="EFEF59A8"/>
    <w:rsid w:val="EFF541EA"/>
    <w:rsid w:val="EFFB873A"/>
    <w:rsid w:val="F37D8EFE"/>
    <w:rsid w:val="F3BFE930"/>
    <w:rsid w:val="F3EFF8F1"/>
    <w:rsid w:val="F4BF6F3A"/>
    <w:rsid w:val="F5B3B4A7"/>
    <w:rsid w:val="F5FF31EF"/>
    <w:rsid w:val="F5FF733C"/>
    <w:rsid w:val="F7FDBE2D"/>
    <w:rsid w:val="FBCECAC4"/>
    <w:rsid w:val="FBE3564D"/>
    <w:rsid w:val="FBEDF291"/>
    <w:rsid w:val="FBEDF587"/>
    <w:rsid w:val="FBFA6EEC"/>
    <w:rsid w:val="FBFE13BB"/>
    <w:rsid w:val="FC7F4061"/>
    <w:rsid w:val="FDAFD679"/>
    <w:rsid w:val="FDB1060F"/>
    <w:rsid w:val="FDDEDE2F"/>
    <w:rsid w:val="FE4F02D9"/>
    <w:rsid w:val="FEB67BA6"/>
    <w:rsid w:val="FEBE710A"/>
    <w:rsid w:val="FEEF97FD"/>
    <w:rsid w:val="FEFB8D23"/>
    <w:rsid w:val="FEFFFE21"/>
    <w:rsid w:val="FF77A4FE"/>
    <w:rsid w:val="FF7FB883"/>
    <w:rsid w:val="FF9F088C"/>
    <w:rsid w:val="FFB528A7"/>
    <w:rsid w:val="FFBC16CD"/>
    <w:rsid w:val="FFD79ACA"/>
    <w:rsid w:val="FFDDE17E"/>
    <w:rsid w:val="FFDF9AF4"/>
    <w:rsid w:val="FFDFC8F4"/>
    <w:rsid w:val="FFEFD230"/>
    <w:rsid w:val="FFF9D97A"/>
    <w:rsid w:val="FFFD4CC4"/>
    <w:rsid w:val="FFFF7C90"/>
    <w:rsid w:val="FFFFA9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caption"/>
    <w:basedOn w:val="1"/>
    <w:qFormat/>
    <w:uiPriority w:val="0"/>
    <w:pPr>
      <w:widowControl w:val="0"/>
      <w:suppressLineNumbers/>
      <w:suppressAutoHyphens/>
      <w:spacing w:before="120" w:after="120"/>
    </w:pPr>
    <w:rPr>
      <w:i/>
      <w:iCs/>
      <w:sz w:val="24"/>
      <w:szCs w:val="24"/>
    </w:rPr>
  </w:style>
  <w:style w:type="paragraph" w:styleId="4">
    <w:name w:val="annotation text"/>
    <w:basedOn w:val="1"/>
    <w:qFormat/>
    <w:uiPriority w:val="0"/>
    <w:pPr>
      <w:jc w:val="left"/>
    </w:pPr>
  </w:style>
  <w:style w:type="paragraph" w:styleId="5">
    <w:name w:val="Body Text"/>
    <w:basedOn w:val="1"/>
    <w:qFormat/>
    <w:uiPriority w:val="0"/>
    <w:pPr>
      <w:spacing w:before="0" w:after="140" w:line="276" w:lineRule="auto"/>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List"/>
    <w:basedOn w:val="5"/>
    <w:qFormat/>
    <w:uiPriority w:val="0"/>
  </w:style>
  <w:style w:type="paragraph" w:styleId="9">
    <w:name w:val="Normal (Web)"/>
    <w:basedOn w:val="1"/>
    <w:unhideWhenUsed/>
    <w:qFormat/>
    <w:uiPriority w:val="99"/>
    <w:pPr>
      <w:spacing w:after="160" w:line="480" w:lineRule="auto"/>
      <w:jc w:val="left"/>
    </w:pPr>
    <w:rPr>
      <w:rFonts w:ascii="Calibri" w:hAnsi="Calibri" w:eastAsia="宋体" w:cs="Times New Roman"/>
      <w:kern w:val="0"/>
      <w:sz w:val="24"/>
    </w:rPr>
  </w:style>
  <w:style w:type="character" w:styleId="12">
    <w:name w:val="Strong"/>
    <w:basedOn w:val="11"/>
    <w:qFormat/>
    <w:uiPriority w:val="0"/>
    <w:rPr>
      <w:b/>
    </w:rPr>
  </w:style>
  <w:style w:type="character" w:customStyle="1" w:styleId="13">
    <w:name w:val="默认段落字体1"/>
    <w:qFormat/>
    <w:uiPriority w:val="0"/>
  </w:style>
  <w:style w:type="paragraph" w:customStyle="1" w:styleId="14">
    <w:name w:val="Heading"/>
    <w:basedOn w:val="1"/>
    <w:next w:val="5"/>
    <w:qFormat/>
    <w:uiPriority w:val="0"/>
    <w:pPr>
      <w:keepNext/>
      <w:widowControl w:val="0"/>
      <w:suppressAutoHyphens/>
      <w:spacing w:before="240" w:after="120"/>
    </w:pPr>
    <w:rPr>
      <w:rFonts w:ascii="Comic Sans Pro" w:hAnsi="Comic Sans Pro" w:eastAsia="Saturday Sans Regular" w:cs="Saturday Sans Regular"/>
      <w:sz w:val="28"/>
      <w:szCs w:val="28"/>
      <w:lang w:bidi="ar-SA"/>
    </w:rPr>
  </w:style>
  <w:style w:type="paragraph" w:customStyle="1" w:styleId="15">
    <w:name w:val="Index"/>
    <w:basedOn w:val="1"/>
    <w:qFormat/>
    <w:uiPriority w:val="0"/>
    <w:pPr>
      <w:widowControl w:val="0"/>
      <w:suppressLineNumbers/>
      <w:suppressAutoHyphens/>
    </w:pPr>
  </w:style>
  <w:style w:type="paragraph" w:customStyle="1" w:styleId="16">
    <w:name w:val="Table Text"/>
    <w:basedOn w:val="1"/>
    <w:semiHidden/>
    <w:qFormat/>
    <w:uiPriority w:val="0"/>
    <w:rPr>
      <w:rFonts w:ascii="宋体" w:hAnsi="宋体" w:eastAsia="宋体" w:cs="宋体"/>
      <w:sz w:val="21"/>
      <w:szCs w:val="21"/>
      <w:lang w:val="en-US" w:eastAsia="en-US" w:bidi="ar-SA"/>
    </w:rPr>
  </w:style>
  <w:style w:type="table" w:customStyle="1" w:styleId="17">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17</Pages>
  <Words>5728</Words>
  <Characters>5784</Characters>
  <TotalTime>176</TotalTime>
  <ScaleCrop>false</ScaleCrop>
  <LinksUpToDate>false</LinksUpToDate>
  <CharactersWithSpaces>5818</CharactersWithSpaces>
  <Application>WPS Office_12.1.0.26895_F1E327BC-269C-435d-A152-05C5408002CA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2018-12-01T17:47:00Z</dcterms:created>
  <dc:creator>MGY</dc:creator>
  <cp:lastModifiedBy>伟哥</cp:lastModifiedBy>
  <dcterms:modified xsi:type="dcterms:W3CDTF">2026-07-06T08:13:53Z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4BA9F2E6C70048E5B1404CAD0A157DEB_13</vt:lpwstr>
  </property>
  <property fmtid="{D5CDD505-2E9C-101B-9397-08002B2CF9AE}" pid="4" name="KSOTemplateDocerSaveRecord">
    <vt:lpwstr>eyJoZGlkIjoiYzk2ODU0OTM5ZjMwMGRiMjNlNTIwYTNiMjFlNDMyODIiLCJ1c2VySWQiOiI3MDU0MjQwNzMifQ==</vt:lpwstr>
  </property>
</Properties>
</file>