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0A81AF">
      <w:pPr>
        <w:spacing w:line="540" w:lineRule="exact"/>
        <w:jc w:val="left"/>
        <w:rPr>
          <w:rFonts w:eastAsia="黑体"/>
          <w:kern w:val="0"/>
          <w:sz w:val="32"/>
          <w:szCs w:val="32"/>
        </w:rPr>
      </w:pPr>
    </w:p>
    <w:p w14:paraId="08F2F040">
      <w:pPr>
        <w:pStyle w:val="2"/>
      </w:pPr>
    </w:p>
    <w:p w14:paraId="76884B66">
      <w:pPr>
        <w:pStyle w:val="2"/>
      </w:pPr>
    </w:p>
    <w:p w14:paraId="4860BD60">
      <w:pPr>
        <w:pStyle w:val="2"/>
      </w:pPr>
    </w:p>
    <w:p w14:paraId="26A01E0E">
      <w:pPr>
        <w:pStyle w:val="2"/>
      </w:pPr>
    </w:p>
    <w:p w14:paraId="3BC31DA4">
      <w:pPr>
        <w:spacing w:line="540" w:lineRule="exact"/>
        <w:jc w:val="center"/>
        <w:rPr>
          <w:rFonts w:eastAsia="方正小标宋简体"/>
          <w:kern w:val="0"/>
          <w:sz w:val="48"/>
          <w:szCs w:val="48"/>
        </w:rPr>
      </w:pPr>
      <w:r>
        <w:rPr>
          <w:rFonts w:hint="eastAsia" w:eastAsia="方正小标宋简体"/>
          <w:kern w:val="0"/>
          <w:sz w:val="48"/>
          <w:szCs w:val="48"/>
        </w:rPr>
        <w:t>理塘县国民经济和社会发展</w:t>
      </w:r>
    </w:p>
    <w:p w14:paraId="06F435A2">
      <w:pPr>
        <w:pStyle w:val="2"/>
      </w:pPr>
    </w:p>
    <w:p w14:paraId="0BFAB5BE">
      <w:pPr>
        <w:spacing w:line="540" w:lineRule="exact"/>
        <w:jc w:val="center"/>
        <w:rPr>
          <w:rFonts w:eastAsia="方正小标宋简体"/>
          <w:kern w:val="0"/>
          <w:sz w:val="48"/>
          <w:szCs w:val="48"/>
        </w:rPr>
      </w:pPr>
      <w:r>
        <w:rPr>
          <w:rFonts w:hint="eastAsia" w:eastAsia="方正小标宋简体"/>
          <w:kern w:val="0"/>
          <w:sz w:val="48"/>
          <w:szCs w:val="48"/>
        </w:rPr>
        <w:t>第十五个五年规划纲要</w:t>
      </w:r>
    </w:p>
    <w:p w14:paraId="6F06E182">
      <w:pPr>
        <w:spacing w:line="540" w:lineRule="exact"/>
        <w:jc w:val="center"/>
        <w:rPr>
          <w:rFonts w:eastAsia="黑体"/>
          <w:kern w:val="0"/>
          <w:sz w:val="32"/>
          <w:szCs w:val="32"/>
        </w:rPr>
      </w:pPr>
    </w:p>
    <w:p w14:paraId="41346A8B">
      <w:pPr>
        <w:pStyle w:val="2"/>
      </w:pPr>
    </w:p>
    <w:p w14:paraId="4BCF152B">
      <w:pPr>
        <w:pStyle w:val="2"/>
      </w:pPr>
    </w:p>
    <w:p w14:paraId="0D280165">
      <w:pPr>
        <w:pStyle w:val="2"/>
      </w:pPr>
    </w:p>
    <w:p w14:paraId="36B0101A">
      <w:pPr>
        <w:pStyle w:val="2"/>
      </w:pPr>
    </w:p>
    <w:p w14:paraId="319A2D29">
      <w:pPr>
        <w:pStyle w:val="2"/>
      </w:pPr>
      <w:r>
        <w:rPr>
          <w:rFonts w:hint="eastAsia"/>
        </w:rPr>
        <w:t>·</w:t>
      </w:r>
    </w:p>
    <w:p w14:paraId="5FFDFC05">
      <w:pPr>
        <w:pStyle w:val="2"/>
      </w:pPr>
    </w:p>
    <w:p w14:paraId="0301FC77">
      <w:pPr>
        <w:pStyle w:val="2"/>
      </w:pPr>
    </w:p>
    <w:p w14:paraId="6077238D">
      <w:pPr>
        <w:pStyle w:val="2"/>
      </w:pPr>
    </w:p>
    <w:p w14:paraId="2A40E73E">
      <w:pPr>
        <w:pStyle w:val="2"/>
      </w:pPr>
    </w:p>
    <w:p w14:paraId="24AFFCE6">
      <w:pPr>
        <w:pStyle w:val="2"/>
      </w:pPr>
    </w:p>
    <w:p w14:paraId="5C074959">
      <w:pPr>
        <w:pStyle w:val="2"/>
      </w:pPr>
    </w:p>
    <w:p w14:paraId="1F2106F1">
      <w:pPr>
        <w:pStyle w:val="2"/>
      </w:pPr>
    </w:p>
    <w:p w14:paraId="33CDF0B4">
      <w:pPr>
        <w:pStyle w:val="2"/>
      </w:pPr>
    </w:p>
    <w:p w14:paraId="0F0535A1">
      <w:pPr>
        <w:pStyle w:val="2"/>
      </w:pPr>
    </w:p>
    <w:p w14:paraId="126A72A3">
      <w:pPr>
        <w:pStyle w:val="2"/>
      </w:pPr>
    </w:p>
    <w:p w14:paraId="7ADB967E">
      <w:pPr>
        <w:pStyle w:val="2"/>
      </w:pPr>
    </w:p>
    <w:p w14:paraId="1462E115">
      <w:pPr>
        <w:spacing w:line="540" w:lineRule="exact"/>
        <w:jc w:val="center"/>
        <w:rPr>
          <w:rFonts w:eastAsia="黑体"/>
          <w:kern w:val="0"/>
          <w:sz w:val="32"/>
          <w:szCs w:val="32"/>
        </w:rPr>
      </w:pPr>
    </w:p>
    <w:p w14:paraId="659ED18B">
      <w:pPr>
        <w:spacing w:line="540" w:lineRule="exact"/>
        <w:jc w:val="center"/>
        <w:rPr>
          <w:rFonts w:eastAsia="方正小标宋简体"/>
          <w:kern w:val="0"/>
          <w:sz w:val="36"/>
          <w:szCs w:val="36"/>
        </w:rPr>
      </w:pPr>
      <w:r>
        <w:rPr>
          <w:rFonts w:hint="eastAsia" w:eastAsia="方正小标宋简体"/>
          <w:kern w:val="0"/>
          <w:sz w:val="36"/>
          <w:szCs w:val="36"/>
        </w:rPr>
        <w:t>2026年1月</w:t>
      </w:r>
    </w:p>
    <w:p w14:paraId="24432084">
      <w:pPr>
        <w:spacing w:before="156" w:beforeLines="50"/>
        <w:ind w:right="420" w:rightChars="200" w:firstLine="480" w:firstLineChars="100"/>
        <w:jc w:val="center"/>
        <w:rPr>
          <w:rFonts w:eastAsia="方正小标宋简体"/>
          <w:sz w:val="48"/>
          <w:szCs w:val="48"/>
        </w:rPr>
      </w:pPr>
    </w:p>
    <w:p w14:paraId="144EC39D">
      <w:pPr>
        <w:ind w:firstLine="800" w:firstLineChars="250"/>
        <w:rPr>
          <w:rFonts w:eastAsia="仿宋_GB2312"/>
          <w:color w:val="000000"/>
          <w:sz w:val="32"/>
          <w:szCs w:val="32"/>
        </w:rPr>
        <w:sectPr>
          <w:footerReference r:id="rId3" w:type="default"/>
          <w:pgSz w:w="11906" w:h="16838"/>
          <w:pgMar w:top="1531" w:right="1800" w:bottom="1531" w:left="1800" w:header="851" w:footer="992" w:gutter="0"/>
          <w:cols w:space="0" w:num="1"/>
          <w:docGrid w:type="lines" w:linePitch="312" w:charSpace="0"/>
        </w:sectPr>
      </w:pPr>
    </w:p>
    <w:p w14:paraId="5A18793E">
      <w:pPr>
        <w:pStyle w:val="8"/>
        <w:tabs>
          <w:tab w:val="right" w:leader="dot" w:pos="8306"/>
        </w:tabs>
        <w:spacing w:before="312" w:beforeLines="100" w:line="580" w:lineRule="exact"/>
        <w:jc w:val="center"/>
        <w:rPr>
          <w:rFonts w:eastAsia="方正大标宋简体"/>
          <w:color w:val="000000"/>
          <w:sz w:val="40"/>
          <w:szCs w:val="40"/>
        </w:rPr>
      </w:pPr>
      <w:r>
        <w:rPr>
          <w:rFonts w:hint="eastAsia" w:eastAsia="方正大标宋简体"/>
          <w:color w:val="000000"/>
          <w:sz w:val="40"/>
          <w:szCs w:val="40"/>
        </w:rPr>
        <w:t>目  录</w:t>
      </w:r>
    </w:p>
    <w:p w14:paraId="3194E0AD">
      <w:pPr>
        <w:pStyle w:val="8"/>
        <w:tabs>
          <w:tab w:val="right" w:leader="dot" w:pos="8306"/>
        </w:tabs>
        <w:spacing w:line="580" w:lineRule="exact"/>
        <w:rPr>
          <w:rFonts w:eastAsia="仿宋_GB2312"/>
          <w:color w:val="000000"/>
          <w:sz w:val="32"/>
          <w:szCs w:val="32"/>
        </w:rPr>
      </w:pPr>
      <w:bookmarkStart w:id="0" w:name="OLE_LINK146"/>
      <w:bookmarkStart w:id="1" w:name="OLE_LINK144"/>
    </w:p>
    <w:p w14:paraId="708E3F8C">
      <w:pPr>
        <w:pStyle w:val="8"/>
        <w:tabs>
          <w:tab w:val="left" w:pos="1260"/>
          <w:tab w:val="right" w:leader="dot" w:pos="8296"/>
        </w:tabs>
        <w:rPr>
          <w:rFonts w:asciiTheme="minorHAnsi" w:hAnsiTheme="minorHAnsi" w:eastAsiaTheme="minorEastAsia" w:cstheme="minorBidi"/>
          <w:sz w:val="32"/>
          <w:szCs w:val="32"/>
        </w:rPr>
      </w:pPr>
      <w:r>
        <w:rPr>
          <w:rFonts w:hint="eastAsia" w:eastAsia="仿宋_GB2312"/>
          <w:color w:val="000000"/>
          <w:sz w:val="32"/>
          <w:szCs w:val="32"/>
        </w:rPr>
        <w:fldChar w:fldCharType="begin"/>
      </w:r>
      <w:r>
        <w:rPr>
          <w:rFonts w:eastAsia="仿宋_GB2312"/>
          <w:color w:val="000000"/>
          <w:sz w:val="32"/>
          <w:szCs w:val="32"/>
        </w:rPr>
        <w:instrText xml:space="preserve">TOC \o "1-4" \h \u </w:instrText>
      </w:r>
      <w:r>
        <w:rPr>
          <w:rFonts w:hint="eastAsia" w:eastAsia="仿宋_GB2312"/>
          <w:color w:val="000000"/>
          <w:sz w:val="32"/>
          <w:szCs w:val="32"/>
        </w:rPr>
        <w:fldChar w:fldCharType="separate"/>
      </w:r>
      <w:bookmarkEnd w:id="0"/>
      <w:bookmarkEnd w:id="1"/>
      <w:r>
        <w:rPr>
          <w:rStyle w:val="14"/>
          <w:sz w:val="32"/>
          <w:szCs w:val="32"/>
        </w:rPr>
        <w:fldChar w:fldCharType="begin"/>
      </w:r>
      <w:r>
        <w:rPr>
          <w:rStyle w:val="14"/>
          <w:sz w:val="32"/>
          <w:szCs w:val="32"/>
        </w:rPr>
        <w:instrText xml:space="preserve"> </w:instrText>
      </w:r>
      <w:r>
        <w:rPr>
          <w:sz w:val="32"/>
          <w:szCs w:val="32"/>
        </w:rPr>
        <w:instrText xml:space="preserve">HYPERLINK \l "_Toc218241018"</w:instrText>
      </w:r>
      <w:r>
        <w:rPr>
          <w:rStyle w:val="14"/>
          <w:sz w:val="32"/>
          <w:szCs w:val="32"/>
        </w:rPr>
        <w:instrText xml:space="preserve"> </w:instrText>
      </w:r>
      <w:r>
        <w:rPr>
          <w:rStyle w:val="14"/>
          <w:sz w:val="32"/>
          <w:szCs w:val="32"/>
        </w:rPr>
        <w:fldChar w:fldCharType="separate"/>
      </w:r>
      <w:r>
        <w:rPr>
          <w:rStyle w:val="14"/>
          <w:rFonts w:hint="eastAsia" w:eastAsia="方正大标宋简体"/>
          <w:sz w:val="32"/>
          <w:szCs w:val="32"/>
        </w:rPr>
        <w:t>第一篇</w:t>
      </w:r>
      <w:r>
        <w:rPr>
          <w:rFonts w:asciiTheme="minorHAnsi" w:hAnsiTheme="minorHAnsi" w:eastAsiaTheme="minorEastAsia" w:cstheme="minorBidi"/>
          <w:sz w:val="32"/>
          <w:szCs w:val="32"/>
        </w:rPr>
        <w:tab/>
      </w:r>
      <w:r>
        <w:rPr>
          <w:rStyle w:val="14"/>
          <w:rFonts w:hint="eastAsia" w:eastAsia="方正大标宋简体"/>
          <w:sz w:val="32"/>
          <w:szCs w:val="32"/>
        </w:rPr>
        <w:t>服务大局</w:t>
      </w:r>
      <w:r>
        <w:rPr>
          <w:rStyle w:val="14"/>
          <w:rFonts w:eastAsia="方正大标宋简体"/>
          <w:sz w:val="32"/>
          <w:szCs w:val="32"/>
        </w:rPr>
        <w:t xml:space="preserve">  </w:t>
      </w:r>
      <w:r>
        <w:rPr>
          <w:rStyle w:val="14"/>
          <w:rFonts w:hint="eastAsia" w:eastAsia="方正大标宋简体"/>
          <w:sz w:val="32"/>
          <w:szCs w:val="32"/>
        </w:rPr>
        <w:t>奋力谱写中国式现代化理塘新篇章</w:t>
      </w:r>
      <w:r>
        <w:rPr>
          <w:sz w:val="32"/>
          <w:szCs w:val="32"/>
        </w:rPr>
        <w:tab/>
      </w:r>
      <w:r>
        <w:rPr>
          <w:sz w:val="32"/>
          <w:szCs w:val="32"/>
        </w:rPr>
        <w:fldChar w:fldCharType="begin"/>
      </w:r>
      <w:r>
        <w:rPr>
          <w:sz w:val="32"/>
          <w:szCs w:val="32"/>
        </w:rPr>
        <w:instrText xml:space="preserve"> PAGEREF _Toc218241018 \h </w:instrText>
      </w:r>
      <w:r>
        <w:rPr>
          <w:sz w:val="32"/>
          <w:szCs w:val="32"/>
        </w:rPr>
        <w:fldChar w:fldCharType="separate"/>
      </w:r>
      <w:r>
        <w:rPr>
          <w:sz w:val="32"/>
          <w:szCs w:val="32"/>
        </w:rPr>
        <w:t>1</w:t>
      </w:r>
      <w:r>
        <w:rPr>
          <w:sz w:val="32"/>
          <w:szCs w:val="32"/>
        </w:rPr>
        <w:fldChar w:fldCharType="end"/>
      </w:r>
      <w:r>
        <w:rPr>
          <w:rStyle w:val="14"/>
          <w:sz w:val="32"/>
          <w:szCs w:val="32"/>
        </w:rPr>
        <w:fldChar w:fldCharType="end"/>
      </w:r>
    </w:p>
    <w:p w14:paraId="521D5F17">
      <w:pPr>
        <w:pStyle w:val="9"/>
        <w:tabs>
          <w:tab w:val="left" w:pos="1680"/>
          <w:tab w:val="right" w:leader="dot" w:pos="8296"/>
        </w:tabs>
        <w:rPr>
          <w:rFonts w:asciiTheme="minorHAnsi" w:hAnsiTheme="minorHAnsi" w:eastAsiaTheme="minorEastAsia" w:cstheme="minorBidi"/>
          <w:sz w:val="32"/>
          <w:szCs w:val="32"/>
        </w:rPr>
      </w:pPr>
      <w:r>
        <w:fldChar w:fldCharType="begin"/>
      </w:r>
      <w:r>
        <w:instrText xml:space="preserve"> HYPERLINK \l "_Toc218241019" </w:instrText>
      </w:r>
      <w:r>
        <w:fldChar w:fldCharType="separate"/>
      </w:r>
      <w:r>
        <w:rPr>
          <w:rStyle w:val="14"/>
          <w:rFonts w:hint="eastAsia" w:eastAsia="黑体"/>
          <w:sz w:val="32"/>
          <w:szCs w:val="32"/>
        </w:rPr>
        <w:t>第一章</w:t>
      </w:r>
      <w:r>
        <w:rPr>
          <w:rFonts w:asciiTheme="minorHAnsi" w:hAnsiTheme="minorHAnsi" w:eastAsiaTheme="minorEastAsia" w:cstheme="minorBidi"/>
          <w:sz w:val="32"/>
          <w:szCs w:val="32"/>
        </w:rPr>
        <w:tab/>
      </w:r>
      <w:r>
        <w:rPr>
          <w:rStyle w:val="14"/>
          <w:rFonts w:hint="eastAsia" w:eastAsia="黑体"/>
          <w:sz w:val="32"/>
          <w:szCs w:val="32"/>
        </w:rPr>
        <w:t>规划背景</w:t>
      </w:r>
      <w:r>
        <w:rPr>
          <w:sz w:val="32"/>
          <w:szCs w:val="32"/>
        </w:rPr>
        <w:tab/>
      </w:r>
      <w:r>
        <w:rPr>
          <w:sz w:val="32"/>
          <w:szCs w:val="32"/>
        </w:rPr>
        <w:fldChar w:fldCharType="begin"/>
      </w:r>
      <w:r>
        <w:rPr>
          <w:sz w:val="32"/>
          <w:szCs w:val="32"/>
        </w:rPr>
        <w:instrText xml:space="preserve"> PAGEREF _Toc218241019 \h </w:instrText>
      </w:r>
      <w:r>
        <w:rPr>
          <w:sz w:val="32"/>
          <w:szCs w:val="32"/>
        </w:rPr>
        <w:fldChar w:fldCharType="separate"/>
      </w:r>
      <w:r>
        <w:rPr>
          <w:sz w:val="32"/>
          <w:szCs w:val="32"/>
        </w:rPr>
        <w:t>1</w:t>
      </w:r>
      <w:r>
        <w:rPr>
          <w:sz w:val="32"/>
          <w:szCs w:val="32"/>
        </w:rPr>
        <w:fldChar w:fldCharType="end"/>
      </w:r>
      <w:r>
        <w:rPr>
          <w:sz w:val="32"/>
          <w:szCs w:val="32"/>
        </w:rPr>
        <w:fldChar w:fldCharType="end"/>
      </w:r>
    </w:p>
    <w:p w14:paraId="513D3F77">
      <w:pPr>
        <w:pStyle w:val="6"/>
        <w:tabs>
          <w:tab w:val="left" w:pos="2100"/>
          <w:tab w:val="right" w:leader="dot" w:pos="8296"/>
        </w:tabs>
        <w:rPr>
          <w:rFonts w:asciiTheme="minorHAnsi" w:hAnsiTheme="minorHAnsi" w:eastAsiaTheme="minorEastAsia" w:cstheme="minorBidi"/>
          <w:sz w:val="32"/>
          <w:szCs w:val="32"/>
        </w:rPr>
      </w:pPr>
      <w:r>
        <w:fldChar w:fldCharType="begin"/>
      </w:r>
      <w:r>
        <w:instrText xml:space="preserve"> HYPERLINK \l "_Toc218241020" </w:instrText>
      </w:r>
      <w:r>
        <w:fldChar w:fldCharType="separate"/>
      </w:r>
      <w:r>
        <w:rPr>
          <w:rStyle w:val="14"/>
          <w:rFonts w:hint="eastAsia" w:eastAsia="楷体_GB2312"/>
          <w:kern w:val="0"/>
          <w:sz w:val="32"/>
          <w:szCs w:val="32"/>
        </w:rPr>
        <w:t>第一节</w:t>
      </w:r>
      <w:r>
        <w:rPr>
          <w:rFonts w:asciiTheme="minorHAnsi" w:hAnsiTheme="minorHAnsi" w:eastAsiaTheme="minorEastAsia" w:cstheme="minorBidi"/>
          <w:sz w:val="32"/>
          <w:szCs w:val="32"/>
        </w:rPr>
        <w:tab/>
      </w:r>
      <w:r>
        <w:rPr>
          <w:rStyle w:val="14"/>
          <w:rFonts w:hint="eastAsia" w:eastAsia="楷体_GB2312"/>
          <w:kern w:val="0"/>
          <w:sz w:val="32"/>
          <w:szCs w:val="32"/>
        </w:rPr>
        <w:t>“十四五”时期发展成就</w:t>
      </w:r>
      <w:r>
        <w:rPr>
          <w:sz w:val="32"/>
          <w:szCs w:val="32"/>
        </w:rPr>
        <w:tab/>
      </w:r>
      <w:r>
        <w:rPr>
          <w:sz w:val="32"/>
          <w:szCs w:val="32"/>
        </w:rPr>
        <w:fldChar w:fldCharType="begin"/>
      </w:r>
      <w:r>
        <w:rPr>
          <w:sz w:val="32"/>
          <w:szCs w:val="32"/>
        </w:rPr>
        <w:instrText xml:space="preserve"> PAGEREF _Toc218241020 \h </w:instrText>
      </w:r>
      <w:r>
        <w:rPr>
          <w:sz w:val="32"/>
          <w:szCs w:val="32"/>
        </w:rPr>
        <w:fldChar w:fldCharType="separate"/>
      </w:r>
      <w:r>
        <w:rPr>
          <w:sz w:val="32"/>
          <w:szCs w:val="32"/>
        </w:rPr>
        <w:t>1</w:t>
      </w:r>
      <w:r>
        <w:rPr>
          <w:sz w:val="32"/>
          <w:szCs w:val="32"/>
        </w:rPr>
        <w:fldChar w:fldCharType="end"/>
      </w:r>
      <w:r>
        <w:rPr>
          <w:sz w:val="32"/>
          <w:szCs w:val="32"/>
        </w:rPr>
        <w:fldChar w:fldCharType="end"/>
      </w:r>
    </w:p>
    <w:p w14:paraId="7536C905">
      <w:pPr>
        <w:pStyle w:val="6"/>
        <w:tabs>
          <w:tab w:val="left" w:pos="2100"/>
          <w:tab w:val="right" w:leader="dot" w:pos="8296"/>
        </w:tabs>
        <w:rPr>
          <w:rFonts w:asciiTheme="minorHAnsi" w:hAnsiTheme="minorHAnsi" w:eastAsiaTheme="minorEastAsia" w:cstheme="minorBidi"/>
          <w:sz w:val="32"/>
          <w:szCs w:val="32"/>
        </w:rPr>
      </w:pPr>
      <w:r>
        <w:fldChar w:fldCharType="begin"/>
      </w:r>
      <w:r>
        <w:instrText xml:space="preserve"> HYPERLINK \l "_Toc218241021" </w:instrText>
      </w:r>
      <w:r>
        <w:fldChar w:fldCharType="separate"/>
      </w:r>
      <w:r>
        <w:rPr>
          <w:rStyle w:val="14"/>
          <w:rFonts w:hint="eastAsia" w:eastAsia="楷体_GB2312"/>
          <w:kern w:val="0"/>
          <w:sz w:val="32"/>
          <w:szCs w:val="32"/>
        </w:rPr>
        <w:t>第二节</w:t>
      </w:r>
      <w:r>
        <w:rPr>
          <w:rFonts w:asciiTheme="minorHAnsi" w:hAnsiTheme="minorHAnsi" w:eastAsiaTheme="minorEastAsia" w:cstheme="minorBidi"/>
          <w:sz w:val="32"/>
          <w:szCs w:val="32"/>
        </w:rPr>
        <w:tab/>
      </w:r>
      <w:r>
        <w:rPr>
          <w:rStyle w:val="14"/>
          <w:rFonts w:hint="eastAsia" w:eastAsia="楷体_GB2312"/>
          <w:kern w:val="0"/>
          <w:sz w:val="32"/>
          <w:szCs w:val="32"/>
        </w:rPr>
        <w:t>“十五五”时期面临形势</w:t>
      </w:r>
      <w:r>
        <w:rPr>
          <w:sz w:val="32"/>
          <w:szCs w:val="32"/>
        </w:rPr>
        <w:tab/>
      </w:r>
      <w:r>
        <w:rPr>
          <w:sz w:val="32"/>
          <w:szCs w:val="32"/>
        </w:rPr>
        <w:fldChar w:fldCharType="begin"/>
      </w:r>
      <w:r>
        <w:rPr>
          <w:sz w:val="32"/>
          <w:szCs w:val="32"/>
        </w:rPr>
        <w:instrText xml:space="preserve"> PAGEREF _Toc218241021 \h </w:instrText>
      </w:r>
      <w:r>
        <w:rPr>
          <w:sz w:val="32"/>
          <w:szCs w:val="32"/>
        </w:rPr>
        <w:fldChar w:fldCharType="separate"/>
      </w:r>
      <w:r>
        <w:rPr>
          <w:sz w:val="32"/>
          <w:szCs w:val="32"/>
        </w:rPr>
        <w:t>8</w:t>
      </w:r>
      <w:r>
        <w:rPr>
          <w:sz w:val="32"/>
          <w:szCs w:val="32"/>
        </w:rPr>
        <w:fldChar w:fldCharType="end"/>
      </w:r>
      <w:r>
        <w:rPr>
          <w:sz w:val="32"/>
          <w:szCs w:val="32"/>
        </w:rPr>
        <w:fldChar w:fldCharType="end"/>
      </w:r>
    </w:p>
    <w:p w14:paraId="7E3D99EC">
      <w:pPr>
        <w:pStyle w:val="9"/>
        <w:tabs>
          <w:tab w:val="left" w:pos="1680"/>
          <w:tab w:val="right" w:leader="dot" w:pos="8296"/>
        </w:tabs>
        <w:rPr>
          <w:rFonts w:asciiTheme="minorHAnsi" w:hAnsiTheme="minorHAnsi" w:eastAsiaTheme="minorEastAsia" w:cstheme="minorBidi"/>
          <w:sz w:val="32"/>
          <w:szCs w:val="32"/>
        </w:rPr>
      </w:pPr>
      <w:r>
        <w:fldChar w:fldCharType="begin"/>
      </w:r>
      <w:r>
        <w:instrText xml:space="preserve"> HYPERLINK \l "_Toc218241022" </w:instrText>
      </w:r>
      <w:r>
        <w:fldChar w:fldCharType="separate"/>
      </w:r>
      <w:r>
        <w:rPr>
          <w:rStyle w:val="14"/>
          <w:rFonts w:hint="eastAsia" w:eastAsia="黑体"/>
          <w:sz w:val="32"/>
          <w:szCs w:val="32"/>
        </w:rPr>
        <w:t>第二章</w:t>
      </w:r>
      <w:r>
        <w:rPr>
          <w:rFonts w:asciiTheme="minorHAnsi" w:hAnsiTheme="minorHAnsi" w:eastAsiaTheme="minorEastAsia" w:cstheme="minorBidi"/>
          <w:sz w:val="32"/>
          <w:szCs w:val="32"/>
        </w:rPr>
        <w:tab/>
      </w:r>
      <w:r>
        <w:rPr>
          <w:rStyle w:val="14"/>
          <w:rFonts w:hint="eastAsia" w:eastAsia="黑体"/>
          <w:sz w:val="32"/>
          <w:szCs w:val="32"/>
        </w:rPr>
        <w:t>总体要求</w:t>
      </w:r>
      <w:r>
        <w:rPr>
          <w:sz w:val="32"/>
          <w:szCs w:val="32"/>
        </w:rPr>
        <w:tab/>
      </w:r>
      <w:r>
        <w:rPr>
          <w:sz w:val="32"/>
          <w:szCs w:val="32"/>
        </w:rPr>
        <w:fldChar w:fldCharType="begin"/>
      </w:r>
      <w:r>
        <w:rPr>
          <w:sz w:val="32"/>
          <w:szCs w:val="32"/>
        </w:rPr>
        <w:instrText xml:space="preserve"> PAGEREF _Toc218241022 \h </w:instrText>
      </w:r>
      <w:r>
        <w:rPr>
          <w:sz w:val="32"/>
          <w:szCs w:val="32"/>
        </w:rPr>
        <w:fldChar w:fldCharType="separate"/>
      </w:r>
      <w:r>
        <w:rPr>
          <w:sz w:val="32"/>
          <w:szCs w:val="32"/>
        </w:rPr>
        <w:t>10</w:t>
      </w:r>
      <w:r>
        <w:rPr>
          <w:sz w:val="32"/>
          <w:szCs w:val="32"/>
        </w:rPr>
        <w:fldChar w:fldCharType="end"/>
      </w:r>
      <w:r>
        <w:rPr>
          <w:sz w:val="32"/>
          <w:szCs w:val="32"/>
        </w:rPr>
        <w:fldChar w:fldCharType="end"/>
      </w:r>
    </w:p>
    <w:p w14:paraId="3771A712">
      <w:pPr>
        <w:pStyle w:val="9"/>
        <w:tabs>
          <w:tab w:val="left" w:pos="1680"/>
          <w:tab w:val="right" w:leader="dot" w:pos="8296"/>
        </w:tabs>
        <w:rPr>
          <w:rFonts w:asciiTheme="minorHAnsi" w:hAnsiTheme="minorHAnsi" w:eastAsiaTheme="minorEastAsia" w:cstheme="minorBidi"/>
          <w:sz w:val="32"/>
          <w:szCs w:val="32"/>
        </w:rPr>
      </w:pPr>
      <w:r>
        <w:fldChar w:fldCharType="begin"/>
      </w:r>
      <w:r>
        <w:instrText xml:space="preserve"> HYPERLINK \l "_Toc218241023" </w:instrText>
      </w:r>
      <w:r>
        <w:fldChar w:fldCharType="separate"/>
      </w:r>
      <w:r>
        <w:rPr>
          <w:rStyle w:val="14"/>
          <w:rFonts w:hint="eastAsia" w:eastAsia="黑体"/>
          <w:sz w:val="32"/>
          <w:szCs w:val="32"/>
        </w:rPr>
        <w:t>第三章</w:t>
      </w:r>
      <w:r>
        <w:rPr>
          <w:rFonts w:asciiTheme="minorHAnsi" w:hAnsiTheme="minorHAnsi" w:eastAsiaTheme="minorEastAsia" w:cstheme="minorBidi"/>
          <w:sz w:val="32"/>
          <w:szCs w:val="32"/>
        </w:rPr>
        <w:tab/>
      </w:r>
      <w:r>
        <w:rPr>
          <w:rStyle w:val="14"/>
          <w:rFonts w:hint="eastAsia" w:eastAsia="黑体"/>
          <w:sz w:val="32"/>
          <w:szCs w:val="32"/>
        </w:rPr>
        <w:t>主要目标</w:t>
      </w:r>
      <w:r>
        <w:rPr>
          <w:sz w:val="32"/>
          <w:szCs w:val="32"/>
        </w:rPr>
        <w:tab/>
      </w:r>
      <w:r>
        <w:rPr>
          <w:sz w:val="32"/>
          <w:szCs w:val="32"/>
        </w:rPr>
        <w:fldChar w:fldCharType="begin"/>
      </w:r>
      <w:r>
        <w:rPr>
          <w:sz w:val="32"/>
          <w:szCs w:val="32"/>
        </w:rPr>
        <w:instrText xml:space="preserve"> PAGEREF _Toc218241023 \h </w:instrText>
      </w:r>
      <w:r>
        <w:rPr>
          <w:sz w:val="32"/>
          <w:szCs w:val="32"/>
        </w:rPr>
        <w:fldChar w:fldCharType="separate"/>
      </w:r>
      <w:r>
        <w:rPr>
          <w:sz w:val="32"/>
          <w:szCs w:val="32"/>
        </w:rPr>
        <w:t>12</w:t>
      </w:r>
      <w:r>
        <w:rPr>
          <w:sz w:val="32"/>
          <w:szCs w:val="32"/>
        </w:rPr>
        <w:fldChar w:fldCharType="end"/>
      </w:r>
      <w:r>
        <w:rPr>
          <w:sz w:val="32"/>
          <w:szCs w:val="32"/>
        </w:rPr>
        <w:fldChar w:fldCharType="end"/>
      </w:r>
    </w:p>
    <w:p w14:paraId="3527269E">
      <w:pPr>
        <w:pStyle w:val="8"/>
        <w:tabs>
          <w:tab w:val="left" w:pos="1260"/>
          <w:tab w:val="right" w:leader="dot" w:pos="8296"/>
        </w:tabs>
        <w:rPr>
          <w:rFonts w:asciiTheme="minorHAnsi" w:hAnsiTheme="minorHAnsi" w:eastAsiaTheme="minorEastAsia" w:cstheme="minorBidi"/>
          <w:sz w:val="32"/>
          <w:szCs w:val="32"/>
        </w:rPr>
      </w:pPr>
      <w:r>
        <w:fldChar w:fldCharType="begin"/>
      </w:r>
      <w:r>
        <w:instrText xml:space="preserve"> HYPERLINK \l "_Toc218241025" </w:instrText>
      </w:r>
      <w:r>
        <w:fldChar w:fldCharType="separate"/>
      </w:r>
      <w:r>
        <w:rPr>
          <w:rStyle w:val="14"/>
          <w:rFonts w:hint="eastAsia" w:eastAsia="方正大标宋简体"/>
          <w:sz w:val="32"/>
          <w:szCs w:val="32"/>
        </w:rPr>
        <w:t>第二篇</w:t>
      </w:r>
      <w:r>
        <w:rPr>
          <w:rFonts w:asciiTheme="minorHAnsi" w:hAnsiTheme="minorHAnsi" w:eastAsiaTheme="minorEastAsia" w:cstheme="minorBidi"/>
          <w:sz w:val="32"/>
          <w:szCs w:val="32"/>
        </w:rPr>
        <w:tab/>
      </w:r>
      <w:r>
        <w:rPr>
          <w:rStyle w:val="14"/>
          <w:rFonts w:hint="eastAsia" w:eastAsia="方正大标宋简体"/>
          <w:sz w:val="32"/>
          <w:szCs w:val="32"/>
        </w:rPr>
        <w:t>做强优势</w:t>
      </w:r>
      <w:r>
        <w:rPr>
          <w:rStyle w:val="14"/>
          <w:rFonts w:eastAsia="方正大标宋简体"/>
          <w:sz w:val="32"/>
          <w:szCs w:val="32"/>
        </w:rPr>
        <w:t xml:space="preserve">  </w:t>
      </w:r>
      <w:r>
        <w:rPr>
          <w:rStyle w:val="14"/>
          <w:rFonts w:hint="eastAsia" w:eastAsia="方正大标宋简体"/>
          <w:sz w:val="32"/>
          <w:szCs w:val="32"/>
        </w:rPr>
        <w:t>培育壮大</w:t>
      </w:r>
      <w:r>
        <w:rPr>
          <w:rStyle w:val="14"/>
          <w:rFonts w:eastAsia="方正大标宋简体"/>
          <w:sz w:val="32"/>
          <w:szCs w:val="32"/>
        </w:rPr>
        <w:t>“4</w:t>
      </w:r>
      <w:r>
        <w:rPr>
          <w:rStyle w:val="14"/>
          <w:rFonts w:hint="eastAsia" w:eastAsia="方正大标宋简体"/>
          <w:sz w:val="32"/>
          <w:szCs w:val="32"/>
        </w:rPr>
        <w:t>大</w:t>
      </w:r>
      <w:r>
        <w:rPr>
          <w:rStyle w:val="14"/>
          <w:rFonts w:eastAsia="方正大标宋简体"/>
          <w:sz w:val="32"/>
          <w:szCs w:val="32"/>
        </w:rPr>
        <w:t>”</w:t>
      </w:r>
      <w:r>
        <w:rPr>
          <w:rStyle w:val="14"/>
          <w:rFonts w:hint="eastAsia" w:eastAsia="方正大标宋简体"/>
          <w:sz w:val="32"/>
          <w:szCs w:val="32"/>
        </w:rPr>
        <w:t>绿色产业</w:t>
      </w:r>
      <w:r>
        <w:rPr>
          <w:sz w:val="32"/>
          <w:szCs w:val="32"/>
        </w:rPr>
        <w:tab/>
      </w:r>
      <w:r>
        <w:rPr>
          <w:sz w:val="32"/>
          <w:szCs w:val="32"/>
        </w:rPr>
        <w:fldChar w:fldCharType="begin"/>
      </w:r>
      <w:r>
        <w:rPr>
          <w:sz w:val="32"/>
          <w:szCs w:val="32"/>
        </w:rPr>
        <w:instrText xml:space="preserve"> PAGEREF _Toc218241025 \h </w:instrText>
      </w:r>
      <w:r>
        <w:rPr>
          <w:sz w:val="32"/>
          <w:szCs w:val="32"/>
        </w:rPr>
        <w:fldChar w:fldCharType="separate"/>
      </w:r>
      <w:r>
        <w:rPr>
          <w:sz w:val="32"/>
          <w:szCs w:val="32"/>
        </w:rPr>
        <w:t>16</w:t>
      </w:r>
      <w:r>
        <w:rPr>
          <w:sz w:val="32"/>
          <w:szCs w:val="32"/>
        </w:rPr>
        <w:fldChar w:fldCharType="end"/>
      </w:r>
      <w:r>
        <w:rPr>
          <w:sz w:val="32"/>
          <w:szCs w:val="32"/>
        </w:rPr>
        <w:fldChar w:fldCharType="end"/>
      </w:r>
    </w:p>
    <w:p w14:paraId="5B17FDE8">
      <w:pPr>
        <w:pStyle w:val="9"/>
        <w:tabs>
          <w:tab w:val="left" w:pos="1680"/>
          <w:tab w:val="right" w:leader="dot" w:pos="8296"/>
        </w:tabs>
        <w:rPr>
          <w:rFonts w:asciiTheme="minorHAnsi" w:hAnsiTheme="minorHAnsi" w:eastAsiaTheme="minorEastAsia" w:cstheme="minorBidi"/>
          <w:sz w:val="32"/>
          <w:szCs w:val="32"/>
        </w:rPr>
      </w:pPr>
      <w:r>
        <w:fldChar w:fldCharType="begin"/>
      </w:r>
      <w:r>
        <w:instrText xml:space="preserve"> HYPERLINK \l "_Toc218241026" </w:instrText>
      </w:r>
      <w:r>
        <w:fldChar w:fldCharType="separate"/>
      </w:r>
      <w:r>
        <w:rPr>
          <w:rStyle w:val="14"/>
          <w:rFonts w:hint="eastAsia" w:eastAsia="黑体"/>
          <w:sz w:val="32"/>
          <w:szCs w:val="32"/>
        </w:rPr>
        <w:t>第四章</w:t>
      </w:r>
      <w:r>
        <w:rPr>
          <w:rFonts w:asciiTheme="minorHAnsi" w:hAnsiTheme="minorHAnsi" w:eastAsiaTheme="minorEastAsia" w:cstheme="minorBidi"/>
          <w:sz w:val="32"/>
          <w:szCs w:val="32"/>
        </w:rPr>
        <w:tab/>
      </w:r>
      <w:r>
        <w:rPr>
          <w:rStyle w:val="14"/>
          <w:rFonts w:hint="eastAsia" w:eastAsia="黑体"/>
          <w:sz w:val="32"/>
          <w:szCs w:val="32"/>
        </w:rPr>
        <w:t>加快建设国际生态文化旅游目的地</w:t>
      </w:r>
      <w:r>
        <w:rPr>
          <w:sz w:val="32"/>
          <w:szCs w:val="32"/>
        </w:rPr>
        <w:tab/>
      </w:r>
      <w:r>
        <w:rPr>
          <w:sz w:val="32"/>
          <w:szCs w:val="32"/>
        </w:rPr>
        <w:fldChar w:fldCharType="begin"/>
      </w:r>
      <w:r>
        <w:rPr>
          <w:sz w:val="32"/>
          <w:szCs w:val="32"/>
        </w:rPr>
        <w:instrText xml:space="preserve"> PAGEREF _Toc218241026 \h </w:instrText>
      </w:r>
      <w:r>
        <w:rPr>
          <w:sz w:val="32"/>
          <w:szCs w:val="32"/>
        </w:rPr>
        <w:fldChar w:fldCharType="separate"/>
      </w:r>
      <w:r>
        <w:rPr>
          <w:sz w:val="32"/>
          <w:szCs w:val="32"/>
        </w:rPr>
        <w:t>16</w:t>
      </w:r>
      <w:r>
        <w:rPr>
          <w:sz w:val="32"/>
          <w:szCs w:val="32"/>
        </w:rPr>
        <w:fldChar w:fldCharType="end"/>
      </w:r>
      <w:r>
        <w:rPr>
          <w:sz w:val="32"/>
          <w:szCs w:val="32"/>
        </w:rPr>
        <w:fldChar w:fldCharType="end"/>
      </w:r>
    </w:p>
    <w:p w14:paraId="675B6BBF">
      <w:pPr>
        <w:pStyle w:val="6"/>
        <w:tabs>
          <w:tab w:val="left" w:pos="2100"/>
          <w:tab w:val="right" w:leader="dot" w:pos="8296"/>
        </w:tabs>
        <w:rPr>
          <w:rFonts w:asciiTheme="minorHAnsi" w:hAnsiTheme="minorHAnsi" w:eastAsiaTheme="minorEastAsia" w:cstheme="minorBidi"/>
          <w:sz w:val="32"/>
          <w:szCs w:val="32"/>
        </w:rPr>
      </w:pPr>
      <w:r>
        <w:fldChar w:fldCharType="begin"/>
      </w:r>
      <w:r>
        <w:instrText xml:space="preserve"> HYPERLINK \l "_Toc218241027" </w:instrText>
      </w:r>
      <w:r>
        <w:fldChar w:fldCharType="separate"/>
      </w:r>
      <w:r>
        <w:rPr>
          <w:rStyle w:val="14"/>
          <w:rFonts w:hint="eastAsia" w:eastAsia="楷体_GB2312"/>
          <w:kern w:val="0"/>
          <w:sz w:val="32"/>
          <w:szCs w:val="32"/>
        </w:rPr>
        <w:t>第一节</w:t>
      </w:r>
      <w:r>
        <w:rPr>
          <w:rFonts w:asciiTheme="minorHAnsi" w:hAnsiTheme="minorHAnsi" w:eastAsiaTheme="minorEastAsia" w:cstheme="minorBidi"/>
          <w:sz w:val="32"/>
          <w:szCs w:val="32"/>
        </w:rPr>
        <w:tab/>
      </w:r>
      <w:r>
        <w:rPr>
          <w:rStyle w:val="14"/>
          <w:rFonts w:hint="eastAsia" w:eastAsia="楷体_GB2312"/>
          <w:kern w:val="0"/>
          <w:sz w:val="32"/>
          <w:szCs w:val="32"/>
        </w:rPr>
        <w:t>构建“一心两廊三区”空间格局</w:t>
      </w:r>
      <w:r>
        <w:rPr>
          <w:sz w:val="32"/>
          <w:szCs w:val="32"/>
        </w:rPr>
        <w:tab/>
      </w:r>
      <w:r>
        <w:rPr>
          <w:sz w:val="32"/>
          <w:szCs w:val="32"/>
        </w:rPr>
        <w:fldChar w:fldCharType="begin"/>
      </w:r>
      <w:r>
        <w:rPr>
          <w:sz w:val="32"/>
          <w:szCs w:val="32"/>
        </w:rPr>
        <w:instrText xml:space="preserve"> PAGEREF _Toc218241027 \h </w:instrText>
      </w:r>
      <w:r>
        <w:rPr>
          <w:sz w:val="32"/>
          <w:szCs w:val="32"/>
        </w:rPr>
        <w:fldChar w:fldCharType="separate"/>
      </w:r>
      <w:r>
        <w:rPr>
          <w:sz w:val="32"/>
          <w:szCs w:val="32"/>
        </w:rPr>
        <w:t>16</w:t>
      </w:r>
      <w:r>
        <w:rPr>
          <w:sz w:val="32"/>
          <w:szCs w:val="32"/>
        </w:rPr>
        <w:fldChar w:fldCharType="end"/>
      </w:r>
      <w:r>
        <w:rPr>
          <w:sz w:val="32"/>
          <w:szCs w:val="32"/>
        </w:rPr>
        <w:fldChar w:fldCharType="end"/>
      </w:r>
    </w:p>
    <w:p w14:paraId="6E25BC3F">
      <w:pPr>
        <w:pStyle w:val="6"/>
        <w:tabs>
          <w:tab w:val="left" w:pos="2100"/>
          <w:tab w:val="right" w:leader="dot" w:pos="8296"/>
        </w:tabs>
        <w:rPr>
          <w:rFonts w:asciiTheme="minorHAnsi" w:hAnsiTheme="minorHAnsi" w:eastAsiaTheme="minorEastAsia" w:cstheme="minorBidi"/>
          <w:sz w:val="32"/>
          <w:szCs w:val="32"/>
        </w:rPr>
      </w:pPr>
      <w:r>
        <w:fldChar w:fldCharType="begin"/>
      </w:r>
      <w:r>
        <w:instrText xml:space="preserve"> HYPERLINK \l "_Toc218241028" </w:instrText>
      </w:r>
      <w:r>
        <w:fldChar w:fldCharType="separate"/>
      </w:r>
      <w:r>
        <w:rPr>
          <w:rStyle w:val="14"/>
          <w:rFonts w:hint="eastAsia" w:eastAsia="楷体_GB2312"/>
          <w:kern w:val="0"/>
          <w:sz w:val="32"/>
          <w:szCs w:val="32"/>
        </w:rPr>
        <w:t>第二节</w:t>
      </w:r>
      <w:r>
        <w:rPr>
          <w:rFonts w:asciiTheme="minorHAnsi" w:hAnsiTheme="minorHAnsi" w:eastAsiaTheme="minorEastAsia" w:cstheme="minorBidi"/>
          <w:sz w:val="32"/>
          <w:szCs w:val="32"/>
        </w:rPr>
        <w:tab/>
      </w:r>
      <w:r>
        <w:rPr>
          <w:rStyle w:val="14"/>
          <w:rFonts w:hint="eastAsia" w:eastAsia="楷体_GB2312"/>
          <w:kern w:val="0"/>
          <w:sz w:val="32"/>
          <w:szCs w:val="32"/>
        </w:rPr>
        <w:t>丰富多元特色旅游精品业态</w:t>
      </w:r>
      <w:r>
        <w:rPr>
          <w:sz w:val="32"/>
          <w:szCs w:val="32"/>
        </w:rPr>
        <w:tab/>
      </w:r>
      <w:r>
        <w:rPr>
          <w:sz w:val="32"/>
          <w:szCs w:val="32"/>
        </w:rPr>
        <w:fldChar w:fldCharType="begin"/>
      </w:r>
      <w:r>
        <w:rPr>
          <w:sz w:val="32"/>
          <w:szCs w:val="32"/>
        </w:rPr>
        <w:instrText xml:space="preserve"> PAGEREF _Toc218241028 \h </w:instrText>
      </w:r>
      <w:r>
        <w:rPr>
          <w:sz w:val="32"/>
          <w:szCs w:val="32"/>
        </w:rPr>
        <w:fldChar w:fldCharType="separate"/>
      </w:r>
      <w:r>
        <w:rPr>
          <w:sz w:val="32"/>
          <w:szCs w:val="32"/>
        </w:rPr>
        <w:t>17</w:t>
      </w:r>
      <w:r>
        <w:rPr>
          <w:sz w:val="32"/>
          <w:szCs w:val="32"/>
        </w:rPr>
        <w:fldChar w:fldCharType="end"/>
      </w:r>
      <w:r>
        <w:rPr>
          <w:sz w:val="32"/>
          <w:szCs w:val="32"/>
        </w:rPr>
        <w:fldChar w:fldCharType="end"/>
      </w:r>
    </w:p>
    <w:p w14:paraId="2D101FB0">
      <w:pPr>
        <w:pStyle w:val="6"/>
        <w:tabs>
          <w:tab w:val="left" w:pos="2100"/>
          <w:tab w:val="right" w:leader="dot" w:pos="8296"/>
        </w:tabs>
        <w:rPr>
          <w:rFonts w:asciiTheme="minorHAnsi" w:hAnsiTheme="minorHAnsi" w:eastAsiaTheme="minorEastAsia" w:cstheme="minorBidi"/>
          <w:sz w:val="32"/>
          <w:szCs w:val="32"/>
        </w:rPr>
      </w:pPr>
      <w:r>
        <w:fldChar w:fldCharType="begin"/>
      </w:r>
      <w:r>
        <w:instrText xml:space="preserve"> HYPERLINK \l "_Toc218241029" </w:instrText>
      </w:r>
      <w:r>
        <w:fldChar w:fldCharType="separate"/>
      </w:r>
      <w:r>
        <w:rPr>
          <w:rStyle w:val="14"/>
          <w:rFonts w:hint="eastAsia" w:eastAsia="楷体_GB2312"/>
          <w:kern w:val="0"/>
          <w:sz w:val="32"/>
          <w:szCs w:val="32"/>
        </w:rPr>
        <w:t>第三节</w:t>
      </w:r>
      <w:r>
        <w:rPr>
          <w:rFonts w:asciiTheme="minorHAnsi" w:hAnsiTheme="minorHAnsi" w:eastAsiaTheme="minorEastAsia" w:cstheme="minorBidi"/>
          <w:sz w:val="32"/>
          <w:szCs w:val="32"/>
        </w:rPr>
        <w:tab/>
      </w:r>
      <w:r>
        <w:rPr>
          <w:rStyle w:val="14"/>
          <w:rFonts w:hint="eastAsia" w:eastAsia="楷体_GB2312"/>
          <w:kern w:val="0"/>
          <w:sz w:val="32"/>
          <w:szCs w:val="32"/>
        </w:rPr>
        <w:t>壮大“马背经济”文旅发展新引擎</w:t>
      </w:r>
      <w:r>
        <w:rPr>
          <w:sz w:val="32"/>
          <w:szCs w:val="32"/>
        </w:rPr>
        <w:tab/>
      </w:r>
      <w:r>
        <w:rPr>
          <w:sz w:val="32"/>
          <w:szCs w:val="32"/>
        </w:rPr>
        <w:fldChar w:fldCharType="begin"/>
      </w:r>
      <w:r>
        <w:rPr>
          <w:sz w:val="32"/>
          <w:szCs w:val="32"/>
        </w:rPr>
        <w:instrText xml:space="preserve"> PAGEREF _Toc218241029 \h </w:instrText>
      </w:r>
      <w:r>
        <w:rPr>
          <w:sz w:val="32"/>
          <w:szCs w:val="32"/>
        </w:rPr>
        <w:fldChar w:fldCharType="separate"/>
      </w:r>
      <w:r>
        <w:rPr>
          <w:sz w:val="32"/>
          <w:szCs w:val="32"/>
        </w:rPr>
        <w:t>19</w:t>
      </w:r>
      <w:r>
        <w:rPr>
          <w:sz w:val="32"/>
          <w:szCs w:val="32"/>
        </w:rPr>
        <w:fldChar w:fldCharType="end"/>
      </w:r>
      <w:r>
        <w:rPr>
          <w:sz w:val="32"/>
          <w:szCs w:val="32"/>
        </w:rPr>
        <w:fldChar w:fldCharType="end"/>
      </w:r>
    </w:p>
    <w:p w14:paraId="66F39463">
      <w:pPr>
        <w:pStyle w:val="6"/>
        <w:tabs>
          <w:tab w:val="left" w:pos="2100"/>
          <w:tab w:val="right" w:leader="dot" w:pos="8296"/>
        </w:tabs>
        <w:rPr>
          <w:rFonts w:asciiTheme="minorHAnsi" w:hAnsiTheme="minorHAnsi" w:eastAsiaTheme="minorEastAsia" w:cstheme="minorBidi"/>
          <w:sz w:val="32"/>
          <w:szCs w:val="32"/>
        </w:rPr>
      </w:pPr>
      <w:r>
        <w:fldChar w:fldCharType="begin"/>
      </w:r>
      <w:r>
        <w:instrText xml:space="preserve"> HYPERLINK \l "_Toc218241030" </w:instrText>
      </w:r>
      <w:r>
        <w:fldChar w:fldCharType="separate"/>
      </w:r>
      <w:r>
        <w:rPr>
          <w:rStyle w:val="14"/>
          <w:rFonts w:hint="eastAsia" w:eastAsia="楷体_GB2312"/>
          <w:kern w:val="0"/>
          <w:sz w:val="32"/>
          <w:szCs w:val="32"/>
        </w:rPr>
        <w:t>第四节</w:t>
      </w:r>
      <w:r>
        <w:rPr>
          <w:rFonts w:asciiTheme="minorHAnsi" w:hAnsiTheme="minorHAnsi" w:eastAsiaTheme="minorEastAsia" w:cstheme="minorBidi"/>
          <w:sz w:val="32"/>
          <w:szCs w:val="32"/>
        </w:rPr>
        <w:tab/>
      </w:r>
      <w:r>
        <w:rPr>
          <w:rStyle w:val="14"/>
          <w:rFonts w:hint="eastAsia" w:eastAsia="楷体_GB2312"/>
          <w:kern w:val="0"/>
          <w:sz w:val="32"/>
          <w:szCs w:val="32"/>
        </w:rPr>
        <w:t>构建品质化标准化旅游服务体系</w:t>
      </w:r>
      <w:r>
        <w:rPr>
          <w:sz w:val="32"/>
          <w:szCs w:val="32"/>
        </w:rPr>
        <w:tab/>
      </w:r>
      <w:r>
        <w:rPr>
          <w:sz w:val="32"/>
          <w:szCs w:val="32"/>
        </w:rPr>
        <w:fldChar w:fldCharType="begin"/>
      </w:r>
      <w:r>
        <w:rPr>
          <w:sz w:val="32"/>
          <w:szCs w:val="32"/>
        </w:rPr>
        <w:instrText xml:space="preserve"> PAGEREF _Toc218241030 \h </w:instrText>
      </w:r>
      <w:r>
        <w:rPr>
          <w:sz w:val="32"/>
          <w:szCs w:val="32"/>
        </w:rPr>
        <w:fldChar w:fldCharType="separate"/>
      </w:r>
      <w:r>
        <w:rPr>
          <w:sz w:val="32"/>
          <w:szCs w:val="32"/>
        </w:rPr>
        <w:t>20</w:t>
      </w:r>
      <w:r>
        <w:rPr>
          <w:sz w:val="32"/>
          <w:szCs w:val="32"/>
        </w:rPr>
        <w:fldChar w:fldCharType="end"/>
      </w:r>
      <w:r>
        <w:rPr>
          <w:sz w:val="32"/>
          <w:szCs w:val="32"/>
        </w:rPr>
        <w:fldChar w:fldCharType="end"/>
      </w:r>
    </w:p>
    <w:p w14:paraId="266F00AC">
      <w:pPr>
        <w:pStyle w:val="6"/>
        <w:tabs>
          <w:tab w:val="left" w:pos="2100"/>
          <w:tab w:val="right" w:leader="dot" w:pos="8296"/>
        </w:tabs>
        <w:rPr>
          <w:rFonts w:asciiTheme="minorHAnsi" w:hAnsiTheme="minorHAnsi" w:eastAsiaTheme="minorEastAsia" w:cstheme="minorBidi"/>
          <w:sz w:val="32"/>
          <w:szCs w:val="32"/>
        </w:rPr>
      </w:pPr>
      <w:r>
        <w:fldChar w:fldCharType="begin"/>
      </w:r>
      <w:r>
        <w:instrText xml:space="preserve"> HYPERLINK \l "_Toc218241031" </w:instrText>
      </w:r>
      <w:r>
        <w:fldChar w:fldCharType="separate"/>
      </w:r>
      <w:r>
        <w:rPr>
          <w:rStyle w:val="14"/>
          <w:rFonts w:hint="eastAsia" w:eastAsia="楷体_GB2312"/>
          <w:kern w:val="0"/>
          <w:sz w:val="32"/>
          <w:szCs w:val="32"/>
        </w:rPr>
        <w:t>第五节</w:t>
      </w:r>
      <w:r>
        <w:rPr>
          <w:rFonts w:asciiTheme="minorHAnsi" w:hAnsiTheme="minorHAnsi" w:eastAsiaTheme="minorEastAsia" w:cstheme="minorBidi"/>
          <w:sz w:val="32"/>
          <w:szCs w:val="32"/>
        </w:rPr>
        <w:tab/>
      </w:r>
      <w:r>
        <w:rPr>
          <w:rStyle w:val="14"/>
          <w:rFonts w:hint="eastAsia" w:eastAsia="楷体_GB2312"/>
          <w:kern w:val="0"/>
          <w:sz w:val="32"/>
          <w:szCs w:val="32"/>
        </w:rPr>
        <w:t>唱响擦亮“天空之城”世界级旅游品牌</w:t>
      </w:r>
      <w:r>
        <w:rPr>
          <w:sz w:val="32"/>
          <w:szCs w:val="32"/>
        </w:rPr>
        <w:tab/>
      </w:r>
      <w:r>
        <w:rPr>
          <w:sz w:val="32"/>
          <w:szCs w:val="32"/>
        </w:rPr>
        <w:fldChar w:fldCharType="begin"/>
      </w:r>
      <w:r>
        <w:rPr>
          <w:sz w:val="32"/>
          <w:szCs w:val="32"/>
        </w:rPr>
        <w:instrText xml:space="preserve"> PAGEREF _Toc218241031 \h </w:instrText>
      </w:r>
      <w:r>
        <w:rPr>
          <w:sz w:val="32"/>
          <w:szCs w:val="32"/>
        </w:rPr>
        <w:fldChar w:fldCharType="separate"/>
      </w:r>
      <w:r>
        <w:rPr>
          <w:sz w:val="32"/>
          <w:szCs w:val="32"/>
        </w:rPr>
        <w:t>21</w:t>
      </w:r>
      <w:r>
        <w:rPr>
          <w:sz w:val="32"/>
          <w:szCs w:val="32"/>
        </w:rPr>
        <w:fldChar w:fldCharType="end"/>
      </w:r>
      <w:r>
        <w:rPr>
          <w:sz w:val="32"/>
          <w:szCs w:val="32"/>
        </w:rPr>
        <w:fldChar w:fldCharType="end"/>
      </w:r>
    </w:p>
    <w:p w14:paraId="75A48E99">
      <w:pPr>
        <w:pStyle w:val="6"/>
        <w:tabs>
          <w:tab w:val="left" w:pos="2100"/>
          <w:tab w:val="right" w:leader="dot" w:pos="8296"/>
        </w:tabs>
        <w:rPr>
          <w:rFonts w:asciiTheme="minorHAnsi" w:hAnsiTheme="minorHAnsi" w:eastAsiaTheme="minorEastAsia" w:cstheme="minorBidi"/>
          <w:sz w:val="32"/>
          <w:szCs w:val="32"/>
        </w:rPr>
      </w:pPr>
      <w:r>
        <w:fldChar w:fldCharType="begin"/>
      </w:r>
      <w:r>
        <w:instrText xml:space="preserve"> HYPERLINK \l "_Toc218241032" </w:instrText>
      </w:r>
      <w:r>
        <w:fldChar w:fldCharType="separate"/>
      </w:r>
      <w:r>
        <w:rPr>
          <w:rStyle w:val="14"/>
          <w:rFonts w:hint="eastAsia" w:eastAsia="楷体_GB2312"/>
          <w:kern w:val="0"/>
          <w:sz w:val="32"/>
          <w:szCs w:val="32"/>
        </w:rPr>
        <w:t>第六节</w:t>
      </w:r>
      <w:r>
        <w:rPr>
          <w:rFonts w:asciiTheme="minorHAnsi" w:hAnsiTheme="minorHAnsi" w:eastAsiaTheme="minorEastAsia" w:cstheme="minorBidi"/>
          <w:sz w:val="32"/>
          <w:szCs w:val="32"/>
        </w:rPr>
        <w:tab/>
      </w:r>
      <w:r>
        <w:rPr>
          <w:rStyle w:val="14"/>
          <w:rFonts w:hint="eastAsia" w:eastAsia="楷体_GB2312"/>
          <w:kern w:val="0"/>
          <w:sz w:val="32"/>
          <w:szCs w:val="32"/>
        </w:rPr>
        <w:t>健全文旅深度融合发展体制机制</w:t>
      </w:r>
      <w:r>
        <w:rPr>
          <w:sz w:val="32"/>
          <w:szCs w:val="32"/>
        </w:rPr>
        <w:tab/>
      </w:r>
      <w:r>
        <w:rPr>
          <w:sz w:val="32"/>
          <w:szCs w:val="32"/>
        </w:rPr>
        <w:fldChar w:fldCharType="begin"/>
      </w:r>
      <w:r>
        <w:rPr>
          <w:sz w:val="32"/>
          <w:szCs w:val="32"/>
        </w:rPr>
        <w:instrText xml:space="preserve"> PAGEREF _Toc218241032 \h </w:instrText>
      </w:r>
      <w:r>
        <w:rPr>
          <w:sz w:val="32"/>
          <w:szCs w:val="32"/>
        </w:rPr>
        <w:fldChar w:fldCharType="separate"/>
      </w:r>
      <w:r>
        <w:rPr>
          <w:sz w:val="32"/>
          <w:szCs w:val="32"/>
        </w:rPr>
        <w:t>22</w:t>
      </w:r>
      <w:r>
        <w:rPr>
          <w:sz w:val="32"/>
          <w:szCs w:val="32"/>
        </w:rPr>
        <w:fldChar w:fldCharType="end"/>
      </w:r>
      <w:r>
        <w:rPr>
          <w:sz w:val="32"/>
          <w:szCs w:val="32"/>
        </w:rPr>
        <w:fldChar w:fldCharType="end"/>
      </w:r>
    </w:p>
    <w:p w14:paraId="3B5503BC">
      <w:pPr>
        <w:pStyle w:val="9"/>
        <w:tabs>
          <w:tab w:val="left" w:pos="1680"/>
          <w:tab w:val="right" w:leader="dot" w:pos="8296"/>
        </w:tabs>
        <w:rPr>
          <w:rFonts w:asciiTheme="minorHAnsi" w:hAnsiTheme="minorHAnsi" w:eastAsiaTheme="minorEastAsia" w:cstheme="minorBidi"/>
          <w:sz w:val="32"/>
          <w:szCs w:val="32"/>
        </w:rPr>
      </w:pPr>
      <w:r>
        <w:fldChar w:fldCharType="begin"/>
      </w:r>
      <w:r>
        <w:instrText xml:space="preserve"> HYPERLINK \l "_Toc218241033" </w:instrText>
      </w:r>
      <w:r>
        <w:fldChar w:fldCharType="separate"/>
      </w:r>
      <w:r>
        <w:rPr>
          <w:rStyle w:val="14"/>
          <w:rFonts w:hint="eastAsia" w:eastAsia="黑体"/>
          <w:sz w:val="32"/>
          <w:szCs w:val="32"/>
        </w:rPr>
        <w:t>第五章</w:t>
      </w:r>
      <w:r>
        <w:rPr>
          <w:rFonts w:asciiTheme="minorHAnsi" w:hAnsiTheme="minorHAnsi" w:eastAsiaTheme="minorEastAsia" w:cstheme="minorBidi"/>
          <w:sz w:val="32"/>
          <w:szCs w:val="32"/>
        </w:rPr>
        <w:tab/>
      </w:r>
      <w:r>
        <w:rPr>
          <w:rStyle w:val="14"/>
          <w:rFonts w:hint="eastAsia" w:eastAsia="黑体"/>
          <w:sz w:val="32"/>
          <w:szCs w:val="32"/>
        </w:rPr>
        <w:t>加快建设有机农牧业集中发展区</w:t>
      </w:r>
      <w:r>
        <w:rPr>
          <w:sz w:val="32"/>
          <w:szCs w:val="32"/>
        </w:rPr>
        <w:tab/>
      </w:r>
      <w:r>
        <w:rPr>
          <w:sz w:val="32"/>
          <w:szCs w:val="32"/>
        </w:rPr>
        <w:fldChar w:fldCharType="begin"/>
      </w:r>
      <w:r>
        <w:rPr>
          <w:sz w:val="32"/>
          <w:szCs w:val="32"/>
        </w:rPr>
        <w:instrText xml:space="preserve"> PAGEREF _Toc218241033 \h </w:instrText>
      </w:r>
      <w:r>
        <w:rPr>
          <w:sz w:val="32"/>
          <w:szCs w:val="32"/>
        </w:rPr>
        <w:fldChar w:fldCharType="separate"/>
      </w:r>
      <w:r>
        <w:rPr>
          <w:sz w:val="32"/>
          <w:szCs w:val="32"/>
        </w:rPr>
        <w:t>23</w:t>
      </w:r>
      <w:r>
        <w:rPr>
          <w:sz w:val="32"/>
          <w:szCs w:val="32"/>
        </w:rPr>
        <w:fldChar w:fldCharType="end"/>
      </w:r>
      <w:r>
        <w:rPr>
          <w:sz w:val="32"/>
          <w:szCs w:val="32"/>
        </w:rPr>
        <w:fldChar w:fldCharType="end"/>
      </w:r>
    </w:p>
    <w:p w14:paraId="67A7E74C">
      <w:pPr>
        <w:pStyle w:val="6"/>
        <w:tabs>
          <w:tab w:val="left" w:pos="2100"/>
          <w:tab w:val="right" w:leader="dot" w:pos="8296"/>
        </w:tabs>
        <w:rPr>
          <w:rFonts w:asciiTheme="minorHAnsi" w:hAnsiTheme="minorHAnsi" w:eastAsiaTheme="minorEastAsia" w:cstheme="minorBidi"/>
          <w:sz w:val="32"/>
          <w:szCs w:val="32"/>
        </w:rPr>
      </w:pPr>
      <w:r>
        <w:fldChar w:fldCharType="begin"/>
      </w:r>
      <w:r>
        <w:instrText xml:space="preserve"> HYPERLINK \l "_Toc218241034" </w:instrText>
      </w:r>
      <w:r>
        <w:fldChar w:fldCharType="separate"/>
      </w:r>
      <w:r>
        <w:rPr>
          <w:rStyle w:val="14"/>
          <w:rFonts w:hint="eastAsia" w:eastAsia="楷体_GB2312"/>
          <w:kern w:val="0"/>
          <w:sz w:val="32"/>
          <w:szCs w:val="32"/>
        </w:rPr>
        <w:t>第一节</w:t>
      </w:r>
      <w:r>
        <w:rPr>
          <w:rFonts w:asciiTheme="minorHAnsi" w:hAnsiTheme="minorHAnsi" w:eastAsiaTheme="minorEastAsia" w:cstheme="minorBidi"/>
          <w:sz w:val="32"/>
          <w:szCs w:val="32"/>
        </w:rPr>
        <w:tab/>
      </w:r>
      <w:r>
        <w:rPr>
          <w:rStyle w:val="14"/>
          <w:rFonts w:hint="eastAsia" w:eastAsia="楷体_GB2312"/>
          <w:kern w:val="0"/>
          <w:sz w:val="32"/>
          <w:szCs w:val="32"/>
        </w:rPr>
        <w:t>加快农牧业结构调整</w:t>
      </w:r>
      <w:r>
        <w:rPr>
          <w:sz w:val="32"/>
          <w:szCs w:val="32"/>
        </w:rPr>
        <w:tab/>
      </w:r>
      <w:r>
        <w:rPr>
          <w:sz w:val="32"/>
          <w:szCs w:val="32"/>
        </w:rPr>
        <w:fldChar w:fldCharType="begin"/>
      </w:r>
      <w:r>
        <w:rPr>
          <w:sz w:val="32"/>
          <w:szCs w:val="32"/>
        </w:rPr>
        <w:instrText xml:space="preserve"> PAGEREF _Toc218241034 \h </w:instrText>
      </w:r>
      <w:r>
        <w:rPr>
          <w:sz w:val="32"/>
          <w:szCs w:val="32"/>
        </w:rPr>
        <w:fldChar w:fldCharType="separate"/>
      </w:r>
      <w:r>
        <w:rPr>
          <w:sz w:val="32"/>
          <w:szCs w:val="32"/>
        </w:rPr>
        <w:t>23</w:t>
      </w:r>
      <w:r>
        <w:rPr>
          <w:sz w:val="32"/>
          <w:szCs w:val="32"/>
        </w:rPr>
        <w:fldChar w:fldCharType="end"/>
      </w:r>
      <w:r>
        <w:rPr>
          <w:sz w:val="32"/>
          <w:szCs w:val="32"/>
        </w:rPr>
        <w:fldChar w:fldCharType="end"/>
      </w:r>
    </w:p>
    <w:p w14:paraId="36A6E097">
      <w:pPr>
        <w:pStyle w:val="6"/>
        <w:tabs>
          <w:tab w:val="right" w:leader="dot" w:pos="8296"/>
        </w:tabs>
        <w:rPr>
          <w:rFonts w:asciiTheme="minorHAnsi" w:hAnsiTheme="minorHAnsi" w:eastAsiaTheme="minorEastAsia" w:cstheme="minorBidi"/>
          <w:sz w:val="32"/>
          <w:szCs w:val="32"/>
        </w:rPr>
      </w:pPr>
      <w:r>
        <w:fldChar w:fldCharType="begin"/>
      </w:r>
      <w:r>
        <w:instrText xml:space="preserve"> HYPERLINK \l "_Toc218241035" </w:instrText>
      </w:r>
      <w:r>
        <w:fldChar w:fldCharType="separate"/>
      </w:r>
      <w:r>
        <w:rPr>
          <w:rStyle w:val="14"/>
          <w:rFonts w:hint="eastAsia" w:eastAsia="楷体_GB2312"/>
          <w:kern w:val="0"/>
          <w:sz w:val="32"/>
          <w:szCs w:val="32"/>
        </w:rPr>
        <w:t>第二节</w:t>
      </w:r>
      <w:r>
        <w:rPr>
          <w:rStyle w:val="14"/>
          <w:rFonts w:eastAsia="楷体_GB2312"/>
          <w:kern w:val="0"/>
          <w:sz w:val="32"/>
          <w:szCs w:val="32"/>
        </w:rPr>
        <w:t xml:space="preserve">  </w:t>
      </w:r>
      <w:r>
        <w:rPr>
          <w:rStyle w:val="14"/>
          <w:rFonts w:hint="eastAsia" w:eastAsia="楷体_GB2312"/>
          <w:kern w:val="0"/>
          <w:sz w:val="32"/>
          <w:szCs w:val="32"/>
        </w:rPr>
        <w:t>优化农牧业生产布局</w:t>
      </w:r>
      <w:r>
        <w:rPr>
          <w:sz w:val="32"/>
          <w:szCs w:val="32"/>
        </w:rPr>
        <w:tab/>
      </w:r>
      <w:r>
        <w:rPr>
          <w:sz w:val="32"/>
          <w:szCs w:val="32"/>
        </w:rPr>
        <w:fldChar w:fldCharType="begin"/>
      </w:r>
      <w:r>
        <w:rPr>
          <w:sz w:val="32"/>
          <w:szCs w:val="32"/>
        </w:rPr>
        <w:instrText xml:space="preserve"> PAGEREF _Toc218241035 \h </w:instrText>
      </w:r>
      <w:r>
        <w:rPr>
          <w:sz w:val="32"/>
          <w:szCs w:val="32"/>
        </w:rPr>
        <w:fldChar w:fldCharType="separate"/>
      </w:r>
      <w:r>
        <w:rPr>
          <w:sz w:val="32"/>
          <w:szCs w:val="32"/>
        </w:rPr>
        <w:t>24</w:t>
      </w:r>
      <w:r>
        <w:rPr>
          <w:sz w:val="32"/>
          <w:szCs w:val="32"/>
        </w:rPr>
        <w:fldChar w:fldCharType="end"/>
      </w:r>
      <w:r>
        <w:rPr>
          <w:sz w:val="32"/>
          <w:szCs w:val="32"/>
        </w:rPr>
        <w:fldChar w:fldCharType="end"/>
      </w:r>
    </w:p>
    <w:p w14:paraId="03EE34BA">
      <w:pPr>
        <w:pStyle w:val="6"/>
        <w:tabs>
          <w:tab w:val="right" w:leader="dot" w:pos="8296"/>
        </w:tabs>
        <w:rPr>
          <w:rFonts w:asciiTheme="minorHAnsi" w:hAnsiTheme="minorHAnsi" w:eastAsiaTheme="minorEastAsia" w:cstheme="minorBidi"/>
          <w:sz w:val="32"/>
          <w:szCs w:val="32"/>
        </w:rPr>
      </w:pPr>
      <w:r>
        <w:fldChar w:fldCharType="begin"/>
      </w:r>
      <w:r>
        <w:instrText xml:space="preserve"> HYPERLINK \l "_Toc218241036" </w:instrText>
      </w:r>
      <w:r>
        <w:fldChar w:fldCharType="separate"/>
      </w:r>
      <w:r>
        <w:rPr>
          <w:rStyle w:val="14"/>
          <w:rFonts w:hint="eastAsia" w:eastAsia="楷体_GB2312"/>
          <w:kern w:val="0"/>
          <w:sz w:val="32"/>
          <w:szCs w:val="32"/>
        </w:rPr>
        <w:t>第三节</w:t>
      </w:r>
      <w:r>
        <w:rPr>
          <w:rStyle w:val="14"/>
          <w:rFonts w:eastAsia="楷体_GB2312"/>
          <w:kern w:val="0"/>
          <w:sz w:val="32"/>
          <w:szCs w:val="32"/>
        </w:rPr>
        <w:t xml:space="preserve">  </w:t>
      </w:r>
      <w:r>
        <w:rPr>
          <w:rStyle w:val="14"/>
          <w:rFonts w:hint="eastAsia" w:eastAsia="楷体_GB2312"/>
          <w:kern w:val="0"/>
          <w:sz w:val="32"/>
          <w:szCs w:val="32"/>
        </w:rPr>
        <w:t>建强特色农牧业基地</w:t>
      </w:r>
      <w:r>
        <w:rPr>
          <w:sz w:val="32"/>
          <w:szCs w:val="32"/>
        </w:rPr>
        <w:tab/>
      </w:r>
      <w:r>
        <w:rPr>
          <w:sz w:val="32"/>
          <w:szCs w:val="32"/>
        </w:rPr>
        <w:fldChar w:fldCharType="begin"/>
      </w:r>
      <w:r>
        <w:rPr>
          <w:sz w:val="32"/>
          <w:szCs w:val="32"/>
        </w:rPr>
        <w:instrText xml:space="preserve"> PAGEREF _Toc218241036 \h </w:instrText>
      </w:r>
      <w:r>
        <w:rPr>
          <w:sz w:val="32"/>
          <w:szCs w:val="32"/>
        </w:rPr>
        <w:fldChar w:fldCharType="separate"/>
      </w:r>
      <w:r>
        <w:rPr>
          <w:sz w:val="32"/>
          <w:szCs w:val="32"/>
        </w:rPr>
        <w:t>25</w:t>
      </w:r>
      <w:r>
        <w:rPr>
          <w:sz w:val="32"/>
          <w:szCs w:val="32"/>
        </w:rPr>
        <w:fldChar w:fldCharType="end"/>
      </w:r>
      <w:r>
        <w:rPr>
          <w:sz w:val="32"/>
          <w:szCs w:val="32"/>
        </w:rPr>
        <w:fldChar w:fldCharType="end"/>
      </w:r>
    </w:p>
    <w:p w14:paraId="469DD0A3">
      <w:pPr>
        <w:pStyle w:val="6"/>
        <w:tabs>
          <w:tab w:val="right" w:leader="dot" w:pos="8296"/>
        </w:tabs>
        <w:rPr>
          <w:rFonts w:asciiTheme="minorHAnsi" w:hAnsiTheme="minorHAnsi" w:eastAsiaTheme="minorEastAsia" w:cstheme="minorBidi"/>
          <w:sz w:val="32"/>
          <w:szCs w:val="32"/>
        </w:rPr>
      </w:pPr>
      <w:r>
        <w:fldChar w:fldCharType="begin"/>
      </w:r>
      <w:r>
        <w:instrText xml:space="preserve"> HYPERLINK \l "_Toc218241037" </w:instrText>
      </w:r>
      <w:r>
        <w:fldChar w:fldCharType="separate"/>
      </w:r>
      <w:r>
        <w:rPr>
          <w:rStyle w:val="14"/>
          <w:rFonts w:hint="eastAsia" w:eastAsia="楷体_GB2312"/>
          <w:kern w:val="0"/>
          <w:sz w:val="32"/>
          <w:szCs w:val="32"/>
        </w:rPr>
        <w:t>第四节</w:t>
      </w:r>
      <w:r>
        <w:rPr>
          <w:rStyle w:val="14"/>
          <w:rFonts w:eastAsia="楷体_GB2312"/>
          <w:kern w:val="0"/>
          <w:sz w:val="32"/>
          <w:szCs w:val="32"/>
        </w:rPr>
        <w:t xml:space="preserve">  </w:t>
      </w:r>
      <w:r>
        <w:rPr>
          <w:rStyle w:val="14"/>
          <w:rFonts w:hint="eastAsia" w:eastAsia="楷体_GB2312"/>
          <w:kern w:val="0"/>
          <w:sz w:val="32"/>
          <w:szCs w:val="32"/>
        </w:rPr>
        <w:t>提高农牧业综合生产能力</w:t>
      </w:r>
      <w:r>
        <w:rPr>
          <w:sz w:val="32"/>
          <w:szCs w:val="32"/>
        </w:rPr>
        <w:tab/>
      </w:r>
      <w:r>
        <w:rPr>
          <w:sz w:val="32"/>
          <w:szCs w:val="32"/>
        </w:rPr>
        <w:fldChar w:fldCharType="begin"/>
      </w:r>
      <w:r>
        <w:rPr>
          <w:sz w:val="32"/>
          <w:szCs w:val="32"/>
        </w:rPr>
        <w:instrText xml:space="preserve"> PAGEREF _Toc218241037 \h </w:instrText>
      </w:r>
      <w:r>
        <w:rPr>
          <w:sz w:val="32"/>
          <w:szCs w:val="32"/>
        </w:rPr>
        <w:fldChar w:fldCharType="separate"/>
      </w:r>
      <w:r>
        <w:rPr>
          <w:sz w:val="32"/>
          <w:szCs w:val="32"/>
        </w:rPr>
        <w:t>26</w:t>
      </w:r>
      <w:r>
        <w:rPr>
          <w:sz w:val="32"/>
          <w:szCs w:val="32"/>
        </w:rPr>
        <w:fldChar w:fldCharType="end"/>
      </w:r>
      <w:r>
        <w:rPr>
          <w:sz w:val="32"/>
          <w:szCs w:val="32"/>
        </w:rPr>
        <w:fldChar w:fldCharType="end"/>
      </w:r>
    </w:p>
    <w:p w14:paraId="3C120BE3">
      <w:pPr>
        <w:pStyle w:val="6"/>
        <w:tabs>
          <w:tab w:val="right" w:leader="dot" w:pos="8296"/>
        </w:tabs>
        <w:rPr>
          <w:rFonts w:asciiTheme="minorHAnsi" w:hAnsiTheme="minorHAnsi" w:eastAsiaTheme="minorEastAsia" w:cstheme="minorBidi"/>
          <w:sz w:val="32"/>
          <w:szCs w:val="32"/>
        </w:rPr>
      </w:pPr>
      <w:r>
        <w:fldChar w:fldCharType="begin"/>
      </w:r>
      <w:r>
        <w:instrText xml:space="preserve"> HYPERLINK \l "_Toc218241038" </w:instrText>
      </w:r>
      <w:r>
        <w:fldChar w:fldCharType="separate"/>
      </w:r>
      <w:r>
        <w:rPr>
          <w:rStyle w:val="14"/>
          <w:rFonts w:hint="eastAsia" w:eastAsia="楷体_GB2312"/>
          <w:kern w:val="0"/>
          <w:sz w:val="32"/>
          <w:szCs w:val="32"/>
        </w:rPr>
        <w:t>第五节</w:t>
      </w:r>
      <w:r>
        <w:rPr>
          <w:rStyle w:val="14"/>
          <w:rFonts w:eastAsia="楷体_GB2312"/>
          <w:kern w:val="0"/>
          <w:sz w:val="32"/>
          <w:szCs w:val="32"/>
        </w:rPr>
        <w:t xml:space="preserve">  </w:t>
      </w:r>
      <w:r>
        <w:rPr>
          <w:rStyle w:val="14"/>
          <w:rFonts w:hint="eastAsia" w:eastAsia="楷体_GB2312"/>
          <w:kern w:val="0"/>
          <w:sz w:val="32"/>
          <w:szCs w:val="32"/>
        </w:rPr>
        <w:t>提升农牧业生产经营效益</w:t>
      </w:r>
      <w:r>
        <w:rPr>
          <w:sz w:val="32"/>
          <w:szCs w:val="32"/>
        </w:rPr>
        <w:tab/>
      </w:r>
      <w:r>
        <w:rPr>
          <w:sz w:val="32"/>
          <w:szCs w:val="32"/>
        </w:rPr>
        <w:fldChar w:fldCharType="begin"/>
      </w:r>
      <w:r>
        <w:rPr>
          <w:sz w:val="32"/>
          <w:szCs w:val="32"/>
        </w:rPr>
        <w:instrText xml:space="preserve"> PAGEREF _Toc218241038 \h </w:instrText>
      </w:r>
      <w:r>
        <w:rPr>
          <w:sz w:val="32"/>
          <w:szCs w:val="32"/>
        </w:rPr>
        <w:fldChar w:fldCharType="separate"/>
      </w:r>
      <w:r>
        <w:rPr>
          <w:sz w:val="32"/>
          <w:szCs w:val="32"/>
        </w:rPr>
        <w:t>27</w:t>
      </w:r>
      <w:r>
        <w:rPr>
          <w:sz w:val="32"/>
          <w:szCs w:val="32"/>
        </w:rPr>
        <w:fldChar w:fldCharType="end"/>
      </w:r>
      <w:r>
        <w:rPr>
          <w:sz w:val="32"/>
          <w:szCs w:val="32"/>
        </w:rPr>
        <w:fldChar w:fldCharType="end"/>
      </w:r>
    </w:p>
    <w:p w14:paraId="7954E2F8">
      <w:pPr>
        <w:pStyle w:val="6"/>
        <w:tabs>
          <w:tab w:val="right" w:leader="dot" w:pos="8296"/>
        </w:tabs>
        <w:rPr>
          <w:rFonts w:asciiTheme="minorHAnsi" w:hAnsiTheme="minorHAnsi" w:eastAsiaTheme="minorEastAsia" w:cstheme="minorBidi"/>
          <w:sz w:val="32"/>
          <w:szCs w:val="32"/>
        </w:rPr>
      </w:pPr>
      <w:r>
        <w:fldChar w:fldCharType="begin"/>
      </w:r>
      <w:r>
        <w:instrText xml:space="preserve"> HYPERLINK \l "_Toc218241039" </w:instrText>
      </w:r>
      <w:r>
        <w:fldChar w:fldCharType="separate"/>
      </w:r>
      <w:r>
        <w:rPr>
          <w:rStyle w:val="14"/>
          <w:rFonts w:hint="eastAsia" w:eastAsia="楷体_GB2312"/>
          <w:kern w:val="0"/>
          <w:sz w:val="32"/>
          <w:szCs w:val="32"/>
        </w:rPr>
        <w:t>第六节</w:t>
      </w:r>
      <w:r>
        <w:rPr>
          <w:rStyle w:val="14"/>
          <w:rFonts w:eastAsia="楷体_GB2312"/>
          <w:kern w:val="0"/>
          <w:sz w:val="32"/>
          <w:szCs w:val="32"/>
        </w:rPr>
        <w:t xml:space="preserve">  </w:t>
      </w:r>
      <w:r>
        <w:rPr>
          <w:rStyle w:val="14"/>
          <w:rFonts w:hint="eastAsia" w:eastAsia="楷体_GB2312"/>
          <w:kern w:val="0"/>
          <w:sz w:val="32"/>
          <w:szCs w:val="32"/>
        </w:rPr>
        <w:t>健全现代农牧业经营体系</w:t>
      </w:r>
      <w:r>
        <w:rPr>
          <w:sz w:val="32"/>
          <w:szCs w:val="32"/>
        </w:rPr>
        <w:tab/>
      </w:r>
      <w:r>
        <w:rPr>
          <w:sz w:val="32"/>
          <w:szCs w:val="32"/>
        </w:rPr>
        <w:fldChar w:fldCharType="begin"/>
      </w:r>
      <w:r>
        <w:rPr>
          <w:sz w:val="32"/>
          <w:szCs w:val="32"/>
        </w:rPr>
        <w:instrText xml:space="preserve"> PAGEREF _Toc218241039 \h </w:instrText>
      </w:r>
      <w:r>
        <w:rPr>
          <w:sz w:val="32"/>
          <w:szCs w:val="32"/>
        </w:rPr>
        <w:fldChar w:fldCharType="separate"/>
      </w:r>
      <w:r>
        <w:rPr>
          <w:sz w:val="32"/>
          <w:szCs w:val="32"/>
        </w:rPr>
        <w:t>27</w:t>
      </w:r>
      <w:r>
        <w:rPr>
          <w:sz w:val="32"/>
          <w:szCs w:val="32"/>
        </w:rPr>
        <w:fldChar w:fldCharType="end"/>
      </w:r>
      <w:r>
        <w:rPr>
          <w:sz w:val="32"/>
          <w:szCs w:val="32"/>
        </w:rPr>
        <w:fldChar w:fldCharType="end"/>
      </w:r>
    </w:p>
    <w:p w14:paraId="7594EE5B">
      <w:pPr>
        <w:pStyle w:val="6"/>
        <w:tabs>
          <w:tab w:val="left" w:pos="2100"/>
          <w:tab w:val="right" w:leader="dot" w:pos="8296"/>
        </w:tabs>
        <w:rPr>
          <w:rFonts w:asciiTheme="minorHAnsi" w:hAnsiTheme="minorHAnsi" w:eastAsiaTheme="minorEastAsia" w:cstheme="minorBidi"/>
          <w:sz w:val="32"/>
          <w:szCs w:val="32"/>
        </w:rPr>
      </w:pPr>
      <w:r>
        <w:fldChar w:fldCharType="begin"/>
      </w:r>
      <w:r>
        <w:instrText xml:space="preserve"> HYPERLINK \l "_Toc218241040" </w:instrText>
      </w:r>
      <w:r>
        <w:fldChar w:fldCharType="separate"/>
      </w:r>
      <w:r>
        <w:rPr>
          <w:rStyle w:val="14"/>
          <w:rFonts w:hint="eastAsia" w:eastAsia="楷体_GB2312"/>
          <w:kern w:val="0"/>
          <w:sz w:val="32"/>
          <w:szCs w:val="32"/>
        </w:rPr>
        <w:t>第七节</w:t>
      </w:r>
      <w:r>
        <w:rPr>
          <w:rFonts w:asciiTheme="minorHAnsi" w:hAnsiTheme="minorHAnsi" w:eastAsiaTheme="minorEastAsia" w:cstheme="minorBidi"/>
          <w:sz w:val="32"/>
          <w:szCs w:val="32"/>
        </w:rPr>
        <w:tab/>
      </w:r>
      <w:r>
        <w:rPr>
          <w:rStyle w:val="14"/>
          <w:rFonts w:hint="eastAsia" w:eastAsia="楷体_GB2312"/>
          <w:kern w:val="0"/>
          <w:sz w:val="32"/>
          <w:szCs w:val="32"/>
        </w:rPr>
        <w:t>完善</w:t>
      </w:r>
      <w:r>
        <w:rPr>
          <w:rStyle w:val="14"/>
          <w:rFonts w:hint="eastAsia" w:eastAsia="楷体_GB2312"/>
          <w:bCs/>
          <w:sz w:val="32"/>
          <w:szCs w:val="32"/>
        </w:rPr>
        <w:t>农牧业</w:t>
      </w:r>
      <w:r>
        <w:rPr>
          <w:rStyle w:val="14"/>
          <w:rFonts w:hint="eastAsia" w:eastAsia="楷体_GB2312"/>
          <w:kern w:val="0"/>
          <w:sz w:val="32"/>
          <w:szCs w:val="32"/>
        </w:rPr>
        <w:t>发展机制</w:t>
      </w:r>
      <w:r>
        <w:rPr>
          <w:sz w:val="32"/>
          <w:szCs w:val="32"/>
        </w:rPr>
        <w:tab/>
      </w:r>
      <w:r>
        <w:rPr>
          <w:sz w:val="32"/>
          <w:szCs w:val="32"/>
        </w:rPr>
        <w:fldChar w:fldCharType="begin"/>
      </w:r>
      <w:r>
        <w:rPr>
          <w:sz w:val="32"/>
          <w:szCs w:val="32"/>
        </w:rPr>
        <w:instrText xml:space="preserve"> PAGEREF _Toc218241040 \h </w:instrText>
      </w:r>
      <w:r>
        <w:rPr>
          <w:sz w:val="32"/>
          <w:szCs w:val="32"/>
        </w:rPr>
        <w:fldChar w:fldCharType="separate"/>
      </w:r>
      <w:r>
        <w:rPr>
          <w:sz w:val="32"/>
          <w:szCs w:val="32"/>
        </w:rPr>
        <w:t>28</w:t>
      </w:r>
      <w:r>
        <w:rPr>
          <w:sz w:val="32"/>
          <w:szCs w:val="32"/>
        </w:rPr>
        <w:fldChar w:fldCharType="end"/>
      </w:r>
      <w:r>
        <w:rPr>
          <w:sz w:val="32"/>
          <w:szCs w:val="32"/>
        </w:rPr>
        <w:fldChar w:fldCharType="end"/>
      </w:r>
    </w:p>
    <w:p w14:paraId="35B3A2A9">
      <w:pPr>
        <w:pStyle w:val="9"/>
        <w:tabs>
          <w:tab w:val="left" w:pos="1680"/>
          <w:tab w:val="right" w:leader="dot" w:pos="8296"/>
        </w:tabs>
        <w:rPr>
          <w:rFonts w:asciiTheme="minorHAnsi" w:hAnsiTheme="minorHAnsi" w:eastAsiaTheme="minorEastAsia" w:cstheme="minorBidi"/>
          <w:sz w:val="32"/>
          <w:szCs w:val="32"/>
        </w:rPr>
      </w:pPr>
      <w:r>
        <w:fldChar w:fldCharType="begin"/>
      </w:r>
      <w:r>
        <w:instrText xml:space="preserve"> HYPERLINK \l "_Toc218241041" </w:instrText>
      </w:r>
      <w:r>
        <w:fldChar w:fldCharType="separate"/>
      </w:r>
      <w:r>
        <w:rPr>
          <w:rStyle w:val="14"/>
          <w:rFonts w:hint="eastAsia" w:eastAsia="黑体"/>
          <w:sz w:val="32"/>
          <w:szCs w:val="32"/>
        </w:rPr>
        <w:t>第六章</w:t>
      </w:r>
      <w:r>
        <w:rPr>
          <w:rFonts w:asciiTheme="minorHAnsi" w:hAnsiTheme="minorHAnsi" w:eastAsiaTheme="minorEastAsia" w:cstheme="minorBidi"/>
          <w:sz w:val="32"/>
          <w:szCs w:val="32"/>
        </w:rPr>
        <w:tab/>
      </w:r>
      <w:r>
        <w:rPr>
          <w:rStyle w:val="14"/>
          <w:rFonts w:hint="eastAsia" w:eastAsia="黑体"/>
          <w:sz w:val="32"/>
          <w:szCs w:val="32"/>
        </w:rPr>
        <w:t>加快建设康南现代商贸物流基地</w:t>
      </w:r>
      <w:r>
        <w:rPr>
          <w:sz w:val="32"/>
          <w:szCs w:val="32"/>
        </w:rPr>
        <w:tab/>
      </w:r>
      <w:r>
        <w:rPr>
          <w:sz w:val="32"/>
          <w:szCs w:val="32"/>
        </w:rPr>
        <w:fldChar w:fldCharType="begin"/>
      </w:r>
      <w:r>
        <w:rPr>
          <w:sz w:val="32"/>
          <w:szCs w:val="32"/>
        </w:rPr>
        <w:instrText xml:space="preserve"> PAGEREF _Toc218241041 \h </w:instrText>
      </w:r>
      <w:r>
        <w:rPr>
          <w:sz w:val="32"/>
          <w:szCs w:val="32"/>
        </w:rPr>
        <w:fldChar w:fldCharType="separate"/>
      </w:r>
      <w:r>
        <w:rPr>
          <w:sz w:val="32"/>
          <w:szCs w:val="32"/>
        </w:rPr>
        <w:t>28</w:t>
      </w:r>
      <w:r>
        <w:rPr>
          <w:sz w:val="32"/>
          <w:szCs w:val="32"/>
        </w:rPr>
        <w:fldChar w:fldCharType="end"/>
      </w:r>
      <w:r>
        <w:rPr>
          <w:sz w:val="32"/>
          <w:szCs w:val="32"/>
        </w:rPr>
        <w:fldChar w:fldCharType="end"/>
      </w:r>
    </w:p>
    <w:p w14:paraId="36C83597">
      <w:pPr>
        <w:pStyle w:val="6"/>
        <w:tabs>
          <w:tab w:val="left" w:pos="2100"/>
          <w:tab w:val="right" w:leader="dot" w:pos="8296"/>
        </w:tabs>
        <w:rPr>
          <w:rFonts w:asciiTheme="minorHAnsi" w:hAnsiTheme="minorHAnsi" w:eastAsiaTheme="minorEastAsia" w:cstheme="minorBidi"/>
          <w:sz w:val="32"/>
          <w:szCs w:val="32"/>
        </w:rPr>
      </w:pPr>
      <w:r>
        <w:fldChar w:fldCharType="begin"/>
      </w:r>
      <w:r>
        <w:instrText xml:space="preserve"> HYPERLINK \l "_Toc218241042" </w:instrText>
      </w:r>
      <w:r>
        <w:fldChar w:fldCharType="separate"/>
      </w:r>
      <w:r>
        <w:rPr>
          <w:rStyle w:val="14"/>
          <w:rFonts w:hint="eastAsia" w:eastAsia="楷体_GB2312"/>
          <w:bCs/>
          <w:sz w:val="32"/>
          <w:szCs w:val="32"/>
        </w:rPr>
        <w:t>第一节</w:t>
      </w:r>
      <w:r>
        <w:rPr>
          <w:rFonts w:asciiTheme="minorHAnsi" w:hAnsiTheme="minorHAnsi" w:eastAsiaTheme="minorEastAsia" w:cstheme="minorBidi"/>
          <w:sz w:val="32"/>
          <w:szCs w:val="32"/>
        </w:rPr>
        <w:tab/>
      </w:r>
      <w:r>
        <w:rPr>
          <w:rStyle w:val="14"/>
          <w:rFonts w:hint="eastAsia" w:eastAsia="楷体_GB2312"/>
          <w:bCs/>
          <w:sz w:val="32"/>
          <w:szCs w:val="32"/>
        </w:rPr>
        <w:t>实施大商贸</w:t>
      </w:r>
      <w:r>
        <w:rPr>
          <w:rStyle w:val="14"/>
          <w:rFonts w:hint="eastAsia" w:eastAsia="楷体_GB2312"/>
          <w:kern w:val="0"/>
          <w:sz w:val="32"/>
          <w:szCs w:val="32"/>
        </w:rPr>
        <w:t>战略</w:t>
      </w:r>
      <w:r>
        <w:rPr>
          <w:sz w:val="32"/>
          <w:szCs w:val="32"/>
        </w:rPr>
        <w:tab/>
      </w:r>
      <w:r>
        <w:rPr>
          <w:sz w:val="32"/>
          <w:szCs w:val="32"/>
        </w:rPr>
        <w:fldChar w:fldCharType="begin"/>
      </w:r>
      <w:r>
        <w:rPr>
          <w:sz w:val="32"/>
          <w:szCs w:val="32"/>
        </w:rPr>
        <w:instrText xml:space="preserve"> PAGEREF _Toc218241042 \h </w:instrText>
      </w:r>
      <w:r>
        <w:rPr>
          <w:sz w:val="32"/>
          <w:szCs w:val="32"/>
        </w:rPr>
        <w:fldChar w:fldCharType="separate"/>
      </w:r>
      <w:r>
        <w:rPr>
          <w:sz w:val="32"/>
          <w:szCs w:val="32"/>
        </w:rPr>
        <w:t>28</w:t>
      </w:r>
      <w:r>
        <w:rPr>
          <w:sz w:val="32"/>
          <w:szCs w:val="32"/>
        </w:rPr>
        <w:fldChar w:fldCharType="end"/>
      </w:r>
      <w:r>
        <w:rPr>
          <w:sz w:val="32"/>
          <w:szCs w:val="32"/>
        </w:rPr>
        <w:fldChar w:fldCharType="end"/>
      </w:r>
    </w:p>
    <w:p w14:paraId="387E8B62">
      <w:pPr>
        <w:pStyle w:val="6"/>
        <w:tabs>
          <w:tab w:val="left" w:pos="2100"/>
          <w:tab w:val="right" w:leader="dot" w:pos="8296"/>
        </w:tabs>
        <w:rPr>
          <w:rFonts w:asciiTheme="minorHAnsi" w:hAnsiTheme="minorHAnsi" w:eastAsiaTheme="minorEastAsia" w:cstheme="minorBidi"/>
          <w:sz w:val="32"/>
          <w:szCs w:val="32"/>
        </w:rPr>
      </w:pPr>
      <w:r>
        <w:fldChar w:fldCharType="begin"/>
      </w:r>
      <w:r>
        <w:instrText xml:space="preserve"> HYPERLINK \l "_Toc218241043" </w:instrText>
      </w:r>
      <w:r>
        <w:fldChar w:fldCharType="separate"/>
      </w:r>
      <w:r>
        <w:rPr>
          <w:rStyle w:val="14"/>
          <w:rFonts w:hint="eastAsia" w:eastAsia="楷体_GB2312"/>
          <w:bCs/>
          <w:sz w:val="32"/>
          <w:szCs w:val="32"/>
        </w:rPr>
        <w:t>第二节</w:t>
      </w:r>
      <w:r>
        <w:rPr>
          <w:rFonts w:asciiTheme="minorHAnsi" w:hAnsiTheme="minorHAnsi" w:eastAsiaTheme="minorEastAsia" w:cstheme="minorBidi"/>
          <w:sz w:val="32"/>
          <w:szCs w:val="32"/>
        </w:rPr>
        <w:tab/>
      </w:r>
      <w:r>
        <w:rPr>
          <w:rStyle w:val="14"/>
          <w:rFonts w:hint="eastAsia" w:eastAsia="楷体_GB2312"/>
          <w:bCs/>
          <w:sz w:val="32"/>
          <w:szCs w:val="32"/>
        </w:rPr>
        <w:t>探索文旅体农商一体发展模式</w:t>
      </w:r>
      <w:r>
        <w:rPr>
          <w:sz w:val="32"/>
          <w:szCs w:val="32"/>
        </w:rPr>
        <w:tab/>
      </w:r>
      <w:r>
        <w:rPr>
          <w:sz w:val="32"/>
          <w:szCs w:val="32"/>
        </w:rPr>
        <w:fldChar w:fldCharType="begin"/>
      </w:r>
      <w:r>
        <w:rPr>
          <w:sz w:val="32"/>
          <w:szCs w:val="32"/>
        </w:rPr>
        <w:instrText xml:space="preserve"> PAGEREF _Toc218241043 \h </w:instrText>
      </w:r>
      <w:r>
        <w:rPr>
          <w:sz w:val="32"/>
          <w:szCs w:val="32"/>
        </w:rPr>
        <w:fldChar w:fldCharType="separate"/>
      </w:r>
      <w:r>
        <w:rPr>
          <w:sz w:val="32"/>
          <w:szCs w:val="32"/>
        </w:rPr>
        <w:t>29</w:t>
      </w:r>
      <w:r>
        <w:rPr>
          <w:sz w:val="32"/>
          <w:szCs w:val="32"/>
        </w:rPr>
        <w:fldChar w:fldCharType="end"/>
      </w:r>
      <w:r>
        <w:rPr>
          <w:sz w:val="32"/>
          <w:szCs w:val="32"/>
        </w:rPr>
        <w:fldChar w:fldCharType="end"/>
      </w:r>
    </w:p>
    <w:p w14:paraId="77FE51F1">
      <w:pPr>
        <w:pStyle w:val="6"/>
        <w:tabs>
          <w:tab w:val="left" w:pos="2100"/>
          <w:tab w:val="right" w:leader="dot" w:pos="8296"/>
        </w:tabs>
        <w:rPr>
          <w:rFonts w:asciiTheme="minorHAnsi" w:hAnsiTheme="minorHAnsi" w:eastAsiaTheme="minorEastAsia" w:cstheme="minorBidi"/>
          <w:sz w:val="32"/>
          <w:szCs w:val="32"/>
        </w:rPr>
      </w:pPr>
      <w:r>
        <w:fldChar w:fldCharType="begin"/>
      </w:r>
      <w:r>
        <w:instrText xml:space="preserve"> HYPERLINK \l "_Toc218241044" </w:instrText>
      </w:r>
      <w:r>
        <w:fldChar w:fldCharType="separate"/>
      </w:r>
      <w:r>
        <w:rPr>
          <w:rStyle w:val="14"/>
          <w:rFonts w:hint="eastAsia" w:eastAsia="楷体_GB2312"/>
          <w:bCs/>
          <w:sz w:val="32"/>
          <w:szCs w:val="32"/>
        </w:rPr>
        <w:t>第三节</w:t>
      </w:r>
      <w:r>
        <w:rPr>
          <w:rFonts w:asciiTheme="minorHAnsi" w:hAnsiTheme="minorHAnsi" w:eastAsiaTheme="minorEastAsia" w:cstheme="minorBidi"/>
          <w:sz w:val="32"/>
          <w:szCs w:val="32"/>
        </w:rPr>
        <w:tab/>
      </w:r>
      <w:r>
        <w:rPr>
          <w:rStyle w:val="14"/>
          <w:rFonts w:hint="eastAsia" w:eastAsia="楷体_GB2312"/>
          <w:bCs/>
          <w:sz w:val="32"/>
          <w:szCs w:val="32"/>
        </w:rPr>
        <w:t>构建“通道</w:t>
      </w:r>
      <w:r>
        <w:rPr>
          <w:rStyle w:val="14"/>
          <w:rFonts w:eastAsia="楷体_GB2312"/>
          <w:bCs/>
          <w:sz w:val="32"/>
          <w:szCs w:val="32"/>
        </w:rPr>
        <w:t>+</w:t>
      </w:r>
      <w:r>
        <w:rPr>
          <w:rStyle w:val="14"/>
          <w:rFonts w:hint="eastAsia" w:eastAsia="楷体_GB2312"/>
          <w:bCs/>
          <w:sz w:val="32"/>
          <w:szCs w:val="32"/>
        </w:rPr>
        <w:t>枢纽</w:t>
      </w:r>
      <w:r>
        <w:rPr>
          <w:rStyle w:val="14"/>
          <w:rFonts w:eastAsia="楷体_GB2312"/>
          <w:bCs/>
          <w:sz w:val="32"/>
          <w:szCs w:val="32"/>
        </w:rPr>
        <w:t>+</w:t>
      </w:r>
      <w:r>
        <w:rPr>
          <w:rStyle w:val="14"/>
          <w:rFonts w:hint="eastAsia" w:eastAsia="楷体_GB2312"/>
          <w:bCs/>
          <w:sz w:val="32"/>
          <w:szCs w:val="32"/>
        </w:rPr>
        <w:t>网络</w:t>
      </w:r>
      <w:r>
        <w:rPr>
          <w:rStyle w:val="14"/>
          <w:rFonts w:eastAsia="楷体_GB2312"/>
          <w:bCs/>
          <w:sz w:val="32"/>
          <w:szCs w:val="32"/>
        </w:rPr>
        <w:t>+</w:t>
      </w:r>
      <w:r>
        <w:rPr>
          <w:rStyle w:val="14"/>
          <w:rFonts w:hint="eastAsia" w:eastAsia="楷体_GB2312"/>
          <w:bCs/>
          <w:sz w:val="32"/>
          <w:szCs w:val="32"/>
        </w:rPr>
        <w:t>平台”现代物流体系</w:t>
      </w:r>
      <w:r>
        <w:rPr>
          <w:sz w:val="32"/>
          <w:szCs w:val="32"/>
        </w:rPr>
        <w:tab/>
      </w:r>
      <w:r>
        <w:rPr>
          <w:sz w:val="32"/>
          <w:szCs w:val="32"/>
        </w:rPr>
        <w:fldChar w:fldCharType="begin"/>
      </w:r>
      <w:r>
        <w:rPr>
          <w:sz w:val="32"/>
          <w:szCs w:val="32"/>
        </w:rPr>
        <w:instrText xml:space="preserve"> PAGEREF _Toc218241044 \h </w:instrText>
      </w:r>
      <w:r>
        <w:rPr>
          <w:sz w:val="32"/>
          <w:szCs w:val="32"/>
        </w:rPr>
        <w:fldChar w:fldCharType="separate"/>
      </w:r>
      <w:r>
        <w:rPr>
          <w:sz w:val="32"/>
          <w:szCs w:val="32"/>
        </w:rPr>
        <w:t>30</w:t>
      </w:r>
      <w:r>
        <w:rPr>
          <w:sz w:val="32"/>
          <w:szCs w:val="32"/>
        </w:rPr>
        <w:fldChar w:fldCharType="end"/>
      </w:r>
      <w:r>
        <w:rPr>
          <w:sz w:val="32"/>
          <w:szCs w:val="32"/>
        </w:rPr>
        <w:fldChar w:fldCharType="end"/>
      </w:r>
    </w:p>
    <w:p w14:paraId="7320DB4C">
      <w:pPr>
        <w:pStyle w:val="6"/>
        <w:tabs>
          <w:tab w:val="left" w:pos="2100"/>
          <w:tab w:val="right" w:leader="dot" w:pos="8296"/>
        </w:tabs>
        <w:rPr>
          <w:rFonts w:asciiTheme="minorHAnsi" w:hAnsiTheme="minorHAnsi" w:eastAsiaTheme="minorEastAsia" w:cstheme="minorBidi"/>
          <w:sz w:val="32"/>
          <w:szCs w:val="32"/>
        </w:rPr>
      </w:pPr>
      <w:r>
        <w:fldChar w:fldCharType="begin"/>
      </w:r>
      <w:r>
        <w:instrText xml:space="preserve"> HYPERLINK \l "_Toc218241045" </w:instrText>
      </w:r>
      <w:r>
        <w:fldChar w:fldCharType="separate"/>
      </w:r>
      <w:r>
        <w:rPr>
          <w:rStyle w:val="14"/>
          <w:rFonts w:hint="eastAsia" w:eastAsia="楷体_GB2312"/>
          <w:bCs/>
          <w:sz w:val="32"/>
          <w:szCs w:val="32"/>
        </w:rPr>
        <w:t>第四节</w:t>
      </w:r>
      <w:r>
        <w:rPr>
          <w:rFonts w:asciiTheme="minorHAnsi" w:hAnsiTheme="minorHAnsi" w:eastAsiaTheme="minorEastAsia" w:cstheme="minorBidi"/>
          <w:sz w:val="32"/>
          <w:szCs w:val="32"/>
        </w:rPr>
        <w:tab/>
      </w:r>
      <w:r>
        <w:rPr>
          <w:rStyle w:val="14"/>
          <w:rFonts w:hint="eastAsia" w:eastAsia="楷体_GB2312"/>
          <w:bCs/>
          <w:sz w:val="32"/>
          <w:szCs w:val="32"/>
        </w:rPr>
        <w:t>持续推进物流降本增效</w:t>
      </w:r>
      <w:r>
        <w:rPr>
          <w:sz w:val="32"/>
          <w:szCs w:val="32"/>
        </w:rPr>
        <w:tab/>
      </w:r>
      <w:r>
        <w:rPr>
          <w:sz w:val="32"/>
          <w:szCs w:val="32"/>
        </w:rPr>
        <w:fldChar w:fldCharType="begin"/>
      </w:r>
      <w:r>
        <w:rPr>
          <w:sz w:val="32"/>
          <w:szCs w:val="32"/>
        </w:rPr>
        <w:instrText xml:space="preserve"> PAGEREF _Toc218241045 \h </w:instrText>
      </w:r>
      <w:r>
        <w:rPr>
          <w:sz w:val="32"/>
          <w:szCs w:val="32"/>
        </w:rPr>
        <w:fldChar w:fldCharType="separate"/>
      </w:r>
      <w:r>
        <w:rPr>
          <w:sz w:val="32"/>
          <w:szCs w:val="32"/>
        </w:rPr>
        <w:t>30</w:t>
      </w:r>
      <w:r>
        <w:rPr>
          <w:sz w:val="32"/>
          <w:szCs w:val="32"/>
        </w:rPr>
        <w:fldChar w:fldCharType="end"/>
      </w:r>
      <w:r>
        <w:rPr>
          <w:sz w:val="32"/>
          <w:szCs w:val="32"/>
        </w:rPr>
        <w:fldChar w:fldCharType="end"/>
      </w:r>
    </w:p>
    <w:p w14:paraId="7D0FEB56">
      <w:pPr>
        <w:pStyle w:val="6"/>
        <w:tabs>
          <w:tab w:val="left" w:pos="2100"/>
          <w:tab w:val="right" w:leader="dot" w:pos="8296"/>
        </w:tabs>
        <w:rPr>
          <w:rFonts w:asciiTheme="minorHAnsi" w:hAnsiTheme="minorHAnsi" w:eastAsiaTheme="minorEastAsia" w:cstheme="minorBidi"/>
          <w:sz w:val="32"/>
          <w:szCs w:val="32"/>
        </w:rPr>
      </w:pPr>
      <w:r>
        <w:fldChar w:fldCharType="begin"/>
      </w:r>
      <w:r>
        <w:instrText xml:space="preserve"> HYPERLINK \l "_Toc218241046" </w:instrText>
      </w:r>
      <w:r>
        <w:fldChar w:fldCharType="separate"/>
      </w:r>
      <w:r>
        <w:rPr>
          <w:rStyle w:val="14"/>
          <w:rFonts w:hint="eastAsia" w:eastAsia="楷体_GB2312"/>
          <w:bCs/>
          <w:sz w:val="32"/>
          <w:szCs w:val="32"/>
        </w:rPr>
        <w:t>第五节</w:t>
      </w:r>
      <w:r>
        <w:rPr>
          <w:rFonts w:asciiTheme="minorHAnsi" w:hAnsiTheme="minorHAnsi" w:eastAsiaTheme="minorEastAsia" w:cstheme="minorBidi"/>
          <w:sz w:val="32"/>
          <w:szCs w:val="32"/>
        </w:rPr>
        <w:tab/>
      </w:r>
      <w:r>
        <w:rPr>
          <w:rStyle w:val="14"/>
          <w:rFonts w:hint="eastAsia" w:eastAsia="楷体_GB2312"/>
          <w:bCs/>
          <w:sz w:val="32"/>
          <w:szCs w:val="32"/>
        </w:rPr>
        <w:t>壮大物流主体丰富物流业态</w:t>
      </w:r>
      <w:r>
        <w:rPr>
          <w:sz w:val="32"/>
          <w:szCs w:val="32"/>
        </w:rPr>
        <w:tab/>
      </w:r>
      <w:r>
        <w:rPr>
          <w:sz w:val="32"/>
          <w:szCs w:val="32"/>
        </w:rPr>
        <w:fldChar w:fldCharType="begin"/>
      </w:r>
      <w:r>
        <w:rPr>
          <w:sz w:val="32"/>
          <w:szCs w:val="32"/>
        </w:rPr>
        <w:instrText xml:space="preserve"> PAGEREF _Toc218241046 \h </w:instrText>
      </w:r>
      <w:r>
        <w:rPr>
          <w:sz w:val="32"/>
          <w:szCs w:val="32"/>
        </w:rPr>
        <w:fldChar w:fldCharType="separate"/>
      </w:r>
      <w:r>
        <w:rPr>
          <w:sz w:val="32"/>
          <w:szCs w:val="32"/>
        </w:rPr>
        <w:t>31</w:t>
      </w:r>
      <w:r>
        <w:rPr>
          <w:sz w:val="32"/>
          <w:szCs w:val="32"/>
        </w:rPr>
        <w:fldChar w:fldCharType="end"/>
      </w:r>
      <w:r>
        <w:rPr>
          <w:sz w:val="32"/>
          <w:szCs w:val="32"/>
        </w:rPr>
        <w:fldChar w:fldCharType="end"/>
      </w:r>
    </w:p>
    <w:p w14:paraId="3037ECDD">
      <w:pPr>
        <w:pStyle w:val="6"/>
        <w:tabs>
          <w:tab w:val="left" w:pos="2100"/>
          <w:tab w:val="right" w:leader="dot" w:pos="8296"/>
        </w:tabs>
        <w:rPr>
          <w:rFonts w:asciiTheme="minorHAnsi" w:hAnsiTheme="minorHAnsi" w:eastAsiaTheme="minorEastAsia" w:cstheme="minorBidi"/>
          <w:sz w:val="32"/>
          <w:szCs w:val="32"/>
        </w:rPr>
      </w:pPr>
      <w:r>
        <w:fldChar w:fldCharType="begin"/>
      </w:r>
      <w:r>
        <w:instrText xml:space="preserve"> HYPERLINK \l "_Toc218241047" </w:instrText>
      </w:r>
      <w:r>
        <w:fldChar w:fldCharType="separate"/>
      </w:r>
      <w:r>
        <w:rPr>
          <w:rStyle w:val="14"/>
          <w:rFonts w:hint="eastAsia" w:eastAsia="楷体_GB2312"/>
          <w:bCs/>
          <w:sz w:val="32"/>
          <w:szCs w:val="32"/>
        </w:rPr>
        <w:t>第六节</w:t>
      </w:r>
      <w:r>
        <w:rPr>
          <w:rFonts w:asciiTheme="minorHAnsi" w:hAnsiTheme="minorHAnsi" w:eastAsiaTheme="minorEastAsia" w:cstheme="minorBidi"/>
          <w:sz w:val="32"/>
          <w:szCs w:val="32"/>
        </w:rPr>
        <w:tab/>
      </w:r>
      <w:r>
        <w:rPr>
          <w:rStyle w:val="14"/>
          <w:rFonts w:hint="eastAsia" w:eastAsia="楷体_GB2312"/>
          <w:bCs/>
          <w:sz w:val="32"/>
          <w:szCs w:val="32"/>
        </w:rPr>
        <w:t>加强配套政策措施支持</w:t>
      </w:r>
      <w:r>
        <w:rPr>
          <w:sz w:val="32"/>
          <w:szCs w:val="32"/>
        </w:rPr>
        <w:tab/>
      </w:r>
      <w:r>
        <w:rPr>
          <w:sz w:val="32"/>
          <w:szCs w:val="32"/>
        </w:rPr>
        <w:fldChar w:fldCharType="begin"/>
      </w:r>
      <w:r>
        <w:rPr>
          <w:sz w:val="32"/>
          <w:szCs w:val="32"/>
        </w:rPr>
        <w:instrText xml:space="preserve"> PAGEREF _Toc218241047 \h </w:instrText>
      </w:r>
      <w:r>
        <w:rPr>
          <w:sz w:val="32"/>
          <w:szCs w:val="32"/>
        </w:rPr>
        <w:fldChar w:fldCharType="separate"/>
      </w:r>
      <w:r>
        <w:rPr>
          <w:sz w:val="32"/>
          <w:szCs w:val="32"/>
        </w:rPr>
        <w:t>32</w:t>
      </w:r>
      <w:r>
        <w:rPr>
          <w:sz w:val="32"/>
          <w:szCs w:val="32"/>
        </w:rPr>
        <w:fldChar w:fldCharType="end"/>
      </w:r>
      <w:r>
        <w:rPr>
          <w:sz w:val="32"/>
          <w:szCs w:val="32"/>
        </w:rPr>
        <w:fldChar w:fldCharType="end"/>
      </w:r>
    </w:p>
    <w:p w14:paraId="1BA156A3">
      <w:pPr>
        <w:pStyle w:val="9"/>
        <w:tabs>
          <w:tab w:val="left" w:pos="1680"/>
          <w:tab w:val="right" w:leader="dot" w:pos="8296"/>
        </w:tabs>
        <w:rPr>
          <w:rFonts w:asciiTheme="minorHAnsi" w:hAnsiTheme="minorHAnsi" w:eastAsiaTheme="minorEastAsia" w:cstheme="minorBidi"/>
          <w:sz w:val="32"/>
          <w:szCs w:val="32"/>
        </w:rPr>
      </w:pPr>
      <w:r>
        <w:fldChar w:fldCharType="begin"/>
      </w:r>
      <w:r>
        <w:instrText xml:space="preserve"> HYPERLINK \l "_Toc218241048" </w:instrText>
      </w:r>
      <w:r>
        <w:fldChar w:fldCharType="separate"/>
      </w:r>
      <w:r>
        <w:rPr>
          <w:rStyle w:val="14"/>
          <w:rFonts w:hint="eastAsia" w:eastAsia="黑体"/>
          <w:sz w:val="32"/>
          <w:szCs w:val="32"/>
        </w:rPr>
        <w:t>第七章</w:t>
      </w:r>
      <w:r>
        <w:rPr>
          <w:rFonts w:asciiTheme="minorHAnsi" w:hAnsiTheme="minorHAnsi" w:eastAsiaTheme="minorEastAsia" w:cstheme="minorBidi"/>
          <w:sz w:val="32"/>
          <w:szCs w:val="32"/>
        </w:rPr>
        <w:tab/>
      </w:r>
      <w:r>
        <w:rPr>
          <w:rStyle w:val="14"/>
          <w:rFonts w:hint="eastAsia" w:eastAsia="黑体"/>
          <w:sz w:val="32"/>
          <w:szCs w:val="32"/>
        </w:rPr>
        <w:t>加快建设康南绿色发展集中区</w:t>
      </w:r>
      <w:r>
        <w:rPr>
          <w:sz w:val="32"/>
          <w:szCs w:val="32"/>
        </w:rPr>
        <w:tab/>
      </w:r>
      <w:r>
        <w:rPr>
          <w:sz w:val="32"/>
          <w:szCs w:val="32"/>
        </w:rPr>
        <w:fldChar w:fldCharType="begin"/>
      </w:r>
      <w:r>
        <w:rPr>
          <w:sz w:val="32"/>
          <w:szCs w:val="32"/>
        </w:rPr>
        <w:instrText xml:space="preserve"> PAGEREF _Toc218241048 \h </w:instrText>
      </w:r>
      <w:r>
        <w:rPr>
          <w:sz w:val="32"/>
          <w:szCs w:val="32"/>
        </w:rPr>
        <w:fldChar w:fldCharType="separate"/>
      </w:r>
      <w:r>
        <w:rPr>
          <w:sz w:val="32"/>
          <w:szCs w:val="32"/>
        </w:rPr>
        <w:t>33</w:t>
      </w:r>
      <w:r>
        <w:rPr>
          <w:sz w:val="32"/>
          <w:szCs w:val="32"/>
        </w:rPr>
        <w:fldChar w:fldCharType="end"/>
      </w:r>
      <w:r>
        <w:rPr>
          <w:sz w:val="32"/>
          <w:szCs w:val="32"/>
        </w:rPr>
        <w:fldChar w:fldCharType="end"/>
      </w:r>
    </w:p>
    <w:p w14:paraId="3E782C24">
      <w:pPr>
        <w:pStyle w:val="6"/>
        <w:tabs>
          <w:tab w:val="left" w:pos="2100"/>
          <w:tab w:val="right" w:leader="dot" w:pos="8296"/>
        </w:tabs>
        <w:rPr>
          <w:rFonts w:asciiTheme="minorHAnsi" w:hAnsiTheme="minorHAnsi" w:eastAsiaTheme="minorEastAsia" w:cstheme="minorBidi"/>
          <w:sz w:val="32"/>
          <w:szCs w:val="32"/>
        </w:rPr>
      </w:pPr>
      <w:r>
        <w:fldChar w:fldCharType="begin"/>
      </w:r>
      <w:r>
        <w:instrText xml:space="preserve"> HYPERLINK \l "_Toc218241049" </w:instrText>
      </w:r>
      <w:r>
        <w:fldChar w:fldCharType="separate"/>
      </w:r>
      <w:r>
        <w:rPr>
          <w:rStyle w:val="14"/>
          <w:rFonts w:hint="eastAsia" w:eastAsia="楷体_GB2312"/>
          <w:kern w:val="0"/>
          <w:sz w:val="32"/>
          <w:szCs w:val="32"/>
        </w:rPr>
        <w:t>第一节</w:t>
      </w:r>
      <w:r>
        <w:rPr>
          <w:rFonts w:asciiTheme="minorHAnsi" w:hAnsiTheme="minorHAnsi" w:eastAsiaTheme="minorEastAsia" w:cstheme="minorBidi"/>
          <w:sz w:val="32"/>
          <w:szCs w:val="32"/>
        </w:rPr>
        <w:tab/>
      </w:r>
      <w:r>
        <w:rPr>
          <w:rStyle w:val="14"/>
          <w:rFonts w:hint="eastAsia" w:eastAsia="楷体_GB2312"/>
          <w:kern w:val="0"/>
          <w:sz w:val="32"/>
          <w:szCs w:val="32"/>
        </w:rPr>
        <w:t>提质发展农特产品加工业</w:t>
      </w:r>
      <w:r>
        <w:rPr>
          <w:sz w:val="32"/>
          <w:szCs w:val="32"/>
        </w:rPr>
        <w:tab/>
      </w:r>
      <w:r>
        <w:rPr>
          <w:sz w:val="32"/>
          <w:szCs w:val="32"/>
        </w:rPr>
        <w:fldChar w:fldCharType="begin"/>
      </w:r>
      <w:r>
        <w:rPr>
          <w:sz w:val="32"/>
          <w:szCs w:val="32"/>
        </w:rPr>
        <w:instrText xml:space="preserve"> PAGEREF _Toc218241049 \h </w:instrText>
      </w:r>
      <w:r>
        <w:rPr>
          <w:sz w:val="32"/>
          <w:szCs w:val="32"/>
        </w:rPr>
        <w:fldChar w:fldCharType="separate"/>
      </w:r>
      <w:r>
        <w:rPr>
          <w:sz w:val="32"/>
          <w:szCs w:val="32"/>
        </w:rPr>
        <w:t>33</w:t>
      </w:r>
      <w:r>
        <w:rPr>
          <w:sz w:val="32"/>
          <w:szCs w:val="32"/>
        </w:rPr>
        <w:fldChar w:fldCharType="end"/>
      </w:r>
      <w:r>
        <w:rPr>
          <w:sz w:val="32"/>
          <w:szCs w:val="32"/>
        </w:rPr>
        <w:fldChar w:fldCharType="end"/>
      </w:r>
    </w:p>
    <w:p w14:paraId="6FA7C77C">
      <w:pPr>
        <w:pStyle w:val="6"/>
        <w:tabs>
          <w:tab w:val="left" w:pos="2100"/>
          <w:tab w:val="right" w:leader="dot" w:pos="8296"/>
        </w:tabs>
        <w:rPr>
          <w:rFonts w:asciiTheme="minorHAnsi" w:hAnsiTheme="minorHAnsi" w:eastAsiaTheme="minorEastAsia" w:cstheme="minorBidi"/>
          <w:sz w:val="32"/>
          <w:szCs w:val="32"/>
        </w:rPr>
      </w:pPr>
      <w:r>
        <w:fldChar w:fldCharType="begin"/>
      </w:r>
      <w:r>
        <w:instrText xml:space="preserve"> HYPERLINK \l "_Toc218241050" </w:instrText>
      </w:r>
      <w:r>
        <w:fldChar w:fldCharType="separate"/>
      </w:r>
      <w:r>
        <w:rPr>
          <w:rStyle w:val="14"/>
          <w:rFonts w:hint="eastAsia" w:eastAsia="楷体_GB2312"/>
          <w:kern w:val="0"/>
          <w:sz w:val="32"/>
          <w:szCs w:val="32"/>
        </w:rPr>
        <w:t>第二节</w:t>
      </w:r>
      <w:r>
        <w:rPr>
          <w:rFonts w:asciiTheme="minorHAnsi" w:hAnsiTheme="minorHAnsi" w:eastAsiaTheme="minorEastAsia" w:cstheme="minorBidi"/>
          <w:sz w:val="32"/>
          <w:szCs w:val="32"/>
        </w:rPr>
        <w:tab/>
      </w:r>
      <w:r>
        <w:rPr>
          <w:rStyle w:val="14"/>
          <w:rFonts w:hint="eastAsia" w:eastAsia="楷体_GB2312"/>
          <w:kern w:val="0"/>
          <w:sz w:val="32"/>
          <w:szCs w:val="32"/>
        </w:rPr>
        <w:t>增量发展清洁能源产业</w:t>
      </w:r>
      <w:r>
        <w:rPr>
          <w:sz w:val="32"/>
          <w:szCs w:val="32"/>
        </w:rPr>
        <w:tab/>
      </w:r>
      <w:r>
        <w:rPr>
          <w:sz w:val="32"/>
          <w:szCs w:val="32"/>
        </w:rPr>
        <w:fldChar w:fldCharType="begin"/>
      </w:r>
      <w:r>
        <w:rPr>
          <w:sz w:val="32"/>
          <w:szCs w:val="32"/>
        </w:rPr>
        <w:instrText xml:space="preserve"> PAGEREF _Toc218241050 \h </w:instrText>
      </w:r>
      <w:r>
        <w:rPr>
          <w:sz w:val="32"/>
          <w:szCs w:val="32"/>
        </w:rPr>
        <w:fldChar w:fldCharType="separate"/>
      </w:r>
      <w:r>
        <w:rPr>
          <w:sz w:val="32"/>
          <w:szCs w:val="32"/>
        </w:rPr>
        <w:t>34</w:t>
      </w:r>
      <w:r>
        <w:rPr>
          <w:sz w:val="32"/>
          <w:szCs w:val="32"/>
        </w:rPr>
        <w:fldChar w:fldCharType="end"/>
      </w:r>
      <w:r>
        <w:rPr>
          <w:sz w:val="32"/>
          <w:szCs w:val="32"/>
        </w:rPr>
        <w:fldChar w:fldCharType="end"/>
      </w:r>
    </w:p>
    <w:p w14:paraId="3C84B922">
      <w:pPr>
        <w:pStyle w:val="6"/>
        <w:tabs>
          <w:tab w:val="left" w:pos="2100"/>
          <w:tab w:val="right" w:leader="dot" w:pos="8296"/>
        </w:tabs>
        <w:rPr>
          <w:rFonts w:asciiTheme="minorHAnsi" w:hAnsiTheme="minorHAnsi" w:eastAsiaTheme="minorEastAsia" w:cstheme="minorBidi"/>
          <w:sz w:val="32"/>
          <w:szCs w:val="32"/>
        </w:rPr>
      </w:pPr>
      <w:r>
        <w:fldChar w:fldCharType="begin"/>
      </w:r>
      <w:r>
        <w:instrText xml:space="preserve"> HYPERLINK \l "_Toc218241051" </w:instrText>
      </w:r>
      <w:r>
        <w:fldChar w:fldCharType="separate"/>
      </w:r>
      <w:r>
        <w:rPr>
          <w:rStyle w:val="14"/>
          <w:rFonts w:hint="eastAsia" w:eastAsia="楷体_GB2312"/>
          <w:kern w:val="0"/>
          <w:sz w:val="32"/>
          <w:szCs w:val="32"/>
        </w:rPr>
        <w:t>第三节</w:t>
      </w:r>
      <w:r>
        <w:rPr>
          <w:rFonts w:asciiTheme="minorHAnsi" w:hAnsiTheme="minorHAnsi" w:eastAsiaTheme="minorEastAsia" w:cstheme="minorBidi"/>
          <w:sz w:val="32"/>
          <w:szCs w:val="32"/>
        </w:rPr>
        <w:tab/>
      </w:r>
      <w:r>
        <w:rPr>
          <w:rStyle w:val="14"/>
          <w:rFonts w:hint="eastAsia" w:eastAsia="楷体_GB2312"/>
          <w:kern w:val="0"/>
          <w:sz w:val="32"/>
          <w:szCs w:val="32"/>
        </w:rPr>
        <w:t>培育发展新产业新赛道</w:t>
      </w:r>
      <w:r>
        <w:rPr>
          <w:sz w:val="32"/>
          <w:szCs w:val="32"/>
        </w:rPr>
        <w:tab/>
      </w:r>
      <w:r>
        <w:rPr>
          <w:sz w:val="32"/>
          <w:szCs w:val="32"/>
        </w:rPr>
        <w:fldChar w:fldCharType="begin"/>
      </w:r>
      <w:r>
        <w:rPr>
          <w:sz w:val="32"/>
          <w:szCs w:val="32"/>
        </w:rPr>
        <w:instrText xml:space="preserve"> PAGEREF _Toc218241051 \h </w:instrText>
      </w:r>
      <w:r>
        <w:rPr>
          <w:sz w:val="32"/>
          <w:szCs w:val="32"/>
        </w:rPr>
        <w:fldChar w:fldCharType="separate"/>
      </w:r>
      <w:r>
        <w:rPr>
          <w:sz w:val="32"/>
          <w:szCs w:val="32"/>
        </w:rPr>
        <w:t>35</w:t>
      </w:r>
      <w:r>
        <w:rPr>
          <w:sz w:val="32"/>
          <w:szCs w:val="32"/>
        </w:rPr>
        <w:fldChar w:fldCharType="end"/>
      </w:r>
      <w:r>
        <w:rPr>
          <w:sz w:val="32"/>
          <w:szCs w:val="32"/>
        </w:rPr>
        <w:fldChar w:fldCharType="end"/>
      </w:r>
    </w:p>
    <w:p w14:paraId="3D2E0E0A">
      <w:pPr>
        <w:pStyle w:val="6"/>
        <w:tabs>
          <w:tab w:val="left" w:pos="2100"/>
          <w:tab w:val="right" w:leader="dot" w:pos="8296"/>
        </w:tabs>
        <w:rPr>
          <w:rFonts w:asciiTheme="minorHAnsi" w:hAnsiTheme="minorHAnsi" w:eastAsiaTheme="minorEastAsia" w:cstheme="minorBidi"/>
          <w:sz w:val="32"/>
          <w:szCs w:val="32"/>
        </w:rPr>
      </w:pPr>
      <w:r>
        <w:fldChar w:fldCharType="begin"/>
      </w:r>
      <w:r>
        <w:instrText xml:space="preserve"> HYPERLINK \l "_Toc218241052" </w:instrText>
      </w:r>
      <w:r>
        <w:fldChar w:fldCharType="separate"/>
      </w:r>
      <w:r>
        <w:rPr>
          <w:rStyle w:val="14"/>
          <w:rFonts w:hint="eastAsia" w:eastAsia="楷体_GB2312"/>
          <w:kern w:val="0"/>
          <w:sz w:val="32"/>
          <w:szCs w:val="32"/>
        </w:rPr>
        <w:t>第四节</w:t>
      </w:r>
      <w:r>
        <w:rPr>
          <w:rFonts w:asciiTheme="minorHAnsi" w:hAnsiTheme="minorHAnsi" w:eastAsiaTheme="minorEastAsia" w:cstheme="minorBidi"/>
          <w:sz w:val="32"/>
          <w:szCs w:val="32"/>
        </w:rPr>
        <w:tab/>
      </w:r>
      <w:r>
        <w:rPr>
          <w:rStyle w:val="14"/>
          <w:rFonts w:hint="eastAsia" w:eastAsia="楷体_GB2312"/>
          <w:kern w:val="0"/>
          <w:sz w:val="32"/>
          <w:szCs w:val="32"/>
        </w:rPr>
        <w:t>强化工业经济载体建设</w:t>
      </w:r>
      <w:r>
        <w:rPr>
          <w:sz w:val="32"/>
          <w:szCs w:val="32"/>
        </w:rPr>
        <w:tab/>
      </w:r>
      <w:r>
        <w:rPr>
          <w:sz w:val="32"/>
          <w:szCs w:val="32"/>
        </w:rPr>
        <w:fldChar w:fldCharType="begin"/>
      </w:r>
      <w:r>
        <w:rPr>
          <w:sz w:val="32"/>
          <w:szCs w:val="32"/>
        </w:rPr>
        <w:instrText xml:space="preserve"> PAGEREF _Toc218241052 \h </w:instrText>
      </w:r>
      <w:r>
        <w:rPr>
          <w:sz w:val="32"/>
          <w:szCs w:val="32"/>
        </w:rPr>
        <w:fldChar w:fldCharType="separate"/>
      </w:r>
      <w:r>
        <w:rPr>
          <w:sz w:val="32"/>
          <w:szCs w:val="32"/>
        </w:rPr>
        <w:t>36</w:t>
      </w:r>
      <w:r>
        <w:rPr>
          <w:sz w:val="32"/>
          <w:szCs w:val="32"/>
        </w:rPr>
        <w:fldChar w:fldCharType="end"/>
      </w:r>
      <w:r>
        <w:rPr>
          <w:sz w:val="32"/>
          <w:szCs w:val="32"/>
        </w:rPr>
        <w:fldChar w:fldCharType="end"/>
      </w:r>
    </w:p>
    <w:p w14:paraId="239B6DE6">
      <w:pPr>
        <w:pStyle w:val="6"/>
        <w:tabs>
          <w:tab w:val="left" w:pos="2100"/>
          <w:tab w:val="right" w:leader="dot" w:pos="8296"/>
        </w:tabs>
        <w:rPr>
          <w:rFonts w:asciiTheme="minorHAnsi" w:hAnsiTheme="minorHAnsi" w:eastAsiaTheme="minorEastAsia" w:cstheme="minorBidi"/>
          <w:sz w:val="32"/>
          <w:szCs w:val="32"/>
        </w:rPr>
      </w:pPr>
      <w:r>
        <w:fldChar w:fldCharType="begin"/>
      </w:r>
      <w:r>
        <w:instrText xml:space="preserve"> HYPERLINK \l "_Toc218241053" </w:instrText>
      </w:r>
      <w:r>
        <w:fldChar w:fldCharType="separate"/>
      </w:r>
      <w:r>
        <w:rPr>
          <w:rStyle w:val="14"/>
          <w:rFonts w:hint="eastAsia" w:eastAsia="楷体_GB2312"/>
          <w:kern w:val="0"/>
          <w:sz w:val="32"/>
          <w:szCs w:val="32"/>
        </w:rPr>
        <w:t>第五节</w:t>
      </w:r>
      <w:r>
        <w:rPr>
          <w:rFonts w:asciiTheme="minorHAnsi" w:hAnsiTheme="minorHAnsi" w:eastAsiaTheme="minorEastAsia" w:cstheme="minorBidi"/>
          <w:sz w:val="32"/>
          <w:szCs w:val="32"/>
        </w:rPr>
        <w:tab/>
      </w:r>
      <w:r>
        <w:rPr>
          <w:rStyle w:val="14"/>
          <w:rFonts w:hint="eastAsia" w:eastAsia="楷体_GB2312"/>
          <w:kern w:val="0"/>
          <w:sz w:val="32"/>
          <w:szCs w:val="32"/>
        </w:rPr>
        <w:t>加快企业培育引进</w:t>
      </w:r>
      <w:r>
        <w:rPr>
          <w:sz w:val="32"/>
          <w:szCs w:val="32"/>
        </w:rPr>
        <w:tab/>
      </w:r>
      <w:r>
        <w:rPr>
          <w:sz w:val="32"/>
          <w:szCs w:val="32"/>
        </w:rPr>
        <w:fldChar w:fldCharType="begin"/>
      </w:r>
      <w:r>
        <w:rPr>
          <w:sz w:val="32"/>
          <w:szCs w:val="32"/>
        </w:rPr>
        <w:instrText xml:space="preserve"> PAGEREF _Toc218241053 \h </w:instrText>
      </w:r>
      <w:r>
        <w:rPr>
          <w:sz w:val="32"/>
          <w:szCs w:val="32"/>
        </w:rPr>
        <w:fldChar w:fldCharType="separate"/>
      </w:r>
      <w:r>
        <w:rPr>
          <w:sz w:val="32"/>
          <w:szCs w:val="32"/>
        </w:rPr>
        <w:t>36</w:t>
      </w:r>
      <w:r>
        <w:rPr>
          <w:sz w:val="32"/>
          <w:szCs w:val="32"/>
        </w:rPr>
        <w:fldChar w:fldCharType="end"/>
      </w:r>
      <w:r>
        <w:rPr>
          <w:sz w:val="32"/>
          <w:szCs w:val="32"/>
        </w:rPr>
        <w:fldChar w:fldCharType="end"/>
      </w:r>
    </w:p>
    <w:p w14:paraId="5E991B8E">
      <w:pPr>
        <w:pStyle w:val="6"/>
        <w:tabs>
          <w:tab w:val="left" w:pos="2100"/>
          <w:tab w:val="right" w:leader="dot" w:pos="8296"/>
        </w:tabs>
        <w:rPr>
          <w:rFonts w:asciiTheme="minorHAnsi" w:hAnsiTheme="minorHAnsi" w:eastAsiaTheme="minorEastAsia" w:cstheme="minorBidi"/>
          <w:sz w:val="32"/>
          <w:szCs w:val="32"/>
        </w:rPr>
      </w:pPr>
      <w:r>
        <w:fldChar w:fldCharType="begin"/>
      </w:r>
      <w:r>
        <w:instrText xml:space="preserve"> HYPERLINK \l "_Toc218241054" </w:instrText>
      </w:r>
      <w:r>
        <w:fldChar w:fldCharType="separate"/>
      </w:r>
      <w:r>
        <w:rPr>
          <w:rStyle w:val="14"/>
          <w:rFonts w:hint="eastAsia" w:eastAsia="楷体_GB2312"/>
          <w:kern w:val="0"/>
          <w:sz w:val="32"/>
          <w:szCs w:val="32"/>
        </w:rPr>
        <w:t>第六节</w:t>
      </w:r>
      <w:r>
        <w:rPr>
          <w:rFonts w:asciiTheme="minorHAnsi" w:hAnsiTheme="minorHAnsi" w:eastAsiaTheme="minorEastAsia" w:cstheme="minorBidi"/>
          <w:sz w:val="32"/>
          <w:szCs w:val="32"/>
        </w:rPr>
        <w:tab/>
      </w:r>
      <w:r>
        <w:rPr>
          <w:rStyle w:val="14"/>
          <w:rFonts w:hint="eastAsia" w:eastAsia="楷体_GB2312"/>
          <w:kern w:val="0"/>
          <w:sz w:val="32"/>
          <w:szCs w:val="32"/>
        </w:rPr>
        <w:t>强化配套政策措施支撑</w:t>
      </w:r>
      <w:r>
        <w:rPr>
          <w:sz w:val="32"/>
          <w:szCs w:val="32"/>
        </w:rPr>
        <w:tab/>
      </w:r>
      <w:r>
        <w:rPr>
          <w:sz w:val="32"/>
          <w:szCs w:val="32"/>
        </w:rPr>
        <w:fldChar w:fldCharType="begin"/>
      </w:r>
      <w:r>
        <w:rPr>
          <w:sz w:val="32"/>
          <w:szCs w:val="32"/>
        </w:rPr>
        <w:instrText xml:space="preserve"> PAGEREF _Toc218241054 \h </w:instrText>
      </w:r>
      <w:r>
        <w:rPr>
          <w:sz w:val="32"/>
          <w:szCs w:val="32"/>
        </w:rPr>
        <w:fldChar w:fldCharType="separate"/>
      </w:r>
      <w:r>
        <w:rPr>
          <w:sz w:val="32"/>
          <w:szCs w:val="32"/>
        </w:rPr>
        <w:t>37</w:t>
      </w:r>
      <w:r>
        <w:rPr>
          <w:sz w:val="32"/>
          <w:szCs w:val="32"/>
        </w:rPr>
        <w:fldChar w:fldCharType="end"/>
      </w:r>
      <w:r>
        <w:rPr>
          <w:sz w:val="32"/>
          <w:szCs w:val="32"/>
        </w:rPr>
        <w:fldChar w:fldCharType="end"/>
      </w:r>
    </w:p>
    <w:p w14:paraId="56E4AEAD">
      <w:pPr>
        <w:pStyle w:val="8"/>
        <w:tabs>
          <w:tab w:val="left" w:pos="1260"/>
          <w:tab w:val="right" w:leader="dot" w:pos="8296"/>
        </w:tabs>
        <w:rPr>
          <w:rFonts w:asciiTheme="minorHAnsi" w:hAnsiTheme="minorHAnsi" w:eastAsiaTheme="minorEastAsia" w:cstheme="minorBidi"/>
          <w:sz w:val="32"/>
          <w:szCs w:val="32"/>
        </w:rPr>
      </w:pPr>
      <w:r>
        <w:fldChar w:fldCharType="begin"/>
      </w:r>
      <w:r>
        <w:instrText xml:space="preserve"> HYPERLINK \l "_Toc218241055" </w:instrText>
      </w:r>
      <w:r>
        <w:fldChar w:fldCharType="separate"/>
      </w:r>
      <w:r>
        <w:rPr>
          <w:rStyle w:val="14"/>
          <w:rFonts w:hint="eastAsia" w:eastAsia="方正大标宋简体"/>
          <w:sz w:val="32"/>
          <w:szCs w:val="32"/>
        </w:rPr>
        <w:t>第三篇</w:t>
      </w:r>
      <w:r>
        <w:rPr>
          <w:rFonts w:asciiTheme="minorHAnsi" w:hAnsiTheme="minorHAnsi" w:eastAsiaTheme="minorEastAsia" w:cstheme="minorBidi"/>
          <w:sz w:val="32"/>
          <w:szCs w:val="32"/>
        </w:rPr>
        <w:tab/>
      </w:r>
      <w:r>
        <w:rPr>
          <w:rStyle w:val="14"/>
          <w:rFonts w:hint="eastAsia" w:eastAsia="方正大标宋简体"/>
          <w:sz w:val="32"/>
          <w:szCs w:val="32"/>
        </w:rPr>
        <w:t>数字赋能</w:t>
      </w:r>
      <w:r>
        <w:rPr>
          <w:rStyle w:val="14"/>
          <w:rFonts w:eastAsia="方正大标宋简体"/>
          <w:sz w:val="32"/>
          <w:szCs w:val="32"/>
        </w:rPr>
        <w:t xml:space="preserve">  </w:t>
      </w:r>
      <w:r>
        <w:rPr>
          <w:rStyle w:val="14"/>
          <w:rFonts w:hint="eastAsia" w:eastAsia="方正大标宋简体"/>
          <w:sz w:val="32"/>
          <w:szCs w:val="32"/>
        </w:rPr>
        <w:t>加快推进数字理塘建设</w:t>
      </w:r>
      <w:r>
        <w:rPr>
          <w:sz w:val="32"/>
          <w:szCs w:val="32"/>
        </w:rPr>
        <w:tab/>
      </w:r>
      <w:r>
        <w:rPr>
          <w:sz w:val="32"/>
          <w:szCs w:val="32"/>
        </w:rPr>
        <w:fldChar w:fldCharType="begin"/>
      </w:r>
      <w:r>
        <w:rPr>
          <w:sz w:val="32"/>
          <w:szCs w:val="32"/>
        </w:rPr>
        <w:instrText xml:space="preserve"> PAGEREF _Toc218241055 \h </w:instrText>
      </w:r>
      <w:r>
        <w:rPr>
          <w:sz w:val="32"/>
          <w:szCs w:val="32"/>
        </w:rPr>
        <w:fldChar w:fldCharType="separate"/>
      </w:r>
      <w:r>
        <w:rPr>
          <w:sz w:val="32"/>
          <w:szCs w:val="32"/>
        </w:rPr>
        <w:t>37</w:t>
      </w:r>
      <w:r>
        <w:rPr>
          <w:sz w:val="32"/>
          <w:szCs w:val="32"/>
        </w:rPr>
        <w:fldChar w:fldCharType="end"/>
      </w:r>
      <w:r>
        <w:rPr>
          <w:sz w:val="32"/>
          <w:szCs w:val="32"/>
        </w:rPr>
        <w:fldChar w:fldCharType="end"/>
      </w:r>
    </w:p>
    <w:p w14:paraId="083112D4">
      <w:pPr>
        <w:pStyle w:val="9"/>
        <w:tabs>
          <w:tab w:val="left" w:pos="1680"/>
          <w:tab w:val="right" w:leader="dot" w:pos="8296"/>
        </w:tabs>
        <w:rPr>
          <w:rFonts w:asciiTheme="minorHAnsi" w:hAnsiTheme="minorHAnsi" w:eastAsiaTheme="minorEastAsia" w:cstheme="minorBidi"/>
          <w:sz w:val="32"/>
          <w:szCs w:val="32"/>
        </w:rPr>
      </w:pPr>
      <w:r>
        <w:fldChar w:fldCharType="begin"/>
      </w:r>
      <w:r>
        <w:instrText xml:space="preserve"> HYPERLINK \l "_Toc218241056" </w:instrText>
      </w:r>
      <w:r>
        <w:fldChar w:fldCharType="separate"/>
      </w:r>
      <w:r>
        <w:rPr>
          <w:rStyle w:val="14"/>
          <w:rFonts w:hint="eastAsia" w:eastAsia="黑体"/>
          <w:bCs/>
          <w:kern w:val="0"/>
          <w:sz w:val="32"/>
          <w:szCs w:val="32"/>
        </w:rPr>
        <w:t>第八章</w:t>
      </w:r>
      <w:r>
        <w:rPr>
          <w:rFonts w:asciiTheme="minorHAnsi" w:hAnsiTheme="minorHAnsi" w:eastAsiaTheme="minorEastAsia" w:cstheme="minorBidi"/>
          <w:sz w:val="32"/>
          <w:szCs w:val="32"/>
        </w:rPr>
        <w:tab/>
      </w:r>
      <w:r>
        <w:rPr>
          <w:rStyle w:val="14"/>
          <w:rFonts w:hint="eastAsia" w:eastAsia="黑体"/>
          <w:bCs/>
          <w:kern w:val="0"/>
          <w:sz w:val="32"/>
          <w:szCs w:val="32"/>
        </w:rPr>
        <w:t>布局完善云网基础设施</w:t>
      </w:r>
      <w:r>
        <w:rPr>
          <w:sz w:val="32"/>
          <w:szCs w:val="32"/>
        </w:rPr>
        <w:tab/>
      </w:r>
      <w:r>
        <w:rPr>
          <w:sz w:val="32"/>
          <w:szCs w:val="32"/>
        </w:rPr>
        <w:fldChar w:fldCharType="begin"/>
      </w:r>
      <w:r>
        <w:rPr>
          <w:sz w:val="32"/>
          <w:szCs w:val="32"/>
        </w:rPr>
        <w:instrText xml:space="preserve"> PAGEREF _Toc218241056 \h </w:instrText>
      </w:r>
      <w:r>
        <w:rPr>
          <w:sz w:val="32"/>
          <w:szCs w:val="32"/>
        </w:rPr>
        <w:fldChar w:fldCharType="separate"/>
      </w:r>
      <w:r>
        <w:rPr>
          <w:sz w:val="32"/>
          <w:szCs w:val="32"/>
        </w:rPr>
        <w:t>37</w:t>
      </w:r>
      <w:r>
        <w:rPr>
          <w:sz w:val="32"/>
          <w:szCs w:val="32"/>
        </w:rPr>
        <w:fldChar w:fldCharType="end"/>
      </w:r>
      <w:r>
        <w:rPr>
          <w:sz w:val="32"/>
          <w:szCs w:val="32"/>
        </w:rPr>
        <w:fldChar w:fldCharType="end"/>
      </w:r>
    </w:p>
    <w:p w14:paraId="5FF970F6">
      <w:pPr>
        <w:pStyle w:val="6"/>
        <w:tabs>
          <w:tab w:val="left" w:pos="2100"/>
          <w:tab w:val="right" w:leader="dot" w:pos="8296"/>
        </w:tabs>
        <w:rPr>
          <w:rFonts w:asciiTheme="minorHAnsi" w:hAnsiTheme="minorHAnsi" w:eastAsiaTheme="minorEastAsia" w:cstheme="minorBidi"/>
          <w:sz w:val="32"/>
          <w:szCs w:val="32"/>
        </w:rPr>
      </w:pPr>
      <w:r>
        <w:fldChar w:fldCharType="begin"/>
      </w:r>
      <w:r>
        <w:instrText xml:space="preserve"> HYPERLINK \l "_Toc218241057" </w:instrText>
      </w:r>
      <w:r>
        <w:fldChar w:fldCharType="separate"/>
      </w:r>
      <w:r>
        <w:rPr>
          <w:rStyle w:val="14"/>
          <w:rFonts w:hint="eastAsia" w:eastAsia="楷体_GB2312"/>
          <w:kern w:val="0"/>
          <w:sz w:val="32"/>
          <w:szCs w:val="32"/>
        </w:rPr>
        <w:t>第一节</w:t>
      </w:r>
      <w:r>
        <w:rPr>
          <w:rFonts w:asciiTheme="minorHAnsi" w:hAnsiTheme="minorHAnsi" w:eastAsiaTheme="minorEastAsia" w:cstheme="minorBidi"/>
          <w:sz w:val="32"/>
          <w:szCs w:val="32"/>
        </w:rPr>
        <w:tab/>
      </w:r>
      <w:r>
        <w:rPr>
          <w:rStyle w:val="14"/>
          <w:rFonts w:hint="eastAsia" w:eastAsia="楷体_GB2312"/>
          <w:kern w:val="0"/>
          <w:sz w:val="32"/>
          <w:szCs w:val="32"/>
        </w:rPr>
        <w:t>推进全域</w:t>
      </w:r>
      <w:r>
        <w:rPr>
          <w:rStyle w:val="14"/>
          <w:rFonts w:eastAsia="楷体_GB2312"/>
          <w:kern w:val="0"/>
          <w:sz w:val="32"/>
          <w:szCs w:val="32"/>
        </w:rPr>
        <w:t>5G</w:t>
      </w:r>
      <w:r>
        <w:rPr>
          <w:rStyle w:val="14"/>
          <w:rFonts w:hint="eastAsia" w:eastAsia="楷体_GB2312"/>
          <w:kern w:val="0"/>
          <w:sz w:val="32"/>
          <w:szCs w:val="32"/>
        </w:rPr>
        <w:t>网络覆盖</w:t>
      </w:r>
      <w:r>
        <w:rPr>
          <w:sz w:val="32"/>
          <w:szCs w:val="32"/>
        </w:rPr>
        <w:tab/>
      </w:r>
      <w:r>
        <w:rPr>
          <w:sz w:val="32"/>
          <w:szCs w:val="32"/>
        </w:rPr>
        <w:fldChar w:fldCharType="begin"/>
      </w:r>
      <w:r>
        <w:rPr>
          <w:sz w:val="32"/>
          <w:szCs w:val="32"/>
        </w:rPr>
        <w:instrText xml:space="preserve"> PAGEREF _Toc218241057 \h </w:instrText>
      </w:r>
      <w:r>
        <w:rPr>
          <w:sz w:val="32"/>
          <w:szCs w:val="32"/>
        </w:rPr>
        <w:fldChar w:fldCharType="separate"/>
      </w:r>
      <w:r>
        <w:rPr>
          <w:sz w:val="32"/>
          <w:szCs w:val="32"/>
        </w:rPr>
        <w:t>37</w:t>
      </w:r>
      <w:r>
        <w:rPr>
          <w:sz w:val="32"/>
          <w:szCs w:val="32"/>
        </w:rPr>
        <w:fldChar w:fldCharType="end"/>
      </w:r>
      <w:r>
        <w:rPr>
          <w:sz w:val="32"/>
          <w:szCs w:val="32"/>
        </w:rPr>
        <w:fldChar w:fldCharType="end"/>
      </w:r>
    </w:p>
    <w:p w14:paraId="7F46D849">
      <w:pPr>
        <w:pStyle w:val="6"/>
        <w:tabs>
          <w:tab w:val="left" w:pos="2100"/>
          <w:tab w:val="right" w:leader="dot" w:pos="8296"/>
        </w:tabs>
        <w:rPr>
          <w:rFonts w:asciiTheme="minorHAnsi" w:hAnsiTheme="minorHAnsi" w:eastAsiaTheme="minorEastAsia" w:cstheme="minorBidi"/>
          <w:sz w:val="32"/>
          <w:szCs w:val="32"/>
        </w:rPr>
      </w:pPr>
      <w:r>
        <w:fldChar w:fldCharType="begin"/>
      </w:r>
      <w:r>
        <w:instrText xml:space="preserve"> HYPERLINK \l "_Toc218241058" </w:instrText>
      </w:r>
      <w:r>
        <w:fldChar w:fldCharType="separate"/>
      </w:r>
      <w:r>
        <w:rPr>
          <w:rStyle w:val="14"/>
          <w:rFonts w:hint="eastAsia" w:eastAsia="楷体_GB2312"/>
          <w:kern w:val="0"/>
          <w:sz w:val="32"/>
          <w:szCs w:val="32"/>
        </w:rPr>
        <w:t>第二节</w:t>
      </w:r>
      <w:r>
        <w:rPr>
          <w:rFonts w:asciiTheme="minorHAnsi" w:hAnsiTheme="minorHAnsi" w:eastAsiaTheme="minorEastAsia" w:cstheme="minorBidi"/>
          <w:sz w:val="32"/>
          <w:szCs w:val="32"/>
        </w:rPr>
        <w:tab/>
      </w:r>
      <w:r>
        <w:rPr>
          <w:rStyle w:val="14"/>
          <w:rFonts w:hint="eastAsia" w:eastAsia="楷体_GB2312"/>
          <w:kern w:val="0"/>
          <w:sz w:val="32"/>
          <w:szCs w:val="32"/>
        </w:rPr>
        <w:t>建设数据中心与计算节点</w:t>
      </w:r>
      <w:r>
        <w:rPr>
          <w:sz w:val="32"/>
          <w:szCs w:val="32"/>
        </w:rPr>
        <w:tab/>
      </w:r>
      <w:r>
        <w:rPr>
          <w:sz w:val="32"/>
          <w:szCs w:val="32"/>
        </w:rPr>
        <w:fldChar w:fldCharType="begin"/>
      </w:r>
      <w:r>
        <w:rPr>
          <w:sz w:val="32"/>
          <w:szCs w:val="32"/>
        </w:rPr>
        <w:instrText xml:space="preserve"> PAGEREF _Toc218241058 \h </w:instrText>
      </w:r>
      <w:r>
        <w:rPr>
          <w:sz w:val="32"/>
          <w:szCs w:val="32"/>
        </w:rPr>
        <w:fldChar w:fldCharType="separate"/>
      </w:r>
      <w:r>
        <w:rPr>
          <w:sz w:val="32"/>
          <w:szCs w:val="32"/>
        </w:rPr>
        <w:t>38</w:t>
      </w:r>
      <w:r>
        <w:rPr>
          <w:sz w:val="32"/>
          <w:szCs w:val="32"/>
        </w:rPr>
        <w:fldChar w:fldCharType="end"/>
      </w:r>
      <w:r>
        <w:rPr>
          <w:sz w:val="32"/>
          <w:szCs w:val="32"/>
        </w:rPr>
        <w:fldChar w:fldCharType="end"/>
      </w:r>
    </w:p>
    <w:p w14:paraId="18F4C23B">
      <w:pPr>
        <w:pStyle w:val="6"/>
        <w:tabs>
          <w:tab w:val="left" w:pos="2100"/>
          <w:tab w:val="right" w:leader="dot" w:pos="8296"/>
        </w:tabs>
        <w:rPr>
          <w:rFonts w:asciiTheme="minorHAnsi" w:hAnsiTheme="minorHAnsi" w:eastAsiaTheme="minorEastAsia" w:cstheme="minorBidi"/>
          <w:sz w:val="32"/>
          <w:szCs w:val="32"/>
        </w:rPr>
      </w:pPr>
      <w:r>
        <w:fldChar w:fldCharType="begin"/>
      </w:r>
      <w:r>
        <w:instrText xml:space="preserve"> HYPERLINK \l "_Toc218241059" </w:instrText>
      </w:r>
      <w:r>
        <w:fldChar w:fldCharType="separate"/>
      </w:r>
      <w:r>
        <w:rPr>
          <w:rStyle w:val="14"/>
          <w:rFonts w:hint="eastAsia" w:eastAsia="楷体_GB2312"/>
          <w:kern w:val="0"/>
          <w:sz w:val="32"/>
          <w:szCs w:val="32"/>
        </w:rPr>
        <w:t>第三节</w:t>
      </w:r>
      <w:r>
        <w:rPr>
          <w:rFonts w:asciiTheme="minorHAnsi" w:hAnsiTheme="minorHAnsi" w:eastAsiaTheme="minorEastAsia" w:cstheme="minorBidi"/>
          <w:sz w:val="32"/>
          <w:szCs w:val="32"/>
        </w:rPr>
        <w:tab/>
      </w:r>
      <w:r>
        <w:rPr>
          <w:rStyle w:val="14"/>
          <w:rFonts w:hint="eastAsia" w:eastAsia="楷体_GB2312"/>
          <w:kern w:val="0"/>
          <w:sz w:val="32"/>
          <w:szCs w:val="32"/>
        </w:rPr>
        <w:t>促进融合基础设施建设</w:t>
      </w:r>
      <w:r>
        <w:rPr>
          <w:sz w:val="32"/>
          <w:szCs w:val="32"/>
        </w:rPr>
        <w:tab/>
      </w:r>
      <w:r>
        <w:rPr>
          <w:sz w:val="32"/>
          <w:szCs w:val="32"/>
        </w:rPr>
        <w:fldChar w:fldCharType="begin"/>
      </w:r>
      <w:r>
        <w:rPr>
          <w:sz w:val="32"/>
          <w:szCs w:val="32"/>
        </w:rPr>
        <w:instrText xml:space="preserve"> PAGEREF _Toc218241059 \h </w:instrText>
      </w:r>
      <w:r>
        <w:rPr>
          <w:sz w:val="32"/>
          <w:szCs w:val="32"/>
        </w:rPr>
        <w:fldChar w:fldCharType="separate"/>
      </w:r>
      <w:r>
        <w:rPr>
          <w:sz w:val="32"/>
          <w:szCs w:val="32"/>
        </w:rPr>
        <w:t>38</w:t>
      </w:r>
      <w:r>
        <w:rPr>
          <w:sz w:val="32"/>
          <w:szCs w:val="32"/>
        </w:rPr>
        <w:fldChar w:fldCharType="end"/>
      </w:r>
      <w:r>
        <w:rPr>
          <w:sz w:val="32"/>
          <w:szCs w:val="32"/>
        </w:rPr>
        <w:fldChar w:fldCharType="end"/>
      </w:r>
    </w:p>
    <w:p w14:paraId="3E22E2C5">
      <w:pPr>
        <w:pStyle w:val="9"/>
        <w:tabs>
          <w:tab w:val="left" w:pos="1680"/>
          <w:tab w:val="right" w:leader="dot" w:pos="8296"/>
        </w:tabs>
        <w:rPr>
          <w:rFonts w:asciiTheme="minorHAnsi" w:hAnsiTheme="minorHAnsi" w:eastAsiaTheme="minorEastAsia" w:cstheme="minorBidi"/>
          <w:sz w:val="32"/>
          <w:szCs w:val="32"/>
        </w:rPr>
      </w:pPr>
      <w:r>
        <w:fldChar w:fldCharType="begin"/>
      </w:r>
      <w:r>
        <w:instrText xml:space="preserve"> HYPERLINK \l "_Toc218241060" </w:instrText>
      </w:r>
      <w:r>
        <w:fldChar w:fldCharType="separate"/>
      </w:r>
      <w:r>
        <w:rPr>
          <w:rStyle w:val="14"/>
          <w:rFonts w:hint="eastAsia" w:eastAsia="黑体"/>
          <w:bCs/>
          <w:kern w:val="0"/>
          <w:sz w:val="32"/>
          <w:szCs w:val="32"/>
        </w:rPr>
        <w:t>第九章</w:t>
      </w:r>
      <w:r>
        <w:rPr>
          <w:rFonts w:asciiTheme="minorHAnsi" w:hAnsiTheme="minorHAnsi" w:eastAsiaTheme="minorEastAsia" w:cstheme="minorBidi"/>
          <w:sz w:val="32"/>
          <w:szCs w:val="32"/>
        </w:rPr>
        <w:tab/>
      </w:r>
      <w:r>
        <w:rPr>
          <w:rStyle w:val="14"/>
          <w:rFonts w:hint="eastAsia" w:eastAsia="黑体"/>
          <w:bCs/>
          <w:kern w:val="0"/>
          <w:sz w:val="32"/>
          <w:szCs w:val="32"/>
        </w:rPr>
        <w:t>加速释放数据要素价值</w:t>
      </w:r>
      <w:r>
        <w:rPr>
          <w:sz w:val="32"/>
          <w:szCs w:val="32"/>
        </w:rPr>
        <w:tab/>
      </w:r>
      <w:r>
        <w:rPr>
          <w:sz w:val="32"/>
          <w:szCs w:val="32"/>
        </w:rPr>
        <w:fldChar w:fldCharType="begin"/>
      </w:r>
      <w:r>
        <w:rPr>
          <w:sz w:val="32"/>
          <w:szCs w:val="32"/>
        </w:rPr>
        <w:instrText xml:space="preserve"> PAGEREF _Toc218241060 \h </w:instrText>
      </w:r>
      <w:r>
        <w:rPr>
          <w:sz w:val="32"/>
          <w:szCs w:val="32"/>
        </w:rPr>
        <w:fldChar w:fldCharType="separate"/>
      </w:r>
      <w:r>
        <w:rPr>
          <w:sz w:val="32"/>
          <w:szCs w:val="32"/>
        </w:rPr>
        <w:t>39</w:t>
      </w:r>
      <w:r>
        <w:rPr>
          <w:sz w:val="32"/>
          <w:szCs w:val="32"/>
        </w:rPr>
        <w:fldChar w:fldCharType="end"/>
      </w:r>
      <w:r>
        <w:rPr>
          <w:sz w:val="32"/>
          <w:szCs w:val="32"/>
        </w:rPr>
        <w:fldChar w:fldCharType="end"/>
      </w:r>
    </w:p>
    <w:p w14:paraId="4BFE83AF">
      <w:pPr>
        <w:pStyle w:val="6"/>
        <w:tabs>
          <w:tab w:val="left" w:pos="2100"/>
          <w:tab w:val="right" w:leader="dot" w:pos="8296"/>
        </w:tabs>
        <w:rPr>
          <w:rFonts w:asciiTheme="minorHAnsi" w:hAnsiTheme="minorHAnsi" w:eastAsiaTheme="minorEastAsia" w:cstheme="minorBidi"/>
          <w:sz w:val="32"/>
          <w:szCs w:val="32"/>
        </w:rPr>
      </w:pPr>
      <w:r>
        <w:fldChar w:fldCharType="begin"/>
      </w:r>
      <w:r>
        <w:instrText xml:space="preserve"> HYPERLINK \l "_Toc218241061" </w:instrText>
      </w:r>
      <w:r>
        <w:fldChar w:fldCharType="separate"/>
      </w:r>
      <w:r>
        <w:rPr>
          <w:rStyle w:val="14"/>
          <w:rFonts w:hint="eastAsia" w:eastAsia="楷体_GB2312"/>
          <w:kern w:val="0"/>
          <w:sz w:val="32"/>
          <w:szCs w:val="32"/>
        </w:rPr>
        <w:t>第一节</w:t>
      </w:r>
      <w:r>
        <w:rPr>
          <w:rFonts w:asciiTheme="minorHAnsi" w:hAnsiTheme="minorHAnsi" w:eastAsiaTheme="minorEastAsia" w:cstheme="minorBidi"/>
          <w:sz w:val="32"/>
          <w:szCs w:val="32"/>
        </w:rPr>
        <w:tab/>
      </w:r>
      <w:r>
        <w:rPr>
          <w:rStyle w:val="14"/>
          <w:rFonts w:hint="eastAsia" w:eastAsia="楷体_GB2312"/>
          <w:kern w:val="0"/>
          <w:sz w:val="32"/>
          <w:szCs w:val="32"/>
        </w:rPr>
        <w:t>推进数据高质量供给</w:t>
      </w:r>
      <w:r>
        <w:rPr>
          <w:sz w:val="32"/>
          <w:szCs w:val="32"/>
        </w:rPr>
        <w:tab/>
      </w:r>
      <w:r>
        <w:rPr>
          <w:sz w:val="32"/>
          <w:szCs w:val="32"/>
        </w:rPr>
        <w:fldChar w:fldCharType="begin"/>
      </w:r>
      <w:r>
        <w:rPr>
          <w:sz w:val="32"/>
          <w:szCs w:val="32"/>
        </w:rPr>
        <w:instrText xml:space="preserve"> PAGEREF _Toc218241061 \h </w:instrText>
      </w:r>
      <w:r>
        <w:rPr>
          <w:sz w:val="32"/>
          <w:szCs w:val="32"/>
        </w:rPr>
        <w:fldChar w:fldCharType="separate"/>
      </w:r>
      <w:r>
        <w:rPr>
          <w:sz w:val="32"/>
          <w:szCs w:val="32"/>
        </w:rPr>
        <w:t>39</w:t>
      </w:r>
      <w:r>
        <w:rPr>
          <w:sz w:val="32"/>
          <w:szCs w:val="32"/>
        </w:rPr>
        <w:fldChar w:fldCharType="end"/>
      </w:r>
      <w:r>
        <w:rPr>
          <w:sz w:val="32"/>
          <w:szCs w:val="32"/>
        </w:rPr>
        <w:fldChar w:fldCharType="end"/>
      </w:r>
    </w:p>
    <w:p w14:paraId="4A580DFD">
      <w:pPr>
        <w:pStyle w:val="6"/>
        <w:tabs>
          <w:tab w:val="left" w:pos="2100"/>
          <w:tab w:val="right" w:leader="dot" w:pos="8296"/>
        </w:tabs>
        <w:rPr>
          <w:rFonts w:asciiTheme="minorHAnsi" w:hAnsiTheme="minorHAnsi" w:eastAsiaTheme="minorEastAsia" w:cstheme="minorBidi"/>
          <w:sz w:val="32"/>
          <w:szCs w:val="32"/>
        </w:rPr>
      </w:pPr>
      <w:r>
        <w:fldChar w:fldCharType="begin"/>
      </w:r>
      <w:r>
        <w:instrText xml:space="preserve"> HYPERLINK \l "_Toc218241062" </w:instrText>
      </w:r>
      <w:r>
        <w:fldChar w:fldCharType="separate"/>
      </w:r>
      <w:r>
        <w:rPr>
          <w:rStyle w:val="14"/>
          <w:rFonts w:hint="eastAsia" w:eastAsia="楷体_GB2312"/>
          <w:kern w:val="0"/>
          <w:sz w:val="32"/>
          <w:szCs w:val="32"/>
        </w:rPr>
        <w:t>第二节</w:t>
      </w:r>
      <w:r>
        <w:rPr>
          <w:rFonts w:asciiTheme="minorHAnsi" w:hAnsiTheme="minorHAnsi" w:eastAsiaTheme="minorEastAsia" w:cstheme="minorBidi"/>
          <w:sz w:val="32"/>
          <w:szCs w:val="32"/>
        </w:rPr>
        <w:tab/>
      </w:r>
      <w:r>
        <w:rPr>
          <w:rStyle w:val="14"/>
          <w:rFonts w:hint="eastAsia" w:eastAsia="楷体_GB2312"/>
          <w:kern w:val="0"/>
          <w:sz w:val="32"/>
          <w:szCs w:val="32"/>
        </w:rPr>
        <w:t>深化数据开发利用</w:t>
      </w:r>
      <w:r>
        <w:rPr>
          <w:sz w:val="32"/>
          <w:szCs w:val="32"/>
        </w:rPr>
        <w:tab/>
      </w:r>
      <w:r>
        <w:rPr>
          <w:sz w:val="32"/>
          <w:szCs w:val="32"/>
        </w:rPr>
        <w:fldChar w:fldCharType="begin"/>
      </w:r>
      <w:r>
        <w:rPr>
          <w:sz w:val="32"/>
          <w:szCs w:val="32"/>
        </w:rPr>
        <w:instrText xml:space="preserve"> PAGEREF _Toc218241062 \h </w:instrText>
      </w:r>
      <w:r>
        <w:rPr>
          <w:sz w:val="32"/>
          <w:szCs w:val="32"/>
        </w:rPr>
        <w:fldChar w:fldCharType="separate"/>
      </w:r>
      <w:r>
        <w:rPr>
          <w:sz w:val="32"/>
          <w:szCs w:val="32"/>
        </w:rPr>
        <w:t>39</w:t>
      </w:r>
      <w:r>
        <w:rPr>
          <w:sz w:val="32"/>
          <w:szCs w:val="32"/>
        </w:rPr>
        <w:fldChar w:fldCharType="end"/>
      </w:r>
      <w:r>
        <w:rPr>
          <w:sz w:val="32"/>
          <w:szCs w:val="32"/>
        </w:rPr>
        <w:fldChar w:fldCharType="end"/>
      </w:r>
    </w:p>
    <w:p w14:paraId="4C130F49">
      <w:pPr>
        <w:pStyle w:val="6"/>
        <w:tabs>
          <w:tab w:val="left" w:pos="2100"/>
          <w:tab w:val="right" w:leader="dot" w:pos="8296"/>
        </w:tabs>
        <w:rPr>
          <w:rFonts w:asciiTheme="minorHAnsi" w:hAnsiTheme="minorHAnsi" w:eastAsiaTheme="minorEastAsia" w:cstheme="minorBidi"/>
          <w:sz w:val="32"/>
          <w:szCs w:val="32"/>
        </w:rPr>
      </w:pPr>
      <w:r>
        <w:fldChar w:fldCharType="begin"/>
      </w:r>
      <w:r>
        <w:instrText xml:space="preserve"> HYPERLINK \l "_Toc218241063" </w:instrText>
      </w:r>
      <w:r>
        <w:fldChar w:fldCharType="separate"/>
      </w:r>
      <w:r>
        <w:rPr>
          <w:rStyle w:val="14"/>
          <w:rFonts w:hint="eastAsia" w:eastAsia="楷体_GB2312"/>
          <w:kern w:val="0"/>
          <w:sz w:val="32"/>
          <w:szCs w:val="32"/>
        </w:rPr>
        <w:t>第三节</w:t>
      </w:r>
      <w:r>
        <w:rPr>
          <w:rFonts w:asciiTheme="minorHAnsi" w:hAnsiTheme="minorHAnsi" w:eastAsiaTheme="minorEastAsia" w:cstheme="minorBidi"/>
          <w:sz w:val="32"/>
          <w:szCs w:val="32"/>
        </w:rPr>
        <w:tab/>
      </w:r>
      <w:r>
        <w:rPr>
          <w:rStyle w:val="14"/>
          <w:rFonts w:hint="eastAsia" w:eastAsia="楷体_GB2312"/>
          <w:kern w:val="0"/>
          <w:sz w:val="32"/>
          <w:szCs w:val="32"/>
        </w:rPr>
        <w:t>推进数据流通共享</w:t>
      </w:r>
      <w:r>
        <w:rPr>
          <w:sz w:val="32"/>
          <w:szCs w:val="32"/>
        </w:rPr>
        <w:tab/>
      </w:r>
      <w:r>
        <w:rPr>
          <w:sz w:val="32"/>
          <w:szCs w:val="32"/>
        </w:rPr>
        <w:fldChar w:fldCharType="begin"/>
      </w:r>
      <w:r>
        <w:rPr>
          <w:sz w:val="32"/>
          <w:szCs w:val="32"/>
        </w:rPr>
        <w:instrText xml:space="preserve"> PAGEREF _Toc218241063 \h </w:instrText>
      </w:r>
      <w:r>
        <w:rPr>
          <w:sz w:val="32"/>
          <w:szCs w:val="32"/>
        </w:rPr>
        <w:fldChar w:fldCharType="separate"/>
      </w:r>
      <w:r>
        <w:rPr>
          <w:sz w:val="32"/>
          <w:szCs w:val="32"/>
        </w:rPr>
        <w:t>40</w:t>
      </w:r>
      <w:r>
        <w:rPr>
          <w:sz w:val="32"/>
          <w:szCs w:val="32"/>
        </w:rPr>
        <w:fldChar w:fldCharType="end"/>
      </w:r>
      <w:r>
        <w:rPr>
          <w:sz w:val="32"/>
          <w:szCs w:val="32"/>
        </w:rPr>
        <w:fldChar w:fldCharType="end"/>
      </w:r>
    </w:p>
    <w:p w14:paraId="5CAA77A3">
      <w:pPr>
        <w:pStyle w:val="9"/>
        <w:tabs>
          <w:tab w:val="left" w:pos="1680"/>
          <w:tab w:val="right" w:leader="dot" w:pos="8296"/>
        </w:tabs>
        <w:rPr>
          <w:rFonts w:asciiTheme="minorHAnsi" w:hAnsiTheme="minorHAnsi" w:eastAsiaTheme="minorEastAsia" w:cstheme="minorBidi"/>
          <w:sz w:val="32"/>
          <w:szCs w:val="32"/>
        </w:rPr>
      </w:pPr>
      <w:r>
        <w:fldChar w:fldCharType="begin"/>
      </w:r>
      <w:r>
        <w:instrText xml:space="preserve"> HYPERLINK \l "_Toc218241064" </w:instrText>
      </w:r>
      <w:r>
        <w:fldChar w:fldCharType="separate"/>
      </w:r>
      <w:r>
        <w:rPr>
          <w:rStyle w:val="14"/>
          <w:rFonts w:hint="eastAsia" w:eastAsia="黑体"/>
          <w:bCs/>
          <w:kern w:val="0"/>
          <w:sz w:val="32"/>
          <w:szCs w:val="32"/>
        </w:rPr>
        <w:t>第十章</w:t>
      </w:r>
      <w:r>
        <w:rPr>
          <w:rFonts w:asciiTheme="minorHAnsi" w:hAnsiTheme="minorHAnsi" w:eastAsiaTheme="minorEastAsia" w:cstheme="minorBidi"/>
          <w:sz w:val="32"/>
          <w:szCs w:val="32"/>
        </w:rPr>
        <w:tab/>
      </w:r>
      <w:r>
        <w:rPr>
          <w:rStyle w:val="14"/>
          <w:rFonts w:hint="eastAsia" w:eastAsia="黑体"/>
          <w:bCs/>
          <w:kern w:val="0"/>
          <w:sz w:val="32"/>
          <w:szCs w:val="32"/>
        </w:rPr>
        <w:t>推进全域数字化转型</w:t>
      </w:r>
      <w:r>
        <w:rPr>
          <w:sz w:val="32"/>
          <w:szCs w:val="32"/>
        </w:rPr>
        <w:tab/>
      </w:r>
      <w:r>
        <w:rPr>
          <w:sz w:val="32"/>
          <w:szCs w:val="32"/>
        </w:rPr>
        <w:fldChar w:fldCharType="begin"/>
      </w:r>
      <w:r>
        <w:rPr>
          <w:sz w:val="32"/>
          <w:szCs w:val="32"/>
        </w:rPr>
        <w:instrText xml:space="preserve"> PAGEREF _Toc218241064 \h </w:instrText>
      </w:r>
      <w:r>
        <w:rPr>
          <w:sz w:val="32"/>
          <w:szCs w:val="32"/>
        </w:rPr>
        <w:fldChar w:fldCharType="separate"/>
      </w:r>
      <w:r>
        <w:rPr>
          <w:sz w:val="32"/>
          <w:szCs w:val="32"/>
        </w:rPr>
        <w:t>40</w:t>
      </w:r>
      <w:r>
        <w:rPr>
          <w:sz w:val="32"/>
          <w:szCs w:val="32"/>
        </w:rPr>
        <w:fldChar w:fldCharType="end"/>
      </w:r>
      <w:r>
        <w:rPr>
          <w:sz w:val="32"/>
          <w:szCs w:val="32"/>
        </w:rPr>
        <w:fldChar w:fldCharType="end"/>
      </w:r>
    </w:p>
    <w:p w14:paraId="51EED824">
      <w:pPr>
        <w:pStyle w:val="6"/>
        <w:tabs>
          <w:tab w:val="left" w:pos="2100"/>
          <w:tab w:val="right" w:leader="dot" w:pos="8296"/>
        </w:tabs>
        <w:rPr>
          <w:rFonts w:asciiTheme="minorHAnsi" w:hAnsiTheme="minorHAnsi" w:eastAsiaTheme="minorEastAsia" w:cstheme="minorBidi"/>
          <w:sz w:val="32"/>
          <w:szCs w:val="32"/>
        </w:rPr>
      </w:pPr>
      <w:r>
        <w:fldChar w:fldCharType="begin"/>
      </w:r>
      <w:r>
        <w:instrText xml:space="preserve"> HYPERLINK \l "_Toc218241065" </w:instrText>
      </w:r>
      <w:r>
        <w:fldChar w:fldCharType="separate"/>
      </w:r>
      <w:r>
        <w:rPr>
          <w:rStyle w:val="14"/>
          <w:rFonts w:hint="eastAsia" w:eastAsia="楷体_GB2312"/>
          <w:sz w:val="32"/>
          <w:szCs w:val="32"/>
        </w:rPr>
        <w:t>第一节</w:t>
      </w:r>
      <w:r>
        <w:rPr>
          <w:rFonts w:asciiTheme="minorHAnsi" w:hAnsiTheme="minorHAnsi" w:eastAsiaTheme="minorEastAsia" w:cstheme="minorBidi"/>
          <w:sz w:val="32"/>
          <w:szCs w:val="32"/>
        </w:rPr>
        <w:tab/>
      </w:r>
      <w:r>
        <w:rPr>
          <w:rStyle w:val="14"/>
          <w:rFonts w:hint="eastAsia" w:eastAsia="楷体_GB2312"/>
          <w:kern w:val="0"/>
          <w:sz w:val="32"/>
          <w:szCs w:val="32"/>
        </w:rPr>
        <w:t>促进数实深度融合</w:t>
      </w:r>
      <w:r>
        <w:rPr>
          <w:sz w:val="32"/>
          <w:szCs w:val="32"/>
        </w:rPr>
        <w:tab/>
      </w:r>
      <w:r>
        <w:rPr>
          <w:sz w:val="32"/>
          <w:szCs w:val="32"/>
        </w:rPr>
        <w:fldChar w:fldCharType="begin"/>
      </w:r>
      <w:r>
        <w:rPr>
          <w:sz w:val="32"/>
          <w:szCs w:val="32"/>
        </w:rPr>
        <w:instrText xml:space="preserve"> PAGEREF _Toc218241065 \h </w:instrText>
      </w:r>
      <w:r>
        <w:rPr>
          <w:sz w:val="32"/>
          <w:szCs w:val="32"/>
        </w:rPr>
        <w:fldChar w:fldCharType="separate"/>
      </w:r>
      <w:r>
        <w:rPr>
          <w:sz w:val="32"/>
          <w:szCs w:val="32"/>
        </w:rPr>
        <w:t>40</w:t>
      </w:r>
      <w:r>
        <w:rPr>
          <w:sz w:val="32"/>
          <w:szCs w:val="32"/>
        </w:rPr>
        <w:fldChar w:fldCharType="end"/>
      </w:r>
      <w:r>
        <w:rPr>
          <w:sz w:val="32"/>
          <w:szCs w:val="32"/>
        </w:rPr>
        <w:fldChar w:fldCharType="end"/>
      </w:r>
    </w:p>
    <w:p w14:paraId="29AB2D51">
      <w:pPr>
        <w:pStyle w:val="6"/>
        <w:tabs>
          <w:tab w:val="right" w:leader="dot" w:pos="8296"/>
        </w:tabs>
        <w:rPr>
          <w:rFonts w:asciiTheme="minorHAnsi" w:hAnsiTheme="minorHAnsi" w:eastAsiaTheme="minorEastAsia" w:cstheme="minorBidi"/>
          <w:sz w:val="32"/>
          <w:szCs w:val="32"/>
        </w:rPr>
      </w:pPr>
      <w:r>
        <w:fldChar w:fldCharType="begin"/>
      </w:r>
      <w:r>
        <w:instrText xml:space="preserve"> HYPERLINK \l "_Toc218241066" </w:instrText>
      </w:r>
      <w:r>
        <w:fldChar w:fldCharType="separate"/>
      </w:r>
      <w:r>
        <w:rPr>
          <w:rStyle w:val="14"/>
          <w:rFonts w:hint="eastAsia" w:eastAsia="楷体_GB2312"/>
          <w:kern w:val="0"/>
          <w:sz w:val="32"/>
          <w:szCs w:val="32"/>
        </w:rPr>
        <w:t>第二节</w:t>
      </w:r>
      <w:r>
        <w:rPr>
          <w:rStyle w:val="14"/>
          <w:rFonts w:eastAsia="楷体_GB2312"/>
          <w:kern w:val="0"/>
          <w:sz w:val="32"/>
          <w:szCs w:val="32"/>
        </w:rPr>
        <w:t xml:space="preserve">  </w:t>
      </w:r>
      <w:r>
        <w:rPr>
          <w:rStyle w:val="14"/>
          <w:rFonts w:hint="eastAsia" w:eastAsia="楷体_GB2312"/>
          <w:kern w:val="0"/>
          <w:sz w:val="32"/>
          <w:szCs w:val="32"/>
        </w:rPr>
        <w:t>推进数字政府建设</w:t>
      </w:r>
      <w:r>
        <w:rPr>
          <w:sz w:val="32"/>
          <w:szCs w:val="32"/>
        </w:rPr>
        <w:tab/>
      </w:r>
      <w:r>
        <w:rPr>
          <w:sz w:val="32"/>
          <w:szCs w:val="32"/>
        </w:rPr>
        <w:fldChar w:fldCharType="begin"/>
      </w:r>
      <w:r>
        <w:rPr>
          <w:sz w:val="32"/>
          <w:szCs w:val="32"/>
        </w:rPr>
        <w:instrText xml:space="preserve"> PAGEREF _Toc218241066 \h </w:instrText>
      </w:r>
      <w:r>
        <w:rPr>
          <w:sz w:val="32"/>
          <w:szCs w:val="32"/>
        </w:rPr>
        <w:fldChar w:fldCharType="separate"/>
      </w:r>
      <w:r>
        <w:rPr>
          <w:sz w:val="32"/>
          <w:szCs w:val="32"/>
        </w:rPr>
        <w:t>41</w:t>
      </w:r>
      <w:r>
        <w:rPr>
          <w:sz w:val="32"/>
          <w:szCs w:val="32"/>
        </w:rPr>
        <w:fldChar w:fldCharType="end"/>
      </w:r>
      <w:r>
        <w:rPr>
          <w:sz w:val="32"/>
          <w:szCs w:val="32"/>
        </w:rPr>
        <w:fldChar w:fldCharType="end"/>
      </w:r>
    </w:p>
    <w:p w14:paraId="5B487B64">
      <w:pPr>
        <w:pStyle w:val="6"/>
        <w:tabs>
          <w:tab w:val="right" w:leader="dot" w:pos="8296"/>
        </w:tabs>
        <w:rPr>
          <w:rFonts w:asciiTheme="minorHAnsi" w:hAnsiTheme="minorHAnsi" w:eastAsiaTheme="minorEastAsia" w:cstheme="minorBidi"/>
          <w:sz w:val="32"/>
          <w:szCs w:val="32"/>
        </w:rPr>
      </w:pPr>
      <w:r>
        <w:fldChar w:fldCharType="begin"/>
      </w:r>
      <w:r>
        <w:instrText xml:space="preserve"> HYPERLINK \l "_Toc218241067" </w:instrText>
      </w:r>
      <w:r>
        <w:fldChar w:fldCharType="separate"/>
      </w:r>
      <w:r>
        <w:rPr>
          <w:rStyle w:val="14"/>
          <w:rFonts w:hint="eastAsia" w:eastAsia="楷体_GB2312"/>
          <w:kern w:val="0"/>
          <w:sz w:val="32"/>
          <w:szCs w:val="32"/>
        </w:rPr>
        <w:t>第三节</w:t>
      </w:r>
      <w:r>
        <w:rPr>
          <w:rStyle w:val="14"/>
          <w:rFonts w:eastAsia="楷体_GB2312"/>
          <w:kern w:val="0"/>
          <w:sz w:val="32"/>
          <w:szCs w:val="32"/>
        </w:rPr>
        <w:t xml:space="preserve">  </w:t>
      </w:r>
      <w:r>
        <w:rPr>
          <w:rStyle w:val="14"/>
          <w:rFonts w:hint="eastAsia" w:eastAsia="楷体_GB2312"/>
          <w:kern w:val="0"/>
          <w:sz w:val="32"/>
          <w:szCs w:val="32"/>
        </w:rPr>
        <w:t>加快建设数字社会</w:t>
      </w:r>
      <w:r>
        <w:rPr>
          <w:sz w:val="32"/>
          <w:szCs w:val="32"/>
        </w:rPr>
        <w:tab/>
      </w:r>
      <w:r>
        <w:rPr>
          <w:sz w:val="32"/>
          <w:szCs w:val="32"/>
        </w:rPr>
        <w:fldChar w:fldCharType="begin"/>
      </w:r>
      <w:r>
        <w:rPr>
          <w:sz w:val="32"/>
          <w:szCs w:val="32"/>
        </w:rPr>
        <w:instrText xml:space="preserve"> PAGEREF _Toc218241067 \h </w:instrText>
      </w:r>
      <w:r>
        <w:rPr>
          <w:sz w:val="32"/>
          <w:szCs w:val="32"/>
        </w:rPr>
        <w:fldChar w:fldCharType="separate"/>
      </w:r>
      <w:r>
        <w:rPr>
          <w:sz w:val="32"/>
          <w:szCs w:val="32"/>
        </w:rPr>
        <w:t>41</w:t>
      </w:r>
      <w:r>
        <w:rPr>
          <w:sz w:val="32"/>
          <w:szCs w:val="32"/>
        </w:rPr>
        <w:fldChar w:fldCharType="end"/>
      </w:r>
      <w:r>
        <w:rPr>
          <w:sz w:val="32"/>
          <w:szCs w:val="32"/>
        </w:rPr>
        <w:fldChar w:fldCharType="end"/>
      </w:r>
    </w:p>
    <w:p w14:paraId="2B191766">
      <w:pPr>
        <w:pStyle w:val="6"/>
        <w:tabs>
          <w:tab w:val="left" w:pos="2100"/>
          <w:tab w:val="right" w:leader="dot" w:pos="8296"/>
        </w:tabs>
        <w:rPr>
          <w:rFonts w:asciiTheme="minorHAnsi" w:hAnsiTheme="minorHAnsi" w:eastAsiaTheme="minorEastAsia" w:cstheme="minorBidi"/>
          <w:sz w:val="32"/>
          <w:szCs w:val="32"/>
        </w:rPr>
      </w:pPr>
      <w:r>
        <w:fldChar w:fldCharType="begin"/>
      </w:r>
      <w:r>
        <w:instrText xml:space="preserve"> HYPERLINK \l "_Toc218241068" </w:instrText>
      </w:r>
      <w:r>
        <w:fldChar w:fldCharType="separate"/>
      </w:r>
      <w:r>
        <w:rPr>
          <w:rStyle w:val="14"/>
          <w:rFonts w:hint="eastAsia" w:eastAsia="楷体_GB2312"/>
          <w:sz w:val="32"/>
          <w:szCs w:val="32"/>
        </w:rPr>
        <w:t>第四节</w:t>
      </w:r>
      <w:r>
        <w:rPr>
          <w:rFonts w:asciiTheme="minorHAnsi" w:hAnsiTheme="minorHAnsi" w:eastAsiaTheme="minorEastAsia" w:cstheme="minorBidi"/>
          <w:sz w:val="32"/>
          <w:szCs w:val="32"/>
        </w:rPr>
        <w:tab/>
      </w:r>
      <w:r>
        <w:rPr>
          <w:rStyle w:val="14"/>
          <w:rFonts w:hint="eastAsia" w:eastAsia="楷体_GB2312"/>
          <w:kern w:val="0"/>
          <w:sz w:val="32"/>
          <w:szCs w:val="32"/>
        </w:rPr>
        <w:t>增强数据安全防护</w:t>
      </w:r>
      <w:r>
        <w:rPr>
          <w:sz w:val="32"/>
          <w:szCs w:val="32"/>
        </w:rPr>
        <w:tab/>
      </w:r>
      <w:r>
        <w:rPr>
          <w:sz w:val="32"/>
          <w:szCs w:val="32"/>
        </w:rPr>
        <w:fldChar w:fldCharType="begin"/>
      </w:r>
      <w:r>
        <w:rPr>
          <w:sz w:val="32"/>
          <w:szCs w:val="32"/>
        </w:rPr>
        <w:instrText xml:space="preserve"> PAGEREF _Toc218241068 \h </w:instrText>
      </w:r>
      <w:r>
        <w:rPr>
          <w:sz w:val="32"/>
          <w:szCs w:val="32"/>
        </w:rPr>
        <w:fldChar w:fldCharType="separate"/>
      </w:r>
      <w:r>
        <w:rPr>
          <w:sz w:val="32"/>
          <w:szCs w:val="32"/>
        </w:rPr>
        <w:t>42</w:t>
      </w:r>
      <w:r>
        <w:rPr>
          <w:sz w:val="32"/>
          <w:szCs w:val="32"/>
        </w:rPr>
        <w:fldChar w:fldCharType="end"/>
      </w:r>
      <w:r>
        <w:rPr>
          <w:sz w:val="32"/>
          <w:szCs w:val="32"/>
        </w:rPr>
        <w:fldChar w:fldCharType="end"/>
      </w:r>
    </w:p>
    <w:p w14:paraId="45D605C5">
      <w:pPr>
        <w:pStyle w:val="8"/>
        <w:tabs>
          <w:tab w:val="left" w:pos="1260"/>
          <w:tab w:val="right" w:leader="dot" w:pos="8296"/>
        </w:tabs>
        <w:rPr>
          <w:rFonts w:asciiTheme="minorHAnsi" w:hAnsiTheme="minorHAnsi" w:eastAsiaTheme="minorEastAsia" w:cstheme="minorBidi"/>
          <w:sz w:val="32"/>
          <w:szCs w:val="32"/>
        </w:rPr>
      </w:pPr>
      <w:r>
        <w:fldChar w:fldCharType="begin"/>
      </w:r>
      <w:r>
        <w:instrText xml:space="preserve"> HYPERLINK \l "_Toc218241069" </w:instrText>
      </w:r>
      <w:r>
        <w:fldChar w:fldCharType="separate"/>
      </w:r>
      <w:r>
        <w:rPr>
          <w:rStyle w:val="14"/>
          <w:rFonts w:hint="eastAsia" w:eastAsia="方正大标宋简体"/>
          <w:sz w:val="32"/>
          <w:szCs w:val="32"/>
        </w:rPr>
        <w:t>第四篇</w:t>
      </w:r>
      <w:r>
        <w:rPr>
          <w:rFonts w:asciiTheme="minorHAnsi" w:hAnsiTheme="minorHAnsi" w:eastAsiaTheme="minorEastAsia" w:cstheme="minorBidi"/>
          <w:sz w:val="32"/>
          <w:szCs w:val="32"/>
        </w:rPr>
        <w:tab/>
      </w:r>
      <w:r>
        <w:rPr>
          <w:rStyle w:val="14"/>
          <w:rFonts w:hint="eastAsia" w:eastAsia="方正大标宋简体"/>
          <w:sz w:val="32"/>
          <w:szCs w:val="32"/>
        </w:rPr>
        <w:t>基础先行</w:t>
      </w:r>
      <w:r>
        <w:rPr>
          <w:rStyle w:val="14"/>
          <w:rFonts w:eastAsia="方正大标宋简体"/>
          <w:sz w:val="32"/>
          <w:szCs w:val="32"/>
        </w:rPr>
        <w:t xml:space="preserve">  </w:t>
      </w:r>
      <w:r>
        <w:rPr>
          <w:rStyle w:val="14"/>
          <w:rFonts w:hint="eastAsia" w:eastAsia="方正大标宋简体"/>
          <w:sz w:val="32"/>
          <w:szCs w:val="32"/>
        </w:rPr>
        <w:t>提升区域发展承载能力</w:t>
      </w:r>
      <w:r>
        <w:rPr>
          <w:sz w:val="32"/>
          <w:szCs w:val="32"/>
        </w:rPr>
        <w:tab/>
      </w:r>
      <w:r>
        <w:rPr>
          <w:sz w:val="32"/>
          <w:szCs w:val="32"/>
        </w:rPr>
        <w:fldChar w:fldCharType="begin"/>
      </w:r>
      <w:r>
        <w:rPr>
          <w:sz w:val="32"/>
          <w:szCs w:val="32"/>
        </w:rPr>
        <w:instrText xml:space="preserve"> PAGEREF _Toc218241069 \h </w:instrText>
      </w:r>
      <w:r>
        <w:rPr>
          <w:sz w:val="32"/>
          <w:szCs w:val="32"/>
        </w:rPr>
        <w:fldChar w:fldCharType="separate"/>
      </w:r>
      <w:r>
        <w:rPr>
          <w:sz w:val="32"/>
          <w:szCs w:val="32"/>
        </w:rPr>
        <w:t>43</w:t>
      </w:r>
      <w:r>
        <w:rPr>
          <w:sz w:val="32"/>
          <w:szCs w:val="32"/>
        </w:rPr>
        <w:fldChar w:fldCharType="end"/>
      </w:r>
      <w:r>
        <w:rPr>
          <w:sz w:val="32"/>
          <w:szCs w:val="32"/>
        </w:rPr>
        <w:fldChar w:fldCharType="end"/>
      </w:r>
    </w:p>
    <w:p w14:paraId="29F16C40">
      <w:pPr>
        <w:pStyle w:val="9"/>
        <w:tabs>
          <w:tab w:val="right" w:leader="dot" w:pos="8296"/>
        </w:tabs>
        <w:rPr>
          <w:rFonts w:asciiTheme="minorHAnsi" w:hAnsiTheme="minorHAnsi" w:eastAsiaTheme="minorEastAsia" w:cstheme="minorBidi"/>
          <w:sz w:val="32"/>
          <w:szCs w:val="32"/>
        </w:rPr>
      </w:pPr>
      <w:r>
        <w:fldChar w:fldCharType="begin"/>
      </w:r>
      <w:r>
        <w:instrText xml:space="preserve"> HYPERLINK \l "_Toc218241070" </w:instrText>
      </w:r>
      <w:r>
        <w:fldChar w:fldCharType="separate"/>
      </w:r>
      <w:r>
        <w:rPr>
          <w:rStyle w:val="14"/>
          <w:rFonts w:hint="eastAsia" w:eastAsia="黑体"/>
          <w:bCs/>
          <w:kern w:val="0"/>
          <w:sz w:val="32"/>
          <w:szCs w:val="32"/>
        </w:rPr>
        <w:t>第十一章</w:t>
      </w:r>
      <w:r>
        <w:rPr>
          <w:rStyle w:val="14"/>
          <w:rFonts w:eastAsia="黑体"/>
          <w:bCs/>
          <w:kern w:val="0"/>
          <w:sz w:val="32"/>
          <w:szCs w:val="32"/>
        </w:rPr>
        <w:t xml:space="preserve">  </w:t>
      </w:r>
      <w:r>
        <w:rPr>
          <w:rStyle w:val="14"/>
          <w:rFonts w:hint="eastAsia" w:eastAsia="黑体"/>
          <w:bCs/>
          <w:kern w:val="0"/>
          <w:sz w:val="32"/>
          <w:szCs w:val="32"/>
        </w:rPr>
        <w:t>打造康南重要交通枢纽</w:t>
      </w:r>
      <w:r>
        <w:rPr>
          <w:sz w:val="32"/>
          <w:szCs w:val="32"/>
        </w:rPr>
        <w:tab/>
      </w:r>
      <w:r>
        <w:rPr>
          <w:sz w:val="32"/>
          <w:szCs w:val="32"/>
        </w:rPr>
        <w:fldChar w:fldCharType="begin"/>
      </w:r>
      <w:r>
        <w:rPr>
          <w:sz w:val="32"/>
          <w:szCs w:val="32"/>
        </w:rPr>
        <w:instrText xml:space="preserve"> PAGEREF _Toc218241070 \h </w:instrText>
      </w:r>
      <w:r>
        <w:rPr>
          <w:sz w:val="32"/>
          <w:szCs w:val="32"/>
        </w:rPr>
        <w:fldChar w:fldCharType="separate"/>
      </w:r>
      <w:r>
        <w:rPr>
          <w:sz w:val="32"/>
          <w:szCs w:val="32"/>
        </w:rPr>
        <w:t>43</w:t>
      </w:r>
      <w:r>
        <w:rPr>
          <w:sz w:val="32"/>
          <w:szCs w:val="32"/>
        </w:rPr>
        <w:fldChar w:fldCharType="end"/>
      </w:r>
      <w:r>
        <w:rPr>
          <w:sz w:val="32"/>
          <w:szCs w:val="32"/>
        </w:rPr>
        <w:fldChar w:fldCharType="end"/>
      </w:r>
    </w:p>
    <w:p w14:paraId="4B87B6B8">
      <w:pPr>
        <w:pStyle w:val="6"/>
        <w:tabs>
          <w:tab w:val="left" w:pos="2100"/>
          <w:tab w:val="right" w:leader="dot" w:pos="8296"/>
        </w:tabs>
        <w:rPr>
          <w:rFonts w:asciiTheme="minorHAnsi" w:hAnsiTheme="minorHAnsi" w:eastAsiaTheme="minorEastAsia" w:cstheme="minorBidi"/>
          <w:sz w:val="32"/>
          <w:szCs w:val="32"/>
        </w:rPr>
      </w:pPr>
      <w:r>
        <w:fldChar w:fldCharType="begin"/>
      </w:r>
      <w:r>
        <w:instrText xml:space="preserve"> HYPERLINK \l "_Toc218241071" </w:instrText>
      </w:r>
      <w:r>
        <w:fldChar w:fldCharType="separate"/>
      </w:r>
      <w:r>
        <w:rPr>
          <w:rStyle w:val="14"/>
          <w:rFonts w:hint="eastAsia" w:eastAsia="楷体_GB2312"/>
          <w:kern w:val="0"/>
          <w:sz w:val="32"/>
          <w:szCs w:val="32"/>
        </w:rPr>
        <w:t>第一节</w:t>
      </w:r>
      <w:r>
        <w:rPr>
          <w:rFonts w:asciiTheme="minorHAnsi" w:hAnsiTheme="minorHAnsi" w:eastAsiaTheme="minorEastAsia" w:cstheme="minorBidi"/>
          <w:sz w:val="32"/>
          <w:szCs w:val="32"/>
        </w:rPr>
        <w:tab/>
      </w:r>
      <w:r>
        <w:rPr>
          <w:rStyle w:val="14"/>
          <w:rFonts w:hint="eastAsia" w:eastAsia="楷体_GB2312"/>
          <w:kern w:val="0"/>
          <w:sz w:val="32"/>
          <w:szCs w:val="32"/>
        </w:rPr>
        <w:t>推动对外通道通达通畅</w:t>
      </w:r>
      <w:r>
        <w:rPr>
          <w:sz w:val="32"/>
          <w:szCs w:val="32"/>
        </w:rPr>
        <w:tab/>
      </w:r>
      <w:r>
        <w:rPr>
          <w:sz w:val="32"/>
          <w:szCs w:val="32"/>
        </w:rPr>
        <w:fldChar w:fldCharType="begin"/>
      </w:r>
      <w:r>
        <w:rPr>
          <w:sz w:val="32"/>
          <w:szCs w:val="32"/>
        </w:rPr>
        <w:instrText xml:space="preserve"> PAGEREF _Toc218241071 \h </w:instrText>
      </w:r>
      <w:r>
        <w:rPr>
          <w:sz w:val="32"/>
          <w:szCs w:val="32"/>
        </w:rPr>
        <w:fldChar w:fldCharType="separate"/>
      </w:r>
      <w:r>
        <w:rPr>
          <w:sz w:val="32"/>
          <w:szCs w:val="32"/>
        </w:rPr>
        <w:t>43</w:t>
      </w:r>
      <w:r>
        <w:rPr>
          <w:sz w:val="32"/>
          <w:szCs w:val="32"/>
        </w:rPr>
        <w:fldChar w:fldCharType="end"/>
      </w:r>
      <w:r>
        <w:rPr>
          <w:sz w:val="32"/>
          <w:szCs w:val="32"/>
        </w:rPr>
        <w:fldChar w:fldCharType="end"/>
      </w:r>
    </w:p>
    <w:p w14:paraId="7549D485">
      <w:pPr>
        <w:pStyle w:val="6"/>
        <w:tabs>
          <w:tab w:val="left" w:pos="2100"/>
          <w:tab w:val="right" w:leader="dot" w:pos="8296"/>
        </w:tabs>
        <w:rPr>
          <w:rFonts w:asciiTheme="minorHAnsi" w:hAnsiTheme="minorHAnsi" w:eastAsiaTheme="minorEastAsia" w:cstheme="minorBidi"/>
          <w:sz w:val="32"/>
          <w:szCs w:val="32"/>
        </w:rPr>
      </w:pPr>
      <w:r>
        <w:fldChar w:fldCharType="begin"/>
      </w:r>
      <w:r>
        <w:instrText xml:space="preserve"> HYPERLINK \l "_Toc218241072" </w:instrText>
      </w:r>
      <w:r>
        <w:fldChar w:fldCharType="separate"/>
      </w:r>
      <w:r>
        <w:rPr>
          <w:rStyle w:val="14"/>
          <w:rFonts w:hint="eastAsia" w:eastAsia="楷体_GB2312"/>
          <w:kern w:val="0"/>
          <w:sz w:val="32"/>
          <w:szCs w:val="32"/>
        </w:rPr>
        <w:t>第二节</w:t>
      </w:r>
      <w:r>
        <w:rPr>
          <w:rFonts w:asciiTheme="minorHAnsi" w:hAnsiTheme="minorHAnsi" w:eastAsiaTheme="minorEastAsia" w:cstheme="minorBidi"/>
          <w:sz w:val="32"/>
          <w:szCs w:val="32"/>
        </w:rPr>
        <w:tab/>
      </w:r>
      <w:r>
        <w:rPr>
          <w:rStyle w:val="14"/>
          <w:rFonts w:hint="eastAsia" w:eastAsia="楷体_GB2312"/>
          <w:kern w:val="0"/>
          <w:sz w:val="32"/>
          <w:szCs w:val="32"/>
        </w:rPr>
        <w:t>推动内部网络提质升级</w:t>
      </w:r>
      <w:r>
        <w:rPr>
          <w:sz w:val="32"/>
          <w:szCs w:val="32"/>
        </w:rPr>
        <w:tab/>
      </w:r>
      <w:r>
        <w:rPr>
          <w:sz w:val="32"/>
          <w:szCs w:val="32"/>
        </w:rPr>
        <w:fldChar w:fldCharType="begin"/>
      </w:r>
      <w:r>
        <w:rPr>
          <w:sz w:val="32"/>
          <w:szCs w:val="32"/>
        </w:rPr>
        <w:instrText xml:space="preserve"> PAGEREF _Toc218241072 \h </w:instrText>
      </w:r>
      <w:r>
        <w:rPr>
          <w:sz w:val="32"/>
          <w:szCs w:val="32"/>
        </w:rPr>
        <w:fldChar w:fldCharType="separate"/>
      </w:r>
      <w:r>
        <w:rPr>
          <w:sz w:val="32"/>
          <w:szCs w:val="32"/>
        </w:rPr>
        <w:t>44</w:t>
      </w:r>
      <w:r>
        <w:rPr>
          <w:sz w:val="32"/>
          <w:szCs w:val="32"/>
        </w:rPr>
        <w:fldChar w:fldCharType="end"/>
      </w:r>
      <w:r>
        <w:rPr>
          <w:sz w:val="32"/>
          <w:szCs w:val="32"/>
        </w:rPr>
        <w:fldChar w:fldCharType="end"/>
      </w:r>
    </w:p>
    <w:p w14:paraId="46B1A1E5">
      <w:pPr>
        <w:pStyle w:val="6"/>
        <w:tabs>
          <w:tab w:val="left" w:pos="2100"/>
          <w:tab w:val="right" w:leader="dot" w:pos="8296"/>
        </w:tabs>
        <w:rPr>
          <w:rFonts w:asciiTheme="minorHAnsi" w:hAnsiTheme="minorHAnsi" w:eastAsiaTheme="minorEastAsia" w:cstheme="minorBidi"/>
          <w:sz w:val="32"/>
          <w:szCs w:val="32"/>
        </w:rPr>
      </w:pPr>
      <w:r>
        <w:fldChar w:fldCharType="begin"/>
      </w:r>
      <w:r>
        <w:instrText xml:space="preserve"> HYPERLINK \l "_Toc218241073" </w:instrText>
      </w:r>
      <w:r>
        <w:fldChar w:fldCharType="separate"/>
      </w:r>
      <w:r>
        <w:rPr>
          <w:rStyle w:val="14"/>
          <w:rFonts w:hint="eastAsia" w:eastAsia="楷体_GB2312"/>
          <w:kern w:val="0"/>
          <w:sz w:val="32"/>
          <w:szCs w:val="32"/>
        </w:rPr>
        <w:t>第三节</w:t>
      </w:r>
      <w:r>
        <w:rPr>
          <w:rFonts w:asciiTheme="minorHAnsi" w:hAnsiTheme="minorHAnsi" w:eastAsiaTheme="minorEastAsia" w:cstheme="minorBidi"/>
          <w:sz w:val="32"/>
          <w:szCs w:val="32"/>
        </w:rPr>
        <w:tab/>
      </w:r>
      <w:r>
        <w:rPr>
          <w:rStyle w:val="14"/>
          <w:rFonts w:hint="eastAsia" w:eastAsia="楷体_GB2312"/>
          <w:kern w:val="0"/>
          <w:sz w:val="32"/>
          <w:szCs w:val="32"/>
        </w:rPr>
        <w:t>提升综合交通枢纽功能</w:t>
      </w:r>
      <w:r>
        <w:rPr>
          <w:sz w:val="32"/>
          <w:szCs w:val="32"/>
        </w:rPr>
        <w:tab/>
      </w:r>
      <w:r>
        <w:rPr>
          <w:sz w:val="32"/>
          <w:szCs w:val="32"/>
        </w:rPr>
        <w:fldChar w:fldCharType="begin"/>
      </w:r>
      <w:r>
        <w:rPr>
          <w:sz w:val="32"/>
          <w:szCs w:val="32"/>
        </w:rPr>
        <w:instrText xml:space="preserve"> PAGEREF _Toc218241073 \h </w:instrText>
      </w:r>
      <w:r>
        <w:rPr>
          <w:sz w:val="32"/>
          <w:szCs w:val="32"/>
        </w:rPr>
        <w:fldChar w:fldCharType="separate"/>
      </w:r>
      <w:r>
        <w:rPr>
          <w:sz w:val="32"/>
          <w:szCs w:val="32"/>
        </w:rPr>
        <w:t>44</w:t>
      </w:r>
      <w:r>
        <w:rPr>
          <w:sz w:val="32"/>
          <w:szCs w:val="32"/>
        </w:rPr>
        <w:fldChar w:fldCharType="end"/>
      </w:r>
      <w:r>
        <w:rPr>
          <w:sz w:val="32"/>
          <w:szCs w:val="32"/>
        </w:rPr>
        <w:fldChar w:fldCharType="end"/>
      </w:r>
    </w:p>
    <w:p w14:paraId="1CD71529">
      <w:pPr>
        <w:pStyle w:val="6"/>
        <w:tabs>
          <w:tab w:val="left" w:pos="2100"/>
          <w:tab w:val="right" w:leader="dot" w:pos="8296"/>
        </w:tabs>
        <w:rPr>
          <w:rFonts w:asciiTheme="minorHAnsi" w:hAnsiTheme="minorHAnsi" w:eastAsiaTheme="minorEastAsia" w:cstheme="minorBidi"/>
          <w:sz w:val="32"/>
          <w:szCs w:val="32"/>
        </w:rPr>
      </w:pPr>
      <w:r>
        <w:fldChar w:fldCharType="begin"/>
      </w:r>
      <w:r>
        <w:instrText xml:space="preserve"> HYPERLINK \l "_Toc218241074" </w:instrText>
      </w:r>
      <w:r>
        <w:fldChar w:fldCharType="separate"/>
      </w:r>
      <w:r>
        <w:rPr>
          <w:rStyle w:val="14"/>
          <w:rFonts w:hint="eastAsia" w:eastAsia="楷体_GB2312"/>
          <w:kern w:val="0"/>
          <w:sz w:val="32"/>
          <w:szCs w:val="32"/>
        </w:rPr>
        <w:t>第四节</w:t>
      </w:r>
      <w:r>
        <w:rPr>
          <w:rFonts w:asciiTheme="minorHAnsi" w:hAnsiTheme="minorHAnsi" w:eastAsiaTheme="minorEastAsia" w:cstheme="minorBidi"/>
          <w:sz w:val="32"/>
          <w:szCs w:val="32"/>
        </w:rPr>
        <w:tab/>
      </w:r>
      <w:r>
        <w:rPr>
          <w:rStyle w:val="14"/>
          <w:rFonts w:hint="eastAsia" w:eastAsia="楷体_GB2312"/>
          <w:kern w:val="0"/>
          <w:sz w:val="32"/>
          <w:szCs w:val="32"/>
        </w:rPr>
        <w:t>增强交通安全应急保障能力</w:t>
      </w:r>
      <w:r>
        <w:rPr>
          <w:sz w:val="32"/>
          <w:szCs w:val="32"/>
        </w:rPr>
        <w:tab/>
      </w:r>
      <w:r>
        <w:rPr>
          <w:sz w:val="32"/>
          <w:szCs w:val="32"/>
        </w:rPr>
        <w:fldChar w:fldCharType="begin"/>
      </w:r>
      <w:r>
        <w:rPr>
          <w:sz w:val="32"/>
          <w:szCs w:val="32"/>
        </w:rPr>
        <w:instrText xml:space="preserve"> PAGEREF _Toc218241074 \h </w:instrText>
      </w:r>
      <w:r>
        <w:rPr>
          <w:sz w:val="32"/>
          <w:szCs w:val="32"/>
        </w:rPr>
        <w:fldChar w:fldCharType="separate"/>
      </w:r>
      <w:r>
        <w:rPr>
          <w:sz w:val="32"/>
          <w:szCs w:val="32"/>
        </w:rPr>
        <w:t>45</w:t>
      </w:r>
      <w:r>
        <w:rPr>
          <w:sz w:val="32"/>
          <w:szCs w:val="32"/>
        </w:rPr>
        <w:fldChar w:fldCharType="end"/>
      </w:r>
      <w:r>
        <w:rPr>
          <w:sz w:val="32"/>
          <w:szCs w:val="32"/>
        </w:rPr>
        <w:fldChar w:fldCharType="end"/>
      </w:r>
    </w:p>
    <w:p w14:paraId="1DCA0FF2">
      <w:pPr>
        <w:pStyle w:val="6"/>
        <w:tabs>
          <w:tab w:val="left" w:pos="2100"/>
          <w:tab w:val="right" w:leader="dot" w:pos="8296"/>
        </w:tabs>
        <w:rPr>
          <w:rFonts w:asciiTheme="minorHAnsi" w:hAnsiTheme="minorHAnsi" w:eastAsiaTheme="minorEastAsia" w:cstheme="minorBidi"/>
          <w:sz w:val="32"/>
          <w:szCs w:val="32"/>
        </w:rPr>
      </w:pPr>
      <w:r>
        <w:fldChar w:fldCharType="begin"/>
      </w:r>
      <w:r>
        <w:instrText xml:space="preserve"> HYPERLINK \l "_Toc218241075" </w:instrText>
      </w:r>
      <w:r>
        <w:fldChar w:fldCharType="separate"/>
      </w:r>
      <w:r>
        <w:rPr>
          <w:rStyle w:val="14"/>
          <w:rFonts w:hint="eastAsia" w:eastAsia="楷体_GB2312"/>
          <w:kern w:val="0"/>
          <w:sz w:val="32"/>
          <w:szCs w:val="32"/>
        </w:rPr>
        <w:t>第五节</w:t>
      </w:r>
      <w:r>
        <w:rPr>
          <w:rFonts w:asciiTheme="minorHAnsi" w:hAnsiTheme="minorHAnsi" w:eastAsiaTheme="minorEastAsia" w:cstheme="minorBidi"/>
          <w:sz w:val="32"/>
          <w:szCs w:val="32"/>
        </w:rPr>
        <w:tab/>
      </w:r>
      <w:r>
        <w:rPr>
          <w:rStyle w:val="14"/>
          <w:rFonts w:hint="eastAsia" w:eastAsia="楷体_GB2312"/>
          <w:kern w:val="0"/>
          <w:sz w:val="32"/>
          <w:szCs w:val="32"/>
        </w:rPr>
        <w:t>推动“交通</w:t>
      </w:r>
      <w:r>
        <w:rPr>
          <w:rStyle w:val="14"/>
          <w:rFonts w:eastAsia="楷体_GB2312"/>
          <w:kern w:val="0"/>
          <w:sz w:val="32"/>
          <w:szCs w:val="32"/>
        </w:rPr>
        <w:t>+</w:t>
      </w:r>
      <w:r>
        <w:rPr>
          <w:rStyle w:val="14"/>
          <w:rFonts w:hint="eastAsia" w:eastAsia="楷体_GB2312"/>
          <w:kern w:val="0"/>
          <w:sz w:val="32"/>
          <w:szCs w:val="32"/>
        </w:rPr>
        <w:t>”融合发展</w:t>
      </w:r>
      <w:r>
        <w:rPr>
          <w:sz w:val="32"/>
          <w:szCs w:val="32"/>
        </w:rPr>
        <w:tab/>
      </w:r>
      <w:r>
        <w:rPr>
          <w:sz w:val="32"/>
          <w:szCs w:val="32"/>
        </w:rPr>
        <w:fldChar w:fldCharType="begin"/>
      </w:r>
      <w:r>
        <w:rPr>
          <w:sz w:val="32"/>
          <w:szCs w:val="32"/>
        </w:rPr>
        <w:instrText xml:space="preserve"> PAGEREF _Toc218241075 \h </w:instrText>
      </w:r>
      <w:r>
        <w:rPr>
          <w:sz w:val="32"/>
          <w:szCs w:val="32"/>
        </w:rPr>
        <w:fldChar w:fldCharType="separate"/>
      </w:r>
      <w:r>
        <w:rPr>
          <w:sz w:val="32"/>
          <w:szCs w:val="32"/>
        </w:rPr>
        <w:t>45</w:t>
      </w:r>
      <w:r>
        <w:rPr>
          <w:sz w:val="32"/>
          <w:szCs w:val="32"/>
        </w:rPr>
        <w:fldChar w:fldCharType="end"/>
      </w:r>
      <w:r>
        <w:rPr>
          <w:sz w:val="32"/>
          <w:szCs w:val="32"/>
        </w:rPr>
        <w:fldChar w:fldCharType="end"/>
      </w:r>
    </w:p>
    <w:p w14:paraId="4A6A361B">
      <w:pPr>
        <w:pStyle w:val="9"/>
        <w:tabs>
          <w:tab w:val="right" w:leader="dot" w:pos="8296"/>
        </w:tabs>
        <w:rPr>
          <w:rFonts w:asciiTheme="minorHAnsi" w:hAnsiTheme="minorHAnsi" w:eastAsiaTheme="minorEastAsia" w:cstheme="minorBidi"/>
          <w:sz w:val="32"/>
          <w:szCs w:val="32"/>
        </w:rPr>
      </w:pPr>
      <w:r>
        <w:fldChar w:fldCharType="begin"/>
      </w:r>
      <w:r>
        <w:instrText xml:space="preserve"> HYPERLINK \l "_Toc218241076" </w:instrText>
      </w:r>
      <w:r>
        <w:fldChar w:fldCharType="separate"/>
      </w:r>
      <w:r>
        <w:rPr>
          <w:rStyle w:val="14"/>
          <w:rFonts w:hint="eastAsia" w:eastAsia="黑体"/>
          <w:bCs/>
          <w:kern w:val="0"/>
          <w:sz w:val="32"/>
          <w:szCs w:val="32"/>
        </w:rPr>
        <w:t>第十二章</w:t>
      </w:r>
      <w:r>
        <w:rPr>
          <w:rStyle w:val="14"/>
          <w:rFonts w:eastAsia="黑体"/>
          <w:bCs/>
          <w:kern w:val="0"/>
          <w:sz w:val="32"/>
          <w:szCs w:val="32"/>
        </w:rPr>
        <w:t xml:space="preserve">  </w:t>
      </w:r>
      <w:r>
        <w:rPr>
          <w:rStyle w:val="14"/>
          <w:rFonts w:hint="eastAsia" w:eastAsia="黑体"/>
          <w:bCs/>
          <w:kern w:val="0"/>
          <w:sz w:val="32"/>
          <w:szCs w:val="32"/>
        </w:rPr>
        <w:t>强化能源基础设施建设</w:t>
      </w:r>
      <w:r>
        <w:rPr>
          <w:sz w:val="32"/>
          <w:szCs w:val="32"/>
        </w:rPr>
        <w:tab/>
      </w:r>
      <w:r>
        <w:rPr>
          <w:sz w:val="32"/>
          <w:szCs w:val="32"/>
        </w:rPr>
        <w:fldChar w:fldCharType="begin"/>
      </w:r>
      <w:r>
        <w:rPr>
          <w:sz w:val="32"/>
          <w:szCs w:val="32"/>
        </w:rPr>
        <w:instrText xml:space="preserve"> PAGEREF _Toc218241076 \h </w:instrText>
      </w:r>
      <w:r>
        <w:rPr>
          <w:sz w:val="32"/>
          <w:szCs w:val="32"/>
        </w:rPr>
        <w:fldChar w:fldCharType="separate"/>
      </w:r>
      <w:r>
        <w:rPr>
          <w:sz w:val="32"/>
          <w:szCs w:val="32"/>
        </w:rPr>
        <w:t>46</w:t>
      </w:r>
      <w:r>
        <w:rPr>
          <w:sz w:val="32"/>
          <w:szCs w:val="32"/>
        </w:rPr>
        <w:fldChar w:fldCharType="end"/>
      </w:r>
      <w:r>
        <w:rPr>
          <w:sz w:val="32"/>
          <w:szCs w:val="32"/>
        </w:rPr>
        <w:fldChar w:fldCharType="end"/>
      </w:r>
    </w:p>
    <w:p w14:paraId="0AC68178">
      <w:pPr>
        <w:pStyle w:val="6"/>
        <w:tabs>
          <w:tab w:val="left" w:pos="2100"/>
          <w:tab w:val="right" w:leader="dot" w:pos="8296"/>
        </w:tabs>
        <w:rPr>
          <w:rFonts w:asciiTheme="minorHAnsi" w:hAnsiTheme="minorHAnsi" w:eastAsiaTheme="minorEastAsia" w:cstheme="minorBidi"/>
          <w:sz w:val="32"/>
          <w:szCs w:val="32"/>
        </w:rPr>
      </w:pPr>
      <w:r>
        <w:fldChar w:fldCharType="begin"/>
      </w:r>
      <w:r>
        <w:instrText xml:space="preserve"> HYPERLINK \l "_Toc218241077" </w:instrText>
      </w:r>
      <w:r>
        <w:fldChar w:fldCharType="separate"/>
      </w:r>
      <w:r>
        <w:rPr>
          <w:rStyle w:val="14"/>
          <w:rFonts w:hint="eastAsia" w:eastAsia="楷体_GB2312"/>
          <w:kern w:val="0"/>
          <w:sz w:val="32"/>
          <w:szCs w:val="32"/>
        </w:rPr>
        <w:t>第一节</w:t>
      </w:r>
      <w:r>
        <w:rPr>
          <w:rFonts w:asciiTheme="minorHAnsi" w:hAnsiTheme="minorHAnsi" w:eastAsiaTheme="minorEastAsia" w:cstheme="minorBidi"/>
          <w:sz w:val="32"/>
          <w:szCs w:val="32"/>
        </w:rPr>
        <w:tab/>
      </w:r>
      <w:r>
        <w:rPr>
          <w:rStyle w:val="14"/>
          <w:rFonts w:hint="eastAsia" w:eastAsia="楷体_GB2312"/>
          <w:kern w:val="0"/>
          <w:sz w:val="32"/>
          <w:szCs w:val="32"/>
        </w:rPr>
        <w:t>畅通电力输送通道</w:t>
      </w:r>
      <w:r>
        <w:rPr>
          <w:sz w:val="32"/>
          <w:szCs w:val="32"/>
        </w:rPr>
        <w:tab/>
      </w:r>
      <w:r>
        <w:rPr>
          <w:sz w:val="32"/>
          <w:szCs w:val="32"/>
        </w:rPr>
        <w:fldChar w:fldCharType="begin"/>
      </w:r>
      <w:r>
        <w:rPr>
          <w:sz w:val="32"/>
          <w:szCs w:val="32"/>
        </w:rPr>
        <w:instrText xml:space="preserve"> PAGEREF _Toc218241077 \h </w:instrText>
      </w:r>
      <w:r>
        <w:rPr>
          <w:sz w:val="32"/>
          <w:szCs w:val="32"/>
        </w:rPr>
        <w:fldChar w:fldCharType="separate"/>
      </w:r>
      <w:r>
        <w:rPr>
          <w:sz w:val="32"/>
          <w:szCs w:val="32"/>
        </w:rPr>
        <w:t>47</w:t>
      </w:r>
      <w:r>
        <w:rPr>
          <w:sz w:val="32"/>
          <w:szCs w:val="32"/>
        </w:rPr>
        <w:fldChar w:fldCharType="end"/>
      </w:r>
      <w:r>
        <w:rPr>
          <w:sz w:val="32"/>
          <w:szCs w:val="32"/>
        </w:rPr>
        <w:fldChar w:fldCharType="end"/>
      </w:r>
    </w:p>
    <w:p w14:paraId="63E40FFA">
      <w:pPr>
        <w:pStyle w:val="6"/>
        <w:tabs>
          <w:tab w:val="left" w:pos="2100"/>
          <w:tab w:val="right" w:leader="dot" w:pos="8296"/>
        </w:tabs>
        <w:rPr>
          <w:rFonts w:asciiTheme="minorHAnsi" w:hAnsiTheme="minorHAnsi" w:eastAsiaTheme="minorEastAsia" w:cstheme="minorBidi"/>
          <w:sz w:val="32"/>
          <w:szCs w:val="32"/>
        </w:rPr>
      </w:pPr>
      <w:r>
        <w:fldChar w:fldCharType="begin"/>
      </w:r>
      <w:r>
        <w:instrText xml:space="preserve"> HYPERLINK \l "_Toc218241078" </w:instrText>
      </w:r>
      <w:r>
        <w:fldChar w:fldCharType="separate"/>
      </w:r>
      <w:r>
        <w:rPr>
          <w:rStyle w:val="14"/>
          <w:rFonts w:hint="eastAsia" w:eastAsia="楷体_GB2312"/>
          <w:kern w:val="0"/>
          <w:sz w:val="32"/>
          <w:szCs w:val="32"/>
        </w:rPr>
        <w:t>第二节</w:t>
      </w:r>
      <w:r>
        <w:rPr>
          <w:rFonts w:asciiTheme="minorHAnsi" w:hAnsiTheme="minorHAnsi" w:eastAsiaTheme="minorEastAsia" w:cstheme="minorBidi"/>
          <w:sz w:val="32"/>
          <w:szCs w:val="32"/>
        </w:rPr>
        <w:tab/>
      </w:r>
      <w:r>
        <w:rPr>
          <w:rStyle w:val="14"/>
          <w:rFonts w:hint="eastAsia" w:eastAsia="楷体_GB2312"/>
          <w:kern w:val="0"/>
          <w:sz w:val="32"/>
          <w:szCs w:val="32"/>
        </w:rPr>
        <w:t>巩固提升城乡配送电网</w:t>
      </w:r>
      <w:r>
        <w:rPr>
          <w:sz w:val="32"/>
          <w:szCs w:val="32"/>
        </w:rPr>
        <w:tab/>
      </w:r>
      <w:r>
        <w:rPr>
          <w:sz w:val="32"/>
          <w:szCs w:val="32"/>
        </w:rPr>
        <w:fldChar w:fldCharType="begin"/>
      </w:r>
      <w:r>
        <w:rPr>
          <w:sz w:val="32"/>
          <w:szCs w:val="32"/>
        </w:rPr>
        <w:instrText xml:space="preserve"> PAGEREF _Toc218241078 \h </w:instrText>
      </w:r>
      <w:r>
        <w:rPr>
          <w:sz w:val="32"/>
          <w:szCs w:val="32"/>
        </w:rPr>
        <w:fldChar w:fldCharType="separate"/>
      </w:r>
      <w:r>
        <w:rPr>
          <w:sz w:val="32"/>
          <w:szCs w:val="32"/>
        </w:rPr>
        <w:t>47</w:t>
      </w:r>
      <w:r>
        <w:rPr>
          <w:sz w:val="32"/>
          <w:szCs w:val="32"/>
        </w:rPr>
        <w:fldChar w:fldCharType="end"/>
      </w:r>
      <w:r>
        <w:rPr>
          <w:sz w:val="32"/>
          <w:szCs w:val="32"/>
        </w:rPr>
        <w:fldChar w:fldCharType="end"/>
      </w:r>
    </w:p>
    <w:p w14:paraId="7D5E8AD5">
      <w:pPr>
        <w:pStyle w:val="6"/>
        <w:tabs>
          <w:tab w:val="left" w:pos="2100"/>
          <w:tab w:val="right" w:leader="dot" w:pos="8296"/>
        </w:tabs>
        <w:rPr>
          <w:rFonts w:asciiTheme="minorHAnsi" w:hAnsiTheme="minorHAnsi" w:eastAsiaTheme="minorEastAsia" w:cstheme="minorBidi"/>
          <w:sz w:val="32"/>
          <w:szCs w:val="32"/>
        </w:rPr>
      </w:pPr>
      <w:r>
        <w:fldChar w:fldCharType="begin"/>
      </w:r>
      <w:r>
        <w:instrText xml:space="preserve"> HYPERLINK \l "_Toc218241079" </w:instrText>
      </w:r>
      <w:r>
        <w:fldChar w:fldCharType="separate"/>
      </w:r>
      <w:r>
        <w:rPr>
          <w:rStyle w:val="14"/>
          <w:rFonts w:hint="eastAsia" w:eastAsia="楷体_GB2312"/>
          <w:kern w:val="0"/>
          <w:sz w:val="32"/>
          <w:szCs w:val="32"/>
        </w:rPr>
        <w:t>第三节</w:t>
      </w:r>
      <w:r>
        <w:rPr>
          <w:rFonts w:asciiTheme="minorHAnsi" w:hAnsiTheme="minorHAnsi" w:eastAsiaTheme="minorEastAsia" w:cstheme="minorBidi"/>
          <w:sz w:val="32"/>
          <w:szCs w:val="32"/>
        </w:rPr>
        <w:tab/>
      </w:r>
      <w:r>
        <w:rPr>
          <w:rStyle w:val="14"/>
          <w:rFonts w:hint="eastAsia" w:eastAsia="楷体_GB2312"/>
          <w:kern w:val="0"/>
          <w:sz w:val="32"/>
          <w:szCs w:val="32"/>
        </w:rPr>
        <w:t>优化油气和新能源设施布局</w:t>
      </w:r>
      <w:r>
        <w:rPr>
          <w:sz w:val="32"/>
          <w:szCs w:val="32"/>
        </w:rPr>
        <w:tab/>
      </w:r>
      <w:r>
        <w:rPr>
          <w:sz w:val="32"/>
          <w:szCs w:val="32"/>
        </w:rPr>
        <w:fldChar w:fldCharType="begin"/>
      </w:r>
      <w:r>
        <w:rPr>
          <w:sz w:val="32"/>
          <w:szCs w:val="32"/>
        </w:rPr>
        <w:instrText xml:space="preserve"> PAGEREF _Toc218241079 \h </w:instrText>
      </w:r>
      <w:r>
        <w:rPr>
          <w:sz w:val="32"/>
          <w:szCs w:val="32"/>
        </w:rPr>
        <w:fldChar w:fldCharType="separate"/>
      </w:r>
      <w:r>
        <w:rPr>
          <w:sz w:val="32"/>
          <w:szCs w:val="32"/>
        </w:rPr>
        <w:t>47</w:t>
      </w:r>
      <w:r>
        <w:rPr>
          <w:sz w:val="32"/>
          <w:szCs w:val="32"/>
        </w:rPr>
        <w:fldChar w:fldCharType="end"/>
      </w:r>
      <w:r>
        <w:rPr>
          <w:sz w:val="32"/>
          <w:szCs w:val="32"/>
        </w:rPr>
        <w:fldChar w:fldCharType="end"/>
      </w:r>
    </w:p>
    <w:p w14:paraId="1F6F266D">
      <w:pPr>
        <w:pStyle w:val="6"/>
        <w:tabs>
          <w:tab w:val="left" w:pos="2100"/>
          <w:tab w:val="right" w:leader="dot" w:pos="8296"/>
        </w:tabs>
        <w:rPr>
          <w:rFonts w:asciiTheme="minorHAnsi" w:hAnsiTheme="minorHAnsi" w:eastAsiaTheme="minorEastAsia" w:cstheme="minorBidi"/>
          <w:sz w:val="32"/>
          <w:szCs w:val="32"/>
        </w:rPr>
      </w:pPr>
      <w:r>
        <w:fldChar w:fldCharType="begin"/>
      </w:r>
      <w:r>
        <w:instrText xml:space="preserve"> HYPERLINK \l "_Toc218241080" </w:instrText>
      </w:r>
      <w:r>
        <w:fldChar w:fldCharType="separate"/>
      </w:r>
      <w:r>
        <w:rPr>
          <w:rStyle w:val="14"/>
          <w:rFonts w:hint="eastAsia" w:eastAsia="楷体_GB2312"/>
          <w:kern w:val="0"/>
          <w:sz w:val="32"/>
          <w:szCs w:val="32"/>
        </w:rPr>
        <w:t>第四节</w:t>
      </w:r>
      <w:r>
        <w:rPr>
          <w:rFonts w:asciiTheme="minorHAnsi" w:hAnsiTheme="minorHAnsi" w:eastAsiaTheme="minorEastAsia" w:cstheme="minorBidi"/>
          <w:sz w:val="32"/>
          <w:szCs w:val="32"/>
        </w:rPr>
        <w:tab/>
      </w:r>
      <w:r>
        <w:rPr>
          <w:rStyle w:val="14"/>
          <w:rFonts w:hint="eastAsia" w:eastAsia="楷体_GB2312"/>
          <w:kern w:val="0"/>
          <w:sz w:val="32"/>
          <w:szCs w:val="32"/>
        </w:rPr>
        <w:t>积极构建新型储能体系</w:t>
      </w:r>
      <w:r>
        <w:rPr>
          <w:sz w:val="32"/>
          <w:szCs w:val="32"/>
        </w:rPr>
        <w:tab/>
      </w:r>
      <w:r>
        <w:rPr>
          <w:sz w:val="32"/>
          <w:szCs w:val="32"/>
        </w:rPr>
        <w:fldChar w:fldCharType="begin"/>
      </w:r>
      <w:r>
        <w:rPr>
          <w:sz w:val="32"/>
          <w:szCs w:val="32"/>
        </w:rPr>
        <w:instrText xml:space="preserve"> PAGEREF _Toc218241080 \h </w:instrText>
      </w:r>
      <w:r>
        <w:rPr>
          <w:sz w:val="32"/>
          <w:szCs w:val="32"/>
        </w:rPr>
        <w:fldChar w:fldCharType="separate"/>
      </w:r>
      <w:r>
        <w:rPr>
          <w:sz w:val="32"/>
          <w:szCs w:val="32"/>
        </w:rPr>
        <w:t>48</w:t>
      </w:r>
      <w:r>
        <w:rPr>
          <w:sz w:val="32"/>
          <w:szCs w:val="32"/>
        </w:rPr>
        <w:fldChar w:fldCharType="end"/>
      </w:r>
      <w:r>
        <w:rPr>
          <w:sz w:val="32"/>
          <w:szCs w:val="32"/>
        </w:rPr>
        <w:fldChar w:fldCharType="end"/>
      </w:r>
    </w:p>
    <w:p w14:paraId="10E870F5">
      <w:pPr>
        <w:pStyle w:val="9"/>
        <w:tabs>
          <w:tab w:val="right" w:leader="dot" w:pos="8296"/>
        </w:tabs>
        <w:rPr>
          <w:rFonts w:asciiTheme="minorHAnsi" w:hAnsiTheme="minorHAnsi" w:eastAsiaTheme="minorEastAsia" w:cstheme="minorBidi"/>
          <w:sz w:val="32"/>
          <w:szCs w:val="32"/>
        </w:rPr>
      </w:pPr>
      <w:r>
        <w:fldChar w:fldCharType="begin"/>
      </w:r>
      <w:r>
        <w:instrText xml:space="preserve"> HYPERLINK \l "_Toc218241081" </w:instrText>
      </w:r>
      <w:r>
        <w:fldChar w:fldCharType="separate"/>
      </w:r>
      <w:r>
        <w:rPr>
          <w:rStyle w:val="14"/>
          <w:rFonts w:hint="eastAsia" w:eastAsia="黑体"/>
          <w:bCs/>
          <w:kern w:val="0"/>
          <w:sz w:val="32"/>
          <w:szCs w:val="32"/>
        </w:rPr>
        <w:t>第十三章</w:t>
      </w:r>
      <w:r>
        <w:rPr>
          <w:rStyle w:val="14"/>
          <w:rFonts w:eastAsia="黑体"/>
          <w:bCs/>
          <w:kern w:val="0"/>
          <w:sz w:val="32"/>
          <w:szCs w:val="32"/>
        </w:rPr>
        <w:t xml:space="preserve">  </w:t>
      </w:r>
      <w:r>
        <w:rPr>
          <w:rStyle w:val="14"/>
          <w:rFonts w:hint="eastAsia" w:eastAsia="黑体"/>
          <w:bCs/>
          <w:kern w:val="0"/>
          <w:sz w:val="32"/>
          <w:szCs w:val="32"/>
        </w:rPr>
        <w:t>补齐水利基础设施短板</w:t>
      </w:r>
      <w:r>
        <w:rPr>
          <w:sz w:val="32"/>
          <w:szCs w:val="32"/>
        </w:rPr>
        <w:tab/>
      </w:r>
      <w:r>
        <w:rPr>
          <w:sz w:val="32"/>
          <w:szCs w:val="32"/>
        </w:rPr>
        <w:fldChar w:fldCharType="begin"/>
      </w:r>
      <w:r>
        <w:rPr>
          <w:sz w:val="32"/>
          <w:szCs w:val="32"/>
        </w:rPr>
        <w:instrText xml:space="preserve"> PAGEREF _Toc218241081 \h </w:instrText>
      </w:r>
      <w:r>
        <w:rPr>
          <w:sz w:val="32"/>
          <w:szCs w:val="32"/>
        </w:rPr>
        <w:fldChar w:fldCharType="separate"/>
      </w:r>
      <w:r>
        <w:rPr>
          <w:sz w:val="32"/>
          <w:szCs w:val="32"/>
        </w:rPr>
        <w:t>48</w:t>
      </w:r>
      <w:r>
        <w:rPr>
          <w:sz w:val="32"/>
          <w:szCs w:val="32"/>
        </w:rPr>
        <w:fldChar w:fldCharType="end"/>
      </w:r>
      <w:r>
        <w:rPr>
          <w:sz w:val="32"/>
          <w:szCs w:val="32"/>
        </w:rPr>
        <w:fldChar w:fldCharType="end"/>
      </w:r>
    </w:p>
    <w:p w14:paraId="62CFA49D">
      <w:pPr>
        <w:pStyle w:val="6"/>
        <w:tabs>
          <w:tab w:val="left" w:pos="2100"/>
          <w:tab w:val="right" w:leader="dot" w:pos="8296"/>
        </w:tabs>
        <w:rPr>
          <w:rFonts w:asciiTheme="minorHAnsi" w:hAnsiTheme="minorHAnsi" w:eastAsiaTheme="minorEastAsia" w:cstheme="minorBidi"/>
          <w:sz w:val="32"/>
          <w:szCs w:val="32"/>
        </w:rPr>
      </w:pPr>
      <w:r>
        <w:fldChar w:fldCharType="begin"/>
      </w:r>
      <w:r>
        <w:instrText xml:space="preserve"> HYPERLINK \l "_Toc218241082" </w:instrText>
      </w:r>
      <w:r>
        <w:fldChar w:fldCharType="separate"/>
      </w:r>
      <w:r>
        <w:rPr>
          <w:rStyle w:val="14"/>
          <w:rFonts w:hint="eastAsia" w:eastAsia="楷体_GB2312"/>
          <w:kern w:val="0"/>
          <w:sz w:val="32"/>
          <w:szCs w:val="32"/>
        </w:rPr>
        <w:t>第一节</w:t>
      </w:r>
      <w:r>
        <w:rPr>
          <w:rFonts w:asciiTheme="minorHAnsi" w:hAnsiTheme="minorHAnsi" w:eastAsiaTheme="minorEastAsia" w:cstheme="minorBidi"/>
          <w:sz w:val="32"/>
          <w:szCs w:val="32"/>
        </w:rPr>
        <w:tab/>
      </w:r>
      <w:r>
        <w:rPr>
          <w:rStyle w:val="14"/>
          <w:rFonts w:hint="eastAsia" w:eastAsia="楷体_GB2312"/>
          <w:kern w:val="0"/>
          <w:sz w:val="32"/>
          <w:szCs w:val="32"/>
        </w:rPr>
        <w:t>完善水资源配置体系</w:t>
      </w:r>
      <w:r>
        <w:rPr>
          <w:sz w:val="32"/>
          <w:szCs w:val="32"/>
        </w:rPr>
        <w:tab/>
      </w:r>
      <w:r>
        <w:rPr>
          <w:sz w:val="32"/>
          <w:szCs w:val="32"/>
        </w:rPr>
        <w:fldChar w:fldCharType="begin"/>
      </w:r>
      <w:r>
        <w:rPr>
          <w:sz w:val="32"/>
          <w:szCs w:val="32"/>
        </w:rPr>
        <w:instrText xml:space="preserve"> PAGEREF _Toc218241082 \h </w:instrText>
      </w:r>
      <w:r>
        <w:rPr>
          <w:sz w:val="32"/>
          <w:szCs w:val="32"/>
        </w:rPr>
        <w:fldChar w:fldCharType="separate"/>
      </w:r>
      <w:r>
        <w:rPr>
          <w:sz w:val="32"/>
          <w:szCs w:val="32"/>
        </w:rPr>
        <w:t>48</w:t>
      </w:r>
      <w:r>
        <w:rPr>
          <w:sz w:val="32"/>
          <w:szCs w:val="32"/>
        </w:rPr>
        <w:fldChar w:fldCharType="end"/>
      </w:r>
      <w:r>
        <w:rPr>
          <w:sz w:val="32"/>
          <w:szCs w:val="32"/>
        </w:rPr>
        <w:fldChar w:fldCharType="end"/>
      </w:r>
    </w:p>
    <w:p w14:paraId="73741468">
      <w:pPr>
        <w:pStyle w:val="6"/>
        <w:tabs>
          <w:tab w:val="left" w:pos="2100"/>
          <w:tab w:val="right" w:leader="dot" w:pos="8296"/>
        </w:tabs>
        <w:rPr>
          <w:rFonts w:asciiTheme="minorHAnsi" w:hAnsiTheme="minorHAnsi" w:eastAsiaTheme="minorEastAsia" w:cstheme="minorBidi"/>
          <w:sz w:val="32"/>
          <w:szCs w:val="32"/>
        </w:rPr>
      </w:pPr>
      <w:r>
        <w:fldChar w:fldCharType="begin"/>
      </w:r>
      <w:r>
        <w:instrText xml:space="preserve"> HYPERLINK \l "_Toc218241083" </w:instrText>
      </w:r>
      <w:r>
        <w:fldChar w:fldCharType="separate"/>
      </w:r>
      <w:r>
        <w:rPr>
          <w:rStyle w:val="14"/>
          <w:rFonts w:hint="eastAsia" w:eastAsia="楷体_GB2312"/>
          <w:kern w:val="0"/>
          <w:sz w:val="32"/>
          <w:szCs w:val="32"/>
        </w:rPr>
        <w:t>第二节</w:t>
      </w:r>
      <w:r>
        <w:rPr>
          <w:rFonts w:asciiTheme="minorHAnsi" w:hAnsiTheme="minorHAnsi" w:eastAsiaTheme="minorEastAsia" w:cstheme="minorBidi"/>
          <w:sz w:val="32"/>
          <w:szCs w:val="32"/>
        </w:rPr>
        <w:tab/>
      </w:r>
      <w:r>
        <w:rPr>
          <w:rStyle w:val="14"/>
          <w:rFonts w:hint="eastAsia" w:eastAsia="楷体_GB2312"/>
          <w:kern w:val="0"/>
          <w:sz w:val="32"/>
          <w:szCs w:val="32"/>
        </w:rPr>
        <w:t>提高城乡供水保障能力</w:t>
      </w:r>
      <w:r>
        <w:rPr>
          <w:sz w:val="32"/>
          <w:szCs w:val="32"/>
        </w:rPr>
        <w:tab/>
      </w:r>
      <w:r>
        <w:rPr>
          <w:sz w:val="32"/>
          <w:szCs w:val="32"/>
        </w:rPr>
        <w:fldChar w:fldCharType="begin"/>
      </w:r>
      <w:r>
        <w:rPr>
          <w:sz w:val="32"/>
          <w:szCs w:val="32"/>
        </w:rPr>
        <w:instrText xml:space="preserve"> PAGEREF _Toc218241083 \h </w:instrText>
      </w:r>
      <w:r>
        <w:rPr>
          <w:sz w:val="32"/>
          <w:szCs w:val="32"/>
        </w:rPr>
        <w:fldChar w:fldCharType="separate"/>
      </w:r>
      <w:r>
        <w:rPr>
          <w:sz w:val="32"/>
          <w:szCs w:val="32"/>
        </w:rPr>
        <w:t>49</w:t>
      </w:r>
      <w:r>
        <w:rPr>
          <w:sz w:val="32"/>
          <w:szCs w:val="32"/>
        </w:rPr>
        <w:fldChar w:fldCharType="end"/>
      </w:r>
      <w:r>
        <w:rPr>
          <w:sz w:val="32"/>
          <w:szCs w:val="32"/>
        </w:rPr>
        <w:fldChar w:fldCharType="end"/>
      </w:r>
    </w:p>
    <w:p w14:paraId="373A6C1E">
      <w:pPr>
        <w:pStyle w:val="6"/>
        <w:tabs>
          <w:tab w:val="left" w:pos="2100"/>
          <w:tab w:val="right" w:leader="dot" w:pos="8296"/>
        </w:tabs>
        <w:rPr>
          <w:rFonts w:asciiTheme="minorHAnsi" w:hAnsiTheme="minorHAnsi" w:eastAsiaTheme="minorEastAsia" w:cstheme="minorBidi"/>
          <w:sz w:val="32"/>
          <w:szCs w:val="32"/>
        </w:rPr>
      </w:pPr>
      <w:r>
        <w:fldChar w:fldCharType="begin"/>
      </w:r>
      <w:r>
        <w:instrText xml:space="preserve"> HYPERLINK \l "_Toc218241084" </w:instrText>
      </w:r>
      <w:r>
        <w:fldChar w:fldCharType="separate"/>
      </w:r>
      <w:r>
        <w:rPr>
          <w:rStyle w:val="14"/>
          <w:rFonts w:hint="eastAsia" w:eastAsia="楷体_GB2312"/>
          <w:kern w:val="0"/>
          <w:sz w:val="32"/>
          <w:szCs w:val="32"/>
        </w:rPr>
        <w:t>第三节</w:t>
      </w:r>
      <w:r>
        <w:rPr>
          <w:rFonts w:asciiTheme="minorHAnsi" w:hAnsiTheme="minorHAnsi" w:eastAsiaTheme="minorEastAsia" w:cstheme="minorBidi"/>
          <w:sz w:val="32"/>
          <w:szCs w:val="32"/>
        </w:rPr>
        <w:tab/>
      </w:r>
      <w:r>
        <w:rPr>
          <w:rStyle w:val="14"/>
          <w:rFonts w:hint="eastAsia" w:eastAsia="楷体_GB2312"/>
          <w:kern w:val="0"/>
          <w:sz w:val="32"/>
          <w:szCs w:val="32"/>
        </w:rPr>
        <w:t>提升防洪减灾能力</w:t>
      </w:r>
      <w:r>
        <w:rPr>
          <w:sz w:val="32"/>
          <w:szCs w:val="32"/>
        </w:rPr>
        <w:tab/>
      </w:r>
      <w:r>
        <w:rPr>
          <w:sz w:val="32"/>
          <w:szCs w:val="32"/>
        </w:rPr>
        <w:fldChar w:fldCharType="begin"/>
      </w:r>
      <w:r>
        <w:rPr>
          <w:sz w:val="32"/>
          <w:szCs w:val="32"/>
        </w:rPr>
        <w:instrText xml:space="preserve"> PAGEREF _Toc218241084 \h </w:instrText>
      </w:r>
      <w:r>
        <w:rPr>
          <w:sz w:val="32"/>
          <w:szCs w:val="32"/>
        </w:rPr>
        <w:fldChar w:fldCharType="separate"/>
      </w:r>
      <w:r>
        <w:rPr>
          <w:sz w:val="32"/>
          <w:szCs w:val="32"/>
        </w:rPr>
        <w:t>49</w:t>
      </w:r>
      <w:r>
        <w:rPr>
          <w:sz w:val="32"/>
          <w:szCs w:val="32"/>
        </w:rPr>
        <w:fldChar w:fldCharType="end"/>
      </w:r>
      <w:r>
        <w:rPr>
          <w:sz w:val="32"/>
          <w:szCs w:val="32"/>
        </w:rPr>
        <w:fldChar w:fldCharType="end"/>
      </w:r>
    </w:p>
    <w:p w14:paraId="37FC3946">
      <w:pPr>
        <w:pStyle w:val="8"/>
        <w:tabs>
          <w:tab w:val="left" w:pos="1260"/>
          <w:tab w:val="right" w:leader="dot" w:pos="8296"/>
        </w:tabs>
        <w:rPr>
          <w:rFonts w:asciiTheme="minorHAnsi" w:hAnsiTheme="minorHAnsi" w:eastAsiaTheme="minorEastAsia" w:cstheme="minorBidi"/>
          <w:sz w:val="32"/>
          <w:szCs w:val="32"/>
        </w:rPr>
      </w:pPr>
      <w:r>
        <w:fldChar w:fldCharType="begin"/>
      </w:r>
      <w:r>
        <w:instrText xml:space="preserve"> HYPERLINK \l "_Toc218241085" </w:instrText>
      </w:r>
      <w:r>
        <w:fldChar w:fldCharType="separate"/>
      </w:r>
      <w:r>
        <w:rPr>
          <w:rStyle w:val="14"/>
          <w:rFonts w:hint="eastAsia" w:eastAsia="方正大标宋简体"/>
          <w:sz w:val="32"/>
          <w:szCs w:val="32"/>
        </w:rPr>
        <w:t>第五篇</w:t>
      </w:r>
      <w:r>
        <w:rPr>
          <w:rFonts w:asciiTheme="minorHAnsi" w:hAnsiTheme="minorHAnsi" w:eastAsiaTheme="minorEastAsia" w:cstheme="minorBidi"/>
          <w:sz w:val="32"/>
          <w:szCs w:val="32"/>
        </w:rPr>
        <w:tab/>
      </w:r>
      <w:r>
        <w:rPr>
          <w:rStyle w:val="14"/>
          <w:rFonts w:hint="eastAsia" w:eastAsia="方正大标宋简体"/>
          <w:sz w:val="32"/>
          <w:szCs w:val="32"/>
        </w:rPr>
        <w:t>以人为本</w:t>
      </w:r>
      <w:r>
        <w:rPr>
          <w:rStyle w:val="14"/>
          <w:rFonts w:eastAsia="方正大标宋简体"/>
          <w:sz w:val="32"/>
          <w:szCs w:val="32"/>
        </w:rPr>
        <w:t xml:space="preserve">  </w:t>
      </w:r>
      <w:r>
        <w:rPr>
          <w:rStyle w:val="14"/>
          <w:rFonts w:hint="eastAsia" w:eastAsia="方正大标宋简体"/>
          <w:sz w:val="32"/>
          <w:szCs w:val="32"/>
        </w:rPr>
        <w:t>构建美美与共城乡融合发展新格局</w:t>
      </w:r>
      <w:r>
        <w:rPr>
          <w:sz w:val="32"/>
          <w:szCs w:val="32"/>
        </w:rPr>
        <w:tab/>
      </w:r>
      <w:r>
        <w:rPr>
          <w:sz w:val="32"/>
          <w:szCs w:val="32"/>
        </w:rPr>
        <w:fldChar w:fldCharType="begin"/>
      </w:r>
      <w:r>
        <w:rPr>
          <w:sz w:val="32"/>
          <w:szCs w:val="32"/>
        </w:rPr>
        <w:instrText xml:space="preserve"> PAGEREF _Toc218241085 \h </w:instrText>
      </w:r>
      <w:r>
        <w:rPr>
          <w:sz w:val="32"/>
          <w:szCs w:val="32"/>
        </w:rPr>
        <w:fldChar w:fldCharType="separate"/>
      </w:r>
      <w:r>
        <w:rPr>
          <w:sz w:val="32"/>
          <w:szCs w:val="32"/>
        </w:rPr>
        <w:t>51</w:t>
      </w:r>
      <w:r>
        <w:rPr>
          <w:sz w:val="32"/>
          <w:szCs w:val="32"/>
        </w:rPr>
        <w:fldChar w:fldCharType="end"/>
      </w:r>
      <w:r>
        <w:rPr>
          <w:sz w:val="32"/>
          <w:szCs w:val="32"/>
        </w:rPr>
        <w:fldChar w:fldCharType="end"/>
      </w:r>
    </w:p>
    <w:p w14:paraId="736A868D">
      <w:pPr>
        <w:pStyle w:val="9"/>
        <w:tabs>
          <w:tab w:val="right" w:leader="dot" w:pos="8296"/>
        </w:tabs>
        <w:rPr>
          <w:rFonts w:asciiTheme="minorHAnsi" w:hAnsiTheme="minorHAnsi" w:eastAsiaTheme="minorEastAsia" w:cstheme="minorBidi"/>
          <w:sz w:val="32"/>
          <w:szCs w:val="32"/>
        </w:rPr>
      </w:pPr>
      <w:r>
        <w:fldChar w:fldCharType="begin"/>
      </w:r>
      <w:r>
        <w:instrText xml:space="preserve"> HYPERLINK \l "_Toc218241086" </w:instrText>
      </w:r>
      <w:r>
        <w:fldChar w:fldCharType="separate"/>
      </w:r>
      <w:r>
        <w:rPr>
          <w:rStyle w:val="14"/>
          <w:rFonts w:hint="eastAsia" w:eastAsia="黑体"/>
          <w:bCs/>
          <w:kern w:val="0"/>
          <w:sz w:val="32"/>
          <w:szCs w:val="32"/>
        </w:rPr>
        <w:t>第十四章</w:t>
      </w:r>
      <w:r>
        <w:rPr>
          <w:rStyle w:val="14"/>
          <w:rFonts w:eastAsia="黑体"/>
          <w:bCs/>
          <w:kern w:val="0"/>
          <w:sz w:val="32"/>
          <w:szCs w:val="32"/>
        </w:rPr>
        <w:t xml:space="preserve">  </w:t>
      </w:r>
      <w:r>
        <w:rPr>
          <w:rStyle w:val="14"/>
          <w:rFonts w:hint="eastAsia" w:eastAsia="黑体"/>
          <w:bCs/>
          <w:kern w:val="0"/>
          <w:sz w:val="32"/>
          <w:szCs w:val="32"/>
        </w:rPr>
        <w:t>推进以人为本的新型城镇化</w:t>
      </w:r>
      <w:r>
        <w:rPr>
          <w:sz w:val="32"/>
          <w:szCs w:val="32"/>
        </w:rPr>
        <w:tab/>
      </w:r>
      <w:r>
        <w:rPr>
          <w:sz w:val="32"/>
          <w:szCs w:val="32"/>
        </w:rPr>
        <w:fldChar w:fldCharType="begin"/>
      </w:r>
      <w:r>
        <w:rPr>
          <w:sz w:val="32"/>
          <w:szCs w:val="32"/>
        </w:rPr>
        <w:instrText xml:space="preserve"> PAGEREF _Toc218241086 \h </w:instrText>
      </w:r>
      <w:r>
        <w:rPr>
          <w:sz w:val="32"/>
          <w:szCs w:val="32"/>
        </w:rPr>
        <w:fldChar w:fldCharType="separate"/>
      </w:r>
      <w:r>
        <w:rPr>
          <w:sz w:val="32"/>
          <w:szCs w:val="32"/>
        </w:rPr>
        <w:t>51</w:t>
      </w:r>
      <w:r>
        <w:rPr>
          <w:sz w:val="32"/>
          <w:szCs w:val="32"/>
        </w:rPr>
        <w:fldChar w:fldCharType="end"/>
      </w:r>
      <w:r>
        <w:rPr>
          <w:sz w:val="32"/>
          <w:szCs w:val="32"/>
        </w:rPr>
        <w:fldChar w:fldCharType="end"/>
      </w:r>
    </w:p>
    <w:p w14:paraId="2E06C7BD">
      <w:pPr>
        <w:pStyle w:val="6"/>
        <w:tabs>
          <w:tab w:val="left" w:pos="2100"/>
          <w:tab w:val="right" w:leader="dot" w:pos="8296"/>
        </w:tabs>
        <w:rPr>
          <w:rFonts w:asciiTheme="minorHAnsi" w:hAnsiTheme="minorHAnsi" w:eastAsiaTheme="minorEastAsia" w:cstheme="minorBidi"/>
          <w:sz w:val="32"/>
          <w:szCs w:val="32"/>
        </w:rPr>
      </w:pPr>
      <w:r>
        <w:fldChar w:fldCharType="begin"/>
      </w:r>
      <w:r>
        <w:instrText xml:space="preserve"> HYPERLINK \l "_Toc218241087" </w:instrText>
      </w:r>
      <w:r>
        <w:fldChar w:fldCharType="separate"/>
      </w:r>
      <w:r>
        <w:rPr>
          <w:rStyle w:val="14"/>
          <w:rFonts w:hint="eastAsia" w:eastAsia="楷体_GB2312"/>
          <w:kern w:val="0"/>
          <w:sz w:val="32"/>
          <w:szCs w:val="32"/>
        </w:rPr>
        <w:t>第一节</w:t>
      </w:r>
      <w:r>
        <w:rPr>
          <w:rFonts w:asciiTheme="minorHAnsi" w:hAnsiTheme="minorHAnsi" w:eastAsiaTheme="minorEastAsia" w:cstheme="minorBidi"/>
          <w:sz w:val="32"/>
          <w:szCs w:val="32"/>
        </w:rPr>
        <w:tab/>
      </w:r>
      <w:r>
        <w:rPr>
          <w:rStyle w:val="14"/>
          <w:rFonts w:hint="eastAsia" w:eastAsia="楷体_GB2312"/>
          <w:kern w:val="0"/>
          <w:sz w:val="32"/>
          <w:szCs w:val="32"/>
        </w:rPr>
        <w:t>高标准建设康南中心城市</w:t>
      </w:r>
      <w:r>
        <w:rPr>
          <w:sz w:val="32"/>
          <w:szCs w:val="32"/>
        </w:rPr>
        <w:tab/>
      </w:r>
      <w:r>
        <w:rPr>
          <w:sz w:val="32"/>
          <w:szCs w:val="32"/>
        </w:rPr>
        <w:fldChar w:fldCharType="begin"/>
      </w:r>
      <w:r>
        <w:rPr>
          <w:sz w:val="32"/>
          <w:szCs w:val="32"/>
        </w:rPr>
        <w:instrText xml:space="preserve"> PAGEREF _Toc218241087 \h </w:instrText>
      </w:r>
      <w:r>
        <w:rPr>
          <w:sz w:val="32"/>
          <w:szCs w:val="32"/>
        </w:rPr>
        <w:fldChar w:fldCharType="separate"/>
      </w:r>
      <w:r>
        <w:rPr>
          <w:sz w:val="32"/>
          <w:szCs w:val="32"/>
        </w:rPr>
        <w:t>51</w:t>
      </w:r>
      <w:r>
        <w:rPr>
          <w:sz w:val="32"/>
          <w:szCs w:val="32"/>
        </w:rPr>
        <w:fldChar w:fldCharType="end"/>
      </w:r>
      <w:r>
        <w:rPr>
          <w:sz w:val="32"/>
          <w:szCs w:val="32"/>
        </w:rPr>
        <w:fldChar w:fldCharType="end"/>
      </w:r>
    </w:p>
    <w:p w14:paraId="4DA8DE80">
      <w:pPr>
        <w:pStyle w:val="6"/>
        <w:tabs>
          <w:tab w:val="left" w:pos="2100"/>
          <w:tab w:val="right" w:leader="dot" w:pos="8296"/>
        </w:tabs>
        <w:rPr>
          <w:rFonts w:asciiTheme="minorHAnsi" w:hAnsiTheme="minorHAnsi" w:eastAsiaTheme="minorEastAsia" w:cstheme="minorBidi"/>
          <w:sz w:val="32"/>
          <w:szCs w:val="32"/>
        </w:rPr>
      </w:pPr>
      <w:r>
        <w:fldChar w:fldCharType="begin"/>
      </w:r>
      <w:r>
        <w:instrText xml:space="preserve"> HYPERLINK \l "_Toc218241088" </w:instrText>
      </w:r>
      <w:r>
        <w:fldChar w:fldCharType="separate"/>
      </w:r>
      <w:r>
        <w:rPr>
          <w:rStyle w:val="14"/>
          <w:rFonts w:hint="eastAsia" w:eastAsia="楷体_GB2312"/>
          <w:kern w:val="0"/>
          <w:sz w:val="32"/>
          <w:szCs w:val="32"/>
        </w:rPr>
        <w:t>第二节</w:t>
      </w:r>
      <w:r>
        <w:rPr>
          <w:rFonts w:asciiTheme="minorHAnsi" w:hAnsiTheme="minorHAnsi" w:eastAsiaTheme="minorEastAsia" w:cstheme="minorBidi"/>
          <w:sz w:val="32"/>
          <w:szCs w:val="32"/>
        </w:rPr>
        <w:tab/>
      </w:r>
      <w:r>
        <w:rPr>
          <w:rStyle w:val="14"/>
          <w:rFonts w:hint="eastAsia" w:eastAsia="楷体_GB2312"/>
          <w:kern w:val="0"/>
          <w:sz w:val="32"/>
          <w:szCs w:val="32"/>
        </w:rPr>
        <w:t>大力推进城市有机更新</w:t>
      </w:r>
      <w:r>
        <w:rPr>
          <w:sz w:val="32"/>
          <w:szCs w:val="32"/>
        </w:rPr>
        <w:tab/>
      </w:r>
      <w:r>
        <w:rPr>
          <w:sz w:val="32"/>
          <w:szCs w:val="32"/>
        </w:rPr>
        <w:fldChar w:fldCharType="begin"/>
      </w:r>
      <w:r>
        <w:rPr>
          <w:sz w:val="32"/>
          <w:szCs w:val="32"/>
        </w:rPr>
        <w:instrText xml:space="preserve"> PAGEREF _Toc218241088 \h </w:instrText>
      </w:r>
      <w:r>
        <w:rPr>
          <w:sz w:val="32"/>
          <w:szCs w:val="32"/>
        </w:rPr>
        <w:fldChar w:fldCharType="separate"/>
      </w:r>
      <w:r>
        <w:rPr>
          <w:sz w:val="32"/>
          <w:szCs w:val="32"/>
        </w:rPr>
        <w:t>52</w:t>
      </w:r>
      <w:r>
        <w:rPr>
          <w:sz w:val="32"/>
          <w:szCs w:val="32"/>
        </w:rPr>
        <w:fldChar w:fldCharType="end"/>
      </w:r>
      <w:r>
        <w:rPr>
          <w:sz w:val="32"/>
          <w:szCs w:val="32"/>
        </w:rPr>
        <w:fldChar w:fldCharType="end"/>
      </w:r>
    </w:p>
    <w:p w14:paraId="4C3D2303">
      <w:pPr>
        <w:pStyle w:val="6"/>
        <w:tabs>
          <w:tab w:val="left" w:pos="2100"/>
          <w:tab w:val="right" w:leader="dot" w:pos="8296"/>
        </w:tabs>
        <w:rPr>
          <w:rFonts w:asciiTheme="minorHAnsi" w:hAnsiTheme="minorHAnsi" w:eastAsiaTheme="minorEastAsia" w:cstheme="minorBidi"/>
          <w:sz w:val="32"/>
          <w:szCs w:val="32"/>
        </w:rPr>
      </w:pPr>
      <w:r>
        <w:fldChar w:fldCharType="begin"/>
      </w:r>
      <w:r>
        <w:instrText xml:space="preserve"> HYPERLINK \l "_Toc218241089" </w:instrText>
      </w:r>
      <w:r>
        <w:fldChar w:fldCharType="separate"/>
      </w:r>
      <w:r>
        <w:rPr>
          <w:rStyle w:val="14"/>
          <w:rFonts w:hint="eastAsia" w:eastAsia="楷体_GB2312"/>
          <w:kern w:val="0"/>
          <w:sz w:val="32"/>
          <w:szCs w:val="32"/>
        </w:rPr>
        <w:t>第三节</w:t>
      </w:r>
      <w:r>
        <w:rPr>
          <w:rFonts w:asciiTheme="minorHAnsi" w:hAnsiTheme="minorHAnsi" w:eastAsiaTheme="minorEastAsia" w:cstheme="minorBidi"/>
          <w:sz w:val="32"/>
          <w:szCs w:val="32"/>
        </w:rPr>
        <w:tab/>
      </w:r>
      <w:r>
        <w:rPr>
          <w:rStyle w:val="14"/>
          <w:rFonts w:hint="eastAsia" w:eastAsia="楷体_GB2312"/>
          <w:kern w:val="0"/>
          <w:sz w:val="32"/>
          <w:szCs w:val="32"/>
        </w:rPr>
        <w:t>强化重点镇特色示范发展</w:t>
      </w:r>
      <w:r>
        <w:rPr>
          <w:sz w:val="32"/>
          <w:szCs w:val="32"/>
        </w:rPr>
        <w:tab/>
      </w:r>
      <w:r>
        <w:rPr>
          <w:sz w:val="32"/>
          <w:szCs w:val="32"/>
        </w:rPr>
        <w:fldChar w:fldCharType="begin"/>
      </w:r>
      <w:r>
        <w:rPr>
          <w:sz w:val="32"/>
          <w:szCs w:val="32"/>
        </w:rPr>
        <w:instrText xml:space="preserve"> PAGEREF _Toc218241089 \h </w:instrText>
      </w:r>
      <w:r>
        <w:rPr>
          <w:sz w:val="32"/>
          <w:szCs w:val="32"/>
        </w:rPr>
        <w:fldChar w:fldCharType="separate"/>
      </w:r>
      <w:r>
        <w:rPr>
          <w:sz w:val="32"/>
          <w:szCs w:val="32"/>
        </w:rPr>
        <w:t>53</w:t>
      </w:r>
      <w:r>
        <w:rPr>
          <w:sz w:val="32"/>
          <w:szCs w:val="32"/>
        </w:rPr>
        <w:fldChar w:fldCharType="end"/>
      </w:r>
      <w:r>
        <w:rPr>
          <w:sz w:val="32"/>
          <w:szCs w:val="32"/>
        </w:rPr>
        <w:fldChar w:fldCharType="end"/>
      </w:r>
    </w:p>
    <w:p w14:paraId="133795BA">
      <w:pPr>
        <w:pStyle w:val="9"/>
        <w:tabs>
          <w:tab w:val="right" w:leader="dot" w:pos="8296"/>
        </w:tabs>
        <w:rPr>
          <w:rFonts w:asciiTheme="minorHAnsi" w:hAnsiTheme="minorHAnsi" w:eastAsiaTheme="minorEastAsia" w:cstheme="minorBidi"/>
          <w:sz w:val="32"/>
          <w:szCs w:val="32"/>
        </w:rPr>
      </w:pPr>
      <w:r>
        <w:fldChar w:fldCharType="begin"/>
      </w:r>
      <w:r>
        <w:instrText xml:space="preserve"> HYPERLINK \l "_Toc218241090" </w:instrText>
      </w:r>
      <w:r>
        <w:fldChar w:fldCharType="separate"/>
      </w:r>
      <w:r>
        <w:rPr>
          <w:rStyle w:val="14"/>
          <w:rFonts w:hint="eastAsia" w:eastAsia="黑体"/>
          <w:bCs/>
          <w:kern w:val="0"/>
          <w:sz w:val="32"/>
          <w:szCs w:val="32"/>
        </w:rPr>
        <w:t>第十五章</w:t>
      </w:r>
      <w:r>
        <w:rPr>
          <w:rStyle w:val="14"/>
          <w:rFonts w:eastAsia="黑体"/>
          <w:bCs/>
          <w:kern w:val="0"/>
          <w:sz w:val="32"/>
          <w:szCs w:val="32"/>
        </w:rPr>
        <w:t xml:space="preserve">  </w:t>
      </w:r>
      <w:r>
        <w:rPr>
          <w:rStyle w:val="14"/>
          <w:rFonts w:hint="eastAsia" w:eastAsia="黑体"/>
          <w:bCs/>
          <w:kern w:val="0"/>
          <w:sz w:val="32"/>
          <w:szCs w:val="32"/>
        </w:rPr>
        <w:t>建设宜居宜业和美乡村</w:t>
      </w:r>
      <w:r>
        <w:rPr>
          <w:sz w:val="32"/>
          <w:szCs w:val="32"/>
        </w:rPr>
        <w:tab/>
      </w:r>
      <w:r>
        <w:rPr>
          <w:sz w:val="32"/>
          <w:szCs w:val="32"/>
        </w:rPr>
        <w:fldChar w:fldCharType="begin"/>
      </w:r>
      <w:r>
        <w:rPr>
          <w:sz w:val="32"/>
          <w:szCs w:val="32"/>
        </w:rPr>
        <w:instrText xml:space="preserve"> PAGEREF _Toc218241090 \h </w:instrText>
      </w:r>
      <w:r>
        <w:rPr>
          <w:sz w:val="32"/>
          <w:szCs w:val="32"/>
        </w:rPr>
        <w:fldChar w:fldCharType="separate"/>
      </w:r>
      <w:r>
        <w:rPr>
          <w:sz w:val="32"/>
          <w:szCs w:val="32"/>
        </w:rPr>
        <w:t>54</w:t>
      </w:r>
      <w:r>
        <w:rPr>
          <w:sz w:val="32"/>
          <w:szCs w:val="32"/>
        </w:rPr>
        <w:fldChar w:fldCharType="end"/>
      </w:r>
      <w:r>
        <w:rPr>
          <w:sz w:val="32"/>
          <w:szCs w:val="32"/>
        </w:rPr>
        <w:fldChar w:fldCharType="end"/>
      </w:r>
    </w:p>
    <w:p w14:paraId="045E10FC">
      <w:pPr>
        <w:pStyle w:val="6"/>
        <w:tabs>
          <w:tab w:val="left" w:pos="2100"/>
          <w:tab w:val="right" w:leader="dot" w:pos="8296"/>
        </w:tabs>
        <w:rPr>
          <w:rFonts w:asciiTheme="minorHAnsi" w:hAnsiTheme="minorHAnsi" w:eastAsiaTheme="minorEastAsia" w:cstheme="minorBidi"/>
          <w:sz w:val="32"/>
          <w:szCs w:val="32"/>
        </w:rPr>
      </w:pPr>
      <w:r>
        <w:fldChar w:fldCharType="begin"/>
      </w:r>
      <w:r>
        <w:instrText xml:space="preserve"> HYPERLINK \l "_Toc218241091" </w:instrText>
      </w:r>
      <w:r>
        <w:fldChar w:fldCharType="separate"/>
      </w:r>
      <w:r>
        <w:rPr>
          <w:rStyle w:val="14"/>
          <w:rFonts w:hint="eastAsia" w:eastAsia="楷体_GB2312"/>
          <w:kern w:val="0"/>
          <w:sz w:val="32"/>
          <w:szCs w:val="32"/>
        </w:rPr>
        <w:t>第一节</w:t>
      </w:r>
      <w:r>
        <w:rPr>
          <w:rFonts w:asciiTheme="minorHAnsi" w:hAnsiTheme="minorHAnsi" w:eastAsiaTheme="minorEastAsia" w:cstheme="minorBidi"/>
          <w:sz w:val="32"/>
          <w:szCs w:val="32"/>
        </w:rPr>
        <w:tab/>
      </w:r>
      <w:r>
        <w:rPr>
          <w:rStyle w:val="14"/>
          <w:rFonts w:hint="eastAsia" w:eastAsia="楷体_GB2312"/>
          <w:kern w:val="0"/>
          <w:sz w:val="32"/>
          <w:szCs w:val="32"/>
        </w:rPr>
        <w:t>提高人居环境舒适度</w:t>
      </w:r>
      <w:r>
        <w:rPr>
          <w:sz w:val="32"/>
          <w:szCs w:val="32"/>
        </w:rPr>
        <w:tab/>
      </w:r>
      <w:r>
        <w:rPr>
          <w:sz w:val="32"/>
          <w:szCs w:val="32"/>
        </w:rPr>
        <w:fldChar w:fldCharType="begin"/>
      </w:r>
      <w:r>
        <w:rPr>
          <w:sz w:val="32"/>
          <w:szCs w:val="32"/>
        </w:rPr>
        <w:instrText xml:space="preserve"> PAGEREF _Toc218241091 \h </w:instrText>
      </w:r>
      <w:r>
        <w:rPr>
          <w:sz w:val="32"/>
          <w:szCs w:val="32"/>
        </w:rPr>
        <w:fldChar w:fldCharType="separate"/>
      </w:r>
      <w:r>
        <w:rPr>
          <w:sz w:val="32"/>
          <w:szCs w:val="32"/>
        </w:rPr>
        <w:t>54</w:t>
      </w:r>
      <w:r>
        <w:rPr>
          <w:sz w:val="32"/>
          <w:szCs w:val="32"/>
        </w:rPr>
        <w:fldChar w:fldCharType="end"/>
      </w:r>
      <w:r>
        <w:rPr>
          <w:sz w:val="32"/>
          <w:szCs w:val="32"/>
        </w:rPr>
        <w:fldChar w:fldCharType="end"/>
      </w:r>
    </w:p>
    <w:p w14:paraId="0AC26165">
      <w:pPr>
        <w:pStyle w:val="6"/>
        <w:tabs>
          <w:tab w:val="left" w:pos="2100"/>
          <w:tab w:val="right" w:leader="dot" w:pos="8296"/>
        </w:tabs>
        <w:rPr>
          <w:rFonts w:asciiTheme="minorHAnsi" w:hAnsiTheme="minorHAnsi" w:eastAsiaTheme="minorEastAsia" w:cstheme="minorBidi"/>
          <w:sz w:val="32"/>
          <w:szCs w:val="32"/>
        </w:rPr>
      </w:pPr>
      <w:r>
        <w:fldChar w:fldCharType="begin"/>
      </w:r>
      <w:r>
        <w:instrText xml:space="preserve"> HYPERLINK \l "_Toc218241092" </w:instrText>
      </w:r>
      <w:r>
        <w:fldChar w:fldCharType="separate"/>
      </w:r>
      <w:r>
        <w:rPr>
          <w:rStyle w:val="14"/>
          <w:rFonts w:hint="eastAsia" w:eastAsia="楷体_GB2312"/>
          <w:kern w:val="0"/>
          <w:sz w:val="32"/>
          <w:szCs w:val="32"/>
        </w:rPr>
        <w:t>第二节</w:t>
      </w:r>
      <w:r>
        <w:rPr>
          <w:rFonts w:asciiTheme="minorHAnsi" w:hAnsiTheme="minorHAnsi" w:eastAsiaTheme="minorEastAsia" w:cstheme="minorBidi"/>
          <w:sz w:val="32"/>
          <w:szCs w:val="32"/>
        </w:rPr>
        <w:tab/>
      </w:r>
      <w:r>
        <w:rPr>
          <w:rStyle w:val="14"/>
          <w:rFonts w:hint="eastAsia" w:eastAsia="楷体_GB2312"/>
          <w:kern w:val="0"/>
          <w:sz w:val="32"/>
          <w:szCs w:val="32"/>
        </w:rPr>
        <w:t>提高农村产业兴旺度</w:t>
      </w:r>
      <w:r>
        <w:rPr>
          <w:sz w:val="32"/>
          <w:szCs w:val="32"/>
        </w:rPr>
        <w:tab/>
      </w:r>
      <w:r>
        <w:rPr>
          <w:sz w:val="32"/>
          <w:szCs w:val="32"/>
        </w:rPr>
        <w:fldChar w:fldCharType="begin"/>
      </w:r>
      <w:r>
        <w:rPr>
          <w:sz w:val="32"/>
          <w:szCs w:val="32"/>
        </w:rPr>
        <w:instrText xml:space="preserve"> PAGEREF _Toc218241092 \h </w:instrText>
      </w:r>
      <w:r>
        <w:rPr>
          <w:sz w:val="32"/>
          <w:szCs w:val="32"/>
        </w:rPr>
        <w:fldChar w:fldCharType="separate"/>
      </w:r>
      <w:r>
        <w:rPr>
          <w:sz w:val="32"/>
          <w:szCs w:val="32"/>
        </w:rPr>
        <w:t>55</w:t>
      </w:r>
      <w:r>
        <w:rPr>
          <w:sz w:val="32"/>
          <w:szCs w:val="32"/>
        </w:rPr>
        <w:fldChar w:fldCharType="end"/>
      </w:r>
      <w:r>
        <w:rPr>
          <w:sz w:val="32"/>
          <w:szCs w:val="32"/>
        </w:rPr>
        <w:fldChar w:fldCharType="end"/>
      </w:r>
    </w:p>
    <w:p w14:paraId="49A5DCB3">
      <w:pPr>
        <w:pStyle w:val="6"/>
        <w:tabs>
          <w:tab w:val="left" w:pos="2100"/>
          <w:tab w:val="right" w:leader="dot" w:pos="8296"/>
        </w:tabs>
        <w:rPr>
          <w:rFonts w:asciiTheme="minorHAnsi" w:hAnsiTheme="minorHAnsi" w:eastAsiaTheme="minorEastAsia" w:cstheme="minorBidi"/>
          <w:sz w:val="32"/>
          <w:szCs w:val="32"/>
        </w:rPr>
      </w:pPr>
      <w:r>
        <w:fldChar w:fldCharType="begin"/>
      </w:r>
      <w:r>
        <w:instrText xml:space="preserve"> HYPERLINK \l "_Toc218241093" </w:instrText>
      </w:r>
      <w:r>
        <w:fldChar w:fldCharType="separate"/>
      </w:r>
      <w:r>
        <w:rPr>
          <w:rStyle w:val="14"/>
          <w:rFonts w:hint="eastAsia" w:eastAsia="楷体_GB2312"/>
          <w:kern w:val="0"/>
          <w:sz w:val="32"/>
          <w:szCs w:val="32"/>
        </w:rPr>
        <w:t>第三节</w:t>
      </w:r>
      <w:r>
        <w:rPr>
          <w:rFonts w:asciiTheme="minorHAnsi" w:hAnsiTheme="minorHAnsi" w:eastAsiaTheme="minorEastAsia" w:cstheme="minorBidi"/>
          <w:sz w:val="32"/>
          <w:szCs w:val="32"/>
        </w:rPr>
        <w:tab/>
      </w:r>
      <w:r>
        <w:rPr>
          <w:rStyle w:val="14"/>
          <w:rFonts w:hint="eastAsia" w:eastAsia="楷体_GB2312"/>
          <w:kern w:val="0"/>
          <w:sz w:val="32"/>
          <w:szCs w:val="32"/>
        </w:rPr>
        <w:t>巩固拓展脱贫攻坚成果</w:t>
      </w:r>
      <w:r>
        <w:rPr>
          <w:sz w:val="32"/>
          <w:szCs w:val="32"/>
        </w:rPr>
        <w:tab/>
      </w:r>
      <w:r>
        <w:rPr>
          <w:sz w:val="32"/>
          <w:szCs w:val="32"/>
        </w:rPr>
        <w:fldChar w:fldCharType="begin"/>
      </w:r>
      <w:r>
        <w:rPr>
          <w:sz w:val="32"/>
          <w:szCs w:val="32"/>
        </w:rPr>
        <w:instrText xml:space="preserve"> PAGEREF _Toc218241093 \h </w:instrText>
      </w:r>
      <w:r>
        <w:rPr>
          <w:sz w:val="32"/>
          <w:szCs w:val="32"/>
        </w:rPr>
        <w:fldChar w:fldCharType="separate"/>
      </w:r>
      <w:r>
        <w:rPr>
          <w:sz w:val="32"/>
          <w:szCs w:val="32"/>
        </w:rPr>
        <w:t>55</w:t>
      </w:r>
      <w:r>
        <w:rPr>
          <w:sz w:val="32"/>
          <w:szCs w:val="32"/>
        </w:rPr>
        <w:fldChar w:fldCharType="end"/>
      </w:r>
      <w:r>
        <w:rPr>
          <w:sz w:val="32"/>
          <w:szCs w:val="32"/>
        </w:rPr>
        <w:fldChar w:fldCharType="end"/>
      </w:r>
    </w:p>
    <w:p w14:paraId="7D81EB26">
      <w:pPr>
        <w:pStyle w:val="9"/>
        <w:tabs>
          <w:tab w:val="right" w:leader="dot" w:pos="8296"/>
        </w:tabs>
        <w:rPr>
          <w:rFonts w:asciiTheme="minorHAnsi" w:hAnsiTheme="minorHAnsi" w:eastAsiaTheme="minorEastAsia" w:cstheme="minorBidi"/>
          <w:sz w:val="32"/>
          <w:szCs w:val="32"/>
        </w:rPr>
      </w:pPr>
      <w:r>
        <w:fldChar w:fldCharType="begin"/>
      </w:r>
      <w:r>
        <w:instrText xml:space="preserve"> HYPERLINK \l "_Toc218241094" </w:instrText>
      </w:r>
      <w:r>
        <w:fldChar w:fldCharType="separate"/>
      </w:r>
      <w:r>
        <w:rPr>
          <w:rStyle w:val="14"/>
          <w:rFonts w:hint="eastAsia" w:eastAsia="黑体"/>
          <w:bCs/>
          <w:kern w:val="0"/>
          <w:sz w:val="32"/>
          <w:szCs w:val="32"/>
        </w:rPr>
        <w:t>第十六章</w:t>
      </w:r>
      <w:r>
        <w:rPr>
          <w:rStyle w:val="14"/>
          <w:rFonts w:eastAsia="黑体"/>
          <w:bCs/>
          <w:kern w:val="0"/>
          <w:sz w:val="32"/>
          <w:szCs w:val="32"/>
        </w:rPr>
        <w:t xml:space="preserve">  </w:t>
      </w:r>
      <w:r>
        <w:rPr>
          <w:rStyle w:val="14"/>
          <w:rFonts w:hint="eastAsia" w:eastAsia="黑体"/>
          <w:bCs/>
          <w:kern w:val="0"/>
          <w:sz w:val="32"/>
          <w:szCs w:val="32"/>
        </w:rPr>
        <w:t>深入推进城乡融合发展</w:t>
      </w:r>
      <w:r>
        <w:rPr>
          <w:sz w:val="32"/>
          <w:szCs w:val="32"/>
        </w:rPr>
        <w:tab/>
      </w:r>
      <w:r>
        <w:rPr>
          <w:sz w:val="32"/>
          <w:szCs w:val="32"/>
        </w:rPr>
        <w:fldChar w:fldCharType="begin"/>
      </w:r>
      <w:r>
        <w:rPr>
          <w:sz w:val="32"/>
          <w:szCs w:val="32"/>
        </w:rPr>
        <w:instrText xml:space="preserve"> PAGEREF _Toc218241094 \h </w:instrText>
      </w:r>
      <w:r>
        <w:rPr>
          <w:sz w:val="32"/>
          <w:szCs w:val="32"/>
        </w:rPr>
        <w:fldChar w:fldCharType="separate"/>
      </w:r>
      <w:r>
        <w:rPr>
          <w:sz w:val="32"/>
          <w:szCs w:val="32"/>
        </w:rPr>
        <w:t>56</w:t>
      </w:r>
      <w:r>
        <w:rPr>
          <w:sz w:val="32"/>
          <w:szCs w:val="32"/>
        </w:rPr>
        <w:fldChar w:fldCharType="end"/>
      </w:r>
      <w:r>
        <w:rPr>
          <w:sz w:val="32"/>
          <w:szCs w:val="32"/>
        </w:rPr>
        <w:fldChar w:fldCharType="end"/>
      </w:r>
    </w:p>
    <w:p w14:paraId="15F7E205">
      <w:pPr>
        <w:pStyle w:val="6"/>
        <w:tabs>
          <w:tab w:val="left" w:pos="2100"/>
          <w:tab w:val="right" w:leader="dot" w:pos="8296"/>
        </w:tabs>
        <w:rPr>
          <w:rFonts w:asciiTheme="minorHAnsi" w:hAnsiTheme="minorHAnsi" w:eastAsiaTheme="minorEastAsia" w:cstheme="minorBidi"/>
          <w:sz w:val="32"/>
          <w:szCs w:val="32"/>
        </w:rPr>
      </w:pPr>
      <w:r>
        <w:fldChar w:fldCharType="begin"/>
      </w:r>
      <w:r>
        <w:instrText xml:space="preserve"> HYPERLINK \l "_Toc218241095" </w:instrText>
      </w:r>
      <w:r>
        <w:fldChar w:fldCharType="separate"/>
      </w:r>
      <w:r>
        <w:rPr>
          <w:rStyle w:val="14"/>
          <w:rFonts w:hint="eastAsia" w:eastAsia="楷体_GB2312"/>
          <w:kern w:val="0"/>
          <w:sz w:val="32"/>
          <w:szCs w:val="32"/>
        </w:rPr>
        <w:t>第一节</w:t>
      </w:r>
      <w:r>
        <w:rPr>
          <w:rFonts w:asciiTheme="minorHAnsi" w:hAnsiTheme="minorHAnsi" w:eastAsiaTheme="minorEastAsia" w:cstheme="minorBidi"/>
          <w:sz w:val="32"/>
          <w:szCs w:val="32"/>
        </w:rPr>
        <w:tab/>
      </w:r>
      <w:r>
        <w:rPr>
          <w:rStyle w:val="14"/>
          <w:rFonts w:hint="eastAsia" w:eastAsia="楷体_GB2312"/>
          <w:kern w:val="0"/>
          <w:sz w:val="32"/>
          <w:szCs w:val="32"/>
        </w:rPr>
        <w:t>推动城乡设施畅连畅通</w:t>
      </w:r>
      <w:r>
        <w:rPr>
          <w:sz w:val="32"/>
          <w:szCs w:val="32"/>
        </w:rPr>
        <w:tab/>
      </w:r>
      <w:r>
        <w:rPr>
          <w:sz w:val="32"/>
          <w:szCs w:val="32"/>
        </w:rPr>
        <w:fldChar w:fldCharType="begin"/>
      </w:r>
      <w:r>
        <w:rPr>
          <w:sz w:val="32"/>
          <w:szCs w:val="32"/>
        </w:rPr>
        <w:instrText xml:space="preserve"> PAGEREF _Toc218241095 \h </w:instrText>
      </w:r>
      <w:r>
        <w:rPr>
          <w:sz w:val="32"/>
          <w:szCs w:val="32"/>
        </w:rPr>
        <w:fldChar w:fldCharType="separate"/>
      </w:r>
      <w:r>
        <w:rPr>
          <w:sz w:val="32"/>
          <w:szCs w:val="32"/>
        </w:rPr>
        <w:t>56</w:t>
      </w:r>
      <w:r>
        <w:rPr>
          <w:sz w:val="32"/>
          <w:szCs w:val="32"/>
        </w:rPr>
        <w:fldChar w:fldCharType="end"/>
      </w:r>
      <w:r>
        <w:rPr>
          <w:sz w:val="32"/>
          <w:szCs w:val="32"/>
        </w:rPr>
        <w:fldChar w:fldCharType="end"/>
      </w:r>
    </w:p>
    <w:p w14:paraId="7BC6D868">
      <w:pPr>
        <w:pStyle w:val="6"/>
        <w:tabs>
          <w:tab w:val="left" w:pos="2100"/>
          <w:tab w:val="right" w:leader="dot" w:pos="8296"/>
        </w:tabs>
        <w:rPr>
          <w:rFonts w:asciiTheme="minorHAnsi" w:hAnsiTheme="minorHAnsi" w:eastAsiaTheme="minorEastAsia" w:cstheme="minorBidi"/>
          <w:sz w:val="32"/>
          <w:szCs w:val="32"/>
        </w:rPr>
      </w:pPr>
      <w:r>
        <w:fldChar w:fldCharType="begin"/>
      </w:r>
      <w:r>
        <w:instrText xml:space="preserve"> HYPERLINK \l "_Toc218241096" </w:instrText>
      </w:r>
      <w:r>
        <w:fldChar w:fldCharType="separate"/>
      </w:r>
      <w:r>
        <w:rPr>
          <w:rStyle w:val="14"/>
          <w:rFonts w:hint="eastAsia" w:eastAsia="楷体_GB2312"/>
          <w:kern w:val="0"/>
          <w:sz w:val="32"/>
          <w:szCs w:val="32"/>
        </w:rPr>
        <w:t>第二节</w:t>
      </w:r>
      <w:r>
        <w:rPr>
          <w:rFonts w:asciiTheme="minorHAnsi" w:hAnsiTheme="minorHAnsi" w:eastAsiaTheme="minorEastAsia" w:cstheme="minorBidi"/>
          <w:sz w:val="32"/>
          <w:szCs w:val="32"/>
        </w:rPr>
        <w:tab/>
      </w:r>
      <w:r>
        <w:rPr>
          <w:rStyle w:val="14"/>
          <w:rFonts w:hint="eastAsia" w:eastAsia="楷体_GB2312"/>
          <w:kern w:val="0"/>
          <w:sz w:val="32"/>
          <w:szCs w:val="32"/>
        </w:rPr>
        <w:t>推动城乡公共服务普及共享</w:t>
      </w:r>
      <w:r>
        <w:rPr>
          <w:sz w:val="32"/>
          <w:szCs w:val="32"/>
        </w:rPr>
        <w:tab/>
      </w:r>
      <w:r>
        <w:rPr>
          <w:sz w:val="32"/>
          <w:szCs w:val="32"/>
        </w:rPr>
        <w:fldChar w:fldCharType="begin"/>
      </w:r>
      <w:r>
        <w:rPr>
          <w:sz w:val="32"/>
          <w:szCs w:val="32"/>
        </w:rPr>
        <w:instrText xml:space="preserve"> PAGEREF _Toc218241096 \h </w:instrText>
      </w:r>
      <w:r>
        <w:rPr>
          <w:sz w:val="32"/>
          <w:szCs w:val="32"/>
        </w:rPr>
        <w:fldChar w:fldCharType="separate"/>
      </w:r>
      <w:r>
        <w:rPr>
          <w:sz w:val="32"/>
          <w:szCs w:val="32"/>
        </w:rPr>
        <w:t>57</w:t>
      </w:r>
      <w:r>
        <w:rPr>
          <w:sz w:val="32"/>
          <w:szCs w:val="32"/>
        </w:rPr>
        <w:fldChar w:fldCharType="end"/>
      </w:r>
      <w:r>
        <w:rPr>
          <w:sz w:val="32"/>
          <w:szCs w:val="32"/>
        </w:rPr>
        <w:fldChar w:fldCharType="end"/>
      </w:r>
    </w:p>
    <w:p w14:paraId="21C374FA">
      <w:pPr>
        <w:pStyle w:val="6"/>
        <w:tabs>
          <w:tab w:val="left" w:pos="2100"/>
          <w:tab w:val="right" w:leader="dot" w:pos="8296"/>
        </w:tabs>
        <w:rPr>
          <w:rFonts w:asciiTheme="minorHAnsi" w:hAnsiTheme="minorHAnsi" w:eastAsiaTheme="minorEastAsia" w:cstheme="minorBidi"/>
          <w:sz w:val="32"/>
          <w:szCs w:val="32"/>
        </w:rPr>
      </w:pPr>
      <w:r>
        <w:fldChar w:fldCharType="begin"/>
      </w:r>
      <w:r>
        <w:instrText xml:space="preserve"> HYPERLINK \l "_Toc218241097" </w:instrText>
      </w:r>
      <w:r>
        <w:fldChar w:fldCharType="separate"/>
      </w:r>
      <w:r>
        <w:rPr>
          <w:rStyle w:val="14"/>
          <w:rFonts w:hint="eastAsia" w:eastAsia="楷体_GB2312"/>
          <w:kern w:val="0"/>
          <w:sz w:val="32"/>
          <w:szCs w:val="32"/>
        </w:rPr>
        <w:t>第三节</w:t>
      </w:r>
      <w:r>
        <w:rPr>
          <w:rFonts w:asciiTheme="minorHAnsi" w:hAnsiTheme="minorHAnsi" w:eastAsiaTheme="minorEastAsia" w:cstheme="minorBidi"/>
          <w:sz w:val="32"/>
          <w:szCs w:val="32"/>
        </w:rPr>
        <w:tab/>
      </w:r>
      <w:r>
        <w:rPr>
          <w:rStyle w:val="14"/>
          <w:rFonts w:hint="eastAsia" w:eastAsia="楷体_GB2312"/>
          <w:kern w:val="0"/>
          <w:sz w:val="32"/>
          <w:szCs w:val="32"/>
        </w:rPr>
        <w:t>促进城乡要素双向自由流动</w:t>
      </w:r>
      <w:r>
        <w:rPr>
          <w:sz w:val="32"/>
          <w:szCs w:val="32"/>
        </w:rPr>
        <w:tab/>
      </w:r>
      <w:r>
        <w:rPr>
          <w:sz w:val="32"/>
          <w:szCs w:val="32"/>
        </w:rPr>
        <w:fldChar w:fldCharType="begin"/>
      </w:r>
      <w:r>
        <w:rPr>
          <w:sz w:val="32"/>
          <w:szCs w:val="32"/>
        </w:rPr>
        <w:instrText xml:space="preserve"> PAGEREF _Toc218241097 \h </w:instrText>
      </w:r>
      <w:r>
        <w:rPr>
          <w:sz w:val="32"/>
          <w:szCs w:val="32"/>
        </w:rPr>
        <w:fldChar w:fldCharType="separate"/>
      </w:r>
      <w:r>
        <w:rPr>
          <w:sz w:val="32"/>
          <w:szCs w:val="32"/>
        </w:rPr>
        <w:t>57</w:t>
      </w:r>
      <w:r>
        <w:rPr>
          <w:sz w:val="32"/>
          <w:szCs w:val="32"/>
        </w:rPr>
        <w:fldChar w:fldCharType="end"/>
      </w:r>
      <w:r>
        <w:rPr>
          <w:sz w:val="32"/>
          <w:szCs w:val="32"/>
        </w:rPr>
        <w:fldChar w:fldCharType="end"/>
      </w:r>
    </w:p>
    <w:p w14:paraId="48B3E3A1">
      <w:pPr>
        <w:pStyle w:val="8"/>
        <w:tabs>
          <w:tab w:val="left" w:pos="1260"/>
          <w:tab w:val="right" w:leader="dot" w:pos="8296"/>
        </w:tabs>
        <w:rPr>
          <w:rFonts w:asciiTheme="minorHAnsi" w:hAnsiTheme="minorHAnsi" w:eastAsiaTheme="minorEastAsia" w:cstheme="minorBidi"/>
          <w:sz w:val="32"/>
          <w:szCs w:val="32"/>
        </w:rPr>
      </w:pPr>
      <w:r>
        <w:fldChar w:fldCharType="begin"/>
      </w:r>
      <w:r>
        <w:instrText xml:space="preserve"> HYPERLINK \l "_Toc218241098" </w:instrText>
      </w:r>
      <w:r>
        <w:fldChar w:fldCharType="separate"/>
      </w:r>
      <w:r>
        <w:rPr>
          <w:rStyle w:val="14"/>
          <w:rFonts w:hint="eastAsia" w:eastAsia="方正大标宋简体"/>
          <w:sz w:val="32"/>
          <w:szCs w:val="32"/>
        </w:rPr>
        <w:t>第六篇</w:t>
      </w:r>
      <w:r>
        <w:rPr>
          <w:rFonts w:asciiTheme="minorHAnsi" w:hAnsiTheme="minorHAnsi" w:eastAsiaTheme="minorEastAsia" w:cstheme="minorBidi"/>
          <w:sz w:val="32"/>
          <w:szCs w:val="32"/>
        </w:rPr>
        <w:tab/>
      </w:r>
      <w:r>
        <w:rPr>
          <w:rStyle w:val="14"/>
          <w:rFonts w:hint="eastAsia" w:eastAsia="方正大标宋简体"/>
          <w:sz w:val="32"/>
          <w:szCs w:val="32"/>
        </w:rPr>
        <w:t>供需协同</w:t>
      </w:r>
      <w:r>
        <w:rPr>
          <w:rStyle w:val="14"/>
          <w:rFonts w:eastAsia="方正大标宋简体"/>
          <w:sz w:val="32"/>
          <w:szCs w:val="32"/>
        </w:rPr>
        <w:t xml:space="preserve">  </w:t>
      </w:r>
      <w:r>
        <w:rPr>
          <w:rStyle w:val="14"/>
          <w:rFonts w:hint="eastAsia" w:eastAsia="方正大标宋简体"/>
          <w:sz w:val="32"/>
          <w:szCs w:val="32"/>
        </w:rPr>
        <w:t>充分激发市场活力和内需潜力</w:t>
      </w:r>
      <w:r>
        <w:rPr>
          <w:sz w:val="32"/>
          <w:szCs w:val="32"/>
        </w:rPr>
        <w:tab/>
      </w:r>
      <w:r>
        <w:rPr>
          <w:sz w:val="32"/>
          <w:szCs w:val="32"/>
        </w:rPr>
        <w:fldChar w:fldCharType="begin"/>
      </w:r>
      <w:r>
        <w:rPr>
          <w:sz w:val="32"/>
          <w:szCs w:val="32"/>
        </w:rPr>
        <w:instrText xml:space="preserve"> PAGEREF _Toc218241098 \h </w:instrText>
      </w:r>
      <w:r>
        <w:rPr>
          <w:sz w:val="32"/>
          <w:szCs w:val="32"/>
        </w:rPr>
        <w:fldChar w:fldCharType="separate"/>
      </w:r>
      <w:r>
        <w:rPr>
          <w:sz w:val="32"/>
          <w:szCs w:val="32"/>
        </w:rPr>
        <w:t>58</w:t>
      </w:r>
      <w:r>
        <w:rPr>
          <w:sz w:val="32"/>
          <w:szCs w:val="32"/>
        </w:rPr>
        <w:fldChar w:fldCharType="end"/>
      </w:r>
      <w:r>
        <w:rPr>
          <w:sz w:val="32"/>
          <w:szCs w:val="32"/>
        </w:rPr>
        <w:fldChar w:fldCharType="end"/>
      </w:r>
    </w:p>
    <w:p w14:paraId="240D0CA7">
      <w:pPr>
        <w:pStyle w:val="9"/>
        <w:tabs>
          <w:tab w:val="right" w:leader="dot" w:pos="8296"/>
        </w:tabs>
        <w:rPr>
          <w:rFonts w:asciiTheme="minorHAnsi" w:hAnsiTheme="minorHAnsi" w:eastAsiaTheme="minorEastAsia" w:cstheme="minorBidi"/>
          <w:sz w:val="32"/>
          <w:szCs w:val="32"/>
        </w:rPr>
      </w:pPr>
      <w:r>
        <w:fldChar w:fldCharType="begin"/>
      </w:r>
      <w:r>
        <w:instrText xml:space="preserve"> HYPERLINK \l "_Toc218241099" </w:instrText>
      </w:r>
      <w:r>
        <w:fldChar w:fldCharType="separate"/>
      </w:r>
      <w:r>
        <w:rPr>
          <w:rStyle w:val="14"/>
          <w:rFonts w:hint="eastAsia" w:eastAsia="黑体"/>
          <w:bCs/>
          <w:kern w:val="0"/>
          <w:sz w:val="32"/>
          <w:szCs w:val="32"/>
        </w:rPr>
        <w:t>第十七章</w:t>
      </w:r>
      <w:r>
        <w:rPr>
          <w:rStyle w:val="14"/>
          <w:rFonts w:eastAsia="黑体"/>
          <w:bCs/>
          <w:kern w:val="0"/>
          <w:sz w:val="32"/>
          <w:szCs w:val="32"/>
        </w:rPr>
        <w:t xml:space="preserve">  </w:t>
      </w:r>
      <w:r>
        <w:rPr>
          <w:rStyle w:val="14"/>
          <w:rFonts w:hint="eastAsia" w:eastAsia="黑体"/>
          <w:bCs/>
          <w:kern w:val="0"/>
          <w:sz w:val="32"/>
          <w:szCs w:val="32"/>
        </w:rPr>
        <w:t>持续释放消费潜能</w:t>
      </w:r>
      <w:r>
        <w:rPr>
          <w:sz w:val="32"/>
          <w:szCs w:val="32"/>
        </w:rPr>
        <w:tab/>
      </w:r>
      <w:r>
        <w:rPr>
          <w:sz w:val="32"/>
          <w:szCs w:val="32"/>
        </w:rPr>
        <w:fldChar w:fldCharType="begin"/>
      </w:r>
      <w:r>
        <w:rPr>
          <w:sz w:val="32"/>
          <w:szCs w:val="32"/>
        </w:rPr>
        <w:instrText xml:space="preserve"> PAGEREF _Toc218241099 \h </w:instrText>
      </w:r>
      <w:r>
        <w:rPr>
          <w:sz w:val="32"/>
          <w:szCs w:val="32"/>
        </w:rPr>
        <w:fldChar w:fldCharType="separate"/>
      </w:r>
      <w:r>
        <w:rPr>
          <w:sz w:val="32"/>
          <w:szCs w:val="32"/>
        </w:rPr>
        <w:t>58</w:t>
      </w:r>
      <w:r>
        <w:rPr>
          <w:sz w:val="32"/>
          <w:szCs w:val="32"/>
        </w:rPr>
        <w:fldChar w:fldCharType="end"/>
      </w:r>
      <w:r>
        <w:rPr>
          <w:sz w:val="32"/>
          <w:szCs w:val="32"/>
        </w:rPr>
        <w:fldChar w:fldCharType="end"/>
      </w:r>
    </w:p>
    <w:p w14:paraId="5287D8CB">
      <w:pPr>
        <w:pStyle w:val="6"/>
        <w:tabs>
          <w:tab w:val="left" w:pos="2100"/>
          <w:tab w:val="right" w:leader="dot" w:pos="8296"/>
        </w:tabs>
        <w:rPr>
          <w:rFonts w:asciiTheme="minorHAnsi" w:hAnsiTheme="minorHAnsi" w:eastAsiaTheme="minorEastAsia" w:cstheme="minorBidi"/>
          <w:sz w:val="32"/>
          <w:szCs w:val="32"/>
        </w:rPr>
      </w:pPr>
      <w:r>
        <w:fldChar w:fldCharType="begin"/>
      </w:r>
      <w:r>
        <w:instrText xml:space="preserve"> HYPERLINK \l "_Toc218241100" </w:instrText>
      </w:r>
      <w:r>
        <w:fldChar w:fldCharType="separate"/>
      </w:r>
      <w:r>
        <w:rPr>
          <w:rStyle w:val="14"/>
          <w:rFonts w:hint="eastAsia" w:eastAsia="楷体_GB2312"/>
          <w:sz w:val="32"/>
          <w:szCs w:val="32"/>
        </w:rPr>
        <w:t>第一节</w:t>
      </w:r>
      <w:r>
        <w:rPr>
          <w:rFonts w:asciiTheme="minorHAnsi" w:hAnsiTheme="minorHAnsi" w:eastAsiaTheme="minorEastAsia" w:cstheme="minorBidi"/>
          <w:sz w:val="32"/>
          <w:szCs w:val="32"/>
        </w:rPr>
        <w:tab/>
      </w:r>
      <w:r>
        <w:rPr>
          <w:rStyle w:val="14"/>
          <w:rFonts w:hint="eastAsia" w:eastAsia="楷体_GB2312"/>
          <w:kern w:val="0"/>
          <w:sz w:val="32"/>
          <w:szCs w:val="32"/>
        </w:rPr>
        <w:t>打造康南区域消费中心城市</w:t>
      </w:r>
      <w:r>
        <w:rPr>
          <w:sz w:val="32"/>
          <w:szCs w:val="32"/>
        </w:rPr>
        <w:tab/>
      </w:r>
      <w:r>
        <w:rPr>
          <w:sz w:val="32"/>
          <w:szCs w:val="32"/>
        </w:rPr>
        <w:fldChar w:fldCharType="begin"/>
      </w:r>
      <w:r>
        <w:rPr>
          <w:sz w:val="32"/>
          <w:szCs w:val="32"/>
        </w:rPr>
        <w:instrText xml:space="preserve"> PAGEREF _Toc218241100 \h </w:instrText>
      </w:r>
      <w:r>
        <w:rPr>
          <w:sz w:val="32"/>
          <w:szCs w:val="32"/>
        </w:rPr>
        <w:fldChar w:fldCharType="separate"/>
      </w:r>
      <w:r>
        <w:rPr>
          <w:sz w:val="32"/>
          <w:szCs w:val="32"/>
        </w:rPr>
        <w:t>58</w:t>
      </w:r>
      <w:r>
        <w:rPr>
          <w:sz w:val="32"/>
          <w:szCs w:val="32"/>
        </w:rPr>
        <w:fldChar w:fldCharType="end"/>
      </w:r>
      <w:r>
        <w:rPr>
          <w:sz w:val="32"/>
          <w:szCs w:val="32"/>
        </w:rPr>
        <w:fldChar w:fldCharType="end"/>
      </w:r>
    </w:p>
    <w:p w14:paraId="468CC995">
      <w:pPr>
        <w:pStyle w:val="6"/>
        <w:tabs>
          <w:tab w:val="left" w:pos="2100"/>
          <w:tab w:val="right" w:leader="dot" w:pos="8296"/>
        </w:tabs>
        <w:rPr>
          <w:rFonts w:asciiTheme="minorHAnsi" w:hAnsiTheme="minorHAnsi" w:eastAsiaTheme="minorEastAsia" w:cstheme="minorBidi"/>
          <w:sz w:val="32"/>
          <w:szCs w:val="32"/>
        </w:rPr>
      </w:pPr>
      <w:r>
        <w:fldChar w:fldCharType="begin"/>
      </w:r>
      <w:r>
        <w:instrText xml:space="preserve"> HYPERLINK \l "_Toc218241101" </w:instrText>
      </w:r>
      <w:r>
        <w:fldChar w:fldCharType="separate"/>
      </w:r>
      <w:r>
        <w:rPr>
          <w:rStyle w:val="14"/>
          <w:rFonts w:hint="eastAsia" w:eastAsia="楷体_GB2312"/>
          <w:sz w:val="32"/>
          <w:szCs w:val="32"/>
        </w:rPr>
        <w:t>第二节</w:t>
      </w:r>
      <w:r>
        <w:rPr>
          <w:rFonts w:asciiTheme="minorHAnsi" w:hAnsiTheme="minorHAnsi" w:eastAsiaTheme="minorEastAsia" w:cstheme="minorBidi"/>
          <w:sz w:val="32"/>
          <w:szCs w:val="32"/>
        </w:rPr>
        <w:tab/>
      </w:r>
      <w:r>
        <w:rPr>
          <w:rStyle w:val="14"/>
          <w:rFonts w:hint="eastAsia" w:eastAsia="楷体_GB2312"/>
          <w:kern w:val="0"/>
          <w:sz w:val="32"/>
          <w:szCs w:val="32"/>
        </w:rPr>
        <w:t>培育消费新业态新模式</w:t>
      </w:r>
      <w:r>
        <w:rPr>
          <w:sz w:val="32"/>
          <w:szCs w:val="32"/>
        </w:rPr>
        <w:tab/>
      </w:r>
      <w:r>
        <w:rPr>
          <w:sz w:val="32"/>
          <w:szCs w:val="32"/>
        </w:rPr>
        <w:fldChar w:fldCharType="begin"/>
      </w:r>
      <w:r>
        <w:rPr>
          <w:sz w:val="32"/>
          <w:szCs w:val="32"/>
        </w:rPr>
        <w:instrText xml:space="preserve"> PAGEREF _Toc218241101 \h </w:instrText>
      </w:r>
      <w:r>
        <w:rPr>
          <w:sz w:val="32"/>
          <w:szCs w:val="32"/>
        </w:rPr>
        <w:fldChar w:fldCharType="separate"/>
      </w:r>
      <w:r>
        <w:rPr>
          <w:sz w:val="32"/>
          <w:szCs w:val="32"/>
        </w:rPr>
        <w:t>58</w:t>
      </w:r>
      <w:r>
        <w:rPr>
          <w:sz w:val="32"/>
          <w:szCs w:val="32"/>
        </w:rPr>
        <w:fldChar w:fldCharType="end"/>
      </w:r>
      <w:r>
        <w:rPr>
          <w:sz w:val="32"/>
          <w:szCs w:val="32"/>
        </w:rPr>
        <w:fldChar w:fldCharType="end"/>
      </w:r>
    </w:p>
    <w:p w14:paraId="44AF3A4B">
      <w:pPr>
        <w:pStyle w:val="6"/>
        <w:tabs>
          <w:tab w:val="left" w:pos="2100"/>
          <w:tab w:val="right" w:leader="dot" w:pos="8296"/>
        </w:tabs>
        <w:rPr>
          <w:rFonts w:asciiTheme="minorHAnsi" w:hAnsiTheme="minorHAnsi" w:eastAsiaTheme="minorEastAsia" w:cstheme="minorBidi"/>
          <w:sz w:val="32"/>
          <w:szCs w:val="32"/>
        </w:rPr>
      </w:pPr>
      <w:r>
        <w:fldChar w:fldCharType="begin"/>
      </w:r>
      <w:r>
        <w:instrText xml:space="preserve"> HYPERLINK \l "_Toc218241102" </w:instrText>
      </w:r>
      <w:r>
        <w:fldChar w:fldCharType="separate"/>
      </w:r>
      <w:r>
        <w:rPr>
          <w:rStyle w:val="14"/>
          <w:rFonts w:hint="eastAsia" w:eastAsia="楷体_GB2312"/>
          <w:sz w:val="32"/>
          <w:szCs w:val="32"/>
        </w:rPr>
        <w:t>第三节</w:t>
      </w:r>
      <w:r>
        <w:rPr>
          <w:rFonts w:asciiTheme="minorHAnsi" w:hAnsiTheme="minorHAnsi" w:eastAsiaTheme="minorEastAsia" w:cstheme="minorBidi"/>
          <w:sz w:val="32"/>
          <w:szCs w:val="32"/>
        </w:rPr>
        <w:tab/>
      </w:r>
      <w:r>
        <w:rPr>
          <w:rStyle w:val="14"/>
          <w:rFonts w:hint="eastAsia" w:eastAsia="楷体_GB2312"/>
          <w:sz w:val="32"/>
          <w:szCs w:val="32"/>
        </w:rPr>
        <w:t>营造放心舒心消费环境</w:t>
      </w:r>
      <w:r>
        <w:rPr>
          <w:sz w:val="32"/>
          <w:szCs w:val="32"/>
        </w:rPr>
        <w:tab/>
      </w:r>
      <w:r>
        <w:rPr>
          <w:sz w:val="32"/>
          <w:szCs w:val="32"/>
        </w:rPr>
        <w:fldChar w:fldCharType="begin"/>
      </w:r>
      <w:r>
        <w:rPr>
          <w:sz w:val="32"/>
          <w:szCs w:val="32"/>
        </w:rPr>
        <w:instrText xml:space="preserve"> PAGEREF _Toc218241102 \h </w:instrText>
      </w:r>
      <w:r>
        <w:rPr>
          <w:sz w:val="32"/>
          <w:szCs w:val="32"/>
        </w:rPr>
        <w:fldChar w:fldCharType="separate"/>
      </w:r>
      <w:r>
        <w:rPr>
          <w:sz w:val="32"/>
          <w:szCs w:val="32"/>
        </w:rPr>
        <w:t>59</w:t>
      </w:r>
      <w:r>
        <w:rPr>
          <w:sz w:val="32"/>
          <w:szCs w:val="32"/>
        </w:rPr>
        <w:fldChar w:fldCharType="end"/>
      </w:r>
      <w:r>
        <w:rPr>
          <w:sz w:val="32"/>
          <w:szCs w:val="32"/>
        </w:rPr>
        <w:fldChar w:fldCharType="end"/>
      </w:r>
    </w:p>
    <w:p w14:paraId="58F67884">
      <w:pPr>
        <w:pStyle w:val="9"/>
        <w:tabs>
          <w:tab w:val="right" w:leader="dot" w:pos="8296"/>
        </w:tabs>
        <w:rPr>
          <w:rFonts w:asciiTheme="minorHAnsi" w:hAnsiTheme="minorHAnsi" w:eastAsiaTheme="minorEastAsia" w:cstheme="minorBidi"/>
          <w:sz w:val="32"/>
          <w:szCs w:val="32"/>
        </w:rPr>
      </w:pPr>
      <w:r>
        <w:fldChar w:fldCharType="begin"/>
      </w:r>
      <w:r>
        <w:instrText xml:space="preserve"> HYPERLINK \l "_Toc218241103" </w:instrText>
      </w:r>
      <w:r>
        <w:fldChar w:fldCharType="separate"/>
      </w:r>
      <w:r>
        <w:rPr>
          <w:rStyle w:val="14"/>
          <w:rFonts w:hint="eastAsia" w:eastAsia="黑体"/>
          <w:bCs/>
          <w:kern w:val="0"/>
          <w:sz w:val="32"/>
          <w:szCs w:val="32"/>
        </w:rPr>
        <w:t>第十八章</w:t>
      </w:r>
      <w:r>
        <w:rPr>
          <w:rStyle w:val="14"/>
          <w:rFonts w:eastAsia="黑体"/>
          <w:bCs/>
          <w:kern w:val="0"/>
          <w:sz w:val="32"/>
          <w:szCs w:val="32"/>
        </w:rPr>
        <w:t xml:space="preserve">  </w:t>
      </w:r>
      <w:r>
        <w:rPr>
          <w:rStyle w:val="14"/>
          <w:rFonts w:hint="eastAsia" w:eastAsia="黑体"/>
          <w:bCs/>
          <w:kern w:val="0"/>
          <w:sz w:val="32"/>
          <w:szCs w:val="32"/>
        </w:rPr>
        <w:t>精准扩大有效益的投资</w:t>
      </w:r>
      <w:r>
        <w:rPr>
          <w:sz w:val="32"/>
          <w:szCs w:val="32"/>
        </w:rPr>
        <w:tab/>
      </w:r>
      <w:r>
        <w:rPr>
          <w:sz w:val="32"/>
          <w:szCs w:val="32"/>
        </w:rPr>
        <w:fldChar w:fldCharType="begin"/>
      </w:r>
      <w:r>
        <w:rPr>
          <w:sz w:val="32"/>
          <w:szCs w:val="32"/>
        </w:rPr>
        <w:instrText xml:space="preserve"> PAGEREF _Toc218241103 \h </w:instrText>
      </w:r>
      <w:r>
        <w:rPr>
          <w:sz w:val="32"/>
          <w:szCs w:val="32"/>
        </w:rPr>
        <w:fldChar w:fldCharType="separate"/>
      </w:r>
      <w:r>
        <w:rPr>
          <w:sz w:val="32"/>
          <w:szCs w:val="32"/>
        </w:rPr>
        <w:t>60</w:t>
      </w:r>
      <w:r>
        <w:rPr>
          <w:sz w:val="32"/>
          <w:szCs w:val="32"/>
        </w:rPr>
        <w:fldChar w:fldCharType="end"/>
      </w:r>
      <w:r>
        <w:rPr>
          <w:sz w:val="32"/>
          <w:szCs w:val="32"/>
        </w:rPr>
        <w:fldChar w:fldCharType="end"/>
      </w:r>
    </w:p>
    <w:p w14:paraId="5E217998">
      <w:pPr>
        <w:pStyle w:val="9"/>
        <w:tabs>
          <w:tab w:val="left" w:pos="1680"/>
          <w:tab w:val="right" w:leader="dot" w:pos="8296"/>
        </w:tabs>
        <w:ind w:firstLine="105" w:firstLineChars="50"/>
        <w:rPr>
          <w:rFonts w:asciiTheme="minorHAnsi" w:hAnsiTheme="minorHAnsi" w:eastAsiaTheme="minorEastAsia" w:cstheme="minorBidi"/>
          <w:sz w:val="32"/>
          <w:szCs w:val="32"/>
        </w:rPr>
      </w:pPr>
      <w:r>
        <w:fldChar w:fldCharType="begin"/>
      </w:r>
      <w:r>
        <w:instrText xml:space="preserve"> HYPERLINK \l "_Toc218241104" </w:instrText>
      </w:r>
      <w:r>
        <w:fldChar w:fldCharType="separate"/>
      </w:r>
      <w:r>
        <w:rPr>
          <w:rStyle w:val="14"/>
          <w:rFonts w:hint="eastAsia" w:eastAsia="楷体_GB2312"/>
          <w:sz w:val="32"/>
          <w:szCs w:val="32"/>
        </w:rPr>
        <w:t>第一节</w:t>
      </w:r>
      <w:r>
        <w:rPr>
          <w:rFonts w:asciiTheme="minorHAnsi" w:hAnsiTheme="minorHAnsi" w:eastAsiaTheme="minorEastAsia" w:cstheme="minorBidi"/>
          <w:sz w:val="32"/>
          <w:szCs w:val="32"/>
        </w:rPr>
        <w:tab/>
      </w:r>
      <w:r>
        <w:rPr>
          <w:rStyle w:val="14"/>
          <w:rFonts w:hint="eastAsia" w:eastAsia="楷体_GB2312"/>
          <w:kern w:val="0"/>
          <w:sz w:val="32"/>
          <w:szCs w:val="32"/>
        </w:rPr>
        <w:t>优化政府投资结构</w:t>
      </w:r>
      <w:r>
        <w:rPr>
          <w:sz w:val="32"/>
          <w:szCs w:val="32"/>
        </w:rPr>
        <w:tab/>
      </w:r>
      <w:r>
        <w:rPr>
          <w:sz w:val="32"/>
          <w:szCs w:val="32"/>
        </w:rPr>
        <w:fldChar w:fldCharType="begin"/>
      </w:r>
      <w:r>
        <w:rPr>
          <w:sz w:val="32"/>
          <w:szCs w:val="32"/>
        </w:rPr>
        <w:instrText xml:space="preserve"> PAGEREF _Toc218241104 \h </w:instrText>
      </w:r>
      <w:r>
        <w:rPr>
          <w:sz w:val="32"/>
          <w:szCs w:val="32"/>
        </w:rPr>
        <w:fldChar w:fldCharType="separate"/>
      </w:r>
      <w:r>
        <w:rPr>
          <w:sz w:val="32"/>
          <w:szCs w:val="32"/>
        </w:rPr>
        <w:t>60</w:t>
      </w:r>
      <w:r>
        <w:rPr>
          <w:sz w:val="32"/>
          <w:szCs w:val="32"/>
        </w:rPr>
        <w:fldChar w:fldCharType="end"/>
      </w:r>
      <w:r>
        <w:rPr>
          <w:sz w:val="32"/>
          <w:szCs w:val="32"/>
        </w:rPr>
        <w:fldChar w:fldCharType="end"/>
      </w:r>
    </w:p>
    <w:p w14:paraId="79E352F7">
      <w:pPr>
        <w:pStyle w:val="9"/>
        <w:tabs>
          <w:tab w:val="left" w:pos="1680"/>
          <w:tab w:val="right" w:leader="dot" w:pos="8296"/>
        </w:tabs>
        <w:ind w:firstLine="105" w:firstLineChars="50"/>
        <w:rPr>
          <w:rFonts w:asciiTheme="minorHAnsi" w:hAnsiTheme="minorHAnsi" w:eastAsiaTheme="minorEastAsia" w:cstheme="minorBidi"/>
          <w:sz w:val="32"/>
          <w:szCs w:val="32"/>
        </w:rPr>
      </w:pPr>
      <w:r>
        <w:fldChar w:fldCharType="begin"/>
      </w:r>
      <w:r>
        <w:instrText xml:space="preserve"> HYPERLINK \l "_Toc218241105" </w:instrText>
      </w:r>
      <w:r>
        <w:fldChar w:fldCharType="separate"/>
      </w:r>
      <w:r>
        <w:rPr>
          <w:rStyle w:val="14"/>
          <w:rFonts w:hint="eastAsia" w:eastAsia="楷体_GB2312"/>
          <w:kern w:val="0"/>
          <w:sz w:val="32"/>
          <w:szCs w:val="32"/>
        </w:rPr>
        <w:t>第二节</w:t>
      </w:r>
      <w:r>
        <w:rPr>
          <w:rFonts w:asciiTheme="minorHAnsi" w:hAnsiTheme="minorHAnsi" w:eastAsiaTheme="minorEastAsia" w:cstheme="minorBidi"/>
          <w:sz w:val="32"/>
          <w:szCs w:val="32"/>
        </w:rPr>
        <w:tab/>
      </w:r>
      <w:r>
        <w:rPr>
          <w:rStyle w:val="14"/>
          <w:rFonts w:hint="eastAsia" w:eastAsia="楷体_GB2312"/>
          <w:kern w:val="0"/>
          <w:sz w:val="32"/>
          <w:szCs w:val="32"/>
        </w:rPr>
        <w:t>拓展社会投资新渠道</w:t>
      </w:r>
      <w:r>
        <w:rPr>
          <w:sz w:val="32"/>
          <w:szCs w:val="32"/>
        </w:rPr>
        <w:tab/>
      </w:r>
      <w:r>
        <w:rPr>
          <w:sz w:val="32"/>
          <w:szCs w:val="32"/>
        </w:rPr>
        <w:fldChar w:fldCharType="begin"/>
      </w:r>
      <w:r>
        <w:rPr>
          <w:sz w:val="32"/>
          <w:szCs w:val="32"/>
        </w:rPr>
        <w:instrText xml:space="preserve"> PAGEREF _Toc218241105 \h </w:instrText>
      </w:r>
      <w:r>
        <w:rPr>
          <w:sz w:val="32"/>
          <w:szCs w:val="32"/>
        </w:rPr>
        <w:fldChar w:fldCharType="separate"/>
      </w:r>
      <w:r>
        <w:rPr>
          <w:sz w:val="32"/>
          <w:szCs w:val="32"/>
        </w:rPr>
        <w:t>60</w:t>
      </w:r>
      <w:r>
        <w:rPr>
          <w:sz w:val="32"/>
          <w:szCs w:val="32"/>
        </w:rPr>
        <w:fldChar w:fldCharType="end"/>
      </w:r>
      <w:r>
        <w:rPr>
          <w:sz w:val="32"/>
          <w:szCs w:val="32"/>
        </w:rPr>
        <w:fldChar w:fldCharType="end"/>
      </w:r>
    </w:p>
    <w:p w14:paraId="2D609EFD">
      <w:pPr>
        <w:pStyle w:val="9"/>
        <w:tabs>
          <w:tab w:val="left" w:pos="1680"/>
          <w:tab w:val="right" w:leader="dot" w:pos="8296"/>
        </w:tabs>
        <w:ind w:firstLine="105" w:firstLineChars="50"/>
        <w:rPr>
          <w:rFonts w:asciiTheme="minorHAnsi" w:hAnsiTheme="minorHAnsi" w:eastAsiaTheme="minorEastAsia" w:cstheme="minorBidi"/>
          <w:sz w:val="32"/>
          <w:szCs w:val="32"/>
        </w:rPr>
      </w:pPr>
      <w:r>
        <w:fldChar w:fldCharType="begin"/>
      </w:r>
      <w:r>
        <w:instrText xml:space="preserve"> HYPERLINK \l "_Toc218241106" </w:instrText>
      </w:r>
      <w:r>
        <w:fldChar w:fldCharType="separate"/>
      </w:r>
      <w:r>
        <w:rPr>
          <w:rStyle w:val="14"/>
          <w:rFonts w:hint="eastAsia" w:eastAsia="楷体_GB2312"/>
          <w:kern w:val="0"/>
          <w:sz w:val="32"/>
          <w:szCs w:val="32"/>
        </w:rPr>
        <w:t>第三节</w:t>
      </w:r>
      <w:r>
        <w:rPr>
          <w:rFonts w:asciiTheme="minorHAnsi" w:hAnsiTheme="minorHAnsi" w:eastAsiaTheme="minorEastAsia" w:cstheme="minorBidi"/>
          <w:sz w:val="32"/>
          <w:szCs w:val="32"/>
        </w:rPr>
        <w:tab/>
      </w:r>
      <w:r>
        <w:rPr>
          <w:rStyle w:val="14"/>
          <w:rFonts w:hint="eastAsia" w:eastAsia="楷体_GB2312"/>
          <w:kern w:val="0"/>
          <w:sz w:val="32"/>
          <w:szCs w:val="32"/>
        </w:rPr>
        <w:t>加强全生命周期项目管理</w:t>
      </w:r>
      <w:r>
        <w:rPr>
          <w:sz w:val="32"/>
          <w:szCs w:val="32"/>
        </w:rPr>
        <w:tab/>
      </w:r>
      <w:r>
        <w:rPr>
          <w:sz w:val="32"/>
          <w:szCs w:val="32"/>
        </w:rPr>
        <w:fldChar w:fldCharType="begin"/>
      </w:r>
      <w:r>
        <w:rPr>
          <w:sz w:val="32"/>
          <w:szCs w:val="32"/>
        </w:rPr>
        <w:instrText xml:space="preserve"> PAGEREF _Toc218241106 \h </w:instrText>
      </w:r>
      <w:r>
        <w:rPr>
          <w:sz w:val="32"/>
          <w:szCs w:val="32"/>
        </w:rPr>
        <w:fldChar w:fldCharType="separate"/>
      </w:r>
      <w:r>
        <w:rPr>
          <w:sz w:val="32"/>
          <w:szCs w:val="32"/>
        </w:rPr>
        <w:t>61</w:t>
      </w:r>
      <w:r>
        <w:rPr>
          <w:sz w:val="32"/>
          <w:szCs w:val="32"/>
        </w:rPr>
        <w:fldChar w:fldCharType="end"/>
      </w:r>
      <w:r>
        <w:rPr>
          <w:sz w:val="32"/>
          <w:szCs w:val="32"/>
        </w:rPr>
        <w:fldChar w:fldCharType="end"/>
      </w:r>
    </w:p>
    <w:p w14:paraId="070AA3C9">
      <w:pPr>
        <w:pStyle w:val="9"/>
        <w:tabs>
          <w:tab w:val="left" w:pos="1680"/>
          <w:tab w:val="right" w:leader="dot" w:pos="8296"/>
        </w:tabs>
        <w:ind w:firstLine="105" w:firstLineChars="50"/>
        <w:rPr>
          <w:rFonts w:asciiTheme="minorHAnsi" w:hAnsiTheme="minorHAnsi" w:eastAsiaTheme="minorEastAsia" w:cstheme="minorBidi"/>
          <w:sz w:val="32"/>
          <w:szCs w:val="32"/>
        </w:rPr>
      </w:pPr>
      <w:r>
        <w:fldChar w:fldCharType="begin"/>
      </w:r>
      <w:r>
        <w:instrText xml:space="preserve"> HYPERLINK \l "_Toc218241107" </w:instrText>
      </w:r>
      <w:r>
        <w:fldChar w:fldCharType="separate"/>
      </w:r>
      <w:r>
        <w:rPr>
          <w:rStyle w:val="14"/>
          <w:rFonts w:hint="eastAsia" w:eastAsia="楷体_GB2312"/>
          <w:kern w:val="0"/>
          <w:sz w:val="32"/>
          <w:szCs w:val="32"/>
        </w:rPr>
        <w:t>第四节</w:t>
      </w:r>
      <w:r>
        <w:rPr>
          <w:rFonts w:asciiTheme="minorHAnsi" w:hAnsiTheme="minorHAnsi" w:eastAsiaTheme="minorEastAsia" w:cstheme="minorBidi"/>
          <w:sz w:val="32"/>
          <w:szCs w:val="32"/>
        </w:rPr>
        <w:tab/>
      </w:r>
      <w:r>
        <w:rPr>
          <w:rStyle w:val="14"/>
          <w:rFonts w:hint="eastAsia" w:eastAsia="楷体_GB2312"/>
          <w:kern w:val="0"/>
          <w:sz w:val="32"/>
          <w:szCs w:val="32"/>
        </w:rPr>
        <w:t>构建高效投融资机制</w:t>
      </w:r>
      <w:r>
        <w:rPr>
          <w:sz w:val="32"/>
          <w:szCs w:val="32"/>
        </w:rPr>
        <w:tab/>
      </w:r>
      <w:r>
        <w:rPr>
          <w:sz w:val="32"/>
          <w:szCs w:val="32"/>
        </w:rPr>
        <w:fldChar w:fldCharType="begin"/>
      </w:r>
      <w:r>
        <w:rPr>
          <w:sz w:val="32"/>
          <w:szCs w:val="32"/>
        </w:rPr>
        <w:instrText xml:space="preserve"> PAGEREF _Toc218241107 \h </w:instrText>
      </w:r>
      <w:r>
        <w:rPr>
          <w:sz w:val="32"/>
          <w:szCs w:val="32"/>
        </w:rPr>
        <w:fldChar w:fldCharType="separate"/>
      </w:r>
      <w:r>
        <w:rPr>
          <w:sz w:val="32"/>
          <w:szCs w:val="32"/>
        </w:rPr>
        <w:t>61</w:t>
      </w:r>
      <w:r>
        <w:rPr>
          <w:sz w:val="32"/>
          <w:szCs w:val="32"/>
        </w:rPr>
        <w:fldChar w:fldCharType="end"/>
      </w:r>
      <w:r>
        <w:rPr>
          <w:sz w:val="32"/>
          <w:szCs w:val="32"/>
        </w:rPr>
        <w:fldChar w:fldCharType="end"/>
      </w:r>
    </w:p>
    <w:p w14:paraId="37B82D79">
      <w:pPr>
        <w:pStyle w:val="8"/>
        <w:tabs>
          <w:tab w:val="right" w:leader="dot" w:pos="8296"/>
        </w:tabs>
        <w:rPr>
          <w:rFonts w:asciiTheme="minorHAnsi" w:hAnsiTheme="minorHAnsi" w:eastAsiaTheme="minorEastAsia" w:cstheme="minorBidi"/>
          <w:sz w:val="32"/>
          <w:szCs w:val="32"/>
        </w:rPr>
      </w:pPr>
      <w:r>
        <w:fldChar w:fldCharType="begin"/>
      </w:r>
      <w:r>
        <w:instrText xml:space="preserve"> HYPERLINK \l "_Toc218241108" </w:instrText>
      </w:r>
      <w:r>
        <w:fldChar w:fldCharType="separate"/>
      </w:r>
      <w:r>
        <w:rPr>
          <w:rStyle w:val="14"/>
          <w:rFonts w:hint="eastAsia" w:eastAsia="方正大标宋简体"/>
          <w:sz w:val="32"/>
          <w:szCs w:val="32"/>
        </w:rPr>
        <w:t>第七篇</w:t>
      </w:r>
      <w:r>
        <w:rPr>
          <w:rStyle w:val="14"/>
          <w:rFonts w:eastAsia="方正大标宋简体"/>
          <w:sz w:val="32"/>
          <w:szCs w:val="32"/>
        </w:rPr>
        <w:t xml:space="preserve"> </w:t>
      </w:r>
      <w:r>
        <w:rPr>
          <w:rStyle w:val="14"/>
          <w:rFonts w:hint="eastAsia" w:eastAsia="方正大标宋简体"/>
          <w:sz w:val="32"/>
          <w:szCs w:val="32"/>
        </w:rPr>
        <w:t>激发活力</w:t>
      </w:r>
      <w:r>
        <w:rPr>
          <w:rStyle w:val="14"/>
          <w:rFonts w:eastAsia="方正大标宋简体"/>
          <w:sz w:val="32"/>
          <w:szCs w:val="32"/>
        </w:rPr>
        <w:t xml:space="preserve">  </w:t>
      </w:r>
      <w:r>
        <w:rPr>
          <w:rStyle w:val="14"/>
          <w:rFonts w:hint="eastAsia" w:eastAsia="方正大标宋简体"/>
          <w:sz w:val="32"/>
          <w:szCs w:val="32"/>
        </w:rPr>
        <w:t>进一步全面深化改革和开放协作</w:t>
      </w:r>
      <w:r>
        <w:rPr>
          <w:sz w:val="32"/>
          <w:szCs w:val="32"/>
        </w:rPr>
        <w:tab/>
      </w:r>
      <w:r>
        <w:rPr>
          <w:sz w:val="32"/>
          <w:szCs w:val="32"/>
        </w:rPr>
        <w:fldChar w:fldCharType="begin"/>
      </w:r>
      <w:r>
        <w:rPr>
          <w:sz w:val="32"/>
          <w:szCs w:val="32"/>
        </w:rPr>
        <w:instrText xml:space="preserve"> PAGEREF _Toc218241108 \h </w:instrText>
      </w:r>
      <w:r>
        <w:rPr>
          <w:sz w:val="32"/>
          <w:szCs w:val="32"/>
        </w:rPr>
        <w:fldChar w:fldCharType="separate"/>
      </w:r>
      <w:r>
        <w:rPr>
          <w:sz w:val="32"/>
          <w:szCs w:val="32"/>
        </w:rPr>
        <w:t>62</w:t>
      </w:r>
      <w:r>
        <w:rPr>
          <w:sz w:val="32"/>
          <w:szCs w:val="32"/>
        </w:rPr>
        <w:fldChar w:fldCharType="end"/>
      </w:r>
      <w:r>
        <w:rPr>
          <w:sz w:val="32"/>
          <w:szCs w:val="32"/>
        </w:rPr>
        <w:fldChar w:fldCharType="end"/>
      </w:r>
    </w:p>
    <w:p w14:paraId="3BC7D682">
      <w:pPr>
        <w:pStyle w:val="9"/>
        <w:tabs>
          <w:tab w:val="right" w:leader="dot" w:pos="8296"/>
        </w:tabs>
        <w:rPr>
          <w:rFonts w:asciiTheme="minorHAnsi" w:hAnsiTheme="minorHAnsi" w:eastAsiaTheme="minorEastAsia" w:cstheme="minorBidi"/>
          <w:sz w:val="32"/>
          <w:szCs w:val="32"/>
        </w:rPr>
      </w:pPr>
      <w:r>
        <w:fldChar w:fldCharType="begin"/>
      </w:r>
      <w:r>
        <w:instrText xml:space="preserve"> HYPERLINK \l "_Toc218241109" </w:instrText>
      </w:r>
      <w:r>
        <w:fldChar w:fldCharType="separate"/>
      </w:r>
      <w:r>
        <w:rPr>
          <w:rStyle w:val="14"/>
          <w:rFonts w:hint="eastAsia" w:eastAsia="黑体"/>
          <w:bCs/>
          <w:kern w:val="0"/>
          <w:sz w:val="32"/>
          <w:szCs w:val="32"/>
        </w:rPr>
        <w:t>第十九章</w:t>
      </w:r>
      <w:r>
        <w:rPr>
          <w:rStyle w:val="14"/>
          <w:rFonts w:eastAsia="黑体"/>
          <w:bCs/>
          <w:kern w:val="0"/>
          <w:sz w:val="32"/>
          <w:szCs w:val="32"/>
        </w:rPr>
        <w:t xml:space="preserve">  </w:t>
      </w:r>
      <w:r>
        <w:rPr>
          <w:rStyle w:val="14"/>
          <w:rFonts w:hint="eastAsia" w:eastAsia="黑体"/>
          <w:bCs/>
          <w:kern w:val="0"/>
          <w:sz w:val="32"/>
          <w:szCs w:val="32"/>
        </w:rPr>
        <w:t>深化重点领域改革引领</w:t>
      </w:r>
      <w:r>
        <w:rPr>
          <w:sz w:val="32"/>
          <w:szCs w:val="32"/>
        </w:rPr>
        <w:tab/>
      </w:r>
      <w:r>
        <w:rPr>
          <w:sz w:val="32"/>
          <w:szCs w:val="32"/>
        </w:rPr>
        <w:fldChar w:fldCharType="begin"/>
      </w:r>
      <w:r>
        <w:rPr>
          <w:sz w:val="32"/>
          <w:szCs w:val="32"/>
        </w:rPr>
        <w:instrText xml:space="preserve"> PAGEREF _Toc218241109 \h </w:instrText>
      </w:r>
      <w:r>
        <w:rPr>
          <w:sz w:val="32"/>
          <w:szCs w:val="32"/>
        </w:rPr>
        <w:fldChar w:fldCharType="separate"/>
      </w:r>
      <w:r>
        <w:rPr>
          <w:sz w:val="32"/>
          <w:szCs w:val="32"/>
        </w:rPr>
        <w:t>62</w:t>
      </w:r>
      <w:r>
        <w:rPr>
          <w:sz w:val="32"/>
          <w:szCs w:val="32"/>
        </w:rPr>
        <w:fldChar w:fldCharType="end"/>
      </w:r>
      <w:r>
        <w:rPr>
          <w:sz w:val="32"/>
          <w:szCs w:val="32"/>
        </w:rPr>
        <w:fldChar w:fldCharType="end"/>
      </w:r>
    </w:p>
    <w:p w14:paraId="0DC08180">
      <w:pPr>
        <w:pStyle w:val="9"/>
        <w:tabs>
          <w:tab w:val="left" w:pos="1680"/>
          <w:tab w:val="right" w:leader="dot" w:pos="8296"/>
        </w:tabs>
        <w:ind w:firstLine="105" w:firstLineChars="50"/>
        <w:rPr>
          <w:rFonts w:asciiTheme="minorHAnsi" w:hAnsiTheme="minorHAnsi" w:eastAsiaTheme="minorEastAsia" w:cstheme="minorBidi"/>
          <w:sz w:val="32"/>
          <w:szCs w:val="32"/>
        </w:rPr>
      </w:pPr>
      <w:r>
        <w:fldChar w:fldCharType="begin"/>
      </w:r>
      <w:r>
        <w:instrText xml:space="preserve"> HYPERLINK \l "_Toc218241110" </w:instrText>
      </w:r>
      <w:r>
        <w:fldChar w:fldCharType="separate"/>
      </w:r>
      <w:r>
        <w:rPr>
          <w:rStyle w:val="14"/>
          <w:rFonts w:hint="eastAsia" w:eastAsia="楷体_GB2312"/>
          <w:kern w:val="0"/>
          <w:sz w:val="32"/>
          <w:szCs w:val="32"/>
        </w:rPr>
        <w:t>第一节</w:t>
      </w:r>
      <w:r>
        <w:rPr>
          <w:rFonts w:asciiTheme="minorHAnsi" w:hAnsiTheme="minorHAnsi" w:eastAsiaTheme="minorEastAsia" w:cstheme="minorBidi"/>
          <w:sz w:val="32"/>
          <w:szCs w:val="32"/>
        </w:rPr>
        <w:tab/>
      </w:r>
      <w:r>
        <w:rPr>
          <w:rStyle w:val="14"/>
          <w:rFonts w:hint="eastAsia" w:eastAsia="楷体_GB2312"/>
          <w:kern w:val="0"/>
          <w:sz w:val="32"/>
          <w:szCs w:val="32"/>
        </w:rPr>
        <w:t>深化要素市场化配置改革</w:t>
      </w:r>
      <w:r>
        <w:rPr>
          <w:sz w:val="32"/>
          <w:szCs w:val="32"/>
        </w:rPr>
        <w:tab/>
      </w:r>
      <w:r>
        <w:rPr>
          <w:sz w:val="32"/>
          <w:szCs w:val="32"/>
        </w:rPr>
        <w:fldChar w:fldCharType="begin"/>
      </w:r>
      <w:r>
        <w:rPr>
          <w:sz w:val="32"/>
          <w:szCs w:val="32"/>
        </w:rPr>
        <w:instrText xml:space="preserve"> PAGEREF _Toc218241110 \h </w:instrText>
      </w:r>
      <w:r>
        <w:rPr>
          <w:sz w:val="32"/>
          <w:szCs w:val="32"/>
        </w:rPr>
        <w:fldChar w:fldCharType="separate"/>
      </w:r>
      <w:r>
        <w:rPr>
          <w:sz w:val="32"/>
          <w:szCs w:val="32"/>
        </w:rPr>
        <w:t>62</w:t>
      </w:r>
      <w:r>
        <w:rPr>
          <w:sz w:val="32"/>
          <w:szCs w:val="32"/>
        </w:rPr>
        <w:fldChar w:fldCharType="end"/>
      </w:r>
      <w:r>
        <w:rPr>
          <w:sz w:val="32"/>
          <w:szCs w:val="32"/>
        </w:rPr>
        <w:fldChar w:fldCharType="end"/>
      </w:r>
    </w:p>
    <w:p w14:paraId="1DD3771A">
      <w:pPr>
        <w:pStyle w:val="6"/>
        <w:tabs>
          <w:tab w:val="left" w:pos="2100"/>
          <w:tab w:val="right" w:leader="dot" w:pos="8296"/>
        </w:tabs>
        <w:rPr>
          <w:rFonts w:asciiTheme="minorHAnsi" w:hAnsiTheme="minorHAnsi" w:eastAsiaTheme="minorEastAsia" w:cstheme="minorBidi"/>
          <w:sz w:val="32"/>
          <w:szCs w:val="32"/>
        </w:rPr>
      </w:pPr>
      <w:r>
        <w:fldChar w:fldCharType="begin"/>
      </w:r>
      <w:r>
        <w:instrText xml:space="preserve"> HYPERLINK \l "_Toc218241111" </w:instrText>
      </w:r>
      <w:r>
        <w:fldChar w:fldCharType="separate"/>
      </w:r>
      <w:r>
        <w:rPr>
          <w:rStyle w:val="14"/>
          <w:rFonts w:hint="eastAsia" w:eastAsia="楷体_GB2312"/>
          <w:kern w:val="0"/>
          <w:sz w:val="32"/>
          <w:szCs w:val="32"/>
        </w:rPr>
        <w:t>第二节</w:t>
      </w:r>
      <w:r>
        <w:rPr>
          <w:rFonts w:asciiTheme="minorHAnsi" w:hAnsiTheme="minorHAnsi" w:eastAsiaTheme="minorEastAsia" w:cstheme="minorBidi"/>
          <w:sz w:val="32"/>
          <w:szCs w:val="32"/>
        </w:rPr>
        <w:tab/>
      </w:r>
      <w:r>
        <w:rPr>
          <w:rStyle w:val="14"/>
          <w:rFonts w:hint="eastAsia" w:eastAsia="楷体_GB2312"/>
          <w:kern w:val="0"/>
          <w:sz w:val="32"/>
          <w:szCs w:val="32"/>
        </w:rPr>
        <w:t>提升国有资本配置效率</w:t>
      </w:r>
      <w:r>
        <w:rPr>
          <w:sz w:val="32"/>
          <w:szCs w:val="32"/>
        </w:rPr>
        <w:tab/>
      </w:r>
      <w:r>
        <w:rPr>
          <w:sz w:val="32"/>
          <w:szCs w:val="32"/>
        </w:rPr>
        <w:fldChar w:fldCharType="begin"/>
      </w:r>
      <w:r>
        <w:rPr>
          <w:sz w:val="32"/>
          <w:szCs w:val="32"/>
        </w:rPr>
        <w:instrText xml:space="preserve"> PAGEREF _Toc218241111 \h </w:instrText>
      </w:r>
      <w:r>
        <w:rPr>
          <w:sz w:val="32"/>
          <w:szCs w:val="32"/>
        </w:rPr>
        <w:fldChar w:fldCharType="separate"/>
      </w:r>
      <w:r>
        <w:rPr>
          <w:sz w:val="32"/>
          <w:szCs w:val="32"/>
        </w:rPr>
        <w:t>63</w:t>
      </w:r>
      <w:r>
        <w:rPr>
          <w:sz w:val="32"/>
          <w:szCs w:val="32"/>
        </w:rPr>
        <w:fldChar w:fldCharType="end"/>
      </w:r>
      <w:r>
        <w:rPr>
          <w:sz w:val="32"/>
          <w:szCs w:val="32"/>
        </w:rPr>
        <w:fldChar w:fldCharType="end"/>
      </w:r>
    </w:p>
    <w:p w14:paraId="6A93D25F">
      <w:pPr>
        <w:pStyle w:val="6"/>
        <w:tabs>
          <w:tab w:val="left" w:pos="2100"/>
          <w:tab w:val="right" w:leader="dot" w:pos="8296"/>
        </w:tabs>
        <w:rPr>
          <w:rFonts w:asciiTheme="minorHAnsi" w:hAnsiTheme="minorHAnsi" w:eastAsiaTheme="minorEastAsia" w:cstheme="minorBidi"/>
          <w:sz w:val="32"/>
          <w:szCs w:val="32"/>
        </w:rPr>
      </w:pPr>
      <w:r>
        <w:fldChar w:fldCharType="begin"/>
      </w:r>
      <w:r>
        <w:instrText xml:space="preserve"> HYPERLINK \l "_Toc218241112" </w:instrText>
      </w:r>
      <w:r>
        <w:fldChar w:fldCharType="separate"/>
      </w:r>
      <w:r>
        <w:rPr>
          <w:rStyle w:val="14"/>
          <w:rFonts w:hint="eastAsia" w:eastAsia="楷体_GB2312"/>
          <w:kern w:val="0"/>
          <w:sz w:val="32"/>
          <w:szCs w:val="32"/>
        </w:rPr>
        <w:t>第三节</w:t>
      </w:r>
      <w:r>
        <w:rPr>
          <w:rFonts w:asciiTheme="minorHAnsi" w:hAnsiTheme="minorHAnsi" w:eastAsiaTheme="minorEastAsia" w:cstheme="minorBidi"/>
          <w:sz w:val="32"/>
          <w:szCs w:val="32"/>
        </w:rPr>
        <w:tab/>
      </w:r>
      <w:r>
        <w:rPr>
          <w:rStyle w:val="14"/>
          <w:rFonts w:hint="eastAsia" w:eastAsia="楷体_GB2312"/>
          <w:kern w:val="0"/>
          <w:sz w:val="32"/>
          <w:szCs w:val="32"/>
        </w:rPr>
        <w:t>强化财税金融双轮驱动</w:t>
      </w:r>
      <w:r>
        <w:rPr>
          <w:sz w:val="32"/>
          <w:szCs w:val="32"/>
        </w:rPr>
        <w:tab/>
      </w:r>
      <w:r>
        <w:rPr>
          <w:sz w:val="32"/>
          <w:szCs w:val="32"/>
        </w:rPr>
        <w:fldChar w:fldCharType="begin"/>
      </w:r>
      <w:r>
        <w:rPr>
          <w:sz w:val="32"/>
          <w:szCs w:val="32"/>
        </w:rPr>
        <w:instrText xml:space="preserve"> PAGEREF _Toc218241112 \h </w:instrText>
      </w:r>
      <w:r>
        <w:rPr>
          <w:sz w:val="32"/>
          <w:szCs w:val="32"/>
        </w:rPr>
        <w:fldChar w:fldCharType="separate"/>
      </w:r>
      <w:r>
        <w:rPr>
          <w:sz w:val="32"/>
          <w:szCs w:val="32"/>
        </w:rPr>
        <w:t>64</w:t>
      </w:r>
      <w:r>
        <w:rPr>
          <w:sz w:val="32"/>
          <w:szCs w:val="32"/>
        </w:rPr>
        <w:fldChar w:fldCharType="end"/>
      </w:r>
      <w:r>
        <w:rPr>
          <w:sz w:val="32"/>
          <w:szCs w:val="32"/>
        </w:rPr>
        <w:fldChar w:fldCharType="end"/>
      </w:r>
    </w:p>
    <w:p w14:paraId="6BE26FDA">
      <w:pPr>
        <w:pStyle w:val="6"/>
        <w:tabs>
          <w:tab w:val="left" w:pos="2100"/>
          <w:tab w:val="right" w:leader="dot" w:pos="8296"/>
        </w:tabs>
        <w:rPr>
          <w:rFonts w:asciiTheme="minorHAnsi" w:hAnsiTheme="minorHAnsi" w:eastAsiaTheme="minorEastAsia" w:cstheme="minorBidi"/>
          <w:sz w:val="32"/>
          <w:szCs w:val="32"/>
        </w:rPr>
      </w:pPr>
      <w:r>
        <w:fldChar w:fldCharType="begin"/>
      </w:r>
      <w:r>
        <w:instrText xml:space="preserve"> HYPERLINK \l "_Toc218241113" </w:instrText>
      </w:r>
      <w:r>
        <w:fldChar w:fldCharType="separate"/>
      </w:r>
      <w:r>
        <w:rPr>
          <w:rStyle w:val="14"/>
          <w:rFonts w:hint="eastAsia" w:eastAsia="楷体_GB2312"/>
          <w:kern w:val="0"/>
          <w:sz w:val="32"/>
          <w:szCs w:val="32"/>
        </w:rPr>
        <w:t>第四节</w:t>
      </w:r>
      <w:r>
        <w:rPr>
          <w:rFonts w:asciiTheme="minorHAnsi" w:hAnsiTheme="minorHAnsi" w:eastAsiaTheme="minorEastAsia" w:cstheme="minorBidi"/>
          <w:sz w:val="32"/>
          <w:szCs w:val="32"/>
        </w:rPr>
        <w:tab/>
      </w:r>
      <w:r>
        <w:rPr>
          <w:rStyle w:val="14"/>
          <w:rFonts w:hint="eastAsia" w:eastAsia="楷体_GB2312"/>
          <w:kern w:val="0"/>
          <w:sz w:val="32"/>
          <w:szCs w:val="32"/>
        </w:rPr>
        <w:t>持续打造一流营商环境</w:t>
      </w:r>
      <w:r>
        <w:rPr>
          <w:sz w:val="32"/>
          <w:szCs w:val="32"/>
        </w:rPr>
        <w:tab/>
      </w:r>
      <w:r>
        <w:rPr>
          <w:sz w:val="32"/>
          <w:szCs w:val="32"/>
        </w:rPr>
        <w:fldChar w:fldCharType="begin"/>
      </w:r>
      <w:r>
        <w:rPr>
          <w:sz w:val="32"/>
          <w:szCs w:val="32"/>
        </w:rPr>
        <w:instrText xml:space="preserve"> PAGEREF _Toc218241113 \h </w:instrText>
      </w:r>
      <w:r>
        <w:rPr>
          <w:sz w:val="32"/>
          <w:szCs w:val="32"/>
        </w:rPr>
        <w:fldChar w:fldCharType="separate"/>
      </w:r>
      <w:r>
        <w:rPr>
          <w:sz w:val="32"/>
          <w:szCs w:val="32"/>
        </w:rPr>
        <w:t>64</w:t>
      </w:r>
      <w:r>
        <w:rPr>
          <w:sz w:val="32"/>
          <w:szCs w:val="32"/>
        </w:rPr>
        <w:fldChar w:fldCharType="end"/>
      </w:r>
      <w:r>
        <w:rPr>
          <w:sz w:val="32"/>
          <w:szCs w:val="32"/>
        </w:rPr>
        <w:fldChar w:fldCharType="end"/>
      </w:r>
    </w:p>
    <w:p w14:paraId="2E177497">
      <w:pPr>
        <w:pStyle w:val="9"/>
        <w:tabs>
          <w:tab w:val="right" w:leader="dot" w:pos="8296"/>
        </w:tabs>
        <w:rPr>
          <w:rFonts w:asciiTheme="minorHAnsi" w:hAnsiTheme="minorHAnsi" w:eastAsiaTheme="minorEastAsia" w:cstheme="minorBidi"/>
          <w:sz w:val="32"/>
          <w:szCs w:val="32"/>
        </w:rPr>
      </w:pPr>
      <w:r>
        <w:fldChar w:fldCharType="begin"/>
      </w:r>
      <w:r>
        <w:instrText xml:space="preserve"> HYPERLINK \l "_Toc218241114" </w:instrText>
      </w:r>
      <w:r>
        <w:fldChar w:fldCharType="separate"/>
      </w:r>
      <w:r>
        <w:rPr>
          <w:rStyle w:val="14"/>
          <w:rFonts w:hint="eastAsia" w:eastAsia="黑体"/>
          <w:bCs/>
          <w:kern w:val="0"/>
          <w:sz w:val="32"/>
          <w:szCs w:val="32"/>
        </w:rPr>
        <w:t>第二十章</w:t>
      </w:r>
      <w:r>
        <w:rPr>
          <w:rStyle w:val="14"/>
          <w:rFonts w:eastAsia="黑体"/>
          <w:bCs/>
          <w:kern w:val="0"/>
          <w:sz w:val="32"/>
          <w:szCs w:val="32"/>
        </w:rPr>
        <w:t xml:space="preserve">  </w:t>
      </w:r>
      <w:r>
        <w:rPr>
          <w:rStyle w:val="14"/>
          <w:rFonts w:hint="eastAsia" w:eastAsia="黑体"/>
          <w:bCs/>
          <w:kern w:val="0"/>
          <w:sz w:val="32"/>
          <w:szCs w:val="32"/>
        </w:rPr>
        <w:t>打好开放协作主动战</w:t>
      </w:r>
      <w:r>
        <w:rPr>
          <w:sz w:val="32"/>
          <w:szCs w:val="32"/>
        </w:rPr>
        <w:tab/>
      </w:r>
      <w:r>
        <w:rPr>
          <w:sz w:val="32"/>
          <w:szCs w:val="32"/>
        </w:rPr>
        <w:fldChar w:fldCharType="begin"/>
      </w:r>
      <w:r>
        <w:rPr>
          <w:sz w:val="32"/>
          <w:szCs w:val="32"/>
        </w:rPr>
        <w:instrText xml:space="preserve"> PAGEREF _Toc218241114 \h </w:instrText>
      </w:r>
      <w:r>
        <w:rPr>
          <w:sz w:val="32"/>
          <w:szCs w:val="32"/>
        </w:rPr>
        <w:fldChar w:fldCharType="separate"/>
      </w:r>
      <w:r>
        <w:rPr>
          <w:sz w:val="32"/>
          <w:szCs w:val="32"/>
        </w:rPr>
        <w:t>65</w:t>
      </w:r>
      <w:r>
        <w:rPr>
          <w:sz w:val="32"/>
          <w:szCs w:val="32"/>
        </w:rPr>
        <w:fldChar w:fldCharType="end"/>
      </w:r>
      <w:r>
        <w:rPr>
          <w:sz w:val="32"/>
          <w:szCs w:val="32"/>
        </w:rPr>
        <w:fldChar w:fldCharType="end"/>
      </w:r>
    </w:p>
    <w:p w14:paraId="60E408F5">
      <w:pPr>
        <w:pStyle w:val="6"/>
        <w:tabs>
          <w:tab w:val="left" w:pos="2100"/>
          <w:tab w:val="right" w:leader="dot" w:pos="8296"/>
        </w:tabs>
        <w:rPr>
          <w:rFonts w:asciiTheme="minorHAnsi" w:hAnsiTheme="minorHAnsi" w:eastAsiaTheme="minorEastAsia" w:cstheme="minorBidi"/>
          <w:sz w:val="32"/>
          <w:szCs w:val="32"/>
        </w:rPr>
      </w:pPr>
      <w:r>
        <w:fldChar w:fldCharType="begin"/>
      </w:r>
      <w:r>
        <w:instrText xml:space="preserve"> HYPERLINK \l "_Toc218241115" </w:instrText>
      </w:r>
      <w:r>
        <w:fldChar w:fldCharType="separate"/>
      </w:r>
      <w:r>
        <w:rPr>
          <w:rStyle w:val="14"/>
          <w:rFonts w:hint="eastAsia" w:eastAsia="楷体_GB2312"/>
          <w:kern w:val="0"/>
          <w:sz w:val="32"/>
          <w:szCs w:val="32"/>
        </w:rPr>
        <w:t>第一节</w:t>
      </w:r>
      <w:r>
        <w:rPr>
          <w:rFonts w:asciiTheme="minorHAnsi" w:hAnsiTheme="minorHAnsi" w:eastAsiaTheme="minorEastAsia" w:cstheme="minorBidi"/>
          <w:sz w:val="32"/>
          <w:szCs w:val="32"/>
        </w:rPr>
        <w:tab/>
      </w:r>
      <w:r>
        <w:rPr>
          <w:rStyle w:val="14"/>
          <w:rFonts w:hint="eastAsia" w:eastAsia="楷体_GB2312"/>
          <w:kern w:val="0"/>
          <w:sz w:val="32"/>
          <w:szCs w:val="32"/>
        </w:rPr>
        <w:t>深化对口支援与协作帮扶</w:t>
      </w:r>
      <w:r>
        <w:rPr>
          <w:sz w:val="32"/>
          <w:szCs w:val="32"/>
        </w:rPr>
        <w:tab/>
      </w:r>
      <w:r>
        <w:rPr>
          <w:sz w:val="32"/>
          <w:szCs w:val="32"/>
        </w:rPr>
        <w:fldChar w:fldCharType="begin"/>
      </w:r>
      <w:r>
        <w:rPr>
          <w:sz w:val="32"/>
          <w:szCs w:val="32"/>
        </w:rPr>
        <w:instrText xml:space="preserve"> PAGEREF _Toc218241115 \h </w:instrText>
      </w:r>
      <w:r>
        <w:rPr>
          <w:sz w:val="32"/>
          <w:szCs w:val="32"/>
        </w:rPr>
        <w:fldChar w:fldCharType="separate"/>
      </w:r>
      <w:r>
        <w:rPr>
          <w:sz w:val="32"/>
          <w:szCs w:val="32"/>
        </w:rPr>
        <w:t>65</w:t>
      </w:r>
      <w:r>
        <w:rPr>
          <w:sz w:val="32"/>
          <w:szCs w:val="32"/>
        </w:rPr>
        <w:fldChar w:fldCharType="end"/>
      </w:r>
      <w:r>
        <w:rPr>
          <w:sz w:val="32"/>
          <w:szCs w:val="32"/>
        </w:rPr>
        <w:fldChar w:fldCharType="end"/>
      </w:r>
    </w:p>
    <w:p w14:paraId="75489C2B">
      <w:pPr>
        <w:pStyle w:val="6"/>
        <w:tabs>
          <w:tab w:val="left" w:pos="2100"/>
          <w:tab w:val="right" w:leader="dot" w:pos="8296"/>
        </w:tabs>
        <w:rPr>
          <w:rFonts w:asciiTheme="minorHAnsi" w:hAnsiTheme="minorHAnsi" w:eastAsiaTheme="minorEastAsia" w:cstheme="minorBidi"/>
          <w:sz w:val="32"/>
          <w:szCs w:val="32"/>
        </w:rPr>
      </w:pPr>
      <w:r>
        <w:fldChar w:fldCharType="begin"/>
      </w:r>
      <w:r>
        <w:instrText xml:space="preserve"> HYPERLINK \l "_Toc218241116" </w:instrText>
      </w:r>
      <w:r>
        <w:fldChar w:fldCharType="separate"/>
      </w:r>
      <w:r>
        <w:rPr>
          <w:rStyle w:val="14"/>
          <w:rFonts w:hint="eastAsia" w:eastAsia="楷体_GB2312"/>
          <w:kern w:val="0"/>
          <w:sz w:val="32"/>
          <w:szCs w:val="32"/>
        </w:rPr>
        <w:t>第二节</w:t>
      </w:r>
      <w:r>
        <w:rPr>
          <w:rFonts w:asciiTheme="minorHAnsi" w:hAnsiTheme="minorHAnsi" w:eastAsiaTheme="minorEastAsia" w:cstheme="minorBidi"/>
          <w:sz w:val="32"/>
          <w:szCs w:val="32"/>
        </w:rPr>
        <w:tab/>
      </w:r>
      <w:r>
        <w:rPr>
          <w:rStyle w:val="14"/>
          <w:rFonts w:hint="eastAsia" w:eastAsia="楷体_GB2312"/>
          <w:kern w:val="0"/>
          <w:sz w:val="32"/>
          <w:szCs w:val="32"/>
        </w:rPr>
        <w:t>创新区域开放协作新模式</w:t>
      </w:r>
      <w:r>
        <w:rPr>
          <w:sz w:val="32"/>
          <w:szCs w:val="32"/>
        </w:rPr>
        <w:tab/>
      </w:r>
      <w:r>
        <w:rPr>
          <w:sz w:val="32"/>
          <w:szCs w:val="32"/>
        </w:rPr>
        <w:fldChar w:fldCharType="begin"/>
      </w:r>
      <w:r>
        <w:rPr>
          <w:sz w:val="32"/>
          <w:szCs w:val="32"/>
        </w:rPr>
        <w:instrText xml:space="preserve"> PAGEREF _Toc218241116 \h </w:instrText>
      </w:r>
      <w:r>
        <w:rPr>
          <w:sz w:val="32"/>
          <w:szCs w:val="32"/>
        </w:rPr>
        <w:fldChar w:fldCharType="separate"/>
      </w:r>
      <w:r>
        <w:rPr>
          <w:sz w:val="32"/>
          <w:szCs w:val="32"/>
        </w:rPr>
        <w:t>65</w:t>
      </w:r>
      <w:r>
        <w:rPr>
          <w:sz w:val="32"/>
          <w:szCs w:val="32"/>
        </w:rPr>
        <w:fldChar w:fldCharType="end"/>
      </w:r>
      <w:r>
        <w:rPr>
          <w:sz w:val="32"/>
          <w:szCs w:val="32"/>
        </w:rPr>
        <w:fldChar w:fldCharType="end"/>
      </w:r>
    </w:p>
    <w:p w14:paraId="1856AEB7">
      <w:pPr>
        <w:pStyle w:val="6"/>
        <w:tabs>
          <w:tab w:val="left" w:pos="2100"/>
          <w:tab w:val="right" w:leader="dot" w:pos="8296"/>
        </w:tabs>
        <w:rPr>
          <w:rFonts w:asciiTheme="minorHAnsi" w:hAnsiTheme="minorHAnsi" w:eastAsiaTheme="minorEastAsia" w:cstheme="minorBidi"/>
          <w:sz w:val="32"/>
          <w:szCs w:val="32"/>
        </w:rPr>
      </w:pPr>
      <w:r>
        <w:fldChar w:fldCharType="begin"/>
      </w:r>
      <w:r>
        <w:instrText xml:space="preserve"> HYPERLINK \l "_Toc218241117" </w:instrText>
      </w:r>
      <w:r>
        <w:fldChar w:fldCharType="separate"/>
      </w:r>
      <w:r>
        <w:rPr>
          <w:rStyle w:val="14"/>
          <w:rFonts w:hint="eastAsia" w:eastAsia="楷体_GB2312"/>
          <w:kern w:val="0"/>
          <w:sz w:val="32"/>
          <w:szCs w:val="32"/>
        </w:rPr>
        <w:t>第三节</w:t>
      </w:r>
      <w:r>
        <w:rPr>
          <w:rFonts w:asciiTheme="minorHAnsi" w:hAnsiTheme="minorHAnsi" w:eastAsiaTheme="minorEastAsia" w:cstheme="minorBidi"/>
          <w:sz w:val="32"/>
          <w:szCs w:val="32"/>
        </w:rPr>
        <w:tab/>
      </w:r>
      <w:r>
        <w:rPr>
          <w:rStyle w:val="14"/>
          <w:rFonts w:hint="eastAsia" w:eastAsia="楷体_GB2312"/>
          <w:kern w:val="0"/>
          <w:sz w:val="32"/>
          <w:szCs w:val="32"/>
        </w:rPr>
        <w:t>加强科技引进吸收和创新</w:t>
      </w:r>
      <w:r>
        <w:rPr>
          <w:sz w:val="32"/>
          <w:szCs w:val="32"/>
        </w:rPr>
        <w:tab/>
      </w:r>
      <w:r>
        <w:rPr>
          <w:sz w:val="32"/>
          <w:szCs w:val="32"/>
        </w:rPr>
        <w:fldChar w:fldCharType="begin"/>
      </w:r>
      <w:r>
        <w:rPr>
          <w:sz w:val="32"/>
          <w:szCs w:val="32"/>
        </w:rPr>
        <w:instrText xml:space="preserve"> PAGEREF _Toc218241117 \h </w:instrText>
      </w:r>
      <w:r>
        <w:rPr>
          <w:sz w:val="32"/>
          <w:szCs w:val="32"/>
        </w:rPr>
        <w:fldChar w:fldCharType="separate"/>
      </w:r>
      <w:r>
        <w:rPr>
          <w:sz w:val="32"/>
          <w:szCs w:val="32"/>
        </w:rPr>
        <w:t>66</w:t>
      </w:r>
      <w:r>
        <w:rPr>
          <w:sz w:val="32"/>
          <w:szCs w:val="32"/>
        </w:rPr>
        <w:fldChar w:fldCharType="end"/>
      </w:r>
      <w:r>
        <w:rPr>
          <w:sz w:val="32"/>
          <w:szCs w:val="32"/>
        </w:rPr>
        <w:fldChar w:fldCharType="end"/>
      </w:r>
    </w:p>
    <w:p w14:paraId="0137E475">
      <w:pPr>
        <w:pStyle w:val="9"/>
        <w:tabs>
          <w:tab w:val="right" w:leader="dot" w:pos="8296"/>
        </w:tabs>
        <w:ind w:firstLine="105" w:firstLineChars="50"/>
        <w:rPr>
          <w:rFonts w:asciiTheme="minorHAnsi" w:hAnsiTheme="minorHAnsi" w:eastAsiaTheme="minorEastAsia" w:cstheme="minorBidi"/>
          <w:sz w:val="32"/>
          <w:szCs w:val="32"/>
        </w:rPr>
      </w:pPr>
      <w:r>
        <w:fldChar w:fldCharType="begin"/>
      </w:r>
      <w:r>
        <w:instrText xml:space="preserve"> HYPERLINK \l "_Toc218241118" </w:instrText>
      </w:r>
      <w:r>
        <w:fldChar w:fldCharType="separate"/>
      </w:r>
      <w:r>
        <w:rPr>
          <w:rStyle w:val="14"/>
          <w:rFonts w:hint="eastAsia" w:eastAsia="楷体_GB2312"/>
          <w:kern w:val="0"/>
          <w:sz w:val="32"/>
          <w:szCs w:val="32"/>
        </w:rPr>
        <w:t>第四节</w:t>
      </w:r>
      <w:r>
        <w:rPr>
          <w:rStyle w:val="14"/>
          <w:rFonts w:eastAsia="楷体_GB2312"/>
          <w:kern w:val="0"/>
          <w:sz w:val="32"/>
          <w:szCs w:val="32"/>
        </w:rPr>
        <w:t xml:space="preserve">  </w:t>
      </w:r>
      <w:r>
        <w:rPr>
          <w:rStyle w:val="14"/>
          <w:rFonts w:hint="eastAsia" w:eastAsia="楷体_GB2312"/>
          <w:kern w:val="0"/>
          <w:sz w:val="32"/>
          <w:szCs w:val="32"/>
        </w:rPr>
        <w:t>健全协作保障机制</w:t>
      </w:r>
      <w:r>
        <w:rPr>
          <w:sz w:val="32"/>
          <w:szCs w:val="32"/>
        </w:rPr>
        <w:tab/>
      </w:r>
      <w:r>
        <w:rPr>
          <w:sz w:val="32"/>
          <w:szCs w:val="32"/>
        </w:rPr>
        <w:fldChar w:fldCharType="begin"/>
      </w:r>
      <w:r>
        <w:rPr>
          <w:sz w:val="32"/>
          <w:szCs w:val="32"/>
        </w:rPr>
        <w:instrText xml:space="preserve"> PAGEREF _Toc218241118 \h </w:instrText>
      </w:r>
      <w:r>
        <w:rPr>
          <w:sz w:val="32"/>
          <w:szCs w:val="32"/>
        </w:rPr>
        <w:fldChar w:fldCharType="separate"/>
      </w:r>
      <w:r>
        <w:rPr>
          <w:sz w:val="32"/>
          <w:szCs w:val="32"/>
        </w:rPr>
        <w:t>66</w:t>
      </w:r>
      <w:r>
        <w:rPr>
          <w:sz w:val="32"/>
          <w:szCs w:val="32"/>
        </w:rPr>
        <w:fldChar w:fldCharType="end"/>
      </w:r>
      <w:r>
        <w:rPr>
          <w:sz w:val="32"/>
          <w:szCs w:val="32"/>
        </w:rPr>
        <w:fldChar w:fldCharType="end"/>
      </w:r>
    </w:p>
    <w:p w14:paraId="473EE8FD">
      <w:pPr>
        <w:pStyle w:val="9"/>
        <w:tabs>
          <w:tab w:val="right" w:leader="dot" w:pos="8296"/>
        </w:tabs>
        <w:rPr>
          <w:rFonts w:asciiTheme="minorHAnsi" w:hAnsiTheme="minorHAnsi" w:eastAsiaTheme="minorEastAsia" w:cstheme="minorBidi"/>
          <w:sz w:val="32"/>
          <w:szCs w:val="32"/>
        </w:rPr>
      </w:pPr>
      <w:r>
        <w:fldChar w:fldCharType="begin"/>
      </w:r>
      <w:r>
        <w:instrText xml:space="preserve"> HYPERLINK \l "_Toc218241119" </w:instrText>
      </w:r>
      <w:r>
        <w:fldChar w:fldCharType="separate"/>
      </w:r>
      <w:r>
        <w:rPr>
          <w:rStyle w:val="14"/>
          <w:rFonts w:hint="eastAsia" w:eastAsia="黑体"/>
          <w:bCs/>
          <w:kern w:val="0"/>
          <w:sz w:val="32"/>
          <w:szCs w:val="32"/>
        </w:rPr>
        <w:t>第二十一章</w:t>
      </w:r>
      <w:r>
        <w:rPr>
          <w:rStyle w:val="14"/>
          <w:rFonts w:eastAsia="黑体"/>
          <w:bCs/>
          <w:kern w:val="0"/>
          <w:sz w:val="32"/>
          <w:szCs w:val="32"/>
        </w:rPr>
        <w:t xml:space="preserve">  </w:t>
      </w:r>
      <w:r>
        <w:rPr>
          <w:rStyle w:val="14"/>
          <w:rFonts w:hint="eastAsia" w:eastAsia="黑体"/>
          <w:bCs/>
          <w:kern w:val="0"/>
          <w:sz w:val="32"/>
          <w:szCs w:val="32"/>
        </w:rPr>
        <w:t>强化人才引育发展</w:t>
      </w:r>
      <w:r>
        <w:rPr>
          <w:sz w:val="32"/>
          <w:szCs w:val="32"/>
        </w:rPr>
        <w:tab/>
      </w:r>
      <w:r>
        <w:rPr>
          <w:sz w:val="32"/>
          <w:szCs w:val="32"/>
        </w:rPr>
        <w:fldChar w:fldCharType="begin"/>
      </w:r>
      <w:r>
        <w:rPr>
          <w:sz w:val="32"/>
          <w:szCs w:val="32"/>
        </w:rPr>
        <w:instrText xml:space="preserve"> PAGEREF _Toc218241119 \h </w:instrText>
      </w:r>
      <w:r>
        <w:rPr>
          <w:sz w:val="32"/>
          <w:szCs w:val="32"/>
        </w:rPr>
        <w:fldChar w:fldCharType="separate"/>
      </w:r>
      <w:r>
        <w:rPr>
          <w:sz w:val="32"/>
          <w:szCs w:val="32"/>
        </w:rPr>
        <w:t>68</w:t>
      </w:r>
      <w:r>
        <w:rPr>
          <w:sz w:val="32"/>
          <w:szCs w:val="32"/>
        </w:rPr>
        <w:fldChar w:fldCharType="end"/>
      </w:r>
      <w:r>
        <w:rPr>
          <w:sz w:val="32"/>
          <w:szCs w:val="32"/>
        </w:rPr>
        <w:fldChar w:fldCharType="end"/>
      </w:r>
    </w:p>
    <w:p w14:paraId="0F6984AD">
      <w:pPr>
        <w:pStyle w:val="6"/>
        <w:tabs>
          <w:tab w:val="left" w:pos="2100"/>
          <w:tab w:val="right" w:leader="dot" w:pos="8296"/>
        </w:tabs>
        <w:rPr>
          <w:rFonts w:asciiTheme="minorHAnsi" w:hAnsiTheme="minorHAnsi" w:eastAsiaTheme="minorEastAsia" w:cstheme="minorBidi"/>
          <w:sz w:val="32"/>
          <w:szCs w:val="32"/>
        </w:rPr>
      </w:pPr>
      <w:r>
        <w:fldChar w:fldCharType="begin"/>
      </w:r>
      <w:r>
        <w:instrText xml:space="preserve"> HYPERLINK \l "_Toc218241120" </w:instrText>
      </w:r>
      <w:r>
        <w:fldChar w:fldCharType="separate"/>
      </w:r>
      <w:r>
        <w:rPr>
          <w:rStyle w:val="14"/>
          <w:rFonts w:hint="eastAsia" w:eastAsia="楷体_GB2312"/>
          <w:sz w:val="32"/>
          <w:szCs w:val="32"/>
        </w:rPr>
        <w:t>第一节</w:t>
      </w:r>
      <w:r>
        <w:rPr>
          <w:rFonts w:asciiTheme="minorHAnsi" w:hAnsiTheme="minorHAnsi" w:eastAsiaTheme="minorEastAsia" w:cstheme="minorBidi"/>
          <w:sz w:val="32"/>
          <w:szCs w:val="32"/>
        </w:rPr>
        <w:tab/>
      </w:r>
      <w:r>
        <w:rPr>
          <w:rStyle w:val="14"/>
          <w:rFonts w:hint="eastAsia" w:eastAsia="楷体_GB2312"/>
          <w:kern w:val="0"/>
          <w:sz w:val="32"/>
          <w:szCs w:val="32"/>
        </w:rPr>
        <w:t>壮大紧缺人才队伍</w:t>
      </w:r>
      <w:r>
        <w:rPr>
          <w:sz w:val="32"/>
          <w:szCs w:val="32"/>
        </w:rPr>
        <w:tab/>
      </w:r>
      <w:r>
        <w:rPr>
          <w:sz w:val="32"/>
          <w:szCs w:val="32"/>
        </w:rPr>
        <w:fldChar w:fldCharType="begin"/>
      </w:r>
      <w:r>
        <w:rPr>
          <w:sz w:val="32"/>
          <w:szCs w:val="32"/>
        </w:rPr>
        <w:instrText xml:space="preserve"> PAGEREF _Toc218241120 \h </w:instrText>
      </w:r>
      <w:r>
        <w:rPr>
          <w:sz w:val="32"/>
          <w:szCs w:val="32"/>
        </w:rPr>
        <w:fldChar w:fldCharType="separate"/>
      </w:r>
      <w:r>
        <w:rPr>
          <w:sz w:val="32"/>
          <w:szCs w:val="32"/>
        </w:rPr>
        <w:t>68</w:t>
      </w:r>
      <w:r>
        <w:rPr>
          <w:sz w:val="32"/>
          <w:szCs w:val="32"/>
        </w:rPr>
        <w:fldChar w:fldCharType="end"/>
      </w:r>
      <w:r>
        <w:rPr>
          <w:sz w:val="32"/>
          <w:szCs w:val="32"/>
        </w:rPr>
        <w:fldChar w:fldCharType="end"/>
      </w:r>
    </w:p>
    <w:p w14:paraId="5BA39C2A">
      <w:pPr>
        <w:pStyle w:val="6"/>
        <w:tabs>
          <w:tab w:val="left" w:pos="2100"/>
          <w:tab w:val="right" w:leader="dot" w:pos="8296"/>
        </w:tabs>
        <w:rPr>
          <w:rFonts w:asciiTheme="minorHAnsi" w:hAnsiTheme="minorHAnsi" w:eastAsiaTheme="minorEastAsia" w:cstheme="minorBidi"/>
          <w:sz w:val="32"/>
          <w:szCs w:val="32"/>
        </w:rPr>
      </w:pPr>
      <w:r>
        <w:fldChar w:fldCharType="begin"/>
      </w:r>
      <w:r>
        <w:instrText xml:space="preserve"> HYPERLINK \l "_Toc218241121" </w:instrText>
      </w:r>
      <w:r>
        <w:fldChar w:fldCharType="separate"/>
      </w:r>
      <w:r>
        <w:rPr>
          <w:rStyle w:val="14"/>
          <w:rFonts w:hint="eastAsia" w:eastAsia="楷体_GB2312"/>
          <w:kern w:val="0"/>
          <w:sz w:val="32"/>
          <w:szCs w:val="32"/>
        </w:rPr>
        <w:t>第二节</w:t>
      </w:r>
      <w:r>
        <w:rPr>
          <w:rFonts w:asciiTheme="minorHAnsi" w:hAnsiTheme="minorHAnsi" w:eastAsiaTheme="minorEastAsia" w:cstheme="minorBidi"/>
          <w:sz w:val="32"/>
          <w:szCs w:val="32"/>
        </w:rPr>
        <w:tab/>
      </w:r>
      <w:r>
        <w:rPr>
          <w:rStyle w:val="14"/>
          <w:rFonts w:hint="eastAsia" w:eastAsia="楷体_GB2312"/>
          <w:kern w:val="0"/>
          <w:sz w:val="32"/>
          <w:szCs w:val="32"/>
        </w:rPr>
        <w:t>加强业务素质提升</w:t>
      </w:r>
      <w:r>
        <w:rPr>
          <w:sz w:val="32"/>
          <w:szCs w:val="32"/>
        </w:rPr>
        <w:tab/>
      </w:r>
      <w:r>
        <w:rPr>
          <w:sz w:val="32"/>
          <w:szCs w:val="32"/>
        </w:rPr>
        <w:fldChar w:fldCharType="begin"/>
      </w:r>
      <w:r>
        <w:rPr>
          <w:sz w:val="32"/>
          <w:szCs w:val="32"/>
        </w:rPr>
        <w:instrText xml:space="preserve"> PAGEREF _Toc218241121 \h </w:instrText>
      </w:r>
      <w:r>
        <w:rPr>
          <w:sz w:val="32"/>
          <w:szCs w:val="32"/>
        </w:rPr>
        <w:fldChar w:fldCharType="separate"/>
      </w:r>
      <w:r>
        <w:rPr>
          <w:sz w:val="32"/>
          <w:szCs w:val="32"/>
        </w:rPr>
        <w:t>68</w:t>
      </w:r>
      <w:r>
        <w:rPr>
          <w:sz w:val="32"/>
          <w:szCs w:val="32"/>
        </w:rPr>
        <w:fldChar w:fldCharType="end"/>
      </w:r>
      <w:r>
        <w:rPr>
          <w:sz w:val="32"/>
          <w:szCs w:val="32"/>
        </w:rPr>
        <w:fldChar w:fldCharType="end"/>
      </w:r>
    </w:p>
    <w:p w14:paraId="14DAB1ED">
      <w:pPr>
        <w:pStyle w:val="6"/>
        <w:tabs>
          <w:tab w:val="left" w:pos="2100"/>
          <w:tab w:val="right" w:leader="dot" w:pos="8296"/>
        </w:tabs>
        <w:rPr>
          <w:rFonts w:asciiTheme="minorHAnsi" w:hAnsiTheme="minorHAnsi" w:eastAsiaTheme="minorEastAsia" w:cstheme="minorBidi"/>
          <w:sz w:val="32"/>
          <w:szCs w:val="32"/>
        </w:rPr>
      </w:pPr>
      <w:r>
        <w:fldChar w:fldCharType="begin"/>
      </w:r>
      <w:r>
        <w:instrText xml:space="preserve"> HYPERLINK \l "_Toc218241122" </w:instrText>
      </w:r>
      <w:r>
        <w:fldChar w:fldCharType="separate"/>
      </w:r>
      <w:r>
        <w:rPr>
          <w:rStyle w:val="14"/>
          <w:rFonts w:hint="eastAsia" w:eastAsia="楷体_GB2312"/>
          <w:kern w:val="0"/>
          <w:sz w:val="32"/>
          <w:szCs w:val="32"/>
        </w:rPr>
        <w:t>第三节</w:t>
      </w:r>
      <w:r>
        <w:rPr>
          <w:rFonts w:asciiTheme="minorHAnsi" w:hAnsiTheme="minorHAnsi" w:eastAsiaTheme="minorEastAsia" w:cstheme="minorBidi"/>
          <w:sz w:val="32"/>
          <w:szCs w:val="32"/>
        </w:rPr>
        <w:tab/>
      </w:r>
      <w:r>
        <w:rPr>
          <w:rStyle w:val="14"/>
          <w:rFonts w:hint="eastAsia" w:eastAsia="楷体_GB2312"/>
          <w:kern w:val="0"/>
          <w:sz w:val="32"/>
          <w:szCs w:val="32"/>
        </w:rPr>
        <w:t>完善引育用留机制</w:t>
      </w:r>
      <w:r>
        <w:rPr>
          <w:sz w:val="32"/>
          <w:szCs w:val="32"/>
        </w:rPr>
        <w:tab/>
      </w:r>
      <w:r>
        <w:rPr>
          <w:sz w:val="32"/>
          <w:szCs w:val="32"/>
        </w:rPr>
        <w:fldChar w:fldCharType="begin"/>
      </w:r>
      <w:r>
        <w:rPr>
          <w:sz w:val="32"/>
          <w:szCs w:val="32"/>
        </w:rPr>
        <w:instrText xml:space="preserve"> PAGEREF _Toc218241122 \h </w:instrText>
      </w:r>
      <w:r>
        <w:rPr>
          <w:sz w:val="32"/>
          <w:szCs w:val="32"/>
        </w:rPr>
        <w:fldChar w:fldCharType="separate"/>
      </w:r>
      <w:r>
        <w:rPr>
          <w:sz w:val="32"/>
          <w:szCs w:val="32"/>
        </w:rPr>
        <w:t>68</w:t>
      </w:r>
      <w:r>
        <w:rPr>
          <w:sz w:val="32"/>
          <w:szCs w:val="32"/>
        </w:rPr>
        <w:fldChar w:fldCharType="end"/>
      </w:r>
      <w:r>
        <w:rPr>
          <w:sz w:val="32"/>
          <w:szCs w:val="32"/>
        </w:rPr>
        <w:fldChar w:fldCharType="end"/>
      </w:r>
    </w:p>
    <w:p w14:paraId="56ED102E">
      <w:pPr>
        <w:pStyle w:val="6"/>
        <w:tabs>
          <w:tab w:val="left" w:pos="2100"/>
          <w:tab w:val="right" w:leader="dot" w:pos="8296"/>
        </w:tabs>
        <w:rPr>
          <w:rFonts w:asciiTheme="minorHAnsi" w:hAnsiTheme="minorHAnsi" w:eastAsiaTheme="minorEastAsia" w:cstheme="minorBidi"/>
          <w:sz w:val="32"/>
          <w:szCs w:val="32"/>
        </w:rPr>
      </w:pPr>
      <w:r>
        <w:fldChar w:fldCharType="begin"/>
      </w:r>
      <w:r>
        <w:instrText xml:space="preserve"> HYPERLINK \l "_Toc218241123" </w:instrText>
      </w:r>
      <w:r>
        <w:fldChar w:fldCharType="separate"/>
      </w:r>
      <w:r>
        <w:rPr>
          <w:rStyle w:val="14"/>
          <w:rFonts w:hint="eastAsia" w:eastAsia="楷体_GB2312"/>
          <w:kern w:val="0"/>
          <w:sz w:val="32"/>
          <w:szCs w:val="32"/>
        </w:rPr>
        <w:t>第四节</w:t>
      </w:r>
      <w:r>
        <w:rPr>
          <w:rFonts w:asciiTheme="minorHAnsi" w:hAnsiTheme="minorHAnsi" w:eastAsiaTheme="minorEastAsia" w:cstheme="minorBidi"/>
          <w:sz w:val="32"/>
          <w:szCs w:val="32"/>
        </w:rPr>
        <w:tab/>
      </w:r>
      <w:r>
        <w:rPr>
          <w:rStyle w:val="14"/>
          <w:rFonts w:hint="eastAsia" w:eastAsia="楷体_GB2312"/>
          <w:kern w:val="0"/>
          <w:sz w:val="32"/>
          <w:szCs w:val="32"/>
        </w:rPr>
        <w:t>激活干事创业激情</w:t>
      </w:r>
      <w:r>
        <w:rPr>
          <w:sz w:val="32"/>
          <w:szCs w:val="32"/>
        </w:rPr>
        <w:tab/>
      </w:r>
      <w:r>
        <w:rPr>
          <w:sz w:val="32"/>
          <w:szCs w:val="32"/>
        </w:rPr>
        <w:fldChar w:fldCharType="begin"/>
      </w:r>
      <w:r>
        <w:rPr>
          <w:sz w:val="32"/>
          <w:szCs w:val="32"/>
        </w:rPr>
        <w:instrText xml:space="preserve"> PAGEREF _Toc218241123 \h </w:instrText>
      </w:r>
      <w:r>
        <w:rPr>
          <w:sz w:val="32"/>
          <w:szCs w:val="32"/>
        </w:rPr>
        <w:fldChar w:fldCharType="separate"/>
      </w:r>
      <w:r>
        <w:rPr>
          <w:sz w:val="32"/>
          <w:szCs w:val="32"/>
        </w:rPr>
        <w:t>69</w:t>
      </w:r>
      <w:r>
        <w:rPr>
          <w:sz w:val="32"/>
          <w:szCs w:val="32"/>
        </w:rPr>
        <w:fldChar w:fldCharType="end"/>
      </w:r>
      <w:r>
        <w:rPr>
          <w:sz w:val="32"/>
          <w:szCs w:val="32"/>
        </w:rPr>
        <w:fldChar w:fldCharType="end"/>
      </w:r>
    </w:p>
    <w:p w14:paraId="29DDF34E">
      <w:pPr>
        <w:pStyle w:val="8"/>
        <w:tabs>
          <w:tab w:val="right" w:leader="dot" w:pos="8296"/>
        </w:tabs>
        <w:rPr>
          <w:rFonts w:asciiTheme="minorHAnsi" w:hAnsiTheme="minorHAnsi" w:eastAsiaTheme="minorEastAsia" w:cstheme="minorBidi"/>
          <w:sz w:val="32"/>
          <w:szCs w:val="32"/>
        </w:rPr>
      </w:pPr>
      <w:r>
        <w:fldChar w:fldCharType="begin"/>
      </w:r>
      <w:r>
        <w:instrText xml:space="preserve"> HYPERLINK \l "_Toc218241124" </w:instrText>
      </w:r>
      <w:r>
        <w:fldChar w:fldCharType="separate"/>
      </w:r>
      <w:r>
        <w:rPr>
          <w:rStyle w:val="14"/>
          <w:rFonts w:hint="eastAsia" w:eastAsia="方正大标宋简体"/>
          <w:sz w:val="32"/>
          <w:szCs w:val="32"/>
        </w:rPr>
        <w:t>第八篇</w:t>
      </w:r>
      <w:r>
        <w:rPr>
          <w:rStyle w:val="14"/>
          <w:rFonts w:eastAsia="方正大标宋简体"/>
          <w:sz w:val="32"/>
          <w:szCs w:val="32"/>
        </w:rPr>
        <w:t xml:space="preserve">  </w:t>
      </w:r>
      <w:r>
        <w:rPr>
          <w:rStyle w:val="14"/>
          <w:rFonts w:hint="eastAsia" w:eastAsia="方正大标宋简体"/>
          <w:sz w:val="32"/>
          <w:szCs w:val="32"/>
        </w:rPr>
        <w:t>全龄友好</w:t>
      </w:r>
      <w:r>
        <w:rPr>
          <w:rStyle w:val="14"/>
          <w:rFonts w:eastAsia="方正大标宋简体"/>
          <w:sz w:val="32"/>
          <w:szCs w:val="32"/>
        </w:rPr>
        <w:t xml:space="preserve">  </w:t>
      </w:r>
      <w:r>
        <w:rPr>
          <w:rStyle w:val="14"/>
          <w:rFonts w:hint="eastAsia" w:eastAsia="方正大标宋简体"/>
          <w:sz w:val="32"/>
          <w:szCs w:val="32"/>
        </w:rPr>
        <w:t>打造共同富裕美好理塘</w:t>
      </w:r>
      <w:r>
        <w:rPr>
          <w:sz w:val="32"/>
          <w:szCs w:val="32"/>
        </w:rPr>
        <w:tab/>
      </w:r>
      <w:r>
        <w:rPr>
          <w:sz w:val="32"/>
          <w:szCs w:val="32"/>
        </w:rPr>
        <w:fldChar w:fldCharType="begin"/>
      </w:r>
      <w:r>
        <w:rPr>
          <w:sz w:val="32"/>
          <w:szCs w:val="32"/>
        </w:rPr>
        <w:instrText xml:space="preserve"> PAGEREF _Toc218241124 \h </w:instrText>
      </w:r>
      <w:r>
        <w:rPr>
          <w:sz w:val="32"/>
          <w:szCs w:val="32"/>
        </w:rPr>
        <w:fldChar w:fldCharType="separate"/>
      </w:r>
      <w:r>
        <w:rPr>
          <w:sz w:val="32"/>
          <w:szCs w:val="32"/>
        </w:rPr>
        <w:t>70</w:t>
      </w:r>
      <w:r>
        <w:rPr>
          <w:sz w:val="32"/>
          <w:szCs w:val="32"/>
        </w:rPr>
        <w:fldChar w:fldCharType="end"/>
      </w:r>
      <w:r>
        <w:rPr>
          <w:sz w:val="32"/>
          <w:szCs w:val="32"/>
        </w:rPr>
        <w:fldChar w:fldCharType="end"/>
      </w:r>
    </w:p>
    <w:p w14:paraId="08F1699D">
      <w:pPr>
        <w:pStyle w:val="9"/>
        <w:tabs>
          <w:tab w:val="right" w:leader="dot" w:pos="8296"/>
        </w:tabs>
        <w:rPr>
          <w:rFonts w:asciiTheme="minorHAnsi" w:hAnsiTheme="minorHAnsi" w:eastAsiaTheme="minorEastAsia" w:cstheme="minorBidi"/>
          <w:sz w:val="32"/>
          <w:szCs w:val="32"/>
        </w:rPr>
      </w:pPr>
      <w:r>
        <w:fldChar w:fldCharType="begin"/>
      </w:r>
      <w:r>
        <w:instrText xml:space="preserve"> HYPERLINK \l "_Toc218241125" </w:instrText>
      </w:r>
      <w:r>
        <w:fldChar w:fldCharType="separate"/>
      </w:r>
      <w:r>
        <w:rPr>
          <w:rStyle w:val="14"/>
          <w:rFonts w:hint="eastAsia" w:eastAsia="黑体"/>
          <w:bCs/>
          <w:kern w:val="0"/>
          <w:sz w:val="32"/>
          <w:szCs w:val="32"/>
        </w:rPr>
        <w:t>第二十二章</w:t>
      </w:r>
      <w:r>
        <w:rPr>
          <w:rStyle w:val="14"/>
          <w:rFonts w:eastAsia="黑体"/>
          <w:bCs/>
          <w:kern w:val="0"/>
          <w:sz w:val="32"/>
          <w:szCs w:val="32"/>
        </w:rPr>
        <w:t xml:space="preserve">  </w:t>
      </w:r>
      <w:r>
        <w:rPr>
          <w:rStyle w:val="14"/>
          <w:rFonts w:hint="eastAsia" w:eastAsia="黑体"/>
          <w:bCs/>
          <w:kern w:val="0"/>
          <w:sz w:val="32"/>
          <w:szCs w:val="32"/>
        </w:rPr>
        <w:t>促进高质量充分就业创业</w:t>
      </w:r>
      <w:r>
        <w:rPr>
          <w:sz w:val="32"/>
          <w:szCs w:val="32"/>
        </w:rPr>
        <w:tab/>
      </w:r>
      <w:r>
        <w:rPr>
          <w:sz w:val="32"/>
          <w:szCs w:val="32"/>
        </w:rPr>
        <w:fldChar w:fldCharType="begin"/>
      </w:r>
      <w:r>
        <w:rPr>
          <w:sz w:val="32"/>
          <w:szCs w:val="32"/>
        </w:rPr>
        <w:instrText xml:space="preserve"> PAGEREF _Toc218241125 \h </w:instrText>
      </w:r>
      <w:r>
        <w:rPr>
          <w:sz w:val="32"/>
          <w:szCs w:val="32"/>
        </w:rPr>
        <w:fldChar w:fldCharType="separate"/>
      </w:r>
      <w:r>
        <w:rPr>
          <w:sz w:val="32"/>
          <w:szCs w:val="32"/>
        </w:rPr>
        <w:t>70</w:t>
      </w:r>
      <w:r>
        <w:rPr>
          <w:sz w:val="32"/>
          <w:szCs w:val="32"/>
        </w:rPr>
        <w:fldChar w:fldCharType="end"/>
      </w:r>
      <w:r>
        <w:rPr>
          <w:sz w:val="32"/>
          <w:szCs w:val="32"/>
        </w:rPr>
        <w:fldChar w:fldCharType="end"/>
      </w:r>
    </w:p>
    <w:p w14:paraId="711AB867">
      <w:pPr>
        <w:pStyle w:val="6"/>
        <w:tabs>
          <w:tab w:val="left" w:pos="2100"/>
          <w:tab w:val="right" w:leader="dot" w:pos="8296"/>
        </w:tabs>
        <w:rPr>
          <w:rFonts w:asciiTheme="minorHAnsi" w:hAnsiTheme="minorHAnsi" w:eastAsiaTheme="minorEastAsia" w:cstheme="minorBidi"/>
          <w:sz w:val="32"/>
          <w:szCs w:val="32"/>
        </w:rPr>
      </w:pPr>
      <w:r>
        <w:fldChar w:fldCharType="begin"/>
      </w:r>
      <w:r>
        <w:instrText xml:space="preserve"> HYPERLINK \l "_Toc218241126" </w:instrText>
      </w:r>
      <w:r>
        <w:fldChar w:fldCharType="separate"/>
      </w:r>
      <w:r>
        <w:rPr>
          <w:rStyle w:val="14"/>
          <w:rFonts w:hint="eastAsia" w:eastAsia="楷体_GB2312"/>
          <w:kern w:val="0"/>
          <w:sz w:val="32"/>
          <w:szCs w:val="32"/>
        </w:rPr>
        <w:t>第一节</w:t>
      </w:r>
      <w:r>
        <w:rPr>
          <w:rFonts w:asciiTheme="minorHAnsi" w:hAnsiTheme="minorHAnsi" w:eastAsiaTheme="minorEastAsia" w:cstheme="minorBidi"/>
          <w:sz w:val="32"/>
          <w:szCs w:val="32"/>
        </w:rPr>
        <w:tab/>
      </w:r>
      <w:r>
        <w:rPr>
          <w:rStyle w:val="14"/>
          <w:rFonts w:hint="eastAsia" w:eastAsia="楷体_GB2312"/>
          <w:kern w:val="0"/>
          <w:sz w:val="32"/>
          <w:szCs w:val="32"/>
        </w:rPr>
        <w:t>完善就业创业公共服务体系</w:t>
      </w:r>
      <w:r>
        <w:rPr>
          <w:sz w:val="32"/>
          <w:szCs w:val="32"/>
        </w:rPr>
        <w:tab/>
      </w:r>
      <w:r>
        <w:rPr>
          <w:sz w:val="32"/>
          <w:szCs w:val="32"/>
        </w:rPr>
        <w:fldChar w:fldCharType="begin"/>
      </w:r>
      <w:r>
        <w:rPr>
          <w:sz w:val="32"/>
          <w:szCs w:val="32"/>
        </w:rPr>
        <w:instrText xml:space="preserve"> PAGEREF _Toc218241126 \h </w:instrText>
      </w:r>
      <w:r>
        <w:rPr>
          <w:sz w:val="32"/>
          <w:szCs w:val="32"/>
        </w:rPr>
        <w:fldChar w:fldCharType="separate"/>
      </w:r>
      <w:r>
        <w:rPr>
          <w:sz w:val="32"/>
          <w:szCs w:val="32"/>
        </w:rPr>
        <w:t>70</w:t>
      </w:r>
      <w:r>
        <w:rPr>
          <w:sz w:val="32"/>
          <w:szCs w:val="32"/>
        </w:rPr>
        <w:fldChar w:fldCharType="end"/>
      </w:r>
      <w:r>
        <w:rPr>
          <w:sz w:val="32"/>
          <w:szCs w:val="32"/>
        </w:rPr>
        <w:fldChar w:fldCharType="end"/>
      </w:r>
    </w:p>
    <w:p w14:paraId="5946A56F">
      <w:pPr>
        <w:pStyle w:val="6"/>
        <w:tabs>
          <w:tab w:val="left" w:pos="2100"/>
          <w:tab w:val="right" w:leader="dot" w:pos="8296"/>
        </w:tabs>
        <w:rPr>
          <w:rFonts w:asciiTheme="minorHAnsi" w:hAnsiTheme="minorHAnsi" w:eastAsiaTheme="minorEastAsia" w:cstheme="minorBidi"/>
          <w:sz w:val="32"/>
          <w:szCs w:val="32"/>
        </w:rPr>
      </w:pPr>
      <w:r>
        <w:fldChar w:fldCharType="begin"/>
      </w:r>
      <w:r>
        <w:instrText xml:space="preserve"> HYPERLINK \l "_Toc218241127" </w:instrText>
      </w:r>
      <w:r>
        <w:fldChar w:fldCharType="separate"/>
      </w:r>
      <w:r>
        <w:rPr>
          <w:rStyle w:val="14"/>
          <w:rFonts w:hint="eastAsia" w:eastAsia="楷体_GB2312"/>
          <w:kern w:val="0"/>
          <w:sz w:val="32"/>
          <w:szCs w:val="32"/>
        </w:rPr>
        <w:t>第二节</w:t>
      </w:r>
      <w:r>
        <w:rPr>
          <w:rFonts w:asciiTheme="minorHAnsi" w:hAnsiTheme="minorHAnsi" w:eastAsiaTheme="minorEastAsia" w:cstheme="minorBidi"/>
          <w:sz w:val="32"/>
          <w:szCs w:val="32"/>
        </w:rPr>
        <w:tab/>
      </w:r>
      <w:r>
        <w:rPr>
          <w:rStyle w:val="14"/>
          <w:rFonts w:hint="eastAsia" w:eastAsia="楷体_GB2312"/>
          <w:kern w:val="0"/>
          <w:sz w:val="32"/>
          <w:szCs w:val="32"/>
        </w:rPr>
        <w:t>保障重点群体就业</w:t>
      </w:r>
      <w:r>
        <w:rPr>
          <w:sz w:val="32"/>
          <w:szCs w:val="32"/>
        </w:rPr>
        <w:tab/>
      </w:r>
      <w:r>
        <w:rPr>
          <w:sz w:val="32"/>
          <w:szCs w:val="32"/>
        </w:rPr>
        <w:fldChar w:fldCharType="begin"/>
      </w:r>
      <w:r>
        <w:rPr>
          <w:sz w:val="32"/>
          <w:szCs w:val="32"/>
        </w:rPr>
        <w:instrText xml:space="preserve"> PAGEREF _Toc218241127 \h </w:instrText>
      </w:r>
      <w:r>
        <w:rPr>
          <w:sz w:val="32"/>
          <w:szCs w:val="32"/>
        </w:rPr>
        <w:fldChar w:fldCharType="separate"/>
      </w:r>
      <w:r>
        <w:rPr>
          <w:sz w:val="32"/>
          <w:szCs w:val="32"/>
        </w:rPr>
        <w:t>71</w:t>
      </w:r>
      <w:r>
        <w:rPr>
          <w:sz w:val="32"/>
          <w:szCs w:val="32"/>
        </w:rPr>
        <w:fldChar w:fldCharType="end"/>
      </w:r>
      <w:r>
        <w:rPr>
          <w:sz w:val="32"/>
          <w:szCs w:val="32"/>
        </w:rPr>
        <w:fldChar w:fldCharType="end"/>
      </w:r>
    </w:p>
    <w:p w14:paraId="3CD86FC0">
      <w:pPr>
        <w:pStyle w:val="6"/>
        <w:tabs>
          <w:tab w:val="left" w:pos="2100"/>
          <w:tab w:val="right" w:leader="dot" w:pos="8296"/>
        </w:tabs>
        <w:rPr>
          <w:rFonts w:asciiTheme="minorHAnsi" w:hAnsiTheme="minorHAnsi" w:eastAsiaTheme="minorEastAsia" w:cstheme="minorBidi"/>
          <w:sz w:val="32"/>
          <w:szCs w:val="32"/>
        </w:rPr>
      </w:pPr>
      <w:r>
        <w:fldChar w:fldCharType="begin"/>
      </w:r>
      <w:r>
        <w:instrText xml:space="preserve"> HYPERLINK \l "_Toc218241128" </w:instrText>
      </w:r>
      <w:r>
        <w:fldChar w:fldCharType="separate"/>
      </w:r>
      <w:r>
        <w:rPr>
          <w:rStyle w:val="14"/>
          <w:rFonts w:hint="eastAsia" w:eastAsia="楷体_GB2312"/>
          <w:kern w:val="0"/>
          <w:sz w:val="32"/>
          <w:szCs w:val="32"/>
        </w:rPr>
        <w:t>第三节</w:t>
      </w:r>
      <w:r>
        <w:rPr>
          <w:rFonts w:asciiTheme="minorHAnsi" w:hAnsiTheme="minorHAnsi" w:eastAsiaTheme="minorEastAsia" w:cstheme="minorBidi"/>
          <w:sz w:val="32"/>
          <w:szCs w:val="32"/>
        </w:rPr>
        <w:tab/>
      </w:r>
      <w:r>
        <w:rPr>
          <w:rStyle w:val="14"/>
          <w:rFonts w:hint="eastAsia" w:eastAsia="楷体_GB2312"/>
          <w:kern w:val="0"/>
          <w:sz w:val="32"/>
          <w:szCs w:val="32"/>
        </w:rPr>
        <w:t>全力促进居民增收</w:t>
      </w:r>
      <w:r>
        <w:rPr>
          <w:sz w:val="32"/>
          <w:szCs w:val="32"/>
        </w:rPr>
        <w:tab/>
      </w:r>
      <w:r>
        <w:rPr>
          <w:sz w:val="32"/>
          <w:szCs w:val="32"/>
        </w:rPr>
        <w:fldChar w:fldCharType="begin"/>
      </w:r>
      <w:r>
        <w:rPr>
          <w:sz w:val="32"/>
          <w:szCs w:val="32"/>
        </w:rPr>
        <w:instrText xml:space="preserve"> PAGEREF _Toc218241128 \h </w:instrText>
      </w:r>
      <w:r>
        <w:rPr>
          <w:sz w:val="32"/>
          <w:szCs w:val="32"/>
        </w:rPr>
        <w:fldChar w:fldCharType="separate"/>
      </w:r>
      <w:r>
        <w:rPr>
          <w:sz w:val="32"/>
          <w:szCs w:val="32"/>
        </w:rPr>
        <w:t>71</w:t>
      </w:r>
      <w:r>
        <w:rPr>
          <w:sz w:val="32"/>
          <w:szCs w:val="32"/>
        </w:rPr>
        <w:fldChar w:fldCharType="end"/>
      </w:r>
      <w:r>
        <w:rPr>
          <w:sz w:val="32"/>
          <w:szCs w:val="32"/>
        </w:rPr>
        <w:fldChar w:fldCharType="end"/>
      </w:r>
    </w:p>
    <w:p w14:paraId="00223686">
      <w:pPr>
        <w:pStyle w:val="9"/>
        <w:tabs>
          <w:tab w:val="right" w:leader="dot" w:pos="8296"/>
        </w:tabs>
        <w:rPr>
          <w:rFonts w:asciiTheme="minorHAnsi" w:hAnsiTheme="minorHAnsi" w:eastAsiaTheme="minorEastAsia" w:cstheme="minorBidi"/>
          <w:sz w:val="32"/>
          <w:szCs w:val="32"/>
        </w:rPr>
      </w:pPr>
      <w:r>
        <w:fldChar w:fldCharType="begin"/>
      </w:r>
      <w:r>
        <w:instrText xml:space="preserve"> HYPERLINK \l "_Toc218241129" </w:instrText>
      </w:r>
      <w:r>
        <w:fldChar w:fldCharType="separate"/>
      </w:r>
      <w:r>
        <w:rPr>
          <w:rStyle w:val="14"/>
          <w:rFonts w:hint="eastAsia" w:eastAsia="黑体"/>
          <w:bCs/>
          <w:kern w:val="0"/>
          <w:sz w:val="32"/>
          <w:szCs w:val="32"/>
        </w:rPr>
        <w:t>第二十三章</w:t>
      </w:r>
      <w:r>
        <w:rPr>
          <w:rStyle w:val="14"/>
          <w:rFonts w:eastAsia="黑体"/>
          <w:bCs/>
          <w:kern w:val="0"/>
          <w:sz w:val="32"/>
          <w:szCs w:val="32"/>
        </w:rPr>
        <w:t xml:space="preserve">  </w:t>
      </w:r>
      <w:r>
        <w:rPr>
          <w:rStyle w:val="14"/>
          <w:rFonts w:hint="eastAsia" w:eastAsia="黑体"/>
          <w:bCs/>
          <w:kern w:val="0"/>
          <w:sz w:val="32"/>
          <w:szCs w:val="32"/>
        </w:rPr>
        <w:t>办好人民满意教育</w:t>
      </w:r>
      <w:r>
        <w:rPr>
          <w:sz w:val="32"/>
          <w:szCs w:val="32"/>
        </w:rPr>
        <w:tab/>
      </w:r>
      <w:r>
        <w:rPr>
          <w:sz w:val="32"/>
          <w:szCs w:val="32"/>
        </w:rPr>
        <w:fldChar w:fldCharType="begin"/>
      </w:r>
      <w:r>
        <w:rPr>
          <w:sz w:val="32"/>
          <w:szCs w:val="32"/>
        </w:rPr>
        <w:instrText xml:space="preserve"> PAGEREF _Toc218241129 \h </w:instrText>
      </w:r>
      <w:r>
        <w:rPr>
          <w:sz w:val="32"/>
          <w:szCs w:val="32"/>
        </w:rPr>
        <w:fldChar w:fldCharType="separate"/>
      </w:r>
      <w:r>
        <w:rPr>
          <w:sz w:val="32"/>
          <w:szCs w:val="32"/>
        </w:rPr>
        <w:t>72</w:t>
      </w:r>
      <w:r>
        <w:rPr>
          <w:sz w:val="32"/>
          <w:szCs w:val="32"/>
        </w:rPr>
        <w:fldChar w:fldCharType="end"/>
      </w:r>
      <w:r>
        <w:rPr>
          <w:sz w:val="32"/>
          <w:szCs w:val="32"/>
        </w:rPr>
        <w:fldChar w:fldCharType="end"/>
      </w:r>
    </w:p>
    <w:p w14:paraId="3C65F6BD">
      <w:pPr>
        <w:pStyle w:val="6"/>
        <w:tabs>
          <w:tab w:val="left" w:pos="2100"/>
          <w:tab w:val="right" w:leader="dot" w:pos="8296"/>
        </w:tabs>
        <w:rPr>
          <w:rFonts w:asciiTheme="minorHAnsi" w:hAnsiTheme="minorHAnsi" w:eastAsiaTheme="minorEastAsia" w:cstheme="minorBidi"/>
          <w:sz w:val="32"/>
          <w:szCs w:val="32"/>
        </w:rPr>
      </w:pPr>
      <w:r>
        <w:fldChar w:fldCharType="begin"/>
      </w:r>
      <w:r>
        <w:instrText xml:space="preserve"> HYPERLINK \l "_Toc218241130" </w:instrText>
      </w:r>
      <w:r>
        <w:fldChar w:fldCharType="separate"/>
      </w:r>
      <w:r>
        <w:rPr>
          <w:rStyle w:val="14"/>
          <w:rFonts w:hint="eastAsia" w:eastAsia="楷体_GB2312"/>
          <w:kern w:val="0"/>
          <w:sz w:val="32"/>
          <w:szCs w:val="32"/>
        </w:rPr>
        <w:t>第一节</w:t>
      </w:r>
      <w:r>
        <w:rPr>
          <w:rFonts w:asciiTheme="minorHAnsi" w:hAnsiTheme="minorHAnsi" w:eastAsiaTheme="minorEastAsia" w:cstheme="minorBidi"/>
          <w:sz w:val="32"/>
          <w:szCs w:val="32"/>
        </w:rPr>
        <w:tab/>
      </w:r>
      <w:r>
        <w:rPr>
          <w:rStyle w:val="14"/>
          <w:rFonts w:hint="eastAsia" w:eastAsia="楷体_GB2312"/>
          <w:kern w:val="0"/>
          <w:sz w:val="32"/>
          <w:szCs w:val="32"/>
        </w:rPr>
        <w:t>优化教育资源配置</w:t>
      </w:r>
      <w:r>
        <w:rPr>
          <w:sz w:val="32"/>
          <w:szCs w:val="32"/>
        </w:rPr>
        <w:tab/>
      </w:r>
      <w:r>
        <w:rPr>
          <w:sz w:val="32"/>
          <w:szCs w:val="32"/>
        </w:rPr>
        <w:fldChar w:fldCharType="begin"/>
      </w:r>
      <w:r>
        <w:rPr>
          <w:sz w:val="32"/>
          <w:szCs w:val="32"/>
        </w:rPr>
        <w:instrText xml:space="preserve"> PAGEREF _Toc218241130 \h </w:instrText>
      </w:r>
      <w:r>
        <w:rPr>
          <w:sz w:val="32"/>
          <w:szCs w:val="32"/>
        </w:rPr>
        <w:fldChar w:fldCharType="separate"/>
      </w:r>
      <w:r>
        <w:rPr>
          <w:sz w:val="32"/>
          <w:szCs w:val="32"/>
        </w:rPr>
        <w:t>72</w:t>
      </w:r>
      <w:r>
        <w:rPr>
          <w:sz w:val="32"/>
          <w:szCs w:val="32"/>
        </w:rPr>
        <w:fldChar w:fldCharType="end"/>
      </w:r>
      <w:r>
        <w:rPr>
          <w:sz w:val="32"/>
          <w:szCs w:val="32"/>
        </w:rPr>
        <w:fldChar w:fldCharType="end"/>
      </w:r>
    </w:p>
    <w:p w14:paraId="7C746585">
      <w:pPr>
        <w:pStyle w:val="6"/>
        <w:tabs>
          <w:tab w:val="left" w:pos="2100"/>
          <w:tab w:val="right" w:leader="dot" w:pos="8296"/>
        </w:tabs>
        <w:rPr>
          <w:rFonts w:asciiTheme="minorHAnsi" w:hAnsiTheme="minorHAnsi" w:eastAsiaTheme="minorEastAsia" w:cstheme="minorBidi"/>
          <w:sz w:val="32"/>
          <w:szCs w:val="32"/>
        </w:rPr>
      </w:pPr>
      <w:r>
        <w:fldChar w:fldCharType="begin"/>
      </w:r>
      <w:r>
        <w:instrText xml:space="preserve"> HYPERLINK \l "_Toc218241131" </w:instrText>
      </w:r>
      <w:r>
        <w:fldChar w:fldCharType="separate"/>
      </w:r>
      <w:r>
        <w:rPr>
          <w:rStyle w:val="14"/>
          <w:rFonts w:hint="eastAsia" w:eastAsia="楷体_GB2312"/>
          <w:kern w:val="0"/>
          <w:sz w:val="32"/>
          <w:szCs w:val="32"/>
        </w:rPr>
        <w:t>第二节</w:t>
      </w:r>
      <w:r>
        <w:rPr>
          <w:rFonts w:asciiTheme="minorHAnsi" w:hAnsiTheme="minorHAnsi" w:eastAsiaTheme="minorEastAsia" w:cstheme="minorBidi"/>
          <w:sz w:val="32"/>
          <w:szCs w:val="32"/>
        </w:rPr>
        <w:tab/>
      </w:r>
      <w:r>
        <w:rPr>
          <w:rStyle w:val="14"/>
          <w:rFonts w:hint="eastAsia" w:eastAsia="楷体_GB2312"/>
          <w:kern w:val="0"/>
          <w:sz w:val="32"/>
          <w:szCs w:val="32"/>
        </w:rPr>
        <w:t>全面改善办学条件</w:t>
      </w:r>
      <w:r>
        <w:rPr>
          <w:sz w:val="32"/>
          <w:szCs w:val="32"/>
        </w:rPr>
        <w:tab/>
      </w:r>
      <w:r>
        <w:rPr>
          <w:sz w:val="32"/>
          <w:szCs w:val="32"/>
        </w:rPr>
        <w:fldChar w:fldCharType="begin"/>
      </w:r>
      <w:r>
        <w:rPr>
          <w:sz w:val="32"/>
          <w:szCs w:val="32"/>
        </w:rPr>
        <w:instrText xml:space="preserve"> PAGEREF _Toc218241131 \h </w:instrText>
      </w:r>
      <w:r>
        <w:rPr>
          <w:sz w:val="32"/>
          <w:szCs w:val="32"/>
        </w:rPr>
        <w:fldChar w:fldCharType="separate"/>
      </w:r>
      <w:r>
        <w:rPr>
          <w:sz w:val="32"/>
          <w:szCs w:val="32"/>
        </w:rPr>
        <w:t>73</w:t>
      </w:r>
      <w:r>
        <w:rPr>
          <w:sz w:val="32"/>
          <w:szCs w:val="32"/>
        </w:rPr>
        <w:fldChar w:fldCharType="end"/>
      </w:r>
      <w:r>
        <w:rPr>
          <w:sz w:val="32"/>
          <w:szCs w:val="32"/>
        </w:rPr>
        <w:fldChar w:fldCharType="end"/>
      </w:r>
    </w:p>
    <w:p w14:paraId="51CCB35F">
      <w:pPr>
        <w:pStyle w:val="6"/>
        <w:tabs>
          <w:tab w:val="left" w:pos="2100"/>
          <w:tab w:val="right" w:leader="dot" w:pos="8296"/>
        </w:tabs>
        <w:rPr>
          <w:rFonts w:asciiTheme="minorHAnsi" w:hAnsiTheme="minorHAnsi" w:eastAsiaTheme="minorEastAsia" w:cstheme="minorBidi"/>
          <w:sz w:val="32"/>
          <w:szCs w:val="32"/>
        </w:rPr>
      </w:pPr>
      <w:r>
        <w:fldChar w:fldCharType="begin"/>
      </w:r>
      <w:r>
        <w:instrText xml:space="preserve"> HYPERLINK \l "_Toc218241132" </w:instrText>
      </w:r>
      <w:r>
        <w:fldChar w:fldCharType="separate"/>
      </w:r>
      <w:r>
        <w:rPr>
          <w:rStyle w:val="14"/>
          <w:rFonts w:hint="eastAsia" w:eastAsia="楷体_GB2312"/>
          <w:kern w:val="0"/>
          <w:sz w:val="32"/>
          <w:szCs w:val="32"/>
        </w:rPr>
        <w:t>第三节</w:t>
      </w:r>
      <w:r>
        <w:rPr>
          <w:rFonts w:asciiTheme="minorHAnsi" w:hAnsiTheme="minorHAnsi" w:eastAsiaTheme="minorEastAsia" w:cstheme="minorBidi"/>
          <w:sz w:val="32"/>
          <w:szCs w:val="32"/>
        </w:rPr>
        <w:tab/>
      </w:r>
      <w:r>
        <w:rPr>
          <w:rStyle w:val="14"/>
          <w:rFonts w:hint="eastAsia" w:eastAsia="楷体_GB2312"/>
          <w:kern w:val="0"/>
          <w:sz w:val="32"/>
          <w:szCs w:val="32"/>
        </w:rPr>
        <w:t>全面推进强师提能</w:t>
      </w:r>
      <w:r>
        <w:rPr>
          <w:sz w:val="32"/>
          <w:szCs w:val="32"/>
        </w:rPr>
        <w:tab/>
      </w:r>
      <w:r>
        <w:rPr>
          <w:sz w:val="32"/>
          <w:szCs w:val="32"/>
        </w:rPr>
        <w:fldChar w:fldCharType="begin"/>
      </w:r>
      <w:r>
        <w:rPr>
          <w:sz w:val="32"/>
          <w:szCs w:val="32"/>
        </w:rPr>
        <w:instrText xml:space="preserve"> PAGEREF _Toc218241132 \h </w:instrText>
      </w:r>
      <w:r>
        <w:rPr>
          <w:sz w:val="32"/>
          <w:szCs w:val="32"/>
        </w:rPr>
        <w:fldChar w:fldCharType="separate"/>
      </w:r>
      <w:r>
        <w:rPr>
          <w:sz w:val="32"/>
          <w:szCs w:val="32"/>
        </w:rPr>
        <w:t>73</w:t>
      </w:r>
      <w:r>
        <w:rPr>
          <w:sz w:val="32"/>
          <w:szCs w:val="32"/>
        </w:rPr>
        <w:fldChar w:fldCharType="end"/>
      </w:r>
      <w:r>
        <w:rPr>
          <w:sz w:val="32"/>
          <w:szCs w:val="32"/>
        </w:rPr>
        <w:fldChar w:fldCharType="end"/>
      </w:r>
    </w:p>
    <w:p w14:paraId="431BCCB0">
      <w:pPr>
        <w:pStyle w:val="6"/>
        <w:tabs>
          <w:tab w:val="left" w:pos="2100"/>
          <w:tab w:val="right" w:leader="dot" w:pos="8296"/>
        </w:tabs>
        <w:rPr>
          <w:rFonts w:asciiTheme="minorHAnsi" w:hAnsiTheme="minorHAnsi" w:eastAsiaTheme="minorEastAsia" w:cstheme="minorBidi"/>
          <w:sz w:val="32"/>
          <w:szCs w:val="32"/>
        </w:rPr>
      </w:pPr>
      <w:r>
        <w:fldChar w:fldCharType="begin"/>
      </w:r>
      <w:r>
        <w:instrText xml:space="preserve"> HYPERLINK \l "_Toc218241133" </w:instrText>
      </w:r>
      <w:r>
        <w:fldChar w:fldCharType="separate"/>
      </w:r>
      <w:r>
        <w:rPr>
          <w:rStyle w:val="14"/>
          <w:rFonts w:hint="eastAsia" w:eastAsia="楷体_GB2312"/>
          <w:kern w:val="0"/>
          <w:sz w:val="32"/>
          <w:szCs w:val="32"/>
        </w:rPr>
        <w:t>第四节</w:t>
      </w:r>
      <w:r>
        <w:rPr>
          <w:rFonts w:asciiTheme="minorHAnsi" w:hAnsiTheme="minorHAnsi" w:eastAsiaTheme="minorEastAsia" w:cstheme="minorBidi"/>
          <w:sz w:val="32"/>
          <w:szCs w:val="32"/>
        </w:rPr>
        <w:tab/>
      </w:r>
      <w:r>
        <w:rPr>
          <w:rStyle w:val="14"/>
          <w:rFonts w:hint="eastAsia" w:eastAsia="楷体_GB2312"/>
          <w:kern w:val="0"/>
          <w:sz w:val="32"/>
          <w:szCs w:val="32"/>
        </w:rPr>
        <w:t>全面促进提质培优</w:t>
      </w:r>
      <w:r>
        <w:rPr>
          <w:sz w:val="32"/>
          <w:szCs w:val="32"/>
        </w:rPr>
        <w:tab/>
      </w:r>
      <w:r>
        <w:rPr>
          <w:sz w:val="32"/>
          <w:szCs w:val="32"/>
        </w:rPr>
        <w:fldChar w:fldCharType="begin"/>
      </w:r>
      <w:r>
        <w:rPr>
          <w:sz w:val="32"/>
          <w:szCs w:val="32"/>
        </w:rPr>
        <w:instrText xml:space="preserve"> PAGEREF _Toc218241133 \h </w:instrText>
      </w:r>
      <w:r>
        <w:rPr>
          <w:sz w:val="32"/>
          <w:szCs w:val="32"/>
        </w:rPr>
        <w:fldChar w:fldCharType="separate"/>
      </w:r>
      <w:r>
        <w:rPr>
          <w:sz w:val="32"/>
          <w:szCs w:val="32"/>
        </w:rPr>
        <w:t>74</w:t>
      </w:r>
      <w:r>
        <w:rPr>
          <w:sz w:val="32"/>
          <w:szCs w:val="32"/>
        </w:rPr>
        <w:fldChar w:fldCharType="end"/>
      </w:r>
      <w:r>
        <w:rPr>
          <w:sz w:val="32"/>
          <w:szCs w:val="32"/>
        </w:rPr>
        <w:fldChar w:fldCharType="end"/>
      </w:r>
    </w:p>
    <w:p w14:paraId="0F3CDF6B">
      <w:pPr>
        <w:pStyle w:val="6"/>
        <w:tabs>
          <w:tab w:val="left" w:pos="2100"/>
          <w:tab w:val="right" w:leader="dot" w:pos="8296"/>
        </w:tabs>
        <w:rPr>
          <w:rFonts w:asciiTheme="minorHAnsi" w:hAnsiTheme="minorHAnsi" w:eastAsiaTheme="minorEastAsia" w:cstheme="minorBidi"/>
          <w:sz w:val="32"/>
          <w:szCs w:val="32"/>
        </w:rPr>
      </w:pPr>
      <w:r>
        <w:fldChar w:fldCharType="begin"/>
      </w:r>
      <w:r>
        <w:instrText xml:space="preserve"> HYPERLINK \l "_Toc218241134" </w:instrText>
      </w:r>
      <w:r>
        <w:fldChar w:fldCharType="separate"/>
      </w:r>
      <w:r>
        <w:rPr>
          <w:rStyle w:val="14"/>
          <w:rFonts w:hint="eastAsia" w:eastAsia="楷体_GB2312"/>
          <w:kern w:val="0"/>
          <w:sz w:val="32"/>
          <w:szCs w:val="32"/>
        </w:rPr>
        <w:t>第五节</w:t>
      </w:r>
      <w:r>
        <w:rPr>
          <w:rFonts w:asciiTheme="minorHAnsi" w:hAnsiTheme="minorHAnsi" w:eastAsiaTheme="minorEastAsia" w:cstheme="minorBidi"/>
          <w:sz w:val="32"/>
          <w:szCs w:val="32"/>
        </w:rPr>
        <w:tab/>
      </w:r>
      <w:r>
        <w:rPr>
          <w:rStyle w:val="14"/>
          <w:rFonts w:hint="eastAsia" w:eastAsia="楷体_GB2312"/>
          <w:kern w:val="0"/>
          <w:sz w:val="32"/>
          <w:szCs w:val="32"/>
        </w:rPr>
        <w:t>全面建设书香型社会</w:t>
      </w:r>
      <w:r>
        <w:rPr>
          <w:sz w:val="32"/>
          <w:szCs w:val="32"/>
        </w:rPr>
        <w:tab/>
      </w:r>
      <w:r>
        <w:rPr>
          <w:sz w:val="32"/>
          <w:szCs w:val="32"/>
        </w:rPr>
        <w:fldChar w:fldCharType="begin"/>
      </w:r>
      <w:r>
        <w:rPr>
          <w:sz w:val="32"/>
          <w:szCs w:val="32"/>
        </w:rPr>
        <w:instrText xml:space="preserve"> PAGEREF _Toc218241134 \h </w:instrText>
      </w:r>
      <w:r>
        <w:rPr>
          <w:sz w:val="32"/>
          <w:szCs w:val="32"/>
        </w:rPr>
        <w:fldChar w:fldCharType="separate"/>
      </w:r>
      <w:r>
        <w:rPr>
          <w:sz w:val="32"/>
          <w:szCs w:val="32"/>
        </w:rPr>
        <w:t>74</w:t>
      </w:r>
      <w:r>
        <w:rPr>
          <w:sz w:val="32"/>
          <w:szCs w:val="32"/>
        </w:rPr>
        <w:fldChar w:fldCharType="end"/>
      </w:r>
      <w:r>
        <w:rPr>
          <w:sz w:val="32"/>
          <w:szCs w:val="32"/>
        </w:rPr>
        <w:fldChar w:fldCharType="end"/>
      </w:r>
    </w:p>
    <w:p w14:paraId="75528F75">
      <w:pPr>
        <w:pStyle w:val="9"/>
        <w:tabs>
          <w:tab w:val="right" w:leader="dot" w:pos="8296"/>
        </w:tabs>
        <w:rPr>
          <w:rFonts w:asciiTheme="minorHAnsi" w:hAnsiTheme="minorHAnsi" w:eastAsiaTheme="minorEastAsia" w:cstheme="minorBidi"/>
          <w:sz w:val="32"/>
          <w:szCs w:val="32"/>
        </w:rPr>
      </w:pPr>
      <w:r>
        <w:fldChar w:fldCharType="begin"/>
      </w:r>
      <w:r>
        <w:instrText xml:space="preserve"> HYPERLINK \l "_Toc218241135" </w:instrText>
      </w:r>
      <w:r>
        <w:fldChar w:fldCharType="separate"/>
      </w:r>
      <w:r>
        <w:rPr>
          <w:rStyle w:val="14"/>
          <w:rFonts w:hint="eastAsia" w:eastAsia="黑体"/>
          <w:bCs/>
          <w:kern w:val="0"/>
          <w:sz w:val="32"/>
          <w:szCs w:val="32"/>
        </w:rPr>
        <w:t>第二十四章</w:t>
      </w:r>
      <w:r>
        <w:rPr>
          <w:rStyle w:val="14"/>
          <w:rFonts w:eastAsia="黑体"/>
          <w:bCs/>
          <w:kern w:val="0"/>
          <w:sz w:val="32"/>
          <w:szCs w:val="32"/>
        </w:rPr>
        <w:t xml:space="preserve">  </w:t>
      </w:r>
      <w:r>
        <w:rPr>
          <w:rStyle w:val="14"/>
          <w:rFonts w:hint="eastAsia" w:eastAsia="黑体"/>
          <w:bCs/>
          <w:kern w:val="0"/>
          <w:sz w:val="32"/>
          <w:szCs w:val="32"/>
        </w:rPr>
        <w:t>打造州域副中心（康南）医疗中心</w:t>
      </w:r>
      <w:r>
        <w:rPr>
          <w:sz w:val="32"/>
          <w:szCs w:val="32"/>
        </w:rPr>
        <w:tab/>
      </w:r>
      <w:r>
        <w:rPr>
          <w:sz w:val="32"/>
          <w:szCs w:val="32"/>
        </w:rPr>
        <w:fldChar w:fldCharType="begin"/>
      </w:r>
      <w:r>
        <w:rPr>
          <w:sz w:val="32"/>
          <w:szCs w:val="32"/>
        </w:rPr>
        <w:instrText xml:space="preserve"> PAGEREF _Toc218241135 \h </w:instrText>
      </w:r>
      <w:r>
        <w:rPr>
          <w:sz w:val="32"/>
          <w:szCs w:val="32"/>
        </w:rPr>
        <w:fldChar w:fldCharType="separate"/>
      </w:r>
      <w:r>
        <w:rPr>
          <w:sz w:val="32"/>
          <w:szCs w:val="32"/>
        </w:rPr>
        <w:t>75</w:t>
      </w:r>
      <w:r>
        <w:rPr>
          <w:sz w:val="32"/>
          <w:szCs w:val="32"/>
        </w:rPr>
        <w:fldChar w:fldCharType="end"/>
      </w:r>
      <w:r>
        <w:rPr>
          <w:sz w:val="32"/>
          <w:szCs w:val="32"/>
        </w:rPr>
        <w:fldChar w:fldCharType="end"/>
      </w:r>
    </w:p>
    <w:p w14:paraId="399DA8EF">
      <w:pPr>
        <w:pStyle w:val="6"/>
        <w:tabs>
          <w:tab w:val="left" w:pos="2100"/>
          <w:tab w:val="right" w:leader="dot" w:pos="8296"/>
        </w:tabs>
        <w:rPr>
          <w:rFonts w:asciiTheme="minorHAnsi" w:hAnsiTheme="minorHAnsi" w:eastAsiaTheme="minorEastAsia" w:cstheme="minorBidi"/>
          <w:sz w:val="32"/>
          <w:szCs w:val="32"/>
        </w:rPr>
      </w:pPr>
      <w:r>
        <w:fldChar w:fldCharType="begin"/>
      </w:r>
      <w:r>
        <w:instrText xml:space="preserve"> HYPERLINK \l "_Toc218241136" </w:instrText>
      </w:r>
      <w:r>
        <w:fldChar w:fldCharType="separate"/>
      </w:r>
      <w:r>
        <w:rPr>
          <w:rStyle w:val="14"/>
          <w:rFonts w:hint="eastAsia" w:eastAsia="楷体_GB2312"/>
          <w:kern w:val="0"/>
          <w:sz w:val="32"/>
          <w:szCs w:val="32"/>
        </w:rPr>
        <w:t>第一节</w:t>
      </w:r>
      <w:r>
        <w:rPr>
          <w:rFonts w:asciiTheme="minorHAnsi" w:hAnsiTheme="minorHAnsi" w:eastAsiaTheme="minorEastAsia" w:cstheme="minorBidi"/>
          <w:sz w:val="32"/>
          <w:szCs w:val="32"/>
        </w:rPr>
        <w:tab/>
      </w:r>
      <w:r>
        <w:rPr>
          <w:rStyle w:val="14"/>
          <w:rFonts w:hint="eastAsia" w:eastAsia="楷体_GB2312"/>
          <w:kern w:val="0"/>
          <w:sz w:val="32"/>
          <w:szCs w:val="32"/>
        </w:rPr>
        <w:t>重塑医疗卫生服务体系</w:t>
      </w:r>
      <w:r>
        <w:rPr>
          <w:sz w:val="32"/>
          <w:szCs w:val="32"/>
        </w:rPr>
        <w:tab/>
      </w:r>
      <w:r>
        <w:rPr>
          <w:sz w:val="32"/>
          <w:szCs w:val="32"/>
        </w:rPr>
        <w:fldChar w:fldCharType="begin"/>
      </w:r>
      <w:r>
        <w:rPr>
          <w:sz w:val="32"/>
          <w:szCs w:val="32"/>
        </w:rPr>
        <w:instrText xml:space="preserve"> PAGEREF _Toc218241136 \h </w:instrText>
      </w:r>
      <w:r>
        <w:rPr>
          <w:sz w:val="32"/>
          <w:szCs w:val="32"/>
        </w:rPr>
        <w:fldChar w:fldCharType="separate"/>
      </w:r>
      <w:r>
        <w:rPr>
          <w:sz w:val="32"/>
          <w:szCs w:val="32"/>
        </w:rPr>
        <w:t>75</w:t>
      </w:r>
      <w:r>
        <w:rPr>
          <w:sz w:val="32"/>
          <w:szCs w:val="32"/>
        </w:rPr>
        <w:fldChar w:fldCharType="end"/>
      </w:r>
      <w:r>
        <w:rPr>
          <w:sz w:val="32"/>
          <w:szCs w:val="32"/>
        </w:rPr>
        <w:fldChar w:fldCharType="end"/>
      </w:r>
    </w:p>
    <w:p w14:paraId="241D481C">
      <w:pPr>
        <w:pStyle w:val="6"/>
        <w:tabs>
          <w:tab w:val="left" w:pos="2100"/>
          <w:tab w:val="right" w:leader="dot" w:pos="8296"/>
        </w:tabs>
        <w:rPr>
          <w:rFonts w:asciiTheme="minorHAnsi" w:hAnsiTheme="minorHAnsi" w:eastAsiaTheme="minorEastAsia" w:cstheme="minorBidi"/>
          <w:sz w:val="32"/>
          <w:szCs w:val="32"/>
        </w:rPr>
      </w:pPr>
      <w:r>
        <w:fldChar w:fldCharType="begin"/>
      </w:r>
      <w:r>
        <w:instrText xml:space="preserve"> HYPERLINK \l "_Toc218241137" </w:instrText>
      </w:r>
      <w:r>
        <w:fldChar w:fldCharType="separate"/>
      </w:r>
      <w:r>
        <w:rPr>
          <w:rStyle w:val="14"/>
          <w:rFonts w:hint="eastAsia" w:eastAsia="楷体_GB2312"/>
          <w:kern w:val="0"/>
          <w:sz w:val="32"/>
          <w:szCs w:val="32"/>
        </w:rPr>
        <w:t>第二节</w:t>
      </w:r>
      <w:r>
        <w:rPr>
          <w:rFonts w:asciiTheme="minorHAnsi" w:hAnsiTheme="minorHAnsi" w:eastAsiaTheme="minorEastAsia" w:cstheme="minorBidi"/>
          <w:sz w:val="32"/>
          <w:szCs w:val="32"/>
        </w:rPr>
        <w:tab/>
      </w:r>
      <w:r>
        <w:rPr>
          <w:rStyle w:val="14"/>
          <w:rFonts w:hint="eastAsia" w:eastAsia="楷体_GB2312"/>
          <w:kern w:val="0"/>
          <w:sz w:val="32"/>
          <w:szCs w:val="32"/>
        </w:rPr>
        <w:t>加快精准高效学科建设</w:t>
      </w:r>
      <w:r>
        <w:rPr>
          <w:sz w:val="32"/>
          <w:szCs w:val="32"/>
        </w:rPr>
        <w:tab/>
      </w:r>
      <w:r>
        <w:rPr>
          <w:sz w:val="32"/>
          <w:szCs w:val="32"/>
        </w:rPr>
        <w:fldChar w:fldCharType="begin"/>
      </w:r>
      <w:r>
        <w:rPr>
          <w:sz w:val="32"/>
          <w:szCs w:val="32"/>
        </w:rPr>
        <w:instrText xml:space="preserve"> PAGEREF _Toc218241137 \h </w:instrText>
      </w:r>
      <w:r>
        <w:rPr>
          <w:sz w:val="32"/>
          <w:szCs w:val="32"/>
        </w:rPr>
        <w:fldChar w:fldCharType="separate"/>
      </w:r>
      <w:r>
        <w:rPr>
          <w:sz w:val="32"/>
          <w:szCs w:val="32"/>
        </w:rPr>
        <w:t>76</w:t>
      </w:r>
      <w:r>
        <w:rPr>
          <w:sz w:val="32"/>
          <w:szCs w:val="32"/>
        </w:rPr>
        <w:fldChar w:fldCharType="end"/>
      </w:r>
      <w:r>
        <w:rPr>
          <w:sz w:val="32"/>
          <w:szCs w:val="32"/>
        </w:rPr>
        <w:fldChar w:fldCharType="end"/>
      </w:r>
    </w:p>
    <w:p w14:paraId="29FBB415">
      <w:pPr>
        <w:pStyle w:val="6"/>
        <w:tabs>
          <w:tab w:val="left" w:pos="2100"/>
          <w:tab w:val="right" w:leader="dot" w:pos="8296"/>
        </w:tabs>
        <w:rPr>
          <w:rFonts w:asciiTheme="minorHAnsi" w:hAnsiTheme="minorHAnsi" w:eastAsiaTheme="minorEastAsia" w:cstheme="minorBidi"/>
          <w:sz w:val="32"/>
          <w:szCs w:val="32"/>
        </w:rPr>
      </w:pPr>
      <w:r>
        <w:fldChar w:fldCharType="begin"/>
      </w:r>
      <w:r>
        <w:instrText xml:space="preserve"> HYPERLINK \l "_Toc218241138" </w:instrText>
      </w:r>
      <w:r>
        <w:fldChar w:fldCharType="separate"/>
      </w:r>
      <w:r>
        <w:rPr>
          <w:rStyle w:val="14"/>
          <w:rFonts w:hint="eastAsia" w:eastAsia="楷体_GB2312"/>
          <w:kern w:val="0"/>
          <w:sz w:val="32"/>
          <w:szCs w:val="32"/>
        </w:rPr>
        <w:t>第三节</w:t>
      </w:r>
      <w:r>
        <w:rPr>
          <w:rFonts w:asciiTheme="minorHAnsi" w:hAnsiTheme="minorHAnsi" w:eastAsiaTheme="minorEastAsia" w:cstheme="minorBidi"/>
          <w:sz w:val="32"/>
          <w:szCs w:val="32"/>
        </w:rPr>
        <w:tab/>
      </w:r>
      <w:r>
        <w:rPr>
          <w:rStyle w:val="14"/>
          <w:rFonts w:hint="eastAsia" w:eastAsia="楷体_GB2312"/>
          <w:kern w:val="0"/>
          <w:sz w:val="32"/>
          <w:szCs w:val="32"/>
        </w:rPr>
        <w:t>提升公共卫生服务水平</w:t>
      </w:r>
      <w:r>
        <w:rPr>
          <w:sz w:val="32"/>
          <w:szCs w:val="32"/>
        </w:rPr>
        <w:tab/>
      </w:r>
      <w:r>
        <w:rPr>
          <w:sz w:val="32"/>
          <w:szCs w:val="32"/>
        </w:rPr>
        <w:fldChar w:fldCharType="begin"/>
      </w:r>
      <w:r>
        <w:rPr>
          <w:sz w:val="32"/>
          <w:szCs w:val="32"/>
        </w:rPr>
        <w:instrText xml:space="preserve"> PAGEREF _Toc218241138 \h </w:instrText>
      </w:r>
      <w:r>
        <w:rPr>
          <w:sz w:val="32"/>
          <w:szCs w:val="32"/>
        </w:rPr>
        <w:fldChar w:fldCharType="separate"/>
      </w:r>
      <w:r>
        <w:rPr>
          <w:sz w:val="32"/>
          <w:szCs w:val="32"/>
        </w:rPr>
        <w:t>76</w:t>
      </w:r>
      <w:r>
        <w:rPr>
          <w:sz w:val="32"/>
          <w:szCs w:val="32"/>
        </w:rPr>
        <w:fldChar w:fldCharType="end"/>
      </w:r>
      <w:r>
        <w:rPr>
          <w:sz w:val="32"/>
          <w:szCs w:val="32"/>
        </w:rPr>
        <w:fldChar w:fldCharType="end"/>
      </w:r>
    </w:p>
    <w:p w14:paraId="1B94D732">
      <w:pPr>
        <w:pStyle w:val="6"/>
        <w:tabs>
          <w:tab w:val="left" w:pos="2100"/>
          <w:tab w:val="right" w:leader="dot" w:pos="8296"/>
        </w:tabs>
        <w:rPr>
          <w:rFonts w:asciiTheme="minorHAnsi" w:hAnsiTheme="minorHAnsi" w:eastAsiaTheme="minorEastAsia" w:cstheme="minorBidi"/>
          <w:sz w:val="32"/>
          <w:szCs w:val="32"/>
        </w:rPr>
      </w:pPr>
      <w:r>
        <w:fldChar w:fldCharType="begin"/>
      </w:r>
      <w:r>
        <w:instrText xml:space="preserve"> HYPERLINK \l "_Toc218241139" </w:instrText>
      </w:r>
      <w:r>
        <w:fldChar w:fldCharType="separate"/>
      </w:r>
      <w:r>
        <w:rPr>
          <w:rStyle w:val="14"/>
          <w:rFonts w:hint="eastAsia" w:eastAsia="楷体_GB2312"/>
          <w:kern w:val="0"/>
          <w:sz w:val="32"/>
          <w:szCs w:val="32"/>
        </w:rPr>
        <w:t>第四节</w:t>
      </w:r>
      <w:r>
        <w:rPr>
          <w:rFonts w:asciiTheme="minorHAnsi" w:hAnsiTheme="minorHAnsi" w:eastAsiaTheme="minorEastAsia" w:cstheme="minorBidi"/>
          <w:sz w:val="32"/>
          <w:szCs w:val="32"/>
        </w:rPr>
        <w:tab/>
      </w:r>
      <w:r>
        <w:rPr>
          <w:rStyle w:val="14"/>
          <w:rFonts w:hint="eastAsia" w:eastAsia="楷体_GB2312"/>
          <w:kern w:val="0"/>
          <w:sz w:val="32"/>
          <w:szCs w:val="32"/>
        </w:rPr>
        <w:t>推动中藏医药传承创新发展</w:t>
      </w:r>
      <w:r>
        <w:rPr>
          <w:sz w:val="32"/>
          <w:szCs w:val="32"/>
        </w:rPr>
        <w:tab/>
      </w:r>
      <w:r>
        <w:rPr>
          <w:sz w:val="32"/>
          <w:szCs w:val="32"/>
        </w:rPr>
        <w:fldChar w:fldCharType="begin"/>
      </w:r>
      <w:r>
        <w:rPr>
          <w:sz w:val="32"/>
          <w:szCs w:val="32"/>
        </w:rPr>
        <w:instrText xml:space="preserve"> PAGEREF _Toc218241139 \h </w:instrText>
      </w:r>
      <w:r>
        <w:rPr>
          <w:sz w:val="32"/>
          <w:szCs w:val="32"/>
        </w:rPr>
        <w:fldChar w:fldCharType="separate"/>
      </w:r>
      <w:r>
        <w:rPr>
          <w:sz w:val="32"/>
          <w:szCs w:val="32"/>
        </w:rPr>
        <w:t>76</w:t>
      </w:r>
      <w:r>
        <w:rPr>
          <w:sz w:val="32"/>
          <w:szCs w:val="32"/>
        </w:rPr>
        <w:fldChar w:fldCharType="end"/>
      </w:r>
      <w:r>
        <w:rPr>
          <w:sz w:val="32"/>
          <w:szCs w:val="32"/>
        </w:rPr>
        <w:fldChar w:fldCharType="end"/>
      </w:r>
    </w:p>
    <w:p w14:paraId="5169E79E">
      <w:pPr>
        <w:pStyle w:val="6"/>
        <w:tabs>
          <w:tab w:val="left" w:pos="2100"/>
          <w:tab w:val="right" w:leader="dot" w:pos="8296"/>
        </w:tabs>
        <w:rPr>
          <w:rFonts w:asciiTheme="minorHAnsi" w:hAnsiTheme="minorHAnsi" w:eastAsiaTheme="minorEastAsia" w:cstheme="minorBidi"/>
          <w:sz w:val="32"/>
          <w:szCs w:val="32"/>
        </w:rPr>
      </w:pPr>
      <w:r>
        <w:fldChar w:fldCharType="begin"/>
      </w:r>
      <w:r>
        <w:instrText xml:space="preserve"> HYPERLINK \l "_Toc218241140" </w:instrText>
      </w:r>
      <w:r>
        <w:fldChar w:fldCharType="separate"/>
      </w:r>
      <w:r>
        <w:rPr>
          <w:rStyle w:val="14"/>
          <w:rFonts w:hint="eastAsia" w:eastAsia="楷体_GB2312"/>
          <w:kern w:val="0"/>
          <w:sz w:val="32"/>
          <w:szCs w:val="32"/>
        </w:rPr>
        <w:t>第五节</w:t>
      </w:r>
      <w:r>
        <w:rPr>
          <w:rFonts w:asciiTheme="minorHAnsi" w:hAnsiTheme="minorHAnsi" w:eastAsiaTheme="minorEastAsia" w:cstheme="minorBidi"/>
          <w:sz w:val="32"/>
          <w:szCs w:val="32"/>
        </w:rPr>
        <w:tab/>
      </w:r>
      <w:r>
        <w:rPr>
          <w:rStyle w:val="14"/>
          <w:rFonts w:hint="eastAsia" w:eastAsia="楷体_GB2312"/>
          <w:kern w:val="0"/>
          <w:sz w:val="32"/>
          <w:szCs w:val="32"/>
        </w:rPr>
        <w:t>全力提高居民健康水平</w:t>
      </w:r>
      <w:r>
        <w:rPr>
          <w:sz w:val="32"/>
          <w:szCs w:val="32"/>
        </w:rPr>
        <w:tab/>
      </w:r>
      <w:r>
        <w:rPr>
          <w:sz w:val="32"/>
          <w:szCs w:val="32"/>
        </w:rPr>
        <w:fldChar w:fldCharType="begin"/>
      </w:r>
      <w:r>
        <w:rPr>
          <w:sz w:val="32"/>
          <w:szCs w:val="32"/>
        </w:rPr>
        <w:instrText xml:space="preserve"> PAGEREF _Toc218241140 \h </w:instrText>
      </w:r>
      <w:r>
        <w:rPr>
          <w:sz w:val="32"/>
          <w:szCs w:val="32"/>
        </w:rPr>
        <w:fldChar w:fldCharType="separate"/>
      </w:r>
      <w:r>
        <w:rPr>
          <w:sz w:val="32"/>
          <w:szCs w:val="32"/>
        </w:rPr>
        <w:t>77</w:t>
      </w:r>
      <w:r>
        <w:rPr>
          <w:sz w:val="32"/>
          <w:szCs w:val="32"/>
        </w:rPr>
        <w:fldChar w:fldCharType="end"/>
      </w:r>
      <w:r>
        <w:rPr>
          <w:sz w:val="32"/>
          <w:szCs w:val="32"/>
        </w:rPr>
        <w:fldChar w:fldCharType="end"/>
      </w:r>
    </w:p>
    <w:p w14:paraId="70F0A5EA">
      <w:pPr>
        <w:pStyle w:val="6"/>
        <w:tabs>
          <w:tab w:val="left" w:pos="2100"/>
          <w:tab w:val="right" w:leader="dot" w:pos="8296"/>
        </w:tabs>
        <w:rPr>
          <w:rFonts w:asciiTheme="minorHAnsi" w:hAnsiTheme="minorHAnsi" w:eastAsiaTheme="minorEastAsia" w:cstheme="minorBidi"/>
          <w:sz w:val="32"/>
          <w:szCs w:val="32"/>
        </w:rPr>
      </w:pPr>
      <w:r>
        <w:fldChar w:fldCharType="begin"/>
      </w:r>
      <w:r>
        <w:instrText xml:space="preserve"> HYPERLINK \l "_Toc218241141" </w:instrText>
      </w:r>
      <w:r>
        <w:fldChar w:fldCharType="separate"/>
      </w:r>
      <w:r>
        <w:rPr>
          <w:rStyle w:val="14"/>
          <w:rFonts w:hint="eastAsia" w:eastAsia="楷体_GB2312"/>
          <w:kern w:val="0"/>
          <w:sz w:val="32"/>
          <w:szCs w:val="32"/>
        </w:rPr>
        <w:t>第六节</w:t>
      </w:r>
      <w:r>
        <w:rPr>
          <w:rFonts w:asciiTheme="minorHAnsi" w:hAnsiTheme="minorHAnsi" w:eastAsiaTheme="minorEastAsia" w:cstheme="minorBidi"/>
          <w:sz w:val="32"/>
          <w:szCs w:val="32"/>
        </w:rPr>
        <w:tab/>
      </w:r>
      <w:r>
        <w:rPr>
          <w:rStyle w:val="14"/>
          <w:rFonts w:hint="eastAsia" w:eastAsia="楷体_GB2312"/>
          <w:kern w:val="0"/>
          <w:sz w:val="32"/>
          <w:szCs w:val="32"/>
        </w:rPr>
        <w:t>扎实推进医康养协同发展</w:t>
      </w:r>
      <w:r>
        <w:rPr>
          <w:sz w:val="32"/>
          <w:szCs w:val="32"/>
        </w:rPr>
        <w:tab/>
      </w:r>
      <w:r>
        <w:rPr>
          <w:sz w:val="32"/>
          <w:szCs w:val="32"/>
        </w:rPr>
        <w:fldChar w:fldCharType="begin"/>
      </w:r>
      <w:r>
        <w:rPr>
          <w:sz w:val="32"/>
          <w:szCs w:val="32"/>
        </w:rPr>
        <w:instrText xml:space="preserve"> PAGEREF _Toc218241141 \h </w:instrText>
      </w:r>
      <w:r>
        <w:rPr>
          <w:sz w:val="32"/>
          <w:szCs w:val="32"/>
        </w:rPr>
        <w:fldChar w:fldCharType="separate"/>
      </w:r>
      <w:r>
        <w:rPr>
          <w:sz w:val="32"/>
          <w:szCs w:val="32"/>
        </w:rPr>
        <w:t>77</w:t>
      </w:r>
      <w:r>
        <w:rPr>
          <w:sz w:val="32"/>
          <w:szCs w:val="32"/>
        </w:rPr>
        <w:fldChar w:fldCharType="end"/>
      </w:r>
      <w:r>
        <w:rPr>
          <w:sz w:val="32"/>
          <w:szCs w:val="32"/>
        </w:rPr>
        <w:fldChar w:fldCharType="end"/>
      </w:r>
    </w:p>
    <w:p w14:paraId="74C26ADB">
      <w:pPr>
        <w:pStyle w:val="9"/>
        <w:tabs>
          <w:tab w:val="right" w:leader="dot" w:pos="8296"/>
        </w:tabs>
        <w:rPr>
          <w:rFonts w:asciiTheme="minorHAnsi" w:hAnsiTheme="minorHAnsi" w:eastAsiaTheme="minorEastAsia" w:cstheme="minorBidi"/>
          <w:sz w:val="32"/>
          <w:szCs w:val="32"/>
        </w:rPr>
      </w:pPr>
      <w:r>
        <w:fldChar w:fldCharType="begin"/>
      </w:r>
      <w:r>
        <w:instrText xml:space="preserve"> HYPERLINK \l "_Toc218241142" </w:instrText>
      </w:r>
      <w:r>
        <w:fldChar w:fldCharType="separate"/>
      </w:r>
      <w:r>
        <w:rPr>
          <w:rStyle w:val="14"/>
          <w:rFonts w:hint="eastAsia" w:eastAsia="黑体"/>
          <w:bCs/>
          <w:kern w:val="0"/>
          <w:sz w:val="32"/>
          <w:szCs w:val="32"/>
        </w:rPr>
        <w:t>第二十五章</w:t>
      </w:r>
      <w:r>
        <w:rPr>
          <w:rStyle w:val="14"/>
          <w:rFonts w:eastAsia="黑体"/>
          <w:bCs/>
          <w:kern w:val="0"/>
          <w:sz w:val="32"/>
          <w:szCs w:val="32"/>
        </w:rPr>
        <w:t xml:space="preserve">  </w:t>
      </w:r>
      <w:r>
        <w:rPr>
          <w:rStyle w:val="14"/>
          <w:rFonts w:hint="eastAsia" w:eastAsia="黑体"/>
          <w:bCs/>
          <w:kern w:val="0"/>
          <w:sz w:val="32"/>
          <w:szCs w:val="32"/>
        </w:rPr>
        <w:t>织密扎牢社会保障网络</w:t>
      </w:r>
      <w:r>
        <w:rPr>
          <w:sz w:val="32"/>
          <w:szCs w:val="32"/>
        </w:rPr>
        <w:tab/>
      </w:r>
      <w:r>
        <w:rPr>
          <w:sz w:val="32"/>
          <w:szCs w:val="32"/>
        </w:rPr>
        <w:fldChar w:fldCharType="begin"/>
      </w:r>
      <w:r>
        <w:rPr>
          <w:sz w:val="32"/>
          <w:szCs w:val="32"/>
        </w:rPr>
        <w:instrText xml:space="preserve"> PAGEREF _Toc218241142 \h </w:instrText>
      </w:r>
      <w:r>
        <w:rPr>
          <w:sz w:val="32"/>
          <w:szCs w:val="32"/>
        </w:rPr>
        <w:fldChar w:fldCharType="separate"/>
      </w:r>
      <w:r>
        <w:rPr>
          <w:sz w:val="32"/>
          <w:szCs w:val="32"/>
        </w:rPr>
        <w:t>78</w:t>
      </w:r>
      <w:r>
        <w:rPr>
          <w:sz w:val="32"/>
          <w:szCs w:val="32"/>
        </w:rPr>
        <w:fldChar w:fldCharType="end"/>
      </w:r>
      <w:r>
        <w:rPr>
          <w:sz w:val="32"/>
          <w:szCs w:val="32"/>
        </w:rPr>
        <w:fldChar w:fldCharType="end"/>
      </w:r>
    </w:p>
    <w:p w14:paraId="089D6457">
      <w:pPr>
        <w:pStyle w:val="6"/>
        <w:tabs>
          <w:tab w:val="left" w:pos="2100"/>
          <w:tab w:val="right" w:leader="dot" w:pos="8296"/>
        </w:tabs>
        <w:rPr>
          <w:rFonts w:asciiTheme="minorHAnsi" w:hAnsiTheme="minorHAnsi" w:eastAsiaTheme="minorEastAsia" w:cstheme="minorBidi"/>
          <w:sz w:val="32"/>
          <w:szCs w:val="32"/>
        </w:rPr>
      </w:pPr>
      <w:r>
        <w:fldChar w:fldCharType="begin"/>
      </w:r>
      <w:r>
        <w:instrText xml:space="preserve"> HYPERLINK \l "_Toc218241143" </w:instrText>
      </w:r>
      <w:r>
        <w:fldChar w:fldCharType="separate"/>
      </w:r>
      <w:r>
        <w:rPr>
          <w:rStyle w:val="14"/>
          <w:rFonts w:hint="eastAsia" w:eastAsia="楷体_GB2312"/>
          <w:kern w:val="0"/>
          <w:sz w:val="32"/>
          <w:szCs w:val="32"/>
        </w:rPr>
        <w:t>第一节</w:t>
      </w:r>
      <w:r>
        <w:rPr>
          <w:rFonts w:asciiTheme="minorHAnsi" w:hAnsiTheme="minorHAnsi" w:eastAsiaTheme="minorEastAsia" w:cstheme="minorBidi"/>
          <w:sz w:val="32"/>
          <w:szCs w:val="32"/>
        </w:rPr>
        <w:tab/>
      </w:r>
      <w:r>
        <w:rPr>
          <w:rStyle w:val="14"/>
          <w:rFonts w:hint="eastAsia" w:eastAsia="楷体_GB2312"/>
          <w:kern w:val="0"/>
          <w:sz w:val="32"/>
          <w:szCs w:val="32"/>
        </w:rPr>
        <w:t>健全社会保险体系</w:t>
      </w:r>
      <w:r>
        <w:rPr>
          <w:sz w:val="32"/>
          <w:szCs w:val="32"/>
        </w:rPr>
        <w:tab/>
      </w:r>
      <w:r>
        <w:rPr>
          <w:sz w:val="32"/>
          <w:szCs w:val="32"/>
        </w:rPr>
        <w:fldChar w:fldCharType="begin"/>
      </w:r>
      <w:r>
        <w:rPr>
          <w:sz w:val="32"/>
          <w:szCs w:val="32"/>
        </w:rPr>
        <w:instrText xml:space="preserve"> PAGEREF _Toc218241143 \h </w:instrText>
      </w:r>
      <w:r>
        <w:rPr>
          <w:sz w:val="32"/>
          <w:szCs w:val="32"/>
        </w:rPr>
        <w:fldChar w:fldCharType="separate"/>
      </w:r>
      <w:r>
        <w:rPr>
          <w:sz w:val="32"/>
          <w:szCs w:val="32"/>
        </w:rPr>
        <w:t>78</w:t>
      </w:r>
      <w:r>
        <w:rPr>
          <w:sz w:val="32"/>
          <w:szCs w:val="32"/>
        </w:rPr>
        <w:fldChar w:fldCharType="end"/>
      </w:r>
      <w:r>
        <w:rPr>
          <w:sz w:val="32"/>
          <w:szCs w:val="32"/>
        </w:rPr>
        <w:fldChar w:fldCharType="end"/>
      </w:r>
    </w:p>
    <w:p w14:paraId="1BA589AC">
      <w:pPr>
        <w:pStyle w:val="6"/>
        <w:tabs>
          <w:tab w:val="left" w:pos="2100"/>
          <w:tab w:val="right" w:leader="dot" w:pos="8296"/>
        </w:tabs>
        <w:rPr>
          <w:rFonts w:asciiTheme="minorHAnsi" w:hAnsiTheme="minorHAnsi" w:eastAsiaTheme="minorEastAsia" w:cstheme="minorBidi"/>
          <w:sz w:val="32"/>
          <w:szCs w:val="32"/>
        </w:rPr>
      </w:pPr>
      <w:r>
        <w:fldChar w:fldCharType="begin"/>
      </w:r>
      <w:r>
        <w:instrText xml:space="preserve"> HYPERLINK \l "_Toc218241144" </w:instrText>
      </w:r>
      <w:r>
        <w:fldChar w:fldCharType="separate"/>
      </w:r>
      <w:r>
        <w:rPr>
          <w:rStyle w:val="14"/>
          <w:rFonts w:hint="eastAsia" w:eastAsia="楷体_GB2312"/>
          <w:kern w:val="0"/>
          <w:sz w:val="32"/>
          <w:szCs w:val="32"/>
        </w:rPr>
        <w:t>第二节</w:t>
      </w:r>
      <w:r>
        <w:rPr>
          <w:rFonts w:asciiTheme="minorHAnsi" w:hAnsiTheme="minorHAnsi" w:eastAsiaTheme="minorEastAsia" w:cstheme="minorBidi"/>
          <w:sz w:val="32"/>
          <w:szCs w:val="32"/>
        </w:rPr>
        <w:tab/>
      </w:r>
      <w:r>
        <w:rPr>
          <w:rStyle w:val="14"/>
          <w:rFonts w:hint="eastAsia" w:eastAsia="楷体_GB2312"/>
          <w:kern w:val="0"/>
          <w:sz w:val="32"/>
          <w:szCs w:val="32"/>
        </w:rPr>
        <w:t>优化社会救助体系</w:t>
      </w:r>
      <w:r>
        <w:rPr>
          <w:sz w:val="32"/>
          <w:szCs w:val="32"/>
        </w:rPr>
        <w:tab/>
      </w:r>
      <w:r>
        <w:rPr>
          <w:sz w:val="32"/>
          <w:szCs w:val="32"/>
        </w:rPr>
        <w:fldChar w:fldCharType="begin"/>
      </w:r>
      <w:r>
        <w:rPr>
          <w:sz w:val="32"/>
          <w:szCs w:val="32"/>
        </w:rPr>
        <w:instrText xml:space="preserve"> PAGEREF _Toc218241144 \h </w:instrText>
      </w:r>
      <w:r>
        <w:rPr>
          <w:sz w:val="32"/>
          <w:szCs w:val="32"/>
        </w:rPr>
        <w:fldChar w:fldCharType="separate"/>
      </w:r>
      <w:r>
        <w:rPr>
          <w:sz w:val="32"/>
          <w:szCs w:val="32"/>
        </w:rPr>
        <w:t>79</w:t>
      </w:r>
      <w:r>
        <w:rPr>
          <w:sz w:val="32"/>
          <w:szCs w:val="32"/>
        </w:rPr>
        <w:fldChar w:fldCharType="end"/>
      </w:r>
      <w:r>
        <w:rPr>
          <w:sz w:val="32"/>
          <w:szCs w:val="32"/>
        </w:rPr>
        <w:fldChar w:fldCharType="end"/>
      </w:r>
    </w:p>
    <w:p w14:paraId="0B8B082B">
      <w:pPr>
        <w:pStyle w:val="6"/>
        <w:tabs>
          <w:tab w:val="left" w:pos="2100"/>
          <w:tab w:val="right" w:leader="dot" w:pos="8296"/>
        </w:tabs>
        <w:rPr>
          <w:rFonts w:asciiTheme="minorHAnsi" w:hAnsiTheme="minorHAnsi" w:eastAsiaTheme="minorEastAsia" w:cstheme="minorBidi"/>
          <w:sz w:val="32"/>
          <w:szCs w:val="32"/>
        </w:rPr>
      </w:pPr>
      <w:r>
        <w:fldChar w:fldCharType="begin"/>
      </w:r>
      <w:r>
        <w:instrText xml:space="preserve"> HYPERLINK \l "_Toc218241145" </w:instrText>
      </w:r>
      <w:r>
        <w:fldChar w:fldCharType="separate"/>
      </w:r>
      <w:r>
        <w:rPr>
          <w:rStyle w:val="14"/>
          <w:rFonts w:hint="eastAsia" w:eastAsia="楷体_GB2312"/>
          <w:kern w:val="0"/>
          <w:sz w:val="32"/>
          <w:szCs w:val="32"/>
        </w:rPr>
        <w:t>第三节</w:t>
      </w:r>
      <w:r>
        <w:rPr>
          <w:rFonts w:asciiTheme="minorHAnsi" w:hAnsiTheme="minorHAnsi" w:eastAsiaTheme="minorEastAsia" w:cstheme="minorBidi"/>
          <w:sz w:val="32"/>
          <w:szCs w:val="32"/>
        </w:rPr>
        <w:tab/>
      </w:r>
      <w:r>
        <w:rPr>
          <w:rStyle w:val="14"/>
          <w:rFonts w:hint="eastAsia" w:eastAsia="楷体_GB2312"/>
          <w:kern w:val="0"/>
          <w:sz w:val="32"/>
          <w:szCs w:val="32"/>
        </w:rPr>
        <w:t>完善社会福利体系</w:t>
      </w:r>
      <w:r>
        <w:rPr>
          <w:sz w:val="32"/>
          <w:szCs w:val="32"/>
        </w:rPr>
        <w:tab/>
      </w:r>
      <w:r>
        <w:rPr>
          <w:sz w:val="32"/>
          <w:szCs w:val="32"/>
        </w:rPr>
        <w:fldChar w:fldCharType="begin"/>
      </w:r>
      <w:r>
        <w:rPr>
          <w:sz w:val="32"/>
          <w:szCs w:val="32"/>
        </w:rPr>
        <w:instrText xml:space="preserve"> PAGEREF _Toc218241145 \h </w:instrText>
      </w:r>
      <w:r>
        <w:rPr>
          <w:sz w:val="32"/>
          <w:szCs w:val="32"/>
        </w:rPr>
        <w:fldChar w:fldCharType="separate"/>
      </w:r>
      <w:r>
        <w:rPr>
          <w:sz w:val="32"/>
          <w:szCs w:val="32"/>
        </w:rPr>
        <w:t>79</w:t>
      </w:r>
      <w:r>
        <w:rPr>
          <w:sz w:val="32"/>
          <w:szCs w:val="32"/>
        </w:rPr>
        <w:fldChar w:fldCharType="end"/>
      </w:r>
      <w:r>
        <w:rPr>
          <w:sz w:val="32"/>
          <w:szCs w:val="32"/>
        </w:rPr>
        <w:fldChar w:fldCharType="end"/>
      </w:r>
    </w:p>
    <w:p w14:paraId="02922D66">
      <w:pPr>
        <w:pStyle w:val="6"/>
        <w:tabs>
          <w:tab w:val="left" w:pos="2100"/>
          <w:tab w:val="right" w:leader="dot" w:pos="8296"/>
        </w:tabs>
        <w:rPr>
          <w:rFonts w:asciiTheme="minorHAnsi" w:hAnsiTheme="minorHAnsi" w:eastAsiaTheme="minorEastAsia" w:cstheme="minorBidi"/>
          <w:sz w:val="32"/>
          <w:szCs w:val="32"/>
        </w:rPr>
      </w:pPr>
      <w:r>
        <w:fldChar w:fldCharType="begin"/>
      </w:r>
      <w:r>
        <w:instrText xml:space="preserve"> HYPERLINK \l "_Toc218241146" </w:instrText>
      </w:r>
      <w:r>
        <w:fldChar w:fldCharType="separate"/>
      </w:r>
      <w:r>
        <w:rPr>
          <w:rStyle w:val="14"/>
          <w:rFonts w:hint="eastAsia" w:eastAsia="楷体_GB2312"/>
          <w:kern w:val="0"/>
          <w:sz w:val="32"/>
          <w:szCs w:val="32"/>
        </w:rPr>
        <w:t>第四节</w:t>
      </w:r>
      <w:r>
        <w:rPr>
          <w:rFonts w:asciiTheme="minorHAnsi" w:hAnsiTheme="minorHAnsi" w:eastAsiaTheme="minorEastAsia" w:cstheme="minorBidi"/>
          <w:sz w:val="32"/>
          <w:szCs w:val="32"/>
        </w:rPr>
        <w:tab/>
      </w:r>
      <w:r>
        <w:rPr>
          <w:rStyle w:val="14"/>
          <w:rFonts w:hint="eastAsia" w:eastAsia="楷体_GB2312"/>
          <w:kern w:val="0"/>
          <w:sz w:val="32"/>
          <w:szCs w:val="32"/>
        </w:rPr>
        <w:t>关心关爱重点人群发展</w:t>
      </w:r>
      <w:r>
        <w:rPr>
          <w:sz w:val="32"/>
          <w:szCs w:val="32"/>
        </w:rPr>
        <w:tab/>
      </w:r>
      <w:r>
        <w:rPr>
          <w:sz w:val="32"/>
          <w:szCs w:val="32"/>
        </w:rPr>
        <w:fldChar w:fldCharType="begin"/>
      </w:r>
      <w:r>
        <w:rPr>
          <w:sz w:val="32"/>
          <w:szCs w:val="32"/>
        </w:rPr>
        <w:instrText xml:space="preserve"> PAGEREF _Toc218241146 \h </w:instrText>
      </w:r>
      <w:r>
        <w:rPr>
          <w:sz w:val="32"/>
          <w:szCs w:val="32"/>
        </w:rPr>
        <w:fldChar w:fldCharType="separate"/>
      </w:r>
      <w:r>
        <w:rPr>
          <w:sz w:val="32"/>
          <w:szCs w:val="32"/>
        </w:rPr>
        <w:t>79</w:t>
      </w:r>
      <w:r>
        <w:rPr>
          <w:sz w:val="32"/>
          <w:szCs w:val="32"/>
        </w:rPr>
        <w:fldChar w:fldCharType="end"/>
      </w:r>
      <w:r>
        <w:rPr>
          <w:sz w:val="32"/>
          <w:szCs w:val="32"/>
        </w:rPr>
        <w:fldChar w:fldCharType="end"/>
      </w:r>
    </w:p>
    <w:p w14:paraId="1DB53348">
      <w:pPr>
        <w:pStyle w:val="9"/>
        <w:tabs>
          <w:tab w:val="right" w:leader="dot" w:pos="8296"/>
        </w:tabs>
        <w:rPr>
          <w:rFonts w:asciiTheme="minorHAnsi" w:hAnsiTheme="minorHAnsi" w:eastAsiaTheme="minorEastAsia" w:cstheme="minorBidi"/>
          <w:sz w:val="32"/>
          <w:szCs w:val="32"/>
        </w:rPr>
      </w:pPr>
      <w:r>
        <w:fldChar w:fldCharType="begin"/>
      </w:r>
      <w:r>
        <w:instrText xml:space="preserve"> HYPERLINK \l "_Toc218241147" </w:instrText>
      </w:r>
      <w:r>
        <w:fldChar w:fldCharType="separate"/>
      </w:r>
      <w:r>
        <w:rPr>
          <w:rStyle w:val="14"/>
          <w:rFonts w:hint="eastAsia" w:eastAsia="黑体"/>
          <w:bCs/>
          <w:kern w:val="0"/>
          <w:sz w:val="32"/>
          <w:szCs w:val="32"/>
        </w:rPr>
        <w:t>第二十六章</w:t>
      </w:r>
      <w:r>
        <w:rPr>
          <w:rStyle w:val="14"/>
          <w:rFonts w:eastAsia="黑体"/>
          <w:bCs/>
          <w:kern w:val="0"/>
          <w:sz w:val="32"/>
          <w:szCs w:val="32"/>
        </w:rPr>
        <w:t xml:space="preserve">  </w:t>
      </w:r>
      <w:r>
        <w:rPr>
          <w:rStyle w:val="14"/>
          <w:rFonts w:hint="eastAsia" w:eastAsia="黑体"/>
          <w:bCs/>
          <w:kern w:val="0"/>
          <w:sz w:val="32"/>
          <w:szCs w:val="32"/>
        </w:rPr>
        <w:t>强化“一老一小”服务</w:t>
      </w:r>
      <w:r>
        <w:rPr>
          <w:sz w:val="32"/>
          <w:szCs w:val="32"/>
        </w:rPr>
        <w:tab/>
      </w:r>
      <w:r>
        <w:rPr>
          <w:sz w:val="32"/>
          <w:szCs w:val="32"/>
        </w:rPr>
        <w:fldChar w:fldCharType="begin"/>
      </w:r>
      <w:r>
        <w:rPr>
          <w:sz w:val="32"/>
          <w:szCs w:val="32"/>
        </w:rPr>
        <w:instrText xml:space="preserve"> PAGEREF _Toc218241147 \h </w:instrText>
      </w:r>
      <w:r>
        <w:rPr>
          <w:sz w:val="32"/>
          <w:szCs w:val="32"/>
        </w:rPr>
        <w:fldChar w:fldCharType="separate"/>
      </w:r>
      <w:r>
        <w:rPr>
          <w:sz w:val="32"/>
          <w:szCs w:val="32"/>
        </w:rPr>
        <w:t>80</w:t>
      </w:r>
      <w:r>
        <w:rPr>
          <w:sz w:val="32"/>
          <w:szCs w:val="32"/>
        </w:rPr>
        <w:fldChar w:fldCharType="end"/>
      </w:r>
      <w:r>
        <w:rPr>
          <w:sz w:val="32"/>
          <w:szCs w:val="32"/>
        </w:rPr>
        <w:fldChar w:fldCharType="end"/>
      </w:r>
    </w:p>
    <w:p w14:paraId="16AD4304">
      <w:pPr>
        <w:pStyle w:val="6"/>
        <w:tabs>
          <w:tab w:val="left" w:pos="2100"/>
          <w:tab w:val="right" w:leader="dot" w:pos="8296"/>
        </w:tabs>
        <w:rPr>
          <w:rFonts w:asciiTheme="minorHAnsi" w:hAnsiTheme="minorHAnsi" w:eastAsiaTheme="minorEastAsia" w:cstheme="minorBidi"/>
          <w:sz w:val="32"/>
          <w:szCs w:val="32"/>
        </w:rPr>
      </w:pPr>
      <w:r>
        <w:fldChar w:fldCharType="begin"/>
      </w:r>
      <w:r>
        <w:instrText xml:space="preserve"> HYPERLINK \l "_Toc218241148" </w:instrText>
      </w:r>
      <w:r>
        <w:fldChar w:fldCharType="separate"/>
      </w:r>
      <w:r>
        <w:rPr>
          <w:rStyle w:val="14"/>
          <w:rFonts w:hint="eastAsia" w:eastAsia="楷体_GB2312"/>
          <w:kern w:val="0"/>
          <w:sz w:val="32"/>
          <w:szCs w:val="32"/>
        </w:rPr>
        <w:t>第一节</w:t>
      </w:r>
      <w:r>
        <w:rPr>
          <w:rFonts w:asciiTheme="minorHAnsi" w:hAnsiTheme="minorHAnsi" w:eastAsiaTheme="minorEastAsia" w:cstheme="minorBidi"/>
          <w:sz w:val="32"/>
          <w:szCs w:val="32"/>
        </w:rPr>
        <w:tab/>
      </w:r>
      <w:r>
        <w:rPr>
          <w:rStyle w:val="14"/>
          <w:rFonts w:hint="eastAsia" w:eastAsia="仿宋_GB2312"/>
          <w:sz w:val="32"/>
          <w:szCs w:val="32"/>
        </w:rPr>
        <w:t>健全养老</w:t>
      </w:r>
      <w:r>
        <w:rPr>
          <w:rStyle w:val="14"/>
          <w:rFonts w:hint="eastAsia" w:eastAsia="楷体_GB2312"/>
          <w:kern w:val="0"/>
          <w:sz w:val="32"/>
          <w:szCs w:val="32"/>
        </w:rPr>
        <w:t>服务</w:t>
      </w:r>
      <w:r>
        <w:rPr>
          <w:rStyle w:val="14"/>
          <w:rFonts w:hint="eastAsia" w:eastAsia="仿宋_GB2312"/>
          <w:sz w:val="32"/>
          <w:szCs w:val="32"/>
        </w:rPr>
        <w:t>体系</w:t>
      </w:r>
      <w:r>
        <w:rPr>
          <w:sz w:val="32"/>
          <w:szCs w:val="32"/>
        </w:rPr>
        <w:tab/>
      </w:r>
      <w:r>
        <w:rPr>
          <w:sz w:val="32"/>
          <w:szCs w:val="32"/>
        </w:rPr>
        <w:fldChar w:fldCharType="begin"/>
      </w:r>
      <w:r>
        <w:rPr>
          <w:sz w:val="32"/>
          <w:szCs w:val="32"/>
        </w:rPr>
        <w:instrText xml:space="preserve"> PAGEREF _Toc218241148 \h </w:instrText>
      </w:r>
      <w:r>
        <w:rPr>
          <w:sz w:val="32"/>
          <w:szCs w:val="32"/>
        </w:rPr>
        <w:fldChar w:fldCharType="separate"/>
      </w:r>
      <w:r>
        <w:rPr>
          <w:sz w:val="32"/>
          <w:szCs w:val="32"/>
        </w:rPr>
        <w:t>80</w:t>
      </w:r>
      <w:r>
        <w:rPr>
          <w:sz w:val="32"/>
          <w:szCs w:val="32"/>
        </w:rPr>
        <w:fldChar w:fldCharType="end"/>
      </w:r>
      <w:r>
        <w:rPr>
          <w:sz w:val="32"/>
          <w:szCs w:val="32"/>
        </w:rPr>
        <w:fldChar w:fldCharType="end"/>
      </w:r>
    </w:p>
    <w:p w14:paraId="5B579F4D">
      <w:pPr>
        <w:pStyle w:val="6"/>
        <w:tabs>
          <w:tab w:val="left" w:pos="2100"/>
          <w:tab w:val="right" w:leader="dot" w:pos="8296"/>
        </w:tabs>
        <w:rPr>
          <w:rFonts w:asciiTheme="minorHAnsi" w:hAnsiTheme="minorHAnsi" w:eastAsiaTheme="minorEastAsia" w:cstheme="minorBidi"/>
          <w:sz w:val="32"/>
          <w:szCs w:val="32"/>
        </w:rPr>
      </w:pPr>
      <w:r>
        <w:fldChar w:fldCharType="begin"/>
      </w:r>
      <w:r>
        <w:instrText xml:space="preserve"> HYPERLINK \l "_Toc218241149" </w:instrText>
      </w:r>
      <w:r>
        <w:fldChar w:fldCharType="separate"/>
      </w:r>
      <w:r>
        <w:rPr>
          <w:rStyle w:val="14"/>
          <w:rFonts w:hint="eastAsia" w:eastAsia="楷体_GB2312"/>
          <w:kern w:val="0"/>
          <w:sz w:val="32"/>
          <w:szCs w:val="32"/>
        </w:rPr>
        <w:t>第二节</w:t>
      </w:r>
      <w:r>
        <w:rPr>
          <w:rFonts w:asciiTheme="minorHAnsi" w:hAnsiTheme="minorHAnsi" w:eastAsiaTheme="minorEastAsia" w:cstheme="minorBidi"/>
          <w:sz w:val="32"/>
          <w:szCs w:val="32"/>
        </w:rPr>
        <w:tab/>
      </w:r>
      <w:r>
        <w:rPr>
          <w:rStyle w:val="14"/>
          <w:rFonts w:hint="eastAsia" w:eastAsia="仿宋_GB2312"/>
          <w:sz w:val="32"/>
          <w:szCs w:val="32"/>
          <w:lang w:val="zh-CN"/>
        </w:rPr>
        <w:t>完善</w:t>
      </w:r>
      <w:r>
        <w:rPr>
          <w:rStyle w:val="14"/>
          <w:rFonts w:hint="eastAsia" w:eastAsia="楷体_GB2312"/>
          <w:kern w:val="0"/>
          <w:sz w:val="32"/>
          <w:szCs w:val="32"/>
          <w:lang w:val="zh-CN"/>
        </w:rPr>
        <w:t>生育</w:t>
      </w:r>
      <w:r>
        <w:rPr>
          <w:rStyle w:val="14"/>
          <w:rFonts w:hint="eastAsia" w:eastAsia="仿宋_GB2312"/>
          <w:sz w:val="32"/>
          <w:szCs w:val="32"/>
          <w:lang w:val="zh-CN"/>
        </w:rPr>
        <w:t>支持服务体系</w:t>
      </w:r>
      <w:r>
        <w:rPr>
          <w:sz w:val="32"/>
          <w:szCs w:val="32"/>
        </w:rPr>
        <w:tab/>
      </w:r>
      <w:r>
        <w:rPr>
          <w:sz w:val="32"/>
          <w:szCs w:val="32"/>
        </w:rPr>
        <w:fldChar w:fldCharType="begin"/>
      </w:r>
      <w:r>
        <w:rPr>
          <w:sz w:val="32"/>
          <w:szCs w:val="32"/>
        </w:rPr>
        <w:instrText xml:space="preserve"> PAGEREF _Toc218241149 \h </w:instrText>
      </w:r>
      <w:r>
        <w:rPr>
          <w:sz w:val="32"/>
          <w:szCs w:val="32"/>
        </w:rPr>
        <w:fldChar w:fldCharType="separate"/>
      </w:r>
      <w:r>
        <w:rPr>
          <w:sz w:val="32"/>
          <w:szCs w:val="32"/>
        </w:rPr>
        <w:t>80</w:t>
      </w:r>
      <w:r>
        <w:rPr>
          <w:sz w:val="32"/>
          <w:szCs w:val="32"/>
        </w:rPr>
        <w:fldChar w:fldCharType="end"/>
      </w:r>
      <w:r>
        <w:rPr>
          <w:sz w:val="32"/>
          <w:szCs w:val="32"/>
        </w:rPr>
        <w:fldChar w:fldCharType="end"/>
      </w:r>
    </w:p>
    <w:p w14:paraId="3D41E990">
      <w:pPr>
        <w:pStyle w:val="8"/>
        <w:tabs>
          <w:tab w:val="right" w:leader="dot" w:pos="8296"/>
        </w:tabs>
        <w:rPr>
          <w:rFonts w:asciiTheme="minorHAnsi" w:hAnsiTheme="minorHAnsi" w:eastAsiaTheme="minorEastAsia" w:cstheme="minorBidi"/>
          <w:sz w:val="32"/>
          <w:szCs w:val="32"/>
        </w:rPr>
      </w:pPr>
      <w:r>
        <w:fldChar w:fldCharType="begin"/>
      </w:r>
      <w:r>
        <w:instrText xml:space="preserve"> HYPERLINK \l "_Toc218241150" </w:instrText>
      </w:r>
      <w:r>
        <w:fldChar w:fldCharType="separate"/>
      </w:r>
      <w:r>
        <w:rPr>
          <w:rStyle w:val="14"/>
          <w:rFonts w:hint="eastAsia" w:eastAsia="方正大标宋简体"/>
          <w:sz w:val="32"/>
          <w:szCs w:val="32"/>
        </w:rPr>
        <w:t>第九篇</w:t>
      </w:r>
      <w:r>
        <w:rPr>
          <w:rStyle w:val="14"/>
          <w:rFonts w:eastAsia="方正大标宋简体"/>
          <w:sz w:val="32"/>
          <w:szCs w:val="32"/>
        </w:rPr>
        <w:t xml:space="preserve">  </w:t>
      </w:r>
      <w:r>
        <w:rPr>
          <w:rStyle w:val="14"/>
          <w:rFonts w:hint="eastAsia" w:eastAsia="方正大标宋简体"/>
          <w:sz w:val="32"/>
          <w:szCs w:val="32"/>
        </w:rPr>
        <w:t>传承弘扬</w:t>
      </w:r>
      <w:r>
        <w:rPr>
          <w:rStyle w:val="14"/>
          <w:rFonts w:eastAsia="方正大标宋简体"/>
          <w:sz w:val="32"/>
          <w:szCs w:val="32"/>
        </w:rPr>
        <w:t xml:space="preserve">  </w:t>
      </w:r>
      <w:r>
        <w:rPr>
          <w:rStyle w:val="14"/>
          <w:rFonts w:hint="eastAsia" w:eastAsia="方正大标宋简体"/>
          <w:sz w:val="32"/>
          <w:szCs w:val="32"/>
        </w:rPr>
        <w:t>提升理塘文化软实力和影响力</w:t>
      </w:r>
      <w:r>
        <w:rPr>
          <w:sz w:val="32"/>
          <w:szCs w:val="32"/>
        </w:rPr>
        <w:tab/>
      </w:r>
      <w:r>
        <w:rPr>
          <w:sz w:val="32"/>
          <w:szCs w:val="32"/>
        </w:rPr>
        <w:fldChar w:fldCharType="begin"/>
      </w:r>
      <w:r>
        <w:rPr>
          <w:sz w:val="32"/>
          <w:szCs w:val="32"/>
        </w:rPr>
        <w:instrText xml:space="preserve"> PAGEREF _Toc218241150 \h </w:instrText>
      </w:r>
      <w:r>
        <w:rPr>
          <w:sz w:val="32"/>
          <w:szCs w:val="32"/>
        </w:rPr>
        <w:fldChar w:fldCharType="separate"/>
      </w:r>
      <w:r>
        <w:rPr>
          <w:sz w:val="32"/>
          <w:szCs w:val="32"/>
        </w:rPr>
        <w:t>81</w:t>
      </w:r>
      <w:r>
        <w:rPr>
          <w:sz w:val="32"/>
          <w:szCs w:val="32"/>
        </w:rPr>
        <w:fldChar w:fldCharType="end"/>
      </w:r>
      <w:r>
        <w:rPr>
          <w:sz w:val="32"/>
          <w:szCs w:val="32"/>
        </w:rPr>
        <w:fldChar w:fldCharType="end"/>
      </w:r>
    </w:p>
    <w:p w14:paraId="27F8C666">
      <w:pPr>
        <w:pStyle w:val="9"/>
        <w:tabs>
          <w:tab w:val="right" w:leader="dot" w:pos="8296"/>
        </w:tabs>
        <w:rPr>
          <w:rFonts w:asciiTheme="minorHAnsi" w:hAnsiTheme="minorHAnsi" w:eastAsiaTheme="minorEastAsia" w:cstheme="minorBidi"/>
          <w:sz w:val="32"/>
          <w:szCs w:val="32"/>
        </w:rPr>
      </w:pPr>
      <w:r>
        <w:fldChar w:fldCharType="begin"/>
      </w:r>
      <w:r>
        <w:instrText xml:space="preserve"> HYPERLINK \l "_Toc218241151" </w:instrText>
      </w:r>
      <w:r>
        <w:fldChar w:fldCharType="separate"/>
      </w:r>
      <w:r>
        <w:rPr>
          <w:rStyle w:val="14"/>
          <w:rFonts w:hint="eastAsia" w:eastAsia="黑体"/>
          <w:bCs/>
          <w:kern w:val="0"/>
          <w:sz w:val="32"/>
          <w:szCs w:val="32"/>
        </w:rPr>
        <w:t>第二十七章</w:t>
      </w:r>
      <w:r>
        <w:rPr>
          <w:rStyle w:val="14"/>
          <w:rFonts w:eastAsia="黑体"/>
          <w:bCs/>
          <w:kern w:val="0"/>
          <w:sz w:val="32"/>
          <w:szCs w:val="32"/>
        </w:rPr>
        <w:t xml:space="preserve">  </w:t>
      </w:r>
      <w:r>
        <w:rPr>
          <w:rStyle w:val="14"/>
          <w:rFonts w:hint="eastAsia" w:eastAsia="黑体"/>
          <w:bCs/>
          <w:kern w:val="0"/>
          <w:sz w:val="32"/>
          <w:szCs w:val="32"/>
        </w:rPr>
        <w:t>大力弘扬社会主义核心价值观</w:t>
      </w:r>
      <w:r>
        <w:rPr>
          <w:sz w:val="32"/>
          <w:szCs w:val="32"/>
        </w:rPr>
        <w:tab/>
      </w:r>
      <w:r>
        <w:rPr>
          <w:sz w:val="32"/>
          <w:szCs w:val="32"/>
        </w:rPr>
        <w:fldChar w:fldCharType="begin"/>
      </w:r>
      <w:r>
        <w:rPr>
          <w:sz w:val="32"/>
          <w:szCs w:val="32"/>
        </w:rPr>
        <w:instrText xml:space="preserve"> PAGEREF _Toc218241151 \h </w:instrText>
      </w:r>
      <w:r>
        <w:rPr>
          <w:sz w:val="32"/>
          <w:szCs w:val="32"/>
        </w:rPr>
        <w:fldChar w:fldCharType="separate"/>
      </w:r>
      <w:r>
        <w:rPr>
          <w:sz w:val="32"/>
          <w:szCs w:val="32"/>
        </w:rPr>
        <w:t>81</w:t>
      </w:r>
      <w:r>
        <w:rPr>
          <w:sz w:val="32"/>
          <w:szCs w:val="32"/>
        </w:rPr>
        <w:fldChar w:fldCharType="end"/>
      </w:r>
      <w:r>
        <w:rPr>
          <w:sz w:val="32"/>
          <w:szCs w:val="32"/>
        </w:rPr>
        <w:fldChar w:fldCharType="end"/>
      </w:r>
    </w:p>
    <w:p w14:paraId="0A2D5251">
      <w:pPr>
        <w:pStyle w:val="6"/>
        <w:tabs>
          <w:tab w:val="left" w:pos="2100"/>
          <w:tab w:val="right" w:leader="dot" w:pos="8296"/>
        </w:tabs>
        <w:rPr>
          <w:rFonts w:asciiTheme="minorHAnsi" w:hAnsiTheme="minorHAnsi" w:eastAsiaTheme="minorEastAsia" w:cstheme="minorBidi"/>
          <w:sz w:val="32"/>
          <w:szCs w:val="32"/>
        </w:rPr>
      </w:pPr>
      <w:r>
        <w:fldChar w:fldCharType="begin"/>
      </w:r>
      <w:r>
        <w:instrText xml:space="preserve"> HYPERLINK \l "_Toc218241152" </w:instrText>
      </w:r>
      <w:r>
        <w:fldChar w:fldCharType="separate"/>
      </w:r>
      <w:r>
        <w:rPr>
          <w:rStyle w:val="14"/>
          <w:rFonts w:hint="eastAsia" w:eastAsia="楷体_GB2312"/>
          <w:kern w:val="0"/>
          <w:sz w:val="32"/>
          <w:szCs w:val="32"/>
        </w:rPr>
        <w:t>第一节</w:t>
      </w:r>
      <w:r>
        <w:rPr>
          <w:rFonts w:asciiTheme="minorHAnsi" w:hAnsiTheme="minorHAnsi" w:eastAsiaTheme="minorEastAsia" w:cstheme="minorBidi"/>
          <w:sz w:val="32"/>
          <w:szCs w:val="32"/>
        </w:rPr>
        <w:tab/>
      </w:r>
      <w:r>
        <w:rPr>
          <w:rStyle w:val="14"/>
          <w:rFonts w:hint="eastAsia" w:eastAsia="楷体_GB2312"/>
          <w:kern w:val="0"/>
          <w:sz w:val="32"/>
          <w:szCs w:val="32"/>
        </w:rPr>
        <w:t>开展新时代爱国主义教育</w:t>
      </w:r>
      <w:r>
        <w:rPr>
          <w:sz w:val="32"/>
          <w:szCs w:val="32"/>
        </w:rPr>
        <w:tab/>
      </w:r>
      <w:r>
        <w:rPr>
          <w:sz w:val="32"/>
          <w:szCs w:val="32"/>
        </w:rPr>
        <w:fldChar w:fldCharType="begin"/>
      </w:r>
      <w:r>
        <w:rPr>
          <w:sz w:val="32"/>
          <w:szCs w:val="32"/>
        </w:rPr>
        <w:instrText xml:space="preserve"> PAGEREF _Toc218241152 \h </w:instrText>
      </w:r>
      <w:r>
        <w:rPr>
          <w:sz w:val="32"/>
          <w:szCs w:val="32"/>
        </w:rPr>
        <w:fldChar w:fldCharType="separate"/>
      </w:r>
      <w:r>
        <w:rPr>
          <w:sz w:val="32"/>
          <w:szCs w:val="32"/>
        </w:rPr>
        <w:t>82</w:t>
      </w:r>
      <w:r>
        <w:rPr>
          <w:sz w:val="32"/>
          <w:szCs w:val="32"/>
        </w:rPr>
        <w:fldChar w:fldCharType="end"/>
      </w:r>
      <w:r>
        <w:rPr>
          <w:sz w:val="32"/>
          <w:szCs w:val="32"/>
        </w:rPr>
        <w:fldChar w:fldCharType="end"/>
      </w:r>
    </w:p>
    <w:p w14:paraId="3882D8C7">
      <w:pPr>
        <w:pStyle w:val="6"/>
        <w:tabs>
          <w:tab w:val="left" w:pos="2100"/>
          <w:tab w:val="right" w:leader="dot" w:pos="8296"/>
        </w:tabs>
        <w:rPr>
          <w:rFonts w:asciiTheme="minorHAnsi" w:hAnsiTheme="minorHAnsi" w:eastAsiaTheme="minorEastAsia" w:cstheme="minorBidi"/>
          <w:sz w:val="32"/>
          <w:szCs w:val="32"/>
        </w:rPr>
      </w:pPr>
      <w:r>
        <w:fldChar w:fldCharType="begin"/>
      </w:r>
      <w:r>
        <w:instrText xml:space="preserve"> HYPERLINK \l "_Toc218241153" </w:instrText>
      </w:r>
      <w:r>
        <w:fldChar w:fldCharType="separate"/>
      </w:r>
      <w:r>
        <w:rPr>
          <w:rStyle w:val="14"/>
          <w:rFonts w:hint="eastAsia" w:eastAsia="楷体_GB2312"/>
          <w:kern w:val="0"/>
          <w:sz w:val="32"/>
          <w:szCs w:val="32"/>
        </w:rPr>
        <w:t>第二节</w:t>
      </w:r>
      <w:r>
        <w:rPr>
          <w:rFonts w:asciiTheme="minorHAnsi" w:hAnsiTheme="minorHAnsi" w:eastAsiaTheme="minorEastAsia" w:cstheme="minorBidi"/>
          <w:sz w:val="32"/>
          <w:szCs w:val="32"/>
        </w:rPr>
        <w:tab/>
      </w:r>
      <w:r>
        <w:rPr>
          <w:rStyle w:val="14"/>
          <w:rFonts w:hint="eastAsia" w:eastAsia="楷体_GB2312"/>
          <w:kern w:val="0"/>
          <w:sz w:val="32"/>
          <w:szCs w:val="32"/>
        </w:rPr>
        <w:t>加强社会主义精神文明建设</w:t>
      </w:r>
      <w:r>
        <w:rPr>
          <w:sz w:val="32"/>
          <w:szCs w:val="32"/>
        </w:rPr>
        <w:tab/>
      </w:r>
      <w:r>
        <w:rPr>
          <w:sz w:val="32"/>
          <w:szCs w:val="32"/>
        </w:rPr>
        <w:fldChar w:fldCharType="begin"/>
      </w:r>
      <w:r>
        <w:rPr>
          <w:sz w:val="32"/>
          <w:szCs w:val="32"/>
        </w:rPr>
        <w:instrText xml:space="preserve"> PAGEREF _Toc218241153 \h </w:instrText>
      </w:r>
      <w:r>
        <w:rPr>
          <w:sz w:val="32"/>
          <w:szCs w:val="32"/>
        </w:rPr>
        <w:fldChar w:fldCharType="separate"/>
      </w:r>
      <w:r>
        <w:rPr>
          <w:sz w:val="32"/>
          <w:szCs w:val="32"/>
        </w:rPr>
        <w:t>82</w:t>
      </w:r>
      <w:r>
        <w:rPr>
          <w:sz w:val="32"/>
          <w:szCs w:val="32"/>
        </w:rPr>
        <w:fldChar w:fldCharType="end"/>
      </w:r>
      <w:r>
        <w:rPr>
          <w:sz w:val="32"/>
          <w:szCs w:val="32"/>
        </w:rPr>
        <w:fldChar w:fldCharType="end"/>
      </w:r>
    </w:p>
    <w:p w14:paraId="713AE0B3">
      <w:pPr>
        <w:pStyle w:val="6"/>
        <w:tabs>
          <w:tab w:val="left" w:pos="2100"/>
          <w:tab w:val="right" w:leader="dot" w:pos="8296"/>
        </w:tabs>
        <w:rPr>
          <w:rFonts w:asciiTheme="minorHAnsi" w:hAnsiTheme="minorHAnsi" w:eastAsiaTheme="minorEastAsia" w:cstheme="minorBidi"/>
          <w:sz w:val="32"/>
          <w:szCs w:val="32"/>
        </w:rPr>
      </w:pPr>
      <w:r>
        <w:fldChar w:fldCharType="begin"/>
      </w:r>
      <w:r>
        <w:instrText xml:space="preserve"> HYPERLINK \l "_Toc218241154" </w:instrText>
      </w:r>
      <w:r>
        <w:fldChar w:fldCharType="separate"/>
      </w:r>
      <w:r>
        <w:rPr>
          <w:rStyle w:val="14"/>
          <w:rFonts w:hint="eastAsia" w:eastAsia="楷体_GB2312"/>
          <w:kern w:val="0"/>
          <w:sz w:val="32"/>
          <w:szCs w:val="32"/>
        </w:rPr>
        <w:t>第三节</w:t>
      </w:r>
      <w:r>
        <w:rPr>
          <w:rFonts w:asciiTheme="minorHAnsi" w:hAnsiTheme="minorHAnsi" w:eastAsiaTheme="minorEastAsia" w:cstheme="minorBidi"/>
          <w:sz w:val="32"/>
          <w:szCs w:val="32"/>
        </w:rPr>
        <w:tab/>
      </w:r>
      <w:r>
        <w:rPr>
          <w:rStyle w:val="14"/>
          <w:rFonts w:hint="eastAsia" w:eastAsia="楷体_GB2312"/>
          <w:kern w:val="0"/>
          <w:sz w:val="32"/>
          <w:szCs w:val="32"/>
        </w:rPr>
        <w:t>深入推动公民道德建设</w:t>
      </w:r>
      <w:r>
        <w:rPr>
          <w:sz w:val="32"/>
          <w:szCs w:val="32"/>
        </w:rPr>
        <w:tab/>
      </w:r>
      <w:r>
        <w:rPr>
          <w:sz w:val="32"/>
          <w:szCs w:val="32"/>
        </w:rPr>
        <w:fldChar w:fldCharType="begin"/>
      </w:r>
      <w:r>
        <w:rPr>
          <w:sz w:val="32"/>
          <w:szCs w:val="32"/>
        </w:rPr>
        <w:instrText xml:space="preserve"> PAGEREF _Toc218241154 \h </w:instrText>
      </w:r>
      <w:r>
        <w:rPr>
          <w:sz w:val="32"/>
          <w:szCs w:val="32"/>
        </w:rPr>
        <w:fldChar w:fldCharType="separate"/>
      </w:r>
      <w:r>
        <w:rPr>
          <w:sz w:val="32"/>
          <w:szCs w:val="32"/>
        </w:rPr>
        <w:t>83</w:t>
      </w:r>
      <w:r>
        <w:rPr>
          <w:sz w:val="32"/>
          <w:szCs w:val="32"/>
        </w:rPr>
        <w:fldChar w:fldCharType="end"/>
      </w:r>
      <w:r>
        <w:rPr>
          <w:sz w:val="32"/>
          <w:szCs w:val="32"/>
        </w:rPr>
        <w:fldChar w:fldCharType="end"/>
      </w:r>
    </w:p>
    <w:p w14:paraId="6F7EC029">
      <w:pPr>
        <w:pStyle w:val="9"/>
        <w:tabs>
          <w:tab w:val="right" w:leader="dot" w:pos="8296"/>
        </w:tabs>
        <w:rPr>
          <w:rFonts w:asciiTheme="minorHAnsi" w:hAnsiTheme="minorHAnsi" w:eastAsiaTheme="minorEastAsia" w:cstheme="minorBidi"/>
          <w:sz w:val="32"/>
          <w:szCs w:val="32"/>
        </w:rPr>
      </w:pPr>
      <w:r>
        <w:fldChar w:fldCharType="begin"/>
      </w:r>
      <w:r>
        <w:instrText xml:space="preserve"> HYPERLINK \l "_Toc218241155" </w:instrText>
      </w:r>
      <w:r>
        <w:fldChar w:fldCharType="separate"/>
      </w:r>
      <w:r>
        <w:rPr>
          <w:rStyle w:val="14"/>
          <w:rFonts w:hint="eastAsia" w:eastAsia="黑体"/>
          <w:bCs/>
          <w:kern w:val="0"/>
          <w:sz w:val="32"/>
          <w:szCs w:val="32"/>
        </w:rPr>
        <w:t>第二十八章</w:t>
      </w:r>
      <w:r>
        <w:rPr>
          <w:rStyle w:val="14"/>
          <w:rFonts w:eastAsia="黑体"/>
          <w:bCs/>
          <w:kern w:val="0"/>
          <w:sz w:val="32"/>
          <w:szCs w:val="32"/>
        </w:rPr>
        <w:t xml:space="preserve">  </w:t>
      </w:r>
      <w:r>
        <w:rPr>
          <w:rStyle w:val="14"/>
          <w:rFonts w:hint="eastAsia" w:eastAsia="黑体"/>
          <w:bCs/>
          <w:kern w:val="0"/>
          <w:sz w:val="32"/>
          <w:szCs w:val="32"/>
        </w:rPr>
        <w:t>传承创新悠远厚重民族文化</w:t>
      </w:r>
      <w:r>
        <w:rPr>
          <w:sz w:val="32"/>
          <w:szCs w:val="32"/>
        </w:rPr>
        <w:tab/>
      </w:r>
      <w:r>
        <w:rPr>
          <w:sz w:val="32"/>
          <w:szCs w:val="32"/>
        </w:rPr>
        <w:fldChar w:fldCharType="begin"/>
      </w:r>
      <w:r>
        <w:rPr>
          <w:sz w:val="32"/>
          <w:szCs w:val="32"/>
        </w:rPr>
        <w:instrText xml:space="preserve"> PAGEREF _Toc218241155 \h </w:instrText>
      </w:r>
      <w:r>
        <w:rPr>
          <w:sz w:val="32"/>
          <w:szCs w:val="32"/>
        </w:rPr>
        <w:fldChar w:fldCharType="separate"/>
      </w:r>
      <w:r>
        <w:rPr>
          <w:sz w:val="32"/>
          <w:szCs w:val="32"/>
        </w:rPr>
        <w:t>83</w:t>
      </w:r>
      <w:r>
        <w:rPr>
          <w:sz w:val="32"/>
          <w:szCs w:val="32"/>
        </w:rPr>
        <w:fldChar w:fldCharType="end"/>
      </w:r>
      <w:r>
        <w:rPr>
          <w:sz w:val="32"/>
          <w:szCs w:val="32"/>
        </w:rPr>
        <w:fldChar w:fldCharType="end"/>
      </w:r>
    </w:p>
    <w:p w14:paraId="614CD179">
      <w:pPr>
        <w:pStyle w:val="6"/>
        <w:tabs>
          <w:tab w:val="left" w:pos="2100"/>
          <w:tab w:val="right" w:leader="dot" w:pos="8296"/>
        </w:tabs>
        <w:rPr>
          <w:rFonts w:asciiTheme="minorHAnsi" w:hAnsiTheme="minorHAnsi" w:eastAsiaTheme="minorEastAsia" w:cstheme="minorBidi"/>
          <w:sz w:val="32"/>
          <w:szCs w:val="32"/>
        </w:rPr>
      </w:pPr>
      <w:r>
        <w:fldChar w:fldCharType="begin"/>
      </w:r>
      <w:r>
        <w:instrText xml:space="preserve"> HYPERLINK \l "_Toc218241156" </w:instrText>
      </w:r>
      <w:r>
        <w:fldChar w:fldCharType="separate"/>
      </w:r>
      <w:r>
        <w:rPr>
          <w:rStyle w:val="14"/>
          <w:rFonts w:hint="eastAsia" w:eastAsia="楷体_GB2312"/>
          <w:kern w:val="0"/>
          <w:sz w:val="32"/>
          <w:szCs w:val="32"/>
        </w:rPr>
        <w:t>第一节</w:t>
      </w:r>
      <w:r>
        <w:rPr>
          <w:rFonts w:asciiTheme="minorHAnsi" w:hAnsiTheme="minorHAnsi" w:eastAsiaTheme="minorEastAsia" w:cstheme="minorBidi"/>
          <w:sz w:val="32"/>
          <w:szCs w:val="32"/>
        </w:rPr>
        <w:tab/>
      </w:r>
      <w:r>
        <w:rPr>
          <w:rStyle w:val="14"/>
          <w:rFonts w:hint="eastAsia" w:eastAsia="楷体_GB2312"/>
          <w:kern w:val="0"/>
          <w:sz w:val="32"/>
          <w:szCs w:val="32"/>
        </w:rPr>
        <w:t>深度挖掘民族特色文化内涵</w:t>
      </w:r>
      <w:r>
        <w:rPr>
          <w:sz w:val="32"/>
          <w:szCs w:val="32"/>
        </w:rPr>
        <w:tab/>
      </w:r>
      <w:r>
        <w:rPr>
          <w:sz w:val="32"/>
          <w:szCs w:val="32"/>
        </w:rPr>
        <w:fldChar w:fldCharType="begin"/>
      </w:r>
      <w:r>
        <w:rPr>
          <w:sz w:val="32"/>
          <w:szCs w:val="32"/>
        </w:rPr>
        <w:instrText xml:space="preserve"> PAGEREF _Toc218241156 \h </w:instrText>
      </w:r>
      <w:r>
        <w:rPr>
          <w:sz w:val="32"/>
          <w:szCs w:val="32"/>
        </w:rPr>
        <w:fldChar w:fldCharType="separate"/>
      </w:r>
      <w:r>
        <w:rPr>
          <w:sz w:val="32"/>
          <w:szCs w:val="32"/>
        </w:rPr>
        <w:t>83</w:t>
      </w:r>
      <w:r>
        <w:rPr>
          <w:sz w:val="32"/>
          <w:szCs w:val="32"/>
        </w:rPr>
        <w:fldChar w:fldCharType="end"/>
      </w:r>
      <w:r>
        <w:rPr>
          <w:sz w:val="32"/>
          <w:szCs w:val="32"/>
        </w:rPr>
        <w:fldChar w:fldCharType="end"/>
      </w:r>
    </w:p>
    <w:p w14:paraId="7359B3EF">
      <w:pPr>
        <w:pStyle w:val="6"/>
        <w:tabs>
          <w:tab w:val="left" w:pos="2100"/>
          <w:tab w:val="right" w:leader="dot" w:pos="8296"/>
        </w:tabs>
        <w:rPr>
          <w:rFonts w:asciiTheme="minorHAnsi" w:hAnsiTheme="minorHAnsi" w:eastAsiaTheme="minorEastAsia" w:cstheme="minorBidi"/>
          <w:sz w:val="32"/>
          <w:szCs w:val="32"/>
        </w:rPr>
      </w:pPr>
      <w:r>
        <w:fldChar w:fldCharType="begin"/>
      </w:r>
      <w:r>
        <w:instrText xml:space="preserve"> HYPERLINK \l "_Toc218241157" </w:instrText>
      </w:r>
      <w:r>
        <w:fldChar w:fldCharType="separate"/>
      </w:r>
      <w:r>
        <w:rPr>
          <w:rStyle w:val="14"/>
          <w:rFonts w:hint="eastAsia" w:eastAsia="楷体_GB2312"/>
          <w:kern w:val="0"/>
          <w:sz w:val="32"/>
          <w:szCs w:val="32"/>
        </w:rPr>
        <w:t>第二节</w:t>
      </w:r>
      <w:r>
        <w:rPr>
          <w:rFonts w:asciiTheme="minorHAnsi" w:hAnsiTheme="minorHAnsi" w:eastAsiaTheme="minorEastAsia" w:cstheme="minorBidi"/>
          <w:sz w:val="32"/>
          <w:szCs w:val="32"/>
        </w:rPr>
        <w:tab/>
      </w:r>
      <w:r>
        <w:rPr>
          <w:rStyle w:val="14"/>
          <w:rFonts w:hint="eastAsia" w:eastAsia="楷体_GB2312"/>
          <w:kern w:val="0"/>
          <w:sz w:val="32"/>
          <w:szCs w:val="32"/>
        </w:rPr>
        <w:t>推动民族文化融合创新发展</w:t>
      </w:r>
      <w:r>
        <w:rPr>
          <w:sz w:val="32"/>
          <w:szCs w:val="32"/>
        </w:rPr>
        <w:tab/>
      </w:r>
      <w:r>
        <w:rPr>
          <w:sz w:val="32"/>
          <w:szCs w:val="32"/>
        </w:rPr>
        <w:fldChar w:fldCharType="begin"/>
      </w:r>
      <w:r>
        <w:rPr>
          <w:sz w:val="32"/>
          <w:szCs w:val="32"/>
        </w:rPr>
        <w:instrText xml:space="preserve"> PAGEREF _Toc218241157 \h </w:instrText>
      </w:r>
      <w:r>
        <w:rPr>
          <w:sz w:val="32"/>
          <w:szCs w:val="32"/>
        </w:rPr>
        <w:fldChar w:fldCharType="separate"/>
      </w:r>
      <w:r>
        <w:rPr>
          <w:sz w:val="32"/>
          <w:szCs w:val="32"/>
        </w:rPr>
        <w:t>84</w:t>
      </w:r>
      <w:r>
        <w:rPr>
          <w:sz w:val="32"/>
          <w:szCs w:val="32"/>
        </w:rPr>
        <w:fldChar w:fldCharType="end"/>
      </w:r>
      <w:r>
        <w:rPr>
          <w:sz w:val="32"/>
          <w:szCs w:val="32"/>
        </w:rPr>
        <w:fldChar w:fldCharType="end"/>
      </w:r>
    </w:p>
    <w:p w14:paraId="79416141">
      <w:pPr>
        <w:pStyle w:val="6"/>
        <w:tabs>
          <w:tab w:val="left" w:pos="2100"/>
          <w:tab w:val="right" w:leader="dot" w:pos="8296"/>
        </w:tabs>
        <w:rPr>
          <w:rFonts w:asciiTheme="minorHAnsi" w:hAnsiTheme="minorHAnsi" w:eastAsiaTheme="minorEastAsia" w:cstheme="minorBidi"/>
          <w:sz w:val="32"/>
          <w:szCs w:val="32"/>
        </w:rPr>
      </w:pPr>
      <w:r>
        <w:fldChar w:fldCharType="begin"/>
      </w:r>
      <w:r>
        <w:instrText xml:space="preserve"> HYPERLINK \l "_Toc218241158" </w:instrText>
      </w:r>
      <w:r>
        <w:fldChar w:fldCharType="separate"/>
      </w:r>
      <w:r>
        <w:rPr>
          <w:rStyle w:val="14"/>
          <w:rFonts w:hint="eastAsia" w:eastAsia="楷体_GB2312"/>
          <w:kern w:val="0"/>
          <w:sz w:val="32"/>
          <w:szCs w:val="32"/>
        </w:rPr>
        <w:t>第三节</w:t>
      </w:r>
      <w:r>
        <w:rPr>
          <w:rFonts w:asciiTheme="minorHAnsi" w:hAnsiTheme="minorHAnsi" w:eastAsiaTheme="minorEastAsia" w:cstheme="minorBidi"/>
          <w:sz w:val="32"/>
          <w:szCs w:val="32"/>
        </w:rPr>
        <w:tab/>
      </w:r>
      <w:r>
        <w:rPr>
          <w:rStyle w:val="14"/>
          <w:rFonts w:hint="eastAsia" w:eastAsia="楷体_GB2312"/>
          <w:kern w:val="0"/>
          <w:sz w:val="32"/>
          <w:szCs w:val="32"/>
        </w:rPr>
        <w:t>加强非遗文化保护利用</w:t>
      </w:r>
      <w:r>
        <w:rPr>
          <w:sz w:val="32"/>
          <w:szCs w:val="32"/>
        </w:rPr>
        <w:tab/>
      </w:r>
      <w:r>
        <w:rPr>
          <w:sz w:val="32"/>
          <w:szCs w:val="32"/>
        </w:rPr>
        <w:fldChar w:fldCharType="begin"/>
      </w:r>
      <w:r>
        <w:rPr>
          <w:sz w:val="32"/>
          <w:szCs w:val="32"/>
        </w:rPr>
        <w:instrText xml:space="preserve"> PAGEREF _Toc218241158 \h </w:instrText>
      </w:r>
      <w:r>
        <w:rPr>
          <w:sz w:val="32"/>
          <w:szCs w:val="32"/>
        </w:rPr>
        <w:fldChar w:fldCharType="separate"/>
      </w:r>
      <w:r>
        <w:rPr>
          <w:sz w:val="32"/>
          <w:szCs w:val="32"/>
        </w:rPr>
        <w:t>84</w:t>
      </w:r>
      <w:r>
        <w:rPr>
          <w:sz w:val="32"/>
          <w:szCs w:val="32"/>
        </w:rPr>
        <w:fldChar w:fldCharType="end"/>
      </w:r>
      <w:r>
        <w:rPr>
          <w:sz w:val="32"/>
          <w:szCs w:val="32"/>
        </w:rPr>
        <w:fldChar w:fldCharType="end"/>
      </w:r>
    </w:p>
    <w:p w14:paraId="7A25A7C8">
      <w:pPr>
        <w:pStyle w:val="9"/>
        <w:tabs>
          <w:tab w:val="right" w:leader="dot" w:pos="8296"/>
        </w:tabs>
        <w:rPr>
          <w:rFonts w:asciiTheme="minorHAnsi" w:hAnsiTheme="minorHAnsi" w:eastAsiaTheme="minorEastAsia" w:cstheme="minorBidi"/>
          <w:sz w:val="32"/>
          <w:szCs w:val="32"/>
        </w:rPr>
      </w:pPr>
      <w:r>
        <w:fldChar w:fldCharType="begin"/>
      </w:r>
      <w:r>
        <w:instrText xml:space="preserve"> HYPERLINK \l "_Toc218241159" </w:instrText>
      </w:r>
      <w:r>
        <w:fldChar w:fldCharType="separate"/>
      </w:r>
      <w:r>
        <w:rPr>
          <w:rStyle w:val="14"/>
          <w:rFonts w:hint="eastAsia" w:eastAsia="黑体"/>
          <w:bCs/>
          <w:kern w:val="0"/>
          <w:sz w:val="32"/>
          <w:szCs w:val="32"/>
        </w:rPr>
        <w:t>第二十九章</w:t>
      </w:r>
      <w:r>
        <w:rPr>
          <w:rStyle w:val="14"/>
          <w:rFonts w:eastAsia="黑体"/>
          <w:bCs/>
          <w:kern w:val="0"/>
          <w:sz w:val="32"/>
          <w:szCs w:val="32"/>
        </w:rPr>
        <w:t xml:space="preserve">  </w:t>
      </w:r>
      <w:r>
        <w:rPr>
          <w:rStyle w:val="14"/>
          <w:rFonts w:hint="eastAsia" w:eastAsia="黑体"/>
          <w:bCs/>
          <w:kern w:val="0"/>
          <w:sz w:val="32"/>
          <w:szCs w:val="32"/>
        </w:rPr>
        <w:t>强化优质公共文化供给</w:t>
      </w:r>
      <w:r>
        <w:rPr>
          <w:sz w:val="32"/>
          <w:szCs w:val="32"/>
        </w:rPr>
        <w:tab/>
      </w:r>
      <w:r>
        <w:rPr>
          <w:sz w:val="32"/>
          <w:szCs w:val="32"/>
        </w:rPr>
        <w:fldChar w:fldCharType="begin"/>
      </w:r>
      <w:r>
        <w:rPr>
          <w:sz w:val="32"/>
          <w:szCs w:val="32"/>
        </w:rPr>
        <w:instrText xml:space="preserve"> PAGEREF _Toc218241159 \h </w:instrText>
      </w:r>
      <w:r>
        <w:rPr>
          <w:sz w:val="32"/>
          <w:szCs w:val="32"/>
        </w:rPr>
        <w:fldChar w:fldCharType="separate"/>
      </w:r>
      <w:r>
        <w:rPr>
          <w:sz w:val="32"/>
          <w:szCs w:val="32"/>
        </w:rPr>
        <w:t>85</w:t>
      </w:r>
      <w:r>
        <w:rPr>
          <w:sz w:val="32"/>
          <w:szCs w:val="32"/>
        </w:rPr>
        <w:fldChar w:fldCharType="end"/>
      </w:r>
      <w:r>
        <w:rPr>
          <w:sz w:val="32"/>
          <w:szCs w:val="32"/>
        </w:rPr>
        <w:fldChar w:fldCharType="end"/>
      </w:r>
    </w:p>
    <w:p w14:paraId="22476206">
      <w:pPr>
        <w:pStyle w:val="6"/>
        <w:tabs>
          <w:tab w:val="left" w:pos="2100"/>
          <w:tab w:val="right" w:leader="dot" w:pos="8296"/>
        </w:tabs>
        <w:rPr>
          <w:rFonts w:asciiTheme="minorHAnsi" w:hAnsiTheme="minorHAnsi" w:eastAsiaTheme="minorEastAsia" w:cstheme="minorBidi"/>
          <w:sz w:val="32"/>
          <w:szCs w:val="32"/>
        </w:rPr>
      </w:pPr>
      <w:r>
        <w:fldChar w:fldCharType="begin"/>
      </w:r>
      <w:r>
        <w:instrText xml:space="preserve"> HYPERLINK \l "_Toc218241160" </w:instrText>
      </w:r>
      <w:r>
        <w:fldChar w:fldCharType="separate"/>
      </w:r>
      <w:r>
        <w:rPr>
          <w:rStyle w:val="14"/>
          <w:rFonts w:hint="eastAsia" w:eastAsia="楷体_GB2312"/>
          <w:kern w:val="0"/>
          <w:sz w:val="32"/>
          <w:szCs w:val="32"/>
        </w:rPr>
        <w:t>第一节</w:t>
      </w:r>
      <w:r>
        <w:rPr>
          <w:rFonts w:asciiTheme="minorHAnsi" w:hAnsiTheme="minorHAnsi" w:eastAsiaTheme="minorEastAsia" w:cstheme="minorBidi"/>
          <w:sz w:val="32"/>
          <w:szCs w:val="32"/>
        </w:rPr>
        <w:tab/>
      </w:r>
      <w:r>
        <w:rPr>
          <w:rStyle w:val="14"/>
          <w:rFonts w:hint="eastAsia" w:eastAsia="楷体_GB2312"/>
          <w:kern w:val="0"/>
          <w:sz w:val="32"/>
          <w:szCs w:val="32"/>
        </w:rPr>
        <w:t>提升公共文化服务能力</w:t>
      </w:r>
      <w:r>
        <w:rPr>
          <w:sz w:val="32"/>
          <w:szCs w:val="32"/>
        </w:rPr>
        <w:tab/>
      </w:r>
      <w:r>
        <w:rPr>
          <w:sz w:val="32"/>
          <w:szCs w:val="32"/>
        </w:rPr>
        <w:fldChar w:fldCharType="begin"/>
      </w:r>
      <w:r>
        <w:rPr>
          <w:sz w:val="32"/>
          <w:szCs w:val="32"/>
        </w:rPr>
        <w:instrText xml:space="preserve"> PAGEREF _Toc218241160 \h </w:instrText>
      </w:r>
      <w:r>
        <w:rPr>
          <w:sz w:val="32"/>
          <w:szCs w:val="32"/>
        </w:rPr>
        <w:fldChar w:fldCharType="separate"/>
      </w:r>
      <w:r>
        <w:rPr>
          <w:sz w:val="32"/>
          <w:szCs w:val="32"/>
        </w:rPr>
        <w:t>85</w:t>
      </w:r>
      <w:r>
        <w:rPr>
          <w:sz w:val="32"/>
          <w:szCs w:val="32"/>
        </w:rPr>
        <w:fldChar w:fldCharType="end"/>
      </w:r>
      <w:r>
        <w:rPr>
          <w:sz w:val="32"/>
          <w:szCs w:val="32"/>
        </w:rPr>
        <w:fldChar w:fldCharType="end"/>
      </w:r>
    </w:p>
    <w:p w14:paraId="2506C1C0">
      <w:pPr>
        <w:pStyle w:val="6"/>
        <w:tabs>
          <w:tab w:val="left" w:pos="2100"/>
          <w:tab w:val="right" w:leader="dot" w:pos="8296"/>
        </w:tabs>
        <w:rPr>
          <w:rFonts w:asciiTheme="minorHAnsi" w:hAnsiTheme="minorHAnsi" w:eastAsiaTheme="minorEastAsia" w:cstheme="minorBidi"/>
          <w:sz w:val="32"/>
          <w:szCs w:val="32"/>
        </w:rPr>
      </w:pPr>
      <w:r>
        <w:fldChar w:fldCharType="begin"/>
      </w:r>
      <w:r>
        <w:instrText xml:space="preserve"> HYPERLINK \l "_Toc218241161" </w:instrText>
      </w:r>
      <w:r>
        <w:fldChar w:fldCharType="separate"/>
      </w:r>
      <w:r>
        <w:rPr>
          <w:rStyle w:val="14"/>
          <w:rFonts w:hint="eastAsia" w:eastAsia="楷体_GB2312"/>
          <w:kern w:val="0"/>
          <w:sz w:val="32"/>
          <w:szCs w:val="32"/>
        </w:rPr>
        <w:t>第二节</w:t>
      </w:r>
      <w:r>
        <w:rPr>
          <w:rFonts w:asciiTheme="minorHAnsi" w:hAnsiTheme="minorHAnsi" w:eastAsiaTheme="minorEastAsia" w:cstheme="minorBidi"/>
          <w:sz w:val="32"/>
          <w:szCs w:val="32"/>
        </w:rPr>
        <w:tab/>
      </w:r>
      <w:r>
        <w:rPr>
          <w:rStyle w:val="14"/>
          <w:rFonts w:hint="eastAsia" w:eastAsia="楷体_GB2312"/>
          <w:kern w:val="0"/>
          <w:sz w:val="32"/>
          <w:szCs w:val="32"/>
        </w:rPr>
        <w:t>增强公共文化服务效能</w:t>
      </w:r>
      <w:r>
        <w:rPr>
          <w:sz w:val="32"/>
          <w:szCs w:val="32"/>
        </w:rPr>
        <w:tab/>
      </w:r>
      <w:r>
        <w:rPr>
          <w:sz w:val="32"/>
          <w:szCs w:val="32"/>
        </w:rPr>
        <w:fldChar w:fldCharType="begin"/>
      </w:r>
      <w:r>
        <w:rPr>
          <w:sz w:val="32"/>
          <w:szCs w:val="32"/>
        </w:rPr>
        <w:instrText xml:space="preserve"> PAGEREF _Toc218241161 \h </w:instrText>
      </w:r>
      <w:r>
        <w:rPr>
          <w:sz w:val="32"/>
          <w:szCs w:val="32"/>
        </w:rPr>
        <w:fldChar w:fldCharType="separate"/>
      </w:r>
      <w:r>
        <w:rPr>
          <w:sz w:val="32"/>
          <w:szCs w:val="32"/>
        </w:rPr>
        <w:t>85</w:t>
      </w:r>
      <w:r>
        <w:rPr>
          <w:sz w:val="32"/>
          <w:szCs w:val="32"/>
        </w:rPr>
        <w:fldChar w:fldCharType="end"/>
      </w:r>
      <w:r>
        <w:rPr>
          <w:sz w:val="32"/>
          <w:szCs w:val="32"/>
        </w:rPr>
        <w:fldChar w:fldCharType="end"/>
      </w:r>
    </w:p>
    <w:p w14:paraId="5BA56A08">
      <w:pPr>
        <w:pStyle w:val="6"/>
        <w:tabs>
          <w:tab w:val="left" w:pos="2100"/>
          <w:tab w:val="right" w:leader="dot" w:pos="8296"/>
        </w:tabs>
        <w:rPr>
          <w:rFonts w:asciiTheme="minorHAnsi" w:hAnsiTheme="minorHAnsi" w:eastAsiaTheme="minorEastAsia" w:cstheme="minorBidi"/>
          <w:sz w:val="32"/>
          <w:szCs w:val="32"/>
        </w:rPr>
      </w:pPr>
      <w:r>
        <w:fldChar w:fldCharType="begin"/>
      </w:r>
      <w:r>
        <w:instrText xml:space="preserve"> HYPERLINK \l "_Toc218241162" </w:instrText>
      </w:r>
      <w:r>
        <w:fldChar w:fldCharType="separate"/>
      </w:r>
      <w:r>
        <w:rPr>
          <w:rStyle w:val="14"/>
          <w:rFonts w:hint="eastAsia" w:eastAsia="楷体_GB2312"/>
          <w:kern w:val="0"/>
          <w:sz w:val="32"/>
          <w:szCs w:val="32"/>
        </w:rPr>
        <w:t>第三节</w:t>
      </w:r>
      <w:r>
        <w:rPr>
          <w:rFonts w:asciiTheme="minorHAnsi" w:hAnsiTheme="minorHAnsi" w:eastAsiaTheme="minorEastAsia" w:cstheme="minorBidi"/>
          <w:sz w:val="32"/>
          <w:szCs w:val="32"/>
        </w:rPr>
        <w:tab/>
      </w:r>
      <w:r>
        <w:rPr>
          <w:rStyle w:val="14"/>
          <w:rFonts w:hint="eastAsia" w:eastAsia="楷体_GB2312"/>
          <w:kern w:val="0"/>
          <w:sz w:val="32"/>
          <w:szCs w:val="32"/>
        </w:rPr>
        <w:t>丰富群众精神文化生活</w:t>
      </w:r>
      <w:r>
        <w:rPr>
          <w:sz w:val="32"/>
          <w:szCs w:val="32"/>
        </w:rPr>
        <w:tab/>
      </w:r>
      <w:r>
        <w:rPr>
          <w:sz w:val="32"/>
          <w:szCs w:val="32"/>
        </w:rPr>
        <w:fldChar w:fldCharType="begin"/>
      </w:r>
      <w:r>
        <w:rPr>
          <w:sz w:val="32"/>
          <w:szCs w:val="32"/>
        </w:rPr>
        <w:instrText xml:space="preserve"> PAGEREF _Toc218241162 \h </w:instrText>
      </w:r>
      <w:r>
        <w:rPr>
          <w:sz w:val="32"/>
          <w:szCs w:val="32"/>
        </w:rPr>
        <w:fldChar w:fldCharType="separate"/>
      </w:r>
      <w:r>
        <w:rPr>
          <w:sz w:val="32"/>
          <w:szCs w:val="32"/>
        </w:rPr>
        <w:t>86</w:t>
      </w:r>
      <w:r>
        <w:rPr>
          <w:sz w:val="32"/>
          <w:szCs w:val="32"/>
        </w:rPr>
        <w:fldChar w:fldCharType="end"/>
      </w:r>
      <w:r>
        <w:rPr>
          <w:sz w:val="32"/>
          <w:szCs w:val="32"/>
        </w:rPr>
        <w:fldChar w:fldCharType="end"/>
      </w:r>
    </w:p>
    <w:p w14:paraId="115B3121">
      <w:pPr>
        <w:pStyle w:val="8"/>
        <w:tabs>
          <w:tab w:val="right" w:leader="dot" w:pos="8296"/>
        </w:tabs>
        <w:rPr>
          <w:rFonts w:asciiTheme="minorHAnsi" w:hAnsiTheme="minorHAnsi" w:eastAsiaTheme="minorEastAsia" w:cstheme="minorBidi"/>
          <w:sz w:val="32"/>
          <w:szCs w:val="32"/>
        </w:rPr>
      </w:pPr>
      <w:r>
        <w:fldChar w:fldCharType="begin"/>
      </w:r>
      <w:r>
        <w:instrText xml:space="preserve"> HYPERLINK \l "_Toc218241163" </w:instrText>
      </w:r>
      <w:r>
        <w:fldChar w:fldCharType="separate"/>
      </w:r>
      <w:r>
        <w:rPr>
          <w:rStyle w:val="14"/>
          <w:rFonts w:hint="eastAsia" w:eastAsia="方正大标宋简体"/>
          <w:sz w:val="32"/>
          <w:szCs w:val="32"/>
        </w:rPr>
        <w:t>第十篇</w:t>
      </w:r>
      <w:r>
        <w:rPr>
          <w:rStyle w:val="14"/>
          <w:rFonts w:eastAsia="方正大标宋简体"/>
          <w:sz w:val="32"/>
          <w:szCs w:val="32"/>
        </w:rPr>
        <w:t xml:space="preserve">  </w:t>
      </w:r>
      <w:r>
        <w:rPr>
          <w:rStyle w:val="14"/>
          <w:rFonts w:hint="eastAsia" w:eastAsia="方正大标宋简体"/>
          <w:sz w:val="32"/>
          <w:szCs w:val="32"/>
        </w:rPr>
        <w:t>筑牢屏障</w:t>
      </w:r>
      <w:r>
        <w:rPr>
          <w:rStyle w:val="14"/>
          <w:rFonts w:eastAsia="方正大标宋简体"/>
          <w:sz w:val="32"/>
          <w:szCs w:val="32"/>
        </w:rPr>
        <w:t xml:space="preserve">  </w:t>
      </w:r>
      <w:r>
        <w:rPr>
          <w:rStyle w:val="14"/>
          <w:rFonts w:hint="eastAsia" w:eastAsia="方正大标宋简体"/>
          <w:sz w:val="32"/>
          <w:szCs w:val="32"/>
        </w:rPr>
        <w:t>建设天更蓝山更绿水更清美丽理塘</w:t>
      </w:r>
      <w:r>
        <w:rPr>
          <w:sz w:val="32"/>
          <w:szCs w:val="32"/>
        </w:rPr>
        <w:tab/>
      </w:r>
      <w:r>
        <w:rPr>
          <w:sz w:val="32"/>
          <w:szCs w:val="32"/>
        </w:rPr>
        <w:fldChar w:fldCharType="begin"/>
      </w:r>
      <w:r>
        <w:rPr>
          <w:sz w:val="32"/>
          <w:szCs w:val="32"/>
        </w:rPr>
        <w:instrText xml:space="preserve"> PAGEREF _Toc218241163 \h </w:instrText>
      </w:r>
      <w:r>
        <w:rPr>
          <w:sz w:val="32"/>
          <w:szCs w:val="32"/>
        </w:rPr>
        <w:fldChar w:fldCharType="separate"/>
      </w:r>
      <w:r>
        <w:rPr>
          <w:sz w:val="32"/>
          <w:szCs w:val="32"/>
        </w:rPr>
        <w:t>87</w:t>
      </w:r>
      <w:r>
        <w:rPr>
          <w:sz w:val="32"/>
          <w:szCs w:val="32"/>
        </w:rPr>
        <w:fldChar w:fldCharType="end"/>
      </w:r>
      <w:r>
        <w:rPr>
          <w:sz w:val="32"/>
          <w:szCs w:val="32"/>
        </w:rPr>
        <w:fldChar w:fldCharType="end"/>
      </w:r>
    </w:p>
    <w:p w14:paraId="4CCA819B">
      <w:pPr>
        <w:pStyle w:val="9"/>
        <w:tabs>
          <w:tab w:val="right" w:leader="dot" w:pos="8296"/>
        </w:tabs>
        <w:rPr>
          <w:rFonts w:asciiTheme="minorHAnsi" w:hAnsiTheme="minorHAnsi" w:eastAsiaTheme="minorEastAsia" w:cstheme="minorBidi"/>
          <w:sz w:val="32"/>
          <w:szCs w:val="32"/>
        </w:rPr>
      </w:pPr>
      <w:r>
        <w:fldChar w:fldCharType="begin"/>
      </w:r>
      <w:r>
        <w:instrText xml:space="preserve"> HYPERLINK \l "_Toc218241164" </w:instrText>
      </w:r>
      <w:r>
        <w:fldChar w:fldCharType="separate"/>
      </w:r>
      <w:r>
        <w:rPr>
          <w:rStyle w:val="14"/>
          <w:rFonts w:hint="eastAsia" w:eastAsia="黑体"/>
          <w:bCs/>
          <w:kern w:val="0"/>
          <w:sz w:val="32"/>
          <w:szCs w:val="32"/>
        </w:rPr>
        <w:t>第三十章</w:t>
      </w:r>
      <w:r>
        <w:rPr>
          <w:rStyle w:val="14"/>
          <w:rFonts w:eastAsia="黑体"/>
          <w:bCs/>
          <w:kern w:val="0"/>
          <w:sz w:val="32"/>
          <w:szCs w:val="32"/>
        </w:rPr>
        <w:t xml:space="preserve">  </w:t>
      </w:r>
      <w:r>
        <w:rPr>
          <w:rStyle w:val="14"/>
          <w:rFonts w:hint="eastAsia" w:eastAsia="黑体"/>
          <w:bCs/>
          <w:kern w:val="0"/>
          <w:sz w:val="32"/>
          <w:szCs w:val="32"/>
        </w:rPr>
        <w:t>持续推进生态修复治理</w:t>
      </w:r>
      <w:r>
        <w:rPr>
          <w:sz w:val="32"/>
          <w:szCs w:val="32"/>
        </w:rPr>
        <w:tab/>
      </w:r>
      <w:r>
        <w:rPr>
          <w:sz w:val="32"/>
          <w:szCs w:val="32"/>
        </w:rPr>
        <w:fldChar w:fldCharType="begin"/>
      </w:r>
      <w:r>
        <w:rPr>
          <w:sz w:val="32"/>
          <w:szCs w:val="32"/>
        </w:rPr>
        <w:instrText xml:space="preserve"> PAGEREF _Toc218241164 \h </w:instrText>
      </w:r>
      <w:r>
        <w:rPr>
          <w:sz w:val="32"/>
          <w:szCs w:val="32"/>
        </w:rPr>
        <w:fldChar w:fldCharType="separate"/>
      </w:r>
      <w:r>
        <w:rPr>
          <w:sz w:val="32"/>
          <w:szCs w:val="32"/>
        </w:rPr>
        <w:t>88</w:t>
      </w:r>
      <w:r>
        <w:rPr>
          <w:sz w:val="32"/>
          <w:szCs w:val="32"/>
        </w:rPr>
        <w:fldChar w:fldCharType="end"/>
      </w:r>
      <w:r>
        <w:rPr>
          <w:sz w:val="32"/>
          <w:szCs w:val="32"/>
        </w:rPr>
        <w:fldChar w:fldCharType="end"/>
      </w:r>
    </w:p>
    <w:p w14:paraId="6AED2B9B">
      <w:pPr>
        <w:pStyle w:val="6"/>
        <w:tabs>
          <w:tab w:val="left" w:pos="2100"/>
          <w:tab w:val="right" w:leader="dot" w:pos="8296"/>
        </w:tabs>
        <w:rPr>
          <w:rFonts w:asciiTheme="minorHAnsi" w:hAnsiTheme="minorHAnsi" w:eastAsiaTheme="minorEastAsia" w:cstheme="minorBidi"/>
          <w:sz w:val="32"/>
          <w:szCs w:val="32"/>
        </w:rPr>
      </w:pPr>
      <w:r>
        <w:fldChar w:fldCharType="begin"/>
      </w:r>
      <w:r>
        <w:instrText xml:space="preserve"> HYPERLINK \l "_Toc218241165" </w:instrText>
      </w:r>
      <w:r>
        <w:fldChar w:fldCharType="separate"/>
      </w:r>
      <w:r>
        <w:rPr>
          <w:rStyle w:val="14"/>
          <w:rFonts w:hint="eastAsia" w:eastAsia="楷体_GB2312"/>
          <w:kern w:val="0"/>
          <w:sz w:val="32"/>
          <w:szCs w:val="32"/>
        </w:rPr>
        <w:t>第一节</w:t>
      </w:r>
      <w:r>
        <w:rPr>
          <w:rFonts w:asciiTheme="minorHAnsi" w:hAnsiTheme="minorHAnsi" w:eastAsiaTheme="minorEastAsia" w:cstheme="minorBidi"/>
          <w:sz w:val="32"/>
          <w:szCs w:val="32"/>
        </w:rPr>
        <w:tab/>
      </w:r>
      <w:r>
        <w:rPr>
          <w:rStyle w:val="14"/>
          <w:rFonts w:hint="eastAsia" w:eastAsia="楷体_GB2312"/>
          <w:kern w:val="0"/>
          <w:sz w:val="32"/>
          <w:szCs w:val="32"/>
        </w:rPr>
        <w:t>科学开展国土绿化行动</w:t>
      </w:r>
      <w:r>
        <w:rPr>
          <w:sz w:val="32"/>
          <w:szCs w:val="32"/>
        </w:rPr>
        <w:tab/>
      </w:r>
      <w:r>
        <w:rPr>
          <w:sz w:val="32"/>
          <w:szCs w:val="32"/>
        </w:rPr>
        <w:fldChar w:fldCharType="begin"/>
      </w:r>
      <w:r>
        <w:rPr>
          <w:sz w:val="32"/>
          <w:szCs w:val="32"/>
        </w:rPr>
        <w:instrText xml:space="preserve"> PAGEREF _Toc218241165 \h </w:instrText>
      </w:r>
      <w:r>
        <w:rPr>
          <w:sz w:val="32"/>
          <w:szCs w:val="32"/>
        </w:rPr>
        <w:fldChar w:fldCharType="separate"/>
      </w:r>
      <w:r>
        <w:rPr>
          <w:sz w:val="32"/>
          <w:szCs w:val="32"/>
        </w:rPr>
        <w:t>88</w:t>
      </w:r>
      <w:r>
        <w:rPr>
          <w:sz w:val="32"/>
          <w:szCs w:val="32"/>
        </w:rPr>
        <w:fldChar w:fldCharType="end"/>
      </w:r>
      <w:r>
        <w:rPr>
          <w:sz w:val="32"/>
          <w:szCs w:val="32"/>
        </w:rPr>
        <w:fldChar w:fldCharType="end"/>
      </w:r>
    </w:p>
    <w:p w14:paraId="2E2015A7">
      <w:pPr>
        <w:pStyle w:val="6"/>
        <w:tabs>
          <w:tab w:val="left" w:pos="2100"/>
          <w:tab w:val="right" w:leader="dot" w:pos="8296"/>
        </w:tabs>
        <w:rPr>
          <w:rFonts w:asciiTheme="minorHAnsi" w:hAnsiTheme="minorHAnsi" w:eastAsiaTheme="minorEastAsia" w:cstheme="minorBidi"/>
          <w:sz w:val="32"/>
          <w:szCs w:val="32"/>
        </w:rPr>
      </w:pPr>
      <w:r>
        <w:fldChar w:fldCharType="begin"/>
      </w:r>
      <w:r>
        <w:instrText xml:space="preserve"> HYPERLINK \l "_Toc218241166" </w:instrText>
      </w:r>
      <w:r>
        <w:fldChar w:fldCharType="separate"/>
      </w:r>
      <w:r>
        <w:rPr>
          <w:rStyle w:val="14"/>
          <w:rFonts w:hint="eastAsia" w:eastAsia="楷体_GB2312"/>
          <w:kern w:val="0"/>
          <w:sz w:val="32"/>
          <w:szCs w:val="32"/>
        </w:rPr>
        <w:t>第二节</w:t>
      </w:r>
      <w:r>
        <w:rPr>
          <w:rFonts w:asciiTheme="minorHAnsi" w:hAnsiTheme="minorHAnsi" w:eastAsiaTheme="minorEastAsia" w:cstheme="minorBidi"/>
          <w:sz w:val="32"/>
          <w:szCs w:val="32"/>
        </w:rPr>
        <w:tab/>
      </w:r>
      <w:r>
        <w:rPr>
          <w:rStyle w:val="14"/>
          <w:rFonts w:hint="eastAsia" w:eastAsia="楷体_GB2312"/>
          <w:kern w:val="0"/>
          <w:sz w:val="32"/>
          <w:szCs w:val="32"/>
        </w:rPr>
        <w:t>加强自然生态系统保护</w:t>
      </w:r>
      <w:r>
        <w:rPr>
          <w:sz w:val="32"/>
          <w:szCs w:val="32"/>
        </w:rPr>
        <w:tab/>
      </w:r>
      <w:r>
        <w:rPr>
          <w:sz w:val="32"/>
          <w:szCs w:val="32"/>
        </w:rPr>
        <w:fldChar w:fldCharType="begin"/>
      </w:r>
      <w:r>
        <w:rPr>
          <w:sz w:val="32"/>
          <w:szCs w:val="32"/>
        </w:rPr>
        <w:instrText xml:space="preserve"> PAGEREF _Toc218241166 \h </w:instrText>
      </w:r>
      <w:r>
        <w:rPr>
          <w:sz w:val="32"/>
          <w:szCs w:val="32"/>
        </w:rPr>
        <w:fldChar w:fldCharType="separate"/>
      </w:r>
      <w:r>
        <w:rPr>
          <w:sz w:val="32"/>
          <w:szCs w:val="32"/>
        </w:rPr>
        <w:t>88</w:t>
      </w:r>
      <w:r>
        <w:rPr>
          <w:sz w:val="32"/>
          <w:szCs w:val="32"/>
        </w:rPr>
        <w:fldChar w:fldCharType="end"/>
      </w:r>
      <w:r>
        <w:rPr>
          <w:sz w:val="32"/>
          <w:szCs w:val="32"/>
        </w:rPr>
        <w:fldChar w:fldCharType="end"/>
      </w:r>
    </w:p>
    <w:p w14:paraId="0A0EEE94">
      <w:pPr>
        <w:pStyle w:val="6"/>
        <w:tabs>
          <w:tab w:val="left" w:pos="2100"/>
          <w:tab w:val="right" w:leader="dot" w:pos="8296"/>
        </w:tabs>
        <w:rPr>
          <w:rFonts w:asciiTheme="minorHAnsi" w:hAnsiTheme="minorHAnsi" w:eastAsiaTheme="minorEastAsia" w:cstheme="minorBidi"/>
          <w:sz w:val="32"/>
          <w:szCs w:val="32"/>
        </w:rPr>
      </w:pPr>
      <w:r>
        <w:fldChar w:fldCharType="begin"/>
      </w:r>
      <w:r>
        <w:instrText xml:space="preserve"> HYPERLINK \l "_Toc218241167" </w:instrText>
      </w:r>
      <w:r>
        <w:fldChar w:fldCharType="separate"/>
      </w:r>
      <w:r>
        <w:rPr>
          <w:rStyle w:val="14"/>
          <w:rFonts w:hint="eastAsia" w:eastAsia="楷体_GB2312"/>
          <w:kern w:val="0"/>
          <w:sz w:val="32"/>
          <w:szCs w:val="32"/>
        </w:rPr>
        <w:t>第三节</w:t>
      </w:r>
      <w:r>
        <w:rPr>
          <w:rFonts w:asciiTheme="minorHAnsi" w:hAnsiTheme="minorHAnsi" w:eastAsiaTheme="minorEastAsia" w:cstheme="minorBidi"/>
          <w:sz w:val="32"/>
          <w:szCs w:val="32"/>
        </w:rPr>
        <w:tab/>
      </w:r>
      <w:r>
        <w:rPr>
          <w:rStyle w:val="14"/>
          <w:rFonts w:hint="eastAsia" w:eastAsia="楷体_GB2312"/>
          <w:kern w:val="0"/>
          <w:sz w:val="32"/>
          <w:szCs w:val="32"/>
        </w:rPr>
        <w:t>持续修复退化生态系统</w:t>
      </w:r>
      <w:r>
        <w:rPr>
          <w:sz w:val="32"/>
          <w:szCs w:val="32"/>
        </w:rPr>
        <w:tab/>
      </w:r>
      <w:r>
        <w:rPr>
          <w:sz w:val="32"/>
          <w:szCs w:val="32"/>
        </w:rPr>
        <w:fldChar w:fldCharType="begin"/>
      </w:r>
      <w:r>
        <w:rPr>
          <w:sz w:val="32"/>
          <w:szCs w:val="32"/>
        </w:rPr>
        <w:instrText xml:space="preserve"> PAGEREF _Toc218241167 \h </w:instrText>
      </w:r>
      <w:r>
        <w:rPr>
          <w:sz w:val="32"/>
          <w:szCs w:val="32"/>
        </w:rPr>
        <w:fldChar w:fldCharType="separate"/>
      </w:r>
      <w:r>
        <w:rPr>
          <w:sz w:val="32"/>
          <w:szCs w:val="32"/>
        </w:rPr>
        <w:t>89</w:t>
      </w:r>
      <w:r>
        <w:rPr>
          <w:sz w:val="32"/>
          <w:szCs w:val="32"/>
        </w:rPr>
        <w:fldChar w:fldCharType="end"/>
      </w:r>
      <w:r>
        <w:rPr>
          <w:sz w:val="32"/>
          <w:szCs w:val="32"/>
        </w:rPr>
        <w:fldChar w:fldCharType="end"/>
      </w:r>
    </w:p>
    <w:p w14:paraId="6775696D">
      <w:pPr>
        <w:pStyle w:val="6"/>
        <w:tabs>
          <w:tab w:val="left" w:pos="2100"/>
          <w:tab w:val="right" w:leader="dot" w:pos="8296"/>
        </w:tabs>
        <w:rPr>
          <w:rFonts w:asciiTheme="minorHAnsi" w:hAnsiTheme="minorHAnsi" w:eastAsiaTheme="minorEastAsia" w:cstheme="minorBidi"/>
          <w:sz w:val="32"/>
          <w:szCs w:val="32"/>
        </w:rPr>
      </w:pPr>
      <w:r>
        <w:fldChar w:fldCharType="begin"/>
      </w:r>
      <w:r>
        <w:instrText xml:space="preserve"> HYPERLINK \l "_Toc218241168" </w:instrText>
      </w:r>
      <w:r>
        <w:fldChar w:fldCharType="separate"/>
      </w:r>
      <w:r>
        <w:rPr>
          <w:rStyle w:val="14"/>
          <w:rFonts w:hint="eastAsia" w:eastAsia="楷体_GB2312"/>
          <w:kern w:val="0"/>
          <w:sz w:val="32"/>
          <w:szCs w:val="32"/>
        </w:rPr>
        <w:t>第四节</w:t>
      </w:r>
      <w:r>
        <w:rPr>
          <w:rFonts w:asciiTheme="minorHAnsi" w:hAnsiTheme="minorHAnsi" w:eastAsiaTheme="minorEastAsia" w:cstheme="minorBidi"/>
          <w:sz w:val="32"/>
          <w:szCs w:val="32"/>
        </w:rPr>
        <w:tab/>
      </w:r>
      <w:r>
        <w:rPr>
          <w:rStyle w:val="14"/>
          <w:rFonts w:hint="eastAsia" w:eastAsia="楷体_GB2312"/>
          <w:kern w:val="0"/>
          <w:sz w:val="32"/>
          <w:szCs w:val="32"/>
        </w:rPr>
        <w:t>加强生物多样性保护</w:t>
      </w:r>
      <w:r>
        <w:rPr>
          <w:sz w:val="32"/>
          <w:szCs w:val="32"/>
        </w:rPr>
        <w:tab/>
      </w:r>
      <w:r>
        <w:rPr>
          <w:sz w:val="32"/>
          <w:szCs w:val="32"/>
        </w:rPr>
        <w:fldChar w:fldCharType="begin"/>
      </w:r>
      <w:r>
        <w:rPr>
          <w:sz w:val="32"/>
          <w:szCs w:val="32"/>
        </w:rPr>
        <w:instrText xml:space="preserve"> PAGEREF _Toc218241168 \h </w:instrText>
      </w:r>
      <w:r>
        <w:rPr>
          <w:sz w:val="32"/>
          <w:szCs w:val="32"/>
        </w:rPr>
        <w:fldChar w:fldCharType="separate"/>
      </w:r>
      <w:r>
        <w:rPr>
          <w:sz w:val="32"/>
          <w:szCs w:val="32"/>
        </w:rPr>
        <w:t>89</w:t>
      </w:r>
      <w:r>
        <w:rPr>
          <w:sz w:val="32"/>
          <w:szCs w:val="32"/>
        </w:rPr>
        <w:fldChar w:fldCharType="end"/>
      </w:r>
      <w:r>
        <w:rPr>
          <w:sz w:val="32"/>
          <w:szCs w:val="32"/>
        </w:rPr>
        <w:fldChar w:fldCharType="end"/>
      </w:r>
    </w:p>
    <w:p w14:paraId="4089C1FC">
      <w:pPr>
        <w:pStyle w:val="9"/>
        <w:tabs>
          <w:tab w:val="right" w:leader="dot" w:pos="8296"/>
        </w:tabs>
        <w:rPr>
          <w:rFonts w:asciiTheme="minorHAnsi" w:hAnsiTheme="minorHAnsi" w:eastAsiaTheme="minorEastAsia" w:cstheme="minorBidi"/>
          <w:sz w:val="32"/>
          <w:szCs w:val="32"/>
        </w:rPr>
      </w:pPr>
      <w:r>
        <w:fldChar w:fldCharType="begin"/>
      </w:r>
      <w:r>
        <w:instrText xml:space="preserve"> HYPERLINK \l "_Toc218241169" </w:instrText>
      </w:r>
      <w:r>
        <w:fldChar w:fldCharType="separate"/>
      </w:r>
      <w:r>
        <w:rPr>
          <w:rStyle w:val="14"/>
          <w:rFonts w:hint="eastAsia" w:eastAsia="黑体"/>
          <w:bCs/>
          <w:kern w:val="0"/>
          <w:sz w:val="32"/>
          <w:szCs w:val="32"/>
        </w:rPr>
        <w:t>第三十一章</w:t>
      </w:r>
      <w:r>
        <w:rPr>
          <w:rStyle w:val="14"/>
          <w:rFonts w:eastAsia="黑体"/>
          <w:bCs/>
          <w:kern w:val="0"/>
          <w:sz w:val="32"/>
          <w:szCs w:val="32"/>
        </w:rPr>
        <w:t xml:space="preserve">  </w:t>
      </w:r>
      <w:r>
        <w:rPr>
          <w:rStyle w:val="14"/>
          <w:rFonts w:hint="eastAsia" w:eastAsia="黑体"/>
          <w:bCs/>
          <w:kern w:val="0"/>
          <w:sz w:val="32"/>
          <w:szCs w:val="32"/>
        </w:rPr>
        <w:t>深入推进环境污染治理</w:t>
      </w:r>
      <w:r>
        <w:rPr>
          <w:sz w:val="32"/>
          <w:szCs w:val="32"/>
        </w:rPr>
        <w:tab/>
      </w:r>
      <w:r>
        <w:rPr>
          <w:sz w:val="32"/>
          <w:szCs w:val="32"/>
        </w:rPr>
        <w:fldChar w:fldCharType="begin"/>
      </w:r>
      <w:r>
        <w:rPr>
          <w:sz w:val="32"/>
          <w:szCs w:val="32"/>
        </w:rPr>
        <w:instrText xml:space="preserve"> PAGEREF _Toc218241169 \h </w:instrText>
      </w:r>
      <w:r>
        <w:rPr>
          <w:sz w:val="32"/>
          <w:szCs w:val="32"/>
        </w:rPr>
        <w:fldChar w:fldCharType="separate"/>
      </w:r>
      <w:r>
        <w:rPr>
          <w:sz w:val="32"/>
          <w:szCs w:val="32"/>
        </w:rPr>
        <w:t>90</w:t>
      </w:r>
      <w:r>
        <w:rPr>
          <w:sz w:val="32"/>
          <w:szCs w:val="32"/>
        </w:rPr>
        <w:fldChar w:fldCharType="end"/>
      </w:r>
      <w:r>
        <w:rPr>
          <w:sz w:val="32"/>
          <w:szCs w:val="32"/>
        </w:rPr>
        <w:fldChar w:fldCharType="end"/>
      </w:r>
    </w:p>
    <w:p w14:paraId="34EC5A4F">
      <w:pPr>
        <w:pStyle w:val="6"/>
        <w:tabs>
          <w:tab w:val="left" w:pos="2100"/>
          <w:tab w:val="right" w:leader="dot" w:pos="8296"/>
        </w:tabs>
        <w:rPr>
          <w:rFonts w:asciiTheme="minorHAnsi" w:hAnsiTheme="minorHAnsi" w:eastAsiaTheme="minorEastAsia" w:cstheme="minorBidi"/>
          <w:sz w:val="32"/>
          <w:szCs w:val="32"/>
        </w:rPr>
      </w:pPr>
      <w:r>
        <w:fldChar w:fldCharType="begin"/>
      </w:r>
      <w:r>
        <w:instrText xml:space="preserve"> HYPERLINK \l "_Toc218241170" </w:instrText>
      </w:r>
      <w:r>
        <w:fldChar w:fldCharType="separate"/>
      </w:r>
      <w:r>
        <w:rPr>
          <w:rStyle w:val="14"/>
          <w:rFonts w:hint="eastAsia" w:eastAsia="楷体_GB2312"/>
          <w:kern w:val="0"/>
          <w:sz w:val="32"/>
          <w:szCs w:val="32"/>
        </w:rPr>
        <w:t>第一节</w:t>
      </w:r>
      <w:r>
        <w:rPr>
          <w:rFonts w:asciiTheme="minorHAnsi" w:hAnsiTheme="minorHAnsi" w:eastAsiaTheme="minorEastAsia" w:cstheme="minorBidi"/>
          <w:sz w:val="32"/>
          <w:szCs w:val="32"/>
        </w:rPr>
        <w:tab/>
      </w:r>
      <w:r>
        <w:rPr>
          <w:rStyle w:val="14"/>
          <w:rFonts w:hint="eastAsia" w:eastAsia="楷体_GB2312"/>
          <w:kern w:val="0"/>
          <w:sz w:val="32"/>
          <w:szCs w:val="32"/>
        </w:rPr>
        <w:t>打好污染防治攻坚战</w:t>
      </w:r>
      <w:r>
        <w:rPr>
          <w:sz w:val="32"/>
          <w:szCs w:val="32"/>
        </w:rPr>
        <w:tab/>
      </w:r>
      <w:r>
        <w:rPr>
          <w:sz w:val="32"/>
          <w:szCs w:val="32"/>
        </w:rPr>
        <w:fldChar w:fldCharType="begin"/>
      </w:r>
      <w:r>
        <w:rPr>
          <w:sz w:val="32"/>
          <w:szCs w:val="32"/>
        </w:rPr>
        <w:instrText xml:space="preserve"> PAGEREF _Toc218241170 \h </w:instrText>
      </w:r>
      <w:r>
        <w:rPr>
          <w:sz w:val="32"/>
          <w:szCs w:val="32"/>
        </w:rPr>
        <w:fldChar w:fldCharType="separate"/>
      </w:r>
      <w:r>
        <w:rPr>
          <w:sz w:val="32"/>
          <w:szCs w:val="32"/>
        </w:rPr>
        <w:t>90</w:t>
      </w:r>
      <w:r>
        <w:rPr>
          <w:sz w:val="32"/>
          <w:szCs w:val="32"/>
        </w:rPr>
        <w:fldChar w:fldCharType="end"/>
      </w:r>
      <w:r>
        <w:rPr>
          <w:sz w:val="32"/>
          <w:szCs w:val="32"/>
        </w:rPr>
        <w:fldChar w:fldCharType="end"/>
      </w:r>
    </w:p>
    <w:p w14:paraId="6C5D6B75">
      <w:pPr>
        <w:pStyle w:val="6"/>
        <w:tabs>
          <w:tab w:val="left" w:pos="2100"/>
          <w:tab w:val="right" w:leader="dot" w:pos="8296"/>
        </w:tabs>
        <w:rPr>
          <w:rFonts w:asciiTheme="minorHAnsi" w:hAnsiTheme="minorHAnsi" w:eastAsiaTheme="minorEastAsia" w:cstheme="minorBidi"/>
          <w:sz w:val="32"/>
          <w:szCs w:val="32"/>
        </w:rPr>
      </w:pPr>
      <w:r>
        <w:fldChar w:fldCharType="begin"/>
      </w:r>
      <w:r>
        <w:instrText xml:space="preserve"> HYPERLINK \l "_Toc218241171" </w:instrText>
      </w:r>
      <w:r>
        <w:fldChar w:fldCharType="separate"/>
      </w:r>
      <w:r>
        <w:rPr>
          <w:rStyle w:val="14"/>
          <w:rFonts w:hint="eastAsia" w:eastAsia="楷体_GB2312"/>
          <w:kern w:val="0"/>
          <w:sz w:val="32"/>
          <w:szCs w:val="32"/>
        </w:rPr>
        <w:t>第二节</w:t>
      </w:r>
      <w:r>
        <w:rPr>
          <w:rFonts w:asciiTheme="minorHAnsi" w:hAnsiTheme="minorHAnsi" w:eastAsiaTheme="minorEastAsia" w:cstheme="minorBidi"/>
          <w:sz w:val="32"/>
          <w:szCs w:val="32"/>
        </w:rPr>
        <w:tab/>
      </w:r>
      <w:r>
        <w:rPr>
          <w:rStyle w:val="14"/>
          <w:rFonts w:hint="eastAsia" w:eastAsia="楷体_GB2312"/>
          <w:kern w:val="0"/>
          <w:sz w:val="32"/>
          <w:szCs w:val="32"/>
        </w:rPr>
        <w:t>加强城乡环境综合治理</w:t>
      </w:r>
      <w:r>
        <w:rPr>
          <w:sz w:val="32"/>
          <w:szCs w:val="32"/>
        </w:rPr>
        <w:tab/>
      </w:r>
      <w:r>
        <w:rPr>
          <w:sz w:val="32"/>
          <w:szCs w:val="32"/>
        </w:rPr>
        <w:fldChar w:fldCharType="begin"/>
      </w:r>
      <w:r>
        <w:rPr>
          <w:sz w:val="32"/>
          <w:szCs w:val="32"/>
        </w:rPr>
        <w:instrText xml:space="preserve"> PAGEREF _Toc218241171 \h </w:instrText>
      </w:r>
      <w:r>
        <w:rPr>
          <w:sz w:val="32"/>
          <w:szCs w:val="32"/>
        </w:rPr>
        <w:fldChar w:fldCharType="separate"/>
      </w:r>
      <w:r>
        <w:rPr>
          <w:sz w:val="32"/>
          <w:szCs w:val="32"/>
        </w:rPr>
        <w:t>90</w:t>
      </w:r>
      <w:r>
        <w:rPr>
          <w:sz w:val="32"/>
          <w:szCs w:val="32"/>
        </w:rPr>
        <w:fldChar w:fldCharType="end"/>
      </w:r>
      <w:r>
        <w:rPr>
          <w:sz w:val="32"/>
          <w:szCs w:val="32"/>
        </w:rPr>
        <w:fldChar w:fldCharType="end"/>
      </w:r>
    </w:p>
    <w:p w14:paraId="216BE8E4">
      <w:pPr>
        <w:pStyle w:val="6"/>
        <w:tabs>
          <w:tab w:val="left" w:pos="2100"/>
          <w:tab w:val="right" w:leader="dot" w:pos="8296"/>
        </w:tabs>
        <w:rPr>
          <w:rFonts w:asciiTheme="minorHAnsi" w:hAnsiTheme="minorHAnsi" w:eastAsiaTheme="minorEastAsia" w:cstheme="minorBidi"/>
          <w:sz w:val="32"/>
          <w:szCs w:val="32"/>
        </w:rPr>
      </w:pPr>
      <w:r>
        <w:fldChar w:fldCharType="begin"/>
      </w:r>
      <w:r>
        <w:instrText xml:space="preserve"> HYPERLINK \l "_Toc218241172" </w:instrText>
      </w:r>
      <w:r>
        <w:fldChar w:fldCharType="separate"/>
      </w:r>
      <w:r>
        <w:rPr>
          <w:rStyle w:val="14"/>
          <w:rFonts w:hint="eastAsia" w:eastAsia="楷体_GB2312"/>
          <w:kern w:val="0"/>
          <w:sz w:val="32"/>
          <w:szCs w:val="32"/>
        </w:rPr>
        <w:t>第三节</w:t>
      </w:r>
      <w:r>
        <w:rPr>
          <w:rFonts w:asciiTheme="minorHAnsi" w:hAnsiTheme="minorHAnsi" w:eastAsiaTheme="minorEastAsia" w:cstheme="minorBidi"/>
          <w:sz w:val="32"/>
          <w:szCs w:val="32"/>
        </w:rPr>
        <w:tab/>
      </w:r>
      <w:r>
        <w:rPr>
          <w:rStyle w:val="14"/>
          <w:rFonts w:hint="eastAsia" w:eastAsia="楷体_GB2312"/>
          <w:kern w:val="0"/>
          <w:sz w:val="32"/>
          <w:szCs w:val="32"/>
        </w:rPr>
        <w:t>提升环境治理效能</w:t>
      </w:r>
      <w:r>
        <w:rPr>
          <w:sz w:val="32"/>
          <w:szCs w:val="32"/>
        </w:rPr>
        <w:tab/>
      </w:r>
      <w:r>
        <w:rPr>
          <w:sz w:val="32"/>
          <w:szCs w:val="32"/>
        </w:rPr>
        <w:fldChar w:fldCharType="begin"/>
      </w:r>
      <w:r>
        <w:rPr>
          <w:sz w:val="32"/>
          <w:szCs w:val="32"/>
        </w:rPr>
        <w:instrText xml:space="preserve"> PAGEREF _Toc218241172 \h </w:instrText>
      </w:r>
      <w:r>
        <w:rPr>
          <w:sz w:val="32"/>
          <w:szCs w:val="32"/>
        </w:rPr>
        <w:fldChar w:fldCharType="separate"/>
      </w:r>
      <w:r>
        <w:rPr>
          <w:sz w:val="32"/>
          <w:szCs w:val="32"/>
        </w:rPr>
        <w:t>91</w:t>
      </w:r>
      <w:r>
        <w:rPr>
          <w:sz w:val="32"/>
          <w:szCs w:val="32"/>
        </w:rPr>
        <w:fldChar w:fldCharType="end"/>
      </w:r>
      <w:r>
        <w:rPr>
          <w:sz w:val="32"/>
          <w:szCs w:val="32"/>
        </w:rPr>
        <w:fldChar w:fldCharType="end"/>
      </w:r>
    </w:p>
    <w:p w14:paraId="5CCB0A2B">
      <w:pPr>
        <w:pStyle w:val="9"/>
        <w:tabs>
          <w:tab w:val="right" w:leader="dot" w:pos="8296"/>
        </w:tabs>
        <w:rPr>
          <w:rFonts w:asciiTheme="minorHAnsi" w:hAnsiTheme="minorHAnsi" w:eastAsiaTheme="minorEastAsia" w:cstheme="minorBidi"/>
          <w:sz w:val="32"/>
          <w:szCs w:val="32"/>
        </w:rPr>
      </w:pPr>
      <w:r>
        <w:fldChar w:fldCharType="begin"/>
      </w:r>
      <w:r>
        <w:instrText xml:space="preserve"> HYPERLINK \l "_Toc218241173" </w:instrText>
      </w:r>
      <w:r>
        <w:fldChar w:fldCharType="separate"/>
      </w:r>
      <w:r>
        <w:rPr>
          <w:rStyle w:val="14"/>
          <w:rFonts w:hint="eastAsia" w:eastAsia="黑体"/>
          <w:bCs/>
          <w:kern w:val="0"/>
          <w:sz w:val="32"/>
          <w:szCs w:val="32"/>
        </w:rPr>
        <w:t>第三十二章</w:t>
      </w:r>
      <w:r>
        <w:rPr>
          <w:rStyle w:val="14"/>
          <w:rFonts w:eastAsia="黑体"/>
          <w:bCs/>
          <w:kern w:val="0"/>
          <w:sz w:val="32"/>
          <w:szCs w:val="32"/>
        </w:rPr>
        <w:t xml:space="preserve">  </w:t>
      </w:r>
      <w:r>
        <w:rPr>
          <w:rStyle w:val="14"/>
          <w:rFonts w:hint="eastAsia" w:eastAsia="黑体"/>
          <w:bCs/>
          <w:kern w:val="0"/>
          <w:sz w:val="32"/>
          <w:szCs w:val="32"/>
        </w:rPr>
        <w:t>推动发展方式绿色转型</w:t>
      </w:r>
      <w:r>
        <w:rPr>
          <w:sz w:val="32"/>
          <w:szCs w:val="32"/>
        </w:rPr>
        <w:tab/>
      </w:r>
      <w:r>
        <w:rPr>
          <w:sz w:val="32"/>
          <w:szCs w:val="32"/>
        </w:rPr>
        <w:fldChar w:fldCharType="begin"/>
      </w:r>
      <w:r>
        <w:rPr>
          <w:sz w:val="32"/>
          <w:szCs w:val="32"/>
        </w:rPr>
        <w:instrText xml:space="preserve"> PAGEREF _Toc218241173 \h </w:instrText>
      </w:r>
      <w:r>
        <w:rPr>
          <w:sz w:val="32"/>
          <w:szCs w:val="32"/>
        </w:rPr>
        <w:fldChar w:fldCharType="separate"/>
      </w:r>
      <w:r>
        <w:rPr>
          <w:sz w:val="32"/>
          <w:szCs w:val="32"/>
        </w:rPr>
        <w:t>92</w:t>
      </w:r>
      <w:r>
        <w:rPr>
          <w:sz w:val="32"/>
          <w:szCs w:val="32"/>
        </w:rPr>
        <w:fldChar w:fldCharType="end"/>
      </w:r>
      <w:r>
        <w:rPr>
          <w:sz w:val="32"/>
          <w:szCs w:val="32"/>
        </w:rPr>
        <w:fldChar w:fldCharType="end"/>
      </w:r>
    </w:p>
    <w:p w14:paraId="6A541180">
      <w:pPr>
        <w:pStyle w:val="6"/>
        <w:tabs>
          <w:tab w:val="left" w:pos="2100"/>
          <w:tab w:val="right" w:leader="dot" w:pos="8296"/>
        </w:tabs>
        <w:rPr>
          <w:rFonts w:asciiTheme="minorHAnsi" w:hAnsiTheme="minorHAnsi" w:eastAsiaTheme="minorEastAsia" w:cstheme="minorBidi"/>
          <w:sz w:val="32"/>
          <w:szCs w:val="32"/>
        </w:rPr>
      </w:pPr>
      <w:r>
        <w:fldChar w:fldCharType="begin"/>
      </w:r>
      <w:r>
        <w:instrText xml:space="preserve"> HYPERLINK \l "_Toc218241174" </w:instrText>
      </w:r>
      <w:r>
        <w:fldChar w:fldCharType="separate"/>
      </w:r>
      <w:r>
        <w:rPr>
          <w:rStyle w:val="14"/>
          <w:rFonts w:hint="eastAsia" w:eastAsia="楷体_GB2312"/>
          <w:kern w:val="0"/>
          <w:sz w:val="32"/>
          <w:szCs w:val="32"/>
        </w:rPr>
        <w:t>第一节</w:t>
      </w:r>
      <w:r>
        <w:rPr>
          <w:rFonts w:asciiTheme="minorHAnsi" w:hAnsiTheme="minorHAnsi" w:eastAsiaTheme="minorEastAsia" w:cstheme="minorBidi"/>
          <w:sz w:val="32"/>
          <w:szCs w:val="32"/>
        </w:rPr>
        <w:tab/>
      </w:r>
      <w:r>
        <w:rPr>
          <w:rStyle w:val="14"/>
          <w:rFonts w:hint="eastAsia" w:eastAsia="楷体_GB2312"/>
          <w:kern w:val="0"/>
          <w:sz w:val="32"/>
          <w:szCs w:val="32"/>
        </w:rPr>
        <w:t>构建绿色生产方式</w:t>
      </w:r>
      <w:r>
        <w:rPr>
          <w:sz w:val="32"/>
          <w:szCs w:val="32"/>
        </w:rPr>
        <w:tab/>
      </w:r>
      <w:r>
        <w:rPr>
          <w:sz w:val="32"/>
          <w:szCs w:val="32"/>
        </w:rPr>
        <w:fldChar w:fldCharType="begin"/>
      </w:r>
      <w:r>
        <w:rPr>
          <w:sz w:val="32"/>
          <w:szCs w:val="32"/>
        </w:rPr>
        <w:instrText xml:space="preserve"> PAGEREF _Toc218241174 \h </w:instrText>
      </w:r>
      <w:r>
        <w:rPr>
          <w:sz w:val="32"/>
          <w:szCs w:val="32"/>
        </w:rPr>
        <w:fldChar w:fldCharType="separate"/>
      </w:r>
      <w:r>
        <w:rPr>
          <w:sz w:val="32"/>
          <w:szCs w:val="32"/>
        </w:rPr>
        <w:t>92</w:t>
      </w:r>
      <w:r>
        <w:rPr>
          <w:sz w:val="32"/>
          <w:szCs w:val="32"/>
        </w:rPr>
        <w:fldChar w:fldCharType="end"/>
      </w:r>
      <w:r>
        <w:rPr>
          <w:sz w:val="32"/>
          <w:szCs w:val="32"/>
        </w:rPr>
        <w:fldChar w:fldCharType="end"/>
      </w:r>
    </w:p>
    <w:p w14:paraId="4E1CD9B1">
      <w:pPr>
        <w:pStyle w:val="6"/>
        <w:tabs>
          <w:tab w:val="left" w:pos="2100"/>
          <w:tab w:val="right" w:leader="dot" w:pos="8296"/>
        </w:tabs>
        <w:rPr>
          <w:rFonts w:asciiTheme="minorHAnsi" w:hAnsiTheme="minorHAnsi" w:eastAsiaTheme="minorEastAsia" w:cstheme="minorBidi"/>
          <w:sz w:val="32"/>
          <w:szCs w:val="32"/>
        </w:rPr>
      </w:pPr>
      <w:r>
        <w:fldChar w:fldCharType="begin"/>
      </w:r>
      <w:r>
        <w:instrText xml:space="preserve"> HYPERLINK \l "_Toc218241175" </w:instrText>
      </w:r>
      <w:r>
        <w:fldChar w:fldCharType="separate"/>
      </w:r>
      <w:r>
        <w:rPr>
          <w:rStyle w:val="14"/>
          <w:rFonts w:hint="eastAsia" w:eastAsia="楷体_GB2312"/>
          <w:kern w:val="0"/>
          <w:sz w:val="32"/>
          <w:szCs w:val="32"/>
        </w:rPr>
        <w:t>第二节</w:t>
      </w:r>
      <w:r>
        <w:rPr>
          <w:rFonts w:asciiTheme="minorHAnsi" w:hAnsiTheme="minorHAnsi" w:eastAsiaTheme="minorEastAsia" w:cstheme="minorBidi"/>
          <w:sz w:val="32"/>
          <w:szCs w:val="32"/>
        </w:rPr>
        <w:tab/>
      </w:r>
      <w:r>
        <w:rPr>
          <w:rStyle w:val="14"/>
          <w:rFonts w:hint="eastAsia" w:eastAsia="楷体_GB2312"/>
          <w:kern w:val="0"/>
          <w:sz w:val="32"/>
          <w:szCs w:val="32"/>
        </w:rPr>
        <w:t>加强资源节约集约循环利用</w:t>
      </w:r>
      <w:r>
        <w:rPr>
          <w:sz w:val="32"/>
          <w:szCs w:val="32"/>
        </w:rPr>
        <w:tab/>
      </w:r>
      <w:r>
        <w:rPr>
          <w:sz w:val="32"/>
          <w:szCs w:val="32"/>
        </w:rPr>
        <w:fldChar w:fldCharType="begin"/>
      </w:r>
      <w:r>
        <w:rPr>
          <w:sz w:val="32"/>
          <w:szCs w:val="32"/>
        </w:rPr>
        <w:instrText xml:space="preserve"> PAGEREF _Toc218241175 \h </w:instrText>
      </w:r>
      <w:r>
        <w:rPr>
          <w:sz w:val="32"/>
          <w:szCs w:val="32"/>
        </w:rPr>
        <w:fldChar w:fldCharType="separate"/>
      </w:r>
      <w:r>
        <w:rPr>
          <w:sz w:val="32"/>
          <w:szCs w:val="32"/>
        </w:rPr>
        <w:t>92</w:t>
      </w:r>
      <w:r>
        <w:rPr>
          <w:sz w:val="32"/>
          <w:szCs w:val="32"/>
        </w:rPr>
        <w:fldChar w:fldCharType="end"/>
      </w:r>
      <w:r>
        <w:rPr>
          <w:sz w:val="32"/>
          <w:szCs w:val="32"/>
        </w:rPr>
        <w:fldChar w:fldCharType="end"/>
      </w:r>
    </w:p>
    <w:p w14:paraId="108CC52E">
      <w:pPr>
        <w:pStyle w:val="6"/>
        <w:tabs>
          <w:tab w:val="left" w:pos="2100"/>
          <w:tab w:val="right" w:leader="dot" w:pos="8296"/>
        </w:tabs>
        <w:rPr>
          <w:rFonts w:asciiTheme="minorHAnsi" w:hAnsiTheme="minorHAnsi" w:eastAsiaTheme="minorEastAsia" w:cstheme="minorBidi"/>
          <w:sz w:val="32"/>
          <w:szCs w:val="32"/>
        </w:rPr>
      </w:pPr>
      <w:r>
        <w:fldChar w:fldCharType="begin"/>
      </w:r>
      <w:r>
        <w:instrText xml:space="preserve"> HYPERLINK \l "_Toc218241176" </w:instrText>
      </w:r>
      <w:r>
        <w:fldChar w:fldCharType="separate"/>
      </w:r>
      <w:r>
        <w:rPr>
          <w:rStyle w:val="14"/>
          <w:rFonts w:hint="eastAsia" w:eastAsia="楷体_GB2312"/>
          <w:kern w:val="0"/>
          <w:sz w:val="32"/>
          <w:szCs w:val="32"/>
        </w:rPr>
        <w:t>第三节</w:t>
      </w:r>
      <w:r>
        <w:rPr>
          <w:rFonts w:asciiTheme="minorHAnsi" w:hAnsiTheme="minorHAnsi" w:eastAsiaTheme="minorEastAsia" w:cstheme="minorBidi"/>
          <w:sz w:val="32"/>
          <w:szCs w:val="32"/>
        </w:rPr>
        <w:tab/>
      </w:r>
      <w:r>
        <w:rPr>
          <w:rStyle w:val="14"/>
          <w:rFonts w:hint="eastAsia" w:eastAsia="楷体_GB2312"/>
          <w:kern w:val="0"/>
          <w:sz w:val="32"/>
          <w:szCs w:val="32"/>
        </w:rPr>
        <w:t>倡导绿色低碳生活方式</w:t>
      </w:r>
      <w:r>
        <w:rPr>
          <w:sz w:val="32"/>
          <w:szCs w:val="32"/>
        </w:rPr>
        <w:tab/>
      </w:r>
      <w:r>
        <w:rPr>
          <w:sz w:val="32"/>
          <w:szCs w:val="32"/>
        </w:rPr>
        <w:fldChar w:fldCharType="begin"/>
      </w:r>
      <w:r>
        <w:rPr>
          <w:sz w:val="32"/>
          <w:szCs w:val="32"/>
        </w:rPr>
        <w:instrText xml:space="preserve"> PAGEREF _Toc218241176 \h </w:instrText>
      </w:r>
      <w:r>
        <w:rPr>
          <w:sz w:val="32"/>
          <w:szCs w:val="32"/>
        </w:rPr>
        <w:fldChar w:fldCharType="separate"/>
      </w:r>
      <w:r>
        <w:rPr>
          <w:sz w:val="32"/>
          <w:szCs w:val="32"/>
        </w:rPr>
        <w:t>93</w:t>
      </w:r>
      <w:r>
        <w:rPr>
          <w:sz w:val="32"/>
          <w:szCs w:val="32"/>
        </w:rPr>
        <w:fldChar w:fldCharType="end"/>
      </w:r>
      <w:r>
        <w:rPr>
          <w:sz w:val="32"/>
          <w:szCs w:val="32"/>
        </w:rPr>
        <w:fldChar w:fldCharType="end"/>
      </w:r>
    </w:p>
    <w:p w14:paraId="29BE01C9">
      <w:pPr>
        <w:pStyle w:val="9"/>
        <w:tabs>
          <w:tab w:val="right" w:leader="dot" w:pos="8296"/>
        </w:tabs>
        <w:rPr>
          <w:rFonts w:asciiTheme="minorHAnsi" w:hAnsiTheme="minorHAnsi" w:eastAsiaTheme="minorEastAsia" w:cstheme="minorBidi"/>
          <w:sz w:val="32"/>
          <w:szCs w:val="32"/>
        </w:rPr>
      </w:pPr>
      <w:r>
        <w:fldChar w:fldCharType="begin"/>
      </w:r>
      <w:r>
        <w:instrText xml:space="preserve"> HYPERLINK \l "_Toc218241177" </w:instrText>
      </w:r>
      <w:r>
        <w:fldChar w:fldCharType="separate"/>
      </w:r>
      <w:r>
        <w:rPr>
          <w:rStyle w:val="14"/>
          <w:rFonts w:hint="eastAsia" w:eastAsia="黑体"/>
          <w:bCs/>
          <w:kern w:val="0"/>
          <w:sz w:val="32"/>
          <w:szCs w:val="32"/>
        </w:rPr>
        <w:t>第三十三章</w:t>
      </w:r>
      <w:r>
        <w:rPr>
          <w:rStyle w:val="14"/>
          <w:rFonts w:eastAsia="黑体"/>
          <w:bCs/>
          <w:kern w:val="0"/>
          <w:sz w:val="32"/>
          <w:szCs w:val="32"/>
        </w:rPr>
        <w:t xml:space="preserve">  </w:t>
      </w:r>
      <w:r>
        <w:rPr>
          <w:rStyle w:val="14"/>
          <w:rFonts w:hint="eastAsia" w:eastAsia="黑体"/>
          <w:bCs/>
          <w:kern w:val="0"/>
          <w:sz w:val="32"/>
          <w:szCs w:val="32"/>
        </w:rPr>
        <w:t>加快生态产品价值实现</w:t>
      </w:r>
      <w:r>
        <w:rPr>
          <w:sz w:val="32"/>
          <w:szCs w:val="32"/>
        </w:rPr>
        <w:tab/>
      </w:r>
      <w:r>
        <w:rPr>
          <w:sz w:val="32"/>
          <w:szCs w:val="32"/>
        </w:rPr>
        <w:fldChar w:fldCharType="begin"/>
      </w:r>
      <w:r>
        <w:rPr>
          <w:sz w:val="32"/>
          <w:szCs w:val="32"/>
        </w:rPr>
        <w:instrText xml:space="preserve"> PAGEREF _Toc218241177 \h </w:instrText>
      </w:r>
      <w:r>
        <w:rPr>
          <w:sz w:val="32"/>
          <w:szCs w:val="32"/>
        </w:rPr>
        <w:fldChar w:fldCharType="separate"/>
      </w:r>
      <w:r>
        <w:rPr>
          <w:sz w:val="32"/>
          <w:szCs w:val="32"/>
        </w:rPr>
        <w:t>94</w:t>
      </w:r>
      <w:r>
        <w:rPr>
          <w:sz w:val="32"/>
          <w:szCs w:val="32"/>
        </w:rPr>
        <w:fldChar w:fldCharType="end"/>
      </w:r>
      <w:r>
        <w:rPr>
          <w:sz w:val="32"/>
          <w:szCs w:val="32"/>
        </w:rPr>
        <w:fldChar w:fldCharType="end"/>
      </w:r>
    </w:p>
    <w:p w14:paraId="59A8EEE4">
      <w:pPr>
        <w:pStyle w:val="6"/>
        <w:tabs>
          <w:tab w:val="left" w:pos="2100"/>
          <w:tab w:val="right" w:leader="dot" w:pos="8296"/>
        </w:tabs>
        <w:rPr>
          <w:rFonts w:asciiTheme="minorHAnsi" w:hAnsiTheme="minorHAnsi" w:eastAsiaTheme="minorEastAsia" w:cstheme="minorBidi"/>
          <w:sz w:val="32"/>
          <w:szCs w:val="32"/>
        </w:rPr>
      </w:pPr>
      <w:r>
        <w:fldChar w:fldCharType="begin"/>
      </w:r>
      <w:r>
        <w:instrText xml:space="preserve"> HYPERLINK \l "_Toc218241178" </w:instrText>
      </w:r>
      <w:r>
        <w:fldChar w:fldCharType="separate"/>
      </w:r>
      <w:r>
        <w:rPr>
          <w:rStyle w:val="14"/>
          <w:rFonts w:hint="eastAsia" w:eastAsia="楷体_GB2312"/>
          <w:kern w:val="0"/>
          <w:sz w:val="32"/>
          <w:szCs w:val="32"/>
        </w:rPr>
        <w:t>第一节</w:t>
      </w:r>
      <w:r>
        <w:rPr>
          <w:rFonts w:asciiTheme="minorHAnsi" w:hAnsiTheme="minorHAnsi" w:eastAsiaTheme="minorEastAsia" w:cstheme="minorBidi"/>
          <w:sz w:val="32"/>
          <w:szCs w:val="32"/>
        </w:rPr>
        <w:tab/>
      </w:r>
      <w:r>
        <w:rPr>
          <w:rStyle w:val="14"/>
          <w:rFonts w:hint="eastAsia" w:eastAsia="楷体_GB2312"/>
          <w:kern w:val="0"/>
          <w:sz w:val="32"/>
          <w:szCs w:val="32"/>
        </w:rPr>
        <w:t>完善自然资源有偿使用制度</w:t>
      </w:r>
      <w:r>
        <w:rPr>
          <w:sz w:val="32"/>
          <w:szCs w:val="32"/>
        </w:rPr>
        <w:tab/>
      </w:r>
      <w:r>
        <w:rPr>
          <w:sz w:val="32"/>
          <w:szCs w:val="32"/>
        </w:rPr>
        <w:fldChar w:fldCharType="begin"/>
      </w:r>
      <w:r>
        <w:rPr>
          <w:sz w:val="32"/>
          <w:szCs w:val="32"/>
        </w:rPr>
        <w:instrText xml:space="preserve"> PAGEREF _Toc218241178 \h </w:instrText>
      </w:r>
      <w:r>
        <w:rPr>
          <w:sz w:val="32"/>
          <w:szCs w:val="32"/>
        </w:rPr>
        <w:fldChar w:fldCharType="separate"/>
      </w:r>
      <w:r>
        <w:rPr>
          <w:sz w:val="32"/>
          <w:szCs w:val="32"/>
        </w:rPr>
        <w:t>94</w:t>
      </w:r>
      <w:r>
        <w:rPr>
          <w:sz w:val="32"/>
          <w:szCs w:val="32"/>
        </w:rPr>
        <w:fldChar w:fldCharType="end"/>
      </w:r>
      <w:r>
        <w:rPr>
          <w:sz w:val="32"/>
          <w:szCs w:val="32"/>
        </w:rPr>
        <w:fldChar w:fldCharType="end"/>
      </w:r>
    </w:p>
    <w:p w14:paraId="5DED9604">
      <w:pPr>
        <w:pStyle w:val="6"/>
        <w:tabs>
          <w:tab w:val="left" w:pos="2100"/>
          <w:tab w:val="right" w:leader="dot" w:pos="8296"/>
        </w:tabs>
        <w:rPr>
          <w:rFonts w:asciiTheme="minorHAnsi" w:hAnsiTheme="minorHAnsi" w:eastAsiaTheme="minorEastAsia" w:cstheme="minorBidi"/>
          <w:sz w:val="32"/>
          <w:szCs w:val="32"/>
        </w:rPr>
      </w:pPr>
      <w:r>
        <w:fldChar w:fldCharType="begin"/>
      </w:r>
      <w:r>
        <w:instrText xml:space="preserve"> HYPERLINK \l "_Toc218241179" </w:instrText>
      </w:r>
      <w:r>
        <w:fldChar w:fldCharType="separate"/>
      </w:r>
      <w:r>
        <w:rPr>
          <w:rStyle w:val="14"/>
          <w:rFonts w:hint="eastAsia" w:eastAsia="楷体_GB2312"/>
          <w:kern w:val="0"/>
          <w:sz w:val="32"/>
          <w:szCs w:val="32"/>
        </w:rPr>
        <w:t>第二节</w:t>
      </w:r>
      <w:r>
        <w:rPr>
          <w:rFonts w:asciiTheme="minorHAnsi" w:hAnsiTheme="minorHAnsi" w:eastAsiaTheme="minorEastAsia" w:cstheme="minorBidi"/>
          <w:sz w:val="32"/>
          <w:szCs w:val="32"/>
        </w:rPr>
        <w:tab/>
      </w:r>
      <w:r>
        <w:rPr>
          <w:rStyle w:val="14"/>
          <w:rFonts w:hint="eastAsia" w:eastAsia="楷体_GB2312"/>
          <w:kern w:val="0"/>
          <w:sz w:val="32"/>
          <w:szCs w:val="32"/>
        </w:rPr>
        <w:t>健全生态保护补偿机制</w:t>
      </w:r>
      <w:r>
        <w:rPr>
          <w:sz w:val="32"/>
          <w:szCs w:val="32"/>
        </w:rPr>
        <w:tab/>
      </w:r>
      <w:r>
        <w:rPr>
          <w:sz w:val="32"/>
          <w:szCs w:val="32"/>
        </w:rPr>
        <w:fldChar w:fldCharType="begin"/>
      </w:r>
      <w:r>
        <w:rPr>
          <w:sz w:val="32"/>
          <w:szCs w:val="32"/>
        </w:rPr>
        <w:instrText xml:space="preserve"> PAGEREF _Toc218241179 \h </w:instrText>
      </w:r>
      <w:r>
        <w:rPr>
          <w:sz w:val="32"/>
          <w:szCs w:val="32"/>
        </w:rPr>
        <w:fldChar w:fldCharType="separate"/>
      </w:r>
      <w:r>
        <w:rPr>
          <w:sz w:val="32"/>
          <w:szCs w:val="32"/>
        </w:rPr>
        <w:t>94</w:t>
      </w:r>
      <w:r>
        <w:rPr>
          <w:sz w:val="32"/>
          <w:szCs w:val="32"/>
        </w:rPr>
        <w:fldChar w:fldCharType="end"/>
      </w:r>
      <w:r>
        <w:rPr>
          <w:sz w:val="32"/>
          <w:szCs w:val="32"/>
        </w:rPr>
        <w:fldChar w:fldCharType="end"/>
      </w:r>
    </w:p>
    <w:p w14:paraId="1E16187B">
      <w:pPr>
        <w:pStyle w:val="6"/>
        <w:tabs>
          <w:tab w:val="left" w:pos="2100"/>
          <w:tab w:val="right" w:leader="dot" w:pos="8296"/>
        </w:tabs>
        <w:rPr>
          <w:rFonts w:asciiTheme="minorHAnsi" w:hAnsiTheme="minorHAnsi" w:eastAsiaTheme="minorEastAsia" w:cstheme="minorBidi"/>
          <w:sz w:val="32"/>
          <w:szCs w:val="32"/>
        </w:rPr>
      </w:pPr>
      <w:r>
        <w:fldChar w:fldCharType="begin"/>
      </w:r>
      <w:r>
        <w:instrText xml:space="preserve"> HYPERLINK \l "_Toc218241180" </w:instrText>
      </w:r>
      <w:r>
        <w:fldChar w:fldCharType="separate"/>
      </w:r>
      <w:r>
        <w:rPr>
          <w:rStyle w:val="14"/>
          <w:rFonts w:hint="eastAsia" w:eastAsia="楷体_GB2312"/>
          <w:kern w:val="0"/>
          <w:sz w:val="32"/>
          <w:szCs w:val="32"/>
        </w:rPr>
        <w:t>第三节</w:t>
      </w:r>
      <w:r>
        <w:rPr>
          <w:rFonts w:asciiTheme="minorHAnsi" w:hAnsiTheme="minorHAnsi" w:eastAsiaTheme="minorEastAsia" w:cstheme="minorBidi"/>
          <w:sz w:val="32"/>
          <w:szCs w:val="32"/>
        </w:rPr>
        <w:tab/>
      </w:r>
      <w:r>
        <w:rPr>
          <w:rStyle w:val="14"/>
          <w:rFonts w:hint="eastAsia" w:eastAsia="楷体_GB2312"/>
          <w:kern w:val="0"/>
          <w:sz w:val="32"/>
          <w:szCs w:val="32"/>
        </w:rPr>
        <w:t>完善生态产品价值实现机制</w:t>
      </w:r>
      <w:r>
        <w:rPr>
          <w:sz w:val="32"/>
          <w:szCs w:val="32"/>
        </w:rPr>
        <w:tab/>
      </w:r>
      <w:r>
        <w:rPr>
          <w:sz w:val="32"/>
          <w:szCs w:val="32"/>
        </w:rPr>
        <w:fldChar w:fldCharType="begin"/>
      </w:r>
      <w:r>
        <w:rPr>
          <w:sz w:val="32"/>
          <w:szCs w:val="32"/>
        </w:rPr>
        <w:instrText xml:space="preserve"> PAGEREF _Toc218241180 \h </w:instrText>
      </w:r>
      <w:r>
        <w:rPr>
          <w:sz w:val="32"/>
          <w:szCs w:val="32"/>
        </w:rPr>
        <w:fldChar w:fldCharType="separate"/>
      </w:r>
      <w:r>
        <w:rPr>
          <w:sz w:val="32"/>
          <w:szCs w:val="32"/>
        </w:rPr>
        <w:t>95</w:t>
      </w:r>
      <w:r>
        <w:rPr>
          <w:sz w:val="32"/>
          <w:szCs w:val="32"/>
        </w:rPr>
        <w:fldChar w:fldCharType="end"/>
      </w:r>
      <w:r>
        <w:rPr>
          <w:sz w:val="32"/>
          <w:szCs w:val="32"/>
        </w:rPr>
        <w:fldChar w:fldCharType="end"/>
      </w:r>
    </w:p>
    <w:p w14:paraId="3DB3818A">
      <w:pPr>
        <w:pStyle w:val="6"/>
        <w:tabs>
          <w:tab w:val="left" w:pos="2100"/>
          <w:tab w:val="right" w:leader="dot" w:pos="8296"/>
        </w:tabs>
        <w:rPr>
          <w:rFonts w:asciiTheme="minorHAnsi" w:hAnsiTheme="minorHAnsi" w:eastAsiaTheme="minorEastAsia" w:cstheme="minorBidi"/>
          <w:sz w:val="32"/>
          <w:szCs w:val="32"/>
        </w:rPr>
      </w:pPr>
      <w:r>
        <w:fldChar w:fldCharType="begin"/>
      </w:r>
      <w:r>
        <w:instrText xml:space="preserve"> HYPERLINK \l "_Toc218241181" </w:instrText>
      </w:r>
      <w:r>
        <w:fldChar w:fldCharType="separate"/>
      </w:r>
      <w:r>
        <w:rPr>
          <w:rStyle w:val="14"/>
          <w:rFonts w:hint="eastAsia" w:eastAsia="楷体_GB2312"/>
          <w:kern w:val="0"/>
          <w:sz w:val="32"/>
          <w:szCs w:val="32"/>
        </w:rPr>
        <w:t>第四节</w:t>
      </w:r>
      <w:r>
        <w:rPr>
          <w:rFonts w:asciiTheme="minorHAnsi" w:hAnsiTheme="minorHAnsi" w:eastAsiaTheme="minorEastAsia" w:cstheme="minorBidi"/>
          <w:sz w:val="32"/>
          <w:szCs w:val="32"/>
        </w:rPr>
        <w:tab/>
      </w:r>
      <w:r>
        <w:rPr>
          <w:rStyle w:val="14"/>
          <w:rFonts w:hint="eastAsia" w:eastAsia="楷体_GB2312"/>
          <w:kern w:val="0"/>
          <w:sz w:val="32"/>
          <w:szCs w:val="32"/>
        </w:rPr>
        <w:t>探索高原生态保护与绿色经济协同发展路径</w:t>
      </w:r>
      <w:r>
        <w:rPr>
          <w:sz w:val="32"/>
          <w:szCs w:val="32"/>
        </w:rPr>
        <w:tab/>
      </w:r>
      <w:r>
        <w:rPr>
          <w:sz w:val="32"/>
          <w:szCs w:val="32"/>
        </w:rPr>
        <w:fldChar w:fldCharType="begin"/>
      </w:r>
      <w:r>
        <w:rPr>
          <w:sz w:val="32"/>
          <w:szCs w:val="32"/>
        </w:rPr>
        <w:instrText xml:space="preserve"> PAGEREF _Toc218241181 \h </w:instrText>
      </w:r>
      <w:r>
        <w:rPr>
          <w:sz w:val="32"/>
          <w:szCs w:val="32"/>
        </w:rPr>
        <w:fldChar w:fldCharType="separate"/>
      </w:r>
      <w:r>
        <w:rPr>
          <w:sz w:val="32"/>
          <w:szCs w:val="32"/>
        </w:rPr>
        <w:t>96</w:t>
      </w:r>
      <w:r>
        <w:rPr>
          <w:sz w:val="32"/>
          <w:szCs w:val="32"/>
        </w:rPr>
        <w:fldChar w:fldCharType="end"/>
      </w:r>
      <w:r>
        <w:rPr>
          <w:sz w:val="32"/>
          <w:szCs w:val="32"/>
        </w:rPr>
        <w:fldChar w:fldCharType="end"/>
      </w:r>
    </w:p>
    <w:p w14:paraId="769324BF">
      <w:pPr>
        <w:pStyle w:val="8"/>
        <w:tabs>
          <w:tab w:val="right" w:leader="dot" w:pos="8296"/>
        </w:tabs>
        <w:rPr>
          <w:rFonts w:asciiTheme="minorHAnsi" w:hAnsiTheme="minorHAnsi" w:eastAsiaTheme="minorEastAsia" w:cstheme="minorBidi"/>
          <w:sz w:val="32"/>
          <w:szCs w:val="32"/>
        </w:rPr>
      </w:pPr>
      <w:r>
        <w:fldChar w:fldCharType="begin"/>
      </w:r>
      <w:r>
        <w:instrText xml:space="preserve"> HYPERLINK \l "_Toc218241182" </w:instrText>
      </w:r>
      <w:r>
        <w:fldChar w:fldCharType="separate"/>
      </w:r>
      <w:r>
        <w:rPr>
          <w:rStyle w:val="14"/>
          <w:rFonts w:hint="eastAsia" w:eastAsia="方正大标宋简体"/>
          <w:sz w:val="32"/>
          <w:szCs w:val="32"/>
        </w:rPr>
        <w:t>第十一篇</w:t>
      </w:r>
      <w:r>
        <w:rPr>
          <w:rStyle w:val="14"/>
          <w:rFonts w:eastAsia="方正大标宋简体"/>
          <w:sz w:val="32"/>
          <w:szCs w:val="32"/>
        </w:rPr>
        <w:t xml:space="preserve">  </w:t>
      </w:r>
      <w:r>
        <w:rPr>
          <w:rStyle w:val="14"/>
          <w:rFonts w:hint="eastAsia" w:eastAsia="方正大标宋简体"/>
          <w:sz w:val="32"/>
          <w:szCs w:val="32"/>
        </w:rPr>
        <w:t>守牢底线</w:t>
      </w:r>
      <w:r>
        <w:rPr>
          <w:rStyle w:val="14"/>
          <w:rFonts w:eastAsia="方正大标宋简体"/>
          <w:sz w:val="32"/>
          <w:szCs w:val="32"/>
        </w:rPr>
        <w:t xml:space="preserve">  </w:t>
      </w:r>
      <w:r>
        <w:rPr>
          <w:rStyle w:val="14"/>
          <w:rFonts w:hint="eastAsia" w:eastAsia="方正大标宋简体"/>
          <w:sz w:val="32"/>
          <w:szCs w:val="32"/>
        </w:rPr>
        <w:t>构筑高水平安全保障格局</w:t>
      </w:r>
      <w:r>
        <w:rPr>
          <w:sz w:val="32"/>
          <w:szCs w:val="32"/>
        </w:rPr>
        <w:tab/>
      </w:r>
      <w:r>
        <w:rPr>
          <w:sz w:val="32"/>
          <w:szCs w:val="32"/>
        </w:rPr>
        <w:fldChar w:fldCharType="begin"/>
      </w:r>
      <w:r>
        <w:rPr>
          <w:sz w:val="32"/>
          <w:szCs w:val="32"/>
        </w:rPr>
        <w:instrText xml:space="preserve"> PAGEREF _Toc218241182 \h </w:instrText>
      </w:r>
      <w:r>
        <w:rPr>
          <w:sz w:val="32"/>
          <w:szCs w:val="32"/>
        </w:rPr>
        <w:fldChar w:fldCharType="separate"/>
      </w:r>
      <w:r>
        <w:rPr>
          <w:sz w:val="32"/>
          <w:szCs w:val="32"/>
        </w:rPr>
        <w:t>97</w:t>
      </w:r>
      <w:r>
        <w:rPr>
          <w:sz w:val="32"/>
          <w:szCs w:val="32"/>
        </w:rPr>
        <w:fldChar w:fldCharType="end"/>
      </w:r>
      <w:r>
        <w:rPr>
          <w:sz w:val="32"/>
          <w:szCs w:val="32"/>
        </w:rPr>
        <w:fldChar w:fldCharType="end"/>
      </w:r>
    </w:p>
    <w:p w14:paraId="58E1E308">
      <w:pPr>
        <w:pStyle w:val="9"/>
        <w:tabs>
          <w:tab w:val="right" w:leader="dot" w:pos="8296"/>
        </w:tabs>
        <w:rPr>
          <w:rFonts w:asciiTheme="minorHAnsi" w:hAnsiTheme="minorHAnsi" w:eastAsiaTheme="minorEastAsia" w:cstheme="minorBidi"/>
          <w:sz w:val="32"/>
          <w:szCs w:val="32"/>
        </w:rPr>
      </w:pPr>
      <w:r>
        <w:fldChar w:fldCharType="begin"/>
      </w:r>
      <w:r>
        <w:instrText xml:space="preserve"> HYPERLINK \l "_Toc218241183" </w:instrText>
      </w:r>
      <w:r>
        <w:fldChar w:fldCharType="separate"/>
      </w:r>
      <w:r>
        <w:rPr>
          <w:rStyle w:val="14"/>
          <w:rFonts w:hint="eastAsia" w:eastAsia="黑体"/>
          <w:bCs/>
          <w:kern w:val="0"/>
          <w:sz w:val="32"/>
          <w:szCs w:val="32"/>
        </w:rPr>
        <w:t>第三十四章</w:t>
      </w:r>
      <w:r>
        <w:rPr>
          <w:rStyle w:val="14"/>
          <w:rFonts w:eastAsia="黑体"/>
          <w:bCs/>
          <w:kern w:val="0"/>
          <w:sz w:val="32"/>
          <w:szCs w:val="32"/>
        </w:rPr>
        <w:t xml:space="preserve">  </w:t>
      </w:r>
      <w:r>
        <w:rPr>
          <w:rStyle w:val="14"/>
          <w:rFonts w:hint="eastAsia" w:eastAsia="黑体"/>
          <w:bCs/>
          <w:kern w:val="0"/>
          <w:sz w:val="32"/>
          <w:szCs w:val="32"/>
        </w:rPr>
        <w:t>铸牢中华民族共同体意识</w:t>
      </w:r>
      <w:r>
        <w:rPr>
          <w:sz w:val="32"/>
          <w:szCs w:val="32"/>
        </w:rPr>
        <w:tab/>
      </w:r>
      <w:r>
        <w:rPr>
          <w:sz w:val="32"/>
          <w:szCs w:val="32"/>
        </w:rPr>
        <w:fldChar w:fldCharType="begin"/>
      </w:r>
      <w:r>
        <w:rPr>
          <w:sz w:val="32"/>
          <w:szCs w:val="32"/>
        </w:rPr>
        <w:instrText xml:space="preserve"> PAGEREF _Toc218241183 \h </w:instrText>
      </w:r>
      <w:r>
        <w:rPr>
          <w:sz w:val="32"/>
          <w:szCs w:val="32"/>
        </w:rPr>
        <w:fldChar w:fldCharType="separate"/>
      </w:r>
      <w:r>
        <w:rPr>
          <w:sz w:val="32"/>
          <w:szCs w:val="32"/>
        </w:rPr>
        <w:t>97</w:t>
      </w:r>
      <w:r>
        <w:rPr>
          <w:sz w:val="32"/>
          <w:szCs w:val="32"/>
        </w:rPr>
        <w:fldChar w:fldCharType="end"/>
      </w:r>
      <w:r>
        <w:rPr>
          <w:sz w:val="32"/>
          <w:szCs w:val="32"/>
        </w:rPr>
        <w:fldChar w:fldCharType="end"/>
      </w:r>
    </w:p>
    <w:p w14:paraId="6DBD9D8F">
      <w:pPr>
        <w:pStyle w:val="6"/>
        <w:tabs>
          <w:tab w:val="left" w:pos="2100"/>
          <w:tab w:val="right" w:leader="dot" w:pos="8296"/>
        </w:tabs>
        <w:rPr>
          <w:rFonts w:asciiTheme="minorHAnsi" w:hAnsiTheme="minorHAnsi" w:eastAsiaTheme="minorEastAsia" w:cstheme="minorBidi"/>
          <w:sz w:val="32"/>
          <w:szCs w:val="32"/>
        </w:rPr>
      </w:pPr>
      <w:r>
        <w:fldChar w:fldCharType="begin"/>
      </w:r>
      <w:r>
        <w:instrText xml:space="preserve"> HYPERLINK \l "_Toc218241184" </w:instrText>
      </w:r>
      <w:r>
        <w:fldChar w:fldCharType="separate"/>
      </w:r>
      <w:r>
        <w:rPr>
          <w:rStyle w:val="14"/>
          <w:rFonts w:hint="eastAsia" w:eastAsia="楷体_GB2312"/>
          <w:kern w:val="0"/>
          <w:sz w:val="32"/>
          <w:szCs w:val="32"/>
        </w:rPr>
        <w:t>第一节</w:t>
      </w:r>
      <w:r>
        <w:rPr>
          <w:rFonts w:asciiTheme="minorHAnsi" w:hAnsiTheme="minorHAnsi" w:eastAsiaTheme="minorEastAsia" w:cstheme="minorBidi"/>
          <w:sz w:val="32"/>
          <w:szCs w:val="32"/>
        </w:rPr>
        <w:tab/>
      </w:r>
      <w:r>
        <w:rPr>
          <w:rStyle w:val="14"/>
          <w:rFonts w:hint="eastAsia" w:eastAsia="楷体_GB2312"/>
          <w:kern w:val="0"/>
          <w:sz w:val="32"/>
          <w:szCs w:val="32"/>
        </w:rPr>
        <w:t>深化民族团结进步工作</w:t>
      </w:r>
      <w:r>
        <w:rPr>
          <w:sz w:val="32"/>
          <w:szCs w:val="32"/>
        </w:rPr>
        <w:tab/>
      </w:r>
      <w:r>
        <w:rPr>
          <w:sz w:val="32"/>
          <w:szCs w:val="32"/>
        </w:rPr>
        <w:fldChar w:fldCharType="begin"/>
      </w:r>
      <w:r>
        <w:rPr>
          <w:sz w:val="32"/>
          <w:szCs w:val="32"/>
        </w:rPr>
        <w:instrText xml:space="preserve"> PAGEREF _Toc218241184 \h </w:instrText>
      </w:r>
      <w:r>
        <w:rPr>
          <w:sz w:val="32"/>
          <w:szCs w:val="32"/>
        </w:rPr>
        <w:fldChar w:fldCharType="separate"/>
      </w:r>
      <w:r>
        <w:rPr>
          <w:sz w:val="32"/>
          <w:szCs w:val="32"/>
        </w:rPr>
        <w:t>97</w:t>
      </w:r>
      <w:r>
        <w:rPr>
          <w:sz w:val="32"/>
          <w:szCs w:val="32"/>
        </w:rPr>
        <w:fldChar w:fldCharType="end"/>
      </w:r>
      <w:r>
        <w:rPr>
          <w:sz w:val="32"/>
          <w:szCs w:val="32"/>
        </w:rPr>
        <w:fldChar w:fldCharType="end"/>
      </w:r>
    </w:p>
    <w:p w14:paraId="46DCD252">
      <w:pPr>
        <w:pStyle w:val="6"/>
        <w:tabs>
          <w:tab w:val="left" w:pos="2100"/>
          <w:tab w:val="right" w:leader="dot" w:pos="8296"/>
        </w:tabs>
        <w:rPr>
          <w:rFonts w:asciiTheme="minorHAnsi" w:hAnsiTheme="minorHAnsi" w:eastAsiaTheme="minorEastAsia" w:cstheme="minorBidi"/>
          <w:sz w:val="32"/>
          <w:szCs w:val="32"/>
        </w:rPr>
      </w:pPr>
      <w:r>
        <w:fldChar w:fldCharType="begin"/>
      </w:r>
      <w:r>
        <w:instrText xml:space="preserve"> HYPERLINK \l "_Toc218241185" </w:instrText>
      </w:r>
      <w:r>
        <w:fldChar w:fldCharType="separate"/>
      </w:r>
      <w:r>
        <w:rPr>
          <w:rStyle w:val="14"/>
          <w:rFonts w:hint="eastAsia" w:eastAsia="楷体_GB2312"/>
          <w:kern w:val="0"/>
          <w:sz w:val="32"/>
          <w:szCs w:val="32"/>
        </w:rPr>
        <w:t>第二节</w:t>
      </w:r>
      <w:r>
        <w:rPr>
          <w:rFonts w:asciiTheme="minorHAnsi" w:hAnsiTheme="minorHAnsi" w:eastAsiaTheme="minorEastAsia" w:cstheme="minorBidi"/>
          <w:sz w:val="32"/>
          <w:szCs w:val="32"/>
        </w:rPr>
        <w:tab/>
      </w:r>
      <w:r>
        <w:rPr>
          <w:rStyle w:val="14"/>
          <w:rFonts w:hint="eastAsia" w:eastAsia="楷体_GB2312"/>
          <w:kern w:val="0"/>
          <w:sz w:val="32"/>
          <w:szCs w:val="32"/>
        </w:rPr>
        <w:t>落实好民族宗教政策</w:t>
      </w:r>
      <w:r>
        <w:rPr>
          <w:sz w:val="32"/>
          <w:szCs w:val="32"/>
        </w:rPr>
        <w:tab/>
      </w:r>
      <w:r>
        <w:rPr>
          <w:sz w:val="32"/>
          <w:szCs w:val="32"/>
        </w:rPr>
        <w:fldChar w:fldCharType="begin"/>
      </w:r>
      <w:r>
        <w:rPr>
          <w:sz w:val="32"/>
          <w:szCs w:val="32"/>
        </w:rPr>
        <w:instrText xml:space="preserve"> PAGEREF _Toc218241185 \h </w:instrText>
      </w:r>
      <w:r>
        <w:rPr>
          <w:sz w:val="32"/>
          <w:szCs w:val="32"/>
        </w:rPr>
        <w:fldChar w:fldCharType="separate"/>
      </w:r>
      <w:r>
        <w:rPr>
          <w:sz w:val="32"/>
          <w:szCs w:val="32"/>
        </w:rPr>
        <w:t>97</w:t>
      </w:r>
      <w:r>
        <w:rPr>
          <w:sz w:val="32"/>
          <w:szCs w:val="32"/>
        </w:rPr>
        <w:fldChar w:fldCharType="end"/>
      </w:r>
      <w:r>
        <w:rPr>
          <w:sz w:val="32"/>
          <w:szCs w:val="32"/>
        </w:rPr>
        <w:fldChar w:fldCharType="end"/>
      </w:r>
    </w:p>
    <w:p w14:paraId="1D8282AB">
      <w:pPr>
        <w:pStyle w:val="6"/>
        <w:tabs>
          <w:tab w:val="left" w:pos="2100"/>
          <w:tab w:val="right" w:leader="dot" w:pos="8296"/>
        </w:tabs>
        <w:rPr>
          <w:rFonts w:asciiTheme="minorHAnsi" w:hAnsiTheme="minorHAnsi" w:eastAsiaTheme="minorEastAsia" w:cstheme="minorBidi"/>
          <w:sz w:val="32"/>
          <w:szCs w:val="32"/>
        </w:rPr>
      </w:pPr>
      <w:r>
        <w:fldChar w:fldCharType="begin"/>
      </w:r>
      <w:r>
        <w:instrText xml:space="preserve"> HYPERLINK \l "_Toc218241186" </w:instrText>
      </w:r>
      <w:r>
        <w:fldChar w:fldCharType="separate"/>
      </w:r>
      <w:r>
        <w:rPr>
          <w:rStyle w:val="14"/>
          <w:rFonts w:hint="eastAsia" w:eastAsia="楷体_GB2312"/>
          <w:kern w:val="0"/>
          <w:sz w:val="32"/>
          <w:szCs w:val="32"/>
        </w:rPr>
        <w:t>第三节</w:t>
      </w:r>
      <w:r>
        <w:rPr>
          <w:rFonts w:asciiTheme="minorHAnsi" w:hAnsiTheme="minorHAnsi" w:eastAsiaTheme="minorEastAsia" w:cstheme="minorBidi"/>
          <w:sz w:val="32"/>
          <w:szCs w:val="32"/>
        </w:rPr>
        <w:tab/>
      </w:r>
      <w:r>
        <w:rPr>
          <w:rStyle w:val="14"/>
          <w:rFonts w:hint="eastAsia" w:eastAsia="楷体_GB2312"/>
          <w:kern w:val="0"/>
          <w:sz w:val="32"/>
          <w:szCs w:val="32"/>
        </w:rPr>
        <w:t>促进各民族交往交流交融</w:t>
      </w:r>
      <w:r>
        <w:rPr>
          <w:sz w:val="32"/>
          <w:szCs w:val="32"/>
        </w:rPr>
        <w:tab/>
      </w:r>
      <w:r>
        <w:rPr>
          <w:sz w:val="32"/>
          <w:szCs w:val="32"/>
        </w:rPr>
        <w:fldChar w:fldCharType="begin"/>
      </w:r>
      <w:r>
        <w:rPr>
          <w:sz w:val="32"/>
          <w:szCs w:val="32"/>
        </w:rPr>
        <w:instrText xml:space="preserve"> PAGEREF _Toc218241186 \h </w:instrText>
      </w:r>
      <w:r>
        <w:rPr>
          <w:sz w:val="32"/>
          <w:szCs w:val="32"/>
        </w:rPr>
        <w:fldChar w:fldCharType="separate"/>
      </w:r>
      <w:r>
        <w:rPr>
          <w:sz w:val="32"/>
          <w:szCs w:val="32"/>
        </w:rPr>
        <w:t>98</w:t>
      </w:r>
      <w:r>
        <w:rPr>
          <w:sz w:val="32"/>
          <w:szCs w:val="32"/>
        </w:rPr>
        <w:fldChar w:fldCharType="end"/>
      </w:r>
      <w:r>
        <w:rPr>
          <w:sz w:val="32"/>
          <w:szCs w:val="32"/>
        </w:rPr>
        <w:fldChar w:fldCharType="end"/>
      </w:r>
    </w:p>
    <w:p w14:paraId="0E78A0DC">
      <w:pPr>
        <w:pStyle w:val="9"/>
        <w:tabs>
          <w:tab w:val="right" w:leader="dot" w:pos="8296"/>
        </w:tabs>
        <w:rPr>
          <w:rFonts w:asciiTheme="minorHAnsi" w:hAnsiTheme="minorHAnsi" w:eastAsiaTheme="minorEastAsia" w:cstheme="minorBidi"/>
          <w:sz w:val="32"/>
          <w:szCs w:val="32"/>
        </w:rPr>
      </w:pPr>
      <w:r>
        <w:fldChar w:fldCharType="begin"/>
      </w:r>
      <w:r>
        <w:instrText xml:space="preserve"> HYPERLINK \l "_Toc218241187" </w:instrText>
      </w:r>
      <w:r>
        <w:fldChar w:fldCharType="separate"/>
      </w:r>
      <w:r>
        <w:rPr>
          <w:rStyle w:val="14"/>
          <w:rFonts w:hint="eastAsia" w:eastAsia="黑体"/>
          <w:bCs/>
          <w:kern w:val="0"/>
          <w:sz w:val="32"/>
          <w:szCs w:val="32"/>
        </w:rPr>
        <w:t>第三十五章</w:t>
      </w:r>
      <w:r>
        <w:rPr>
          <w:rStyle w:val="14"/>
          <w:rFonts w:eastAsia="黑体"/>
          <w:bCs/>
          <w:kern w:val="0"/>
          <w:sz w:val="32"/>
          <w:szCs w:val="32"/>
        </w:rPr>
        <w:t xml:space="preserve">  </w:t>
      </w:r>
      <w:r>
        <w:rPr>
          <w:rStyle w:val="14"/>
          <w:rFonts w:hint="eastAsia" w:eastAsia="黑体"/>
          <w:bCs/>
          <w:kern w:val="0"/>
          <w:sz w:val="32"/>
          <w:szCs w:val="32"/>
        </w:rPr>
        <w:t>强化重点领域安全保障</w:t>
      </w:r>
      <w:r>
        <w:rPr>
          <w:sz w:val="32"/>
          <w:szCs w:val="32"/>
        </w:rPr>
        <w:tab/>
      </w:r>
      <w:r>
        <w:rPr>
          <w:sz w:val="32"/>
          <w:szCs w:val="32"/>
        </w:rPr>
        <w:fldChar w:fldCharType="begin"/>
      </w:r>
      <w:r>
        <w:rPr>
          <w:sz w:val="32"/>
          <w:szCs w:val="32"/>
        </w:rPr>
        <w:instrText xml:space="preserve"> PAGEREF _Toc218241187 \h </w:instrText>
      </w:r>
      <w:r>
        <w:rPr>
          <w:sz w:val="32"/>
          <w:szCs w:val="32"/>
        </w:rPr>
        <w:fldChar w:fldCharType="separate"/>
      </w:r>
      <w:r>
        <w:rPr>
          <w:sz w:val="32"/>
          <w:szCs w:val="32"/>
        </w:rPr>
        <w:t>98</w:t>
      </w:r>
      <w:r>
        <w:rPr>
          <w:sz w:val="32"/>
          <w:szCs w:val="32"/>
        </w:rPr>
        <w:fldChar w:fldCharType="end"/>
      </w:r>
      <w:r>
        <w:rPr>
          <w:sz w:val="32"/>
          <w:szCs w:val="32"/>
        </w:rPr>
        <w:fldChar w:fldCharType="end"/>
      </w:r>
    </w:p>
    <w:p w14:paraId="659688E3">
      <w:pPr>
        <w:pStyle w:val="6"/>
        <w:tabs>
          <w:tab w:val="left" w:pos="2100"/>
          <w:tab w:val="right" w:leader="dot" w:pos="8296"/>
        </w:tabs>
        <w:rPr>
          <w:rFonts w:asciiTheme="minorHAnsi" w:hAnsiTheme="minorHAnsi" w:eastAsiaTheme="minorEastAsia" w:cstheme="minorBidi"/>
          <w:sz w:val="32"/>
          <w:szCs w:val="32"/>
        </w:rPr>
      </w:pPr>
      <w:r>
        <w:fldChar w:fldCharType="begin"/>
      </w:r>
      <w:r>
        <w:instrText xml:space="preserve"> HYPERLINK \l "_Toc218241188" </w:instrText>
      </w:r>
      <w:r>
        <w:fldChar w:fldCharType="separate"/>
      </w:r>
      <w:r>
        <w:rPr>
          <w:rStyle w:val="14"/>
          <w:rFonts w:hint="eastAsia" w:eastAsia="楷体_GB2312"/>
          <w:kern w:val="0"/>
          <w:sz w:val="32"/>
          <w:szCs w:val="32"/>
        </w:rPr>
        <w:t>第一节</w:t>
      </w:r>
      <w:r>
        <w:rPr>
          <w:rFonts w:asciiTheme="minorHAnsi" w:hAnsiTheme="minorHAnsi" w:eastAsiaTheme="minorEastAsia" w:cstheme="minorBidi"/>
          <w:sz w:val="32"/>
          <w:szCs w:val="32"/>
        </w:rPr>
        <w:tab/>
      </w:r>
      <w:r>
        <w:rPr>
          <w:rStyle w:val="14"/>
          <w:rFonts w:hint="eastAsia" w:eastAsia="楷体_GB2312"/>
          <w:kern w:val="0"/>
          <w:sz w:val="32"/>
          <w:szCs w:val="32"/>
        </w:rPr>
        <w:t>防范化解重点领域风险</w:t>
      </w:r>
      <w:r>
        <w:rPr>
          <w:sz w:val="32"/>
          <w:szCs w:val="32"/>
        </w:rPr>
        <w:tab/>
      </w:r>
      <w:r>
        <w:rPr>
          <w:sz w:val="32"/>
          <w:szCs w:val="32"/>
        </w:rPr>
        <w:fldChar w:fldCharType="begin"/>
      </w:r>
      <w:r>
        <w:rPr>
          <w:sz w:val="32"/>
          <w:szCs w:val="32"/>
        </w:rPr>
        <w:instrText xml:space="preserve"> PAGEREF _Toc218241188 \h </w:instrText>
      </w:r>
      <w:r>
        <w:rPr>
          <w:sz w:val="32"/>
          <w:szCs w:val="32"/>
        </w:rPr>
        <w:fldChar w:fldCharType="separate"/>
      </w:r>
      <w:r>
        <w:rPr>
          <w:sz w:val="32"/>
          <w:szCs w:val="32"/>
        </w:rPr>
        <w:t>98</w:t>
      </w:r>
      <w:r>
        <w:rPr>
          <w:sz w:val="32"/>
          <w:szCs w:val="32"/>
        </w:rPr>
        <w:fldChar w:fldCharType="end"/>
      </w:r>
      <w:r>
        <w:rPr>
          <w:sz w:val="32"/>
          <w:szCs w:val="32"/>
        </w:rPr>
        <w:fldChar w:fldCharType="end"/>
      </w:r>
    </w:p>
    <w:p w14:paraId="6D61E347">
      <w:pPr>
        <w:pStyle w:val="6"/>
        <w:tabs>
          <w:tab w:val="left" w:pos="2100"/>
          <w:tab w:val="right" w:leader="dot" w:pos="8296"/>
        </w:tabs>
        <w:rPr>
          <w:rFonts w:asciiTheme="minorHAnsi" w:hAnsiTheme="minorHAnsi" w:eastAsiaTheme="minorEastAsia" w:cstheme="minorBidi"/>
          <w:sz w:val="32"/>
          <w:szCs w:val="32"/>
        </w:rPr>
      </w:pPr>
      <w:r>
        <w:fldChar w:fldCharType="begin"/>
      </w:r>
      <w:r>
        <w:instrText xml:space="preserve"> HYPERLINK \l "_Toc218241189" </w:instrText>
      </w:r>
      <w:r>
        <w:fldChar w:fldCharType="separate"/>
      </w:r>
      <w:r>
        <w:rPr>
          <w:rStyle w:val="14"/>
          <w:rFonts w:hint="eastAsia" w:eastAsia="楷体_GB2312"/>
          <w:kern w:val="0"/>
          <w:sz w:val="32"/>
          <w:szCs w:val="32"/>
        </w:rPr>
        <w:t>第二节</w:t>
      </w:r>
      <w:r>
        <w:rPr>
          <w:rFonts w:asciiTheme="minorHAnsi" w:hAnsiTheme="minorHAnsi" w:eastAsiaTheme="minorEastAsia" w:cstheme="minorBidi"/>
          <w:sz w:val="32"/>
          <w:szCs w:val="32"/>
        </w:rPr>
        <w:tab/>
      </w:r>
      <w:r>
        <w:rPr>
          <w:rStyle w:val="14"/>
          <w:rFonts w:hint="eastAsia" w:eastAsia="楷体_GB2312"/>
          <w:kern w:val="0"/>
          <w:sz w:val="32"/>
          <w:szCs w:val="32"/>
        </w:rPr>
        <w:t>完善安全生产治理体系</w:t>
      </w:r>
      <w:r>
        <w:rPr>
          <w:sz w:val="32"/>
          <w:szCs w:val="32"/>
        </w:rPr>
        <w:tab/>
      </w:r>
      <w:r>
        <w:rPr>
          <w:sz w:val="32"/>
          <w:szCs w:val="32"/>
        </w:rPr>
        <w:fldChar w:fldCharType="begin"/>
      </w:r>
      <w:r>
        <w:rPr>
          <w:sz w:val="32"/>
          <w:szCs w:val="32"/>
        </w:rPr>
        <w:instrText xml:space="preserve"> PAGEREF _Toc218241189 \h </w:instrText>
      </w:r>
      <w:r>
        <w:rPr>
          <w:sz w:val="32"/>
          <w:szCs w:val="32"/>
        </w:rPr>
        <w:fldChar w:fldCharType="separate"/>
      </w:r>
      <w:r>
        <w:rPr>
          <w:sz w:val="32"/>
          <w:szCs w:val="32"/>
        </w:rPr>
        <w:t>99</w:t>
      </w:r>
      <w:r>
        <w:rPr>
          <w:sz w:val="32"/>
          <w:szCs w:val="32"/>
        </w:rPr>
        <w:fldChar w:fldCharType="end"/>
      </w:r>
      <w:r>
        <w:rPr>
          <w:sz w:val="32"/>
          <w:szCs w:val="32"/>
        </w:rPr>
        <w:fldChar w:fldCharType="end"/>
      </w:r>
    </w:p>
    <w:p w14:paraId="3A076518">
      <w:pPr>
        <w:pStyle w:val="6"/>
        <w:tabs>
          <w:tab w:val="left" w:pos="2100"/>
          <w:tab w:val="right" w:leader="dot" w:pos="8296"/>
        </w:tabs>
        <w:rPr>
          <w:rFonts w:asciiTheme="minorHAnsi" w:hAnsiTheme="minorHAnsi" w:eastAsiaTheme="minorEastAsia" w:cstheme="minorBidi"/>
          <w:sz w:val="32"/>
          <w:szCs w:val="32"/>
        </w:rPr>
      </w:pPr>
      <w:r>
        <w:fldChar w:fldCharType="begin"/>
      </w:r>
      <w:r>
        <w:instrText xml:space="preserve"> HYPERLINK \l "_Toc218241190" </w:instrText>
      </w:r>
      <w:r>
        <w:fldChar w:fldCharType="separate"/>
      </w:r>
      <w:r>
        <w:rPr>
          <w:rStyle w:val="14"/>
          <w:rFonts w:hint="eastAsia" w:eastAsia="楷体_GB2312"/>
          <w:kern w:val="0"/>
          <w:sz w:val="32"/>
          <w:szCs w:val="32"/>
        </w:rPr>
        <w:t>第三节</w:t>
      </w:r>
      <w:r>
        <w:rPr>
          <w:rFonts w:asciiTheme="minorHAnsi" w:hAnsiTheme="minorHAnsi" w:eastAsiaTheme="minorEastAsia" w:cstheme="minorBidi"/>
          <w:sz w:val="32"/>
          <w:szCs w:val="32"/>
        </w:rPr>
        <w:tab/>
      </w:r>
      <w:r>
        <w:rPr>
          <w:rStyle w:val="14"/>
          <w:rFonts w:hint="eastAsia" w:eastAsia="楷体_GB2312"/>
          <w:kern w:val="0"/>
          <w:sz w:val="32"/>
          <w:szCs w:val="32"/>
        </w:rPr>
        <w:t>强化食品药品安全治理</w:t>
      </w:r>
      <w:r>
        <w:rPr>
          <w:sz w:val="32"/>
          <w:szCs w:val="32"/>
        </w:rPr>
        <w:tab/>
      </w:r>
      <w:r>
        <w:rPr>
          <w:sz w:val="32"/>
          <w:szCs w:val="32"/>
        </w:rPr>
        <w:fldChar w:fldCharType="begin"/>
      </w:r>
      <w:r>
        <w:rPr>
          <w:sz w:val="32"/>
          <w:szCs w:val="32"/>
        </w:rPr>
        <w:instrText xml:space="preserve"> PAGEREF _Toc218241190 \h </w:instrText>
      </w:r>
      <w:r>
        <w:rPr>
          <w:sz w:val="32"/>
          <w:szCs w:val="32"/>
        </w:rPr>
        <w:fldChar w:fldCharType="separate"/>
      </w:r>
      <w:r>
        <w:rPr>
          <w:sz w:val="32"/>
          <w:szCs w:val="32"/>
        </w:rPr>
        <w:t>99</w:t>
      </w:r>
      <w:r>
        <w:rPr>
          <w:sz w:val="32"/>
          <w:szCs w:val="32"/>
        </w:rPr>
        <w:fldChar w:fldCharType="end"/>
      </w:r>
      <w:r>
        <w:rPr>
          <w:sz w:val="32"/>
          <w:szCs w:val="32"/>
        </w:rPr>
        <w:fldChar w:fldCharType="end"/>
      </w:r>
    </w:p>
    <w:p w14:paraId="38A52DB5">
      <w:pPr>
        <w:pStyle w:val="6"/>
        <w:tabs>
          <w:tab w:val="left" w:pos="2100"/>
          <w:tab w:val="right" w:leader="dot" w:pos="8296"/>
        </w:tabs>
        <w:rPr>
          <w:rFonts w:asciiTheme="minorHAnsi" w:hAnsiTheme="minorHAnsi" w:eastAsiaTheme="minorEastAsia" w:cstheme="minorBidi"/>
          <w:sz w:val="32"/>
          <w:szCs w:val="32"/>
        </w:rPr>
      </w:pPr>
      <w:r>
        <w:fldChar w:fldCharType="begin"/>
      </w:r>
      <w:r>
        <w:instrText xml:space="preserve"> HYPERLINK \l "_Toc218241191" </w:instrText>
      </w:r>
      <w:r>
        <w:fldChar w:fldCharType="separate"/>
      </w:r>
      <w:r>
        <w:rPr>
          <w:rStyle w:val="14"/>
          <w:rFonts w:hint="eastAsia" w:eastAsia="楷体_GB2312"/>
          <w:kern w:val="0"/>
          <w:sz w:val="32"/>
          <w:szCs w:val="32"/>
        </w:rPr>
        <w:t>第四节</w:t>
      </w:r>
      <w:r>
        <w:rPr>
          <w:rFonts w:asciiTheme="minorHAnsi" w:hAnsiTheme="minorHAnsi" w:eastAsiaTheme="minorEastAsia" w:cstheme="minorBidi"/>
          <w:sz w:val="32"/>
          <w:szCs w:val="32"/>
        </w:rPr>
        <w:tab/>
      </w:r>
      <w:r>
        <w:rPr>
          <w:rStyle w:val="14"/>
          <w:rFonts w:hint="eastAsia" w:eastAsia="楷体_GB2312"/>
          <w:kern w:val="0"/>
          <w:sz w:val="32"/>
          <w:szCs w:val="32"/>
        </w:rPr>
        <w:t>坚定反分维稳斗争使命</w:t>
      </w:r>
      <w:r>
        <w:rPr>
          <w:sz w:val="32"/>
          <w:szCs w:val="32"/>
        </w:rPr>
        <w:tab/>
      </w:r>
      <w:r>
        <w:rPr>
          <w:sz w:val="32"/>
          <w:szCs w:val="32"/>
        </w:rPr>
        <w:fldChar w:fldCharType="begin"/>
      </w:r>
      <w:r>
        <w:rPr>
          <w:sz w:val="32"/>
          <w:szCs w:val="32"/>
        </w:rPr>
        <w:instrText xml:space="preserve"> PAGEREF _Toc218241191 \h </w:instrText>
      </w:r>
      <w:r>
        <w:rPr>
          <w:sz w:val="32"/>
          <w:szCs w:val="32"/>
        </w:rPr>
        <w:fldChar w:fldCharType="separate"/>
      </w:r>
      <w:r>
        <w:rPr>
          <w:sz w:val="32"/>
          <w:szCs w:val="32"/>
        </w:rPr>
        <w:t>100</w:t>
      </w:r>
      <w:r>
        <w:rPr>
          <w:sz w:val="32"/>
          <w:szCs w:val="32"/>
        </w:rPr>
        <w:fldChar w:fldCharType="end"/>
      </w:r>
      <w:r>
        <w:rPr>
          <w:sz w:val="32"/>
          <w:szCs w:val="32"/>
        </w:rPr>
        <w:fldChar w:fldCharType="end"/>
      </w:r>
    </w:p>
    <w:p w14:paraId="5B21801C">
      <w:pPr>
        <w:pStyle w:val="6"/>
        <w:tabs>
          <w:tab w:val="left" w:pos="2100"/>
          <w:tab w:val="right" w:leader="dot" w:pos="8296"/>
        </w:tabs>
        <w:rPr>
          <w:rFonts w:asciiTheme="minorHAnsi" w:hAnsiTheme="minorHAnsi" w:eastAsiaTheme="minorEastAsia" w:cstheme="minorBidi"/>
          <w:sz w:val="32"/>
          <w:szCs w:val="32"/>
        </w:rPr>
      </w:pPr>
      <w:r>
        <w:fldChar w:fldCharType="begin"/>
      </w:r>
      <w:r>
        <w:instrText xml:space="preserve"> HYPERLINK \l "_Toc218241192" </w:instrText>
      </w:r>
      <w:r>
        <w:fldChar w:fldCharType="separate"/>
      </w:r>
      <w:r>
        <w:rPr>
          <w:rStyle w:val="14"/>
          <w:rFonts w:hint="eastAsia" w:eastAsia="楷体_GB2312"/>
          <w:kern w:val="0"/>
          <w:sz w:val="32"/>
          <w:szCs w:val="32"/>
        </w:rPr>
        <w:t>第五节</w:t>
      </w:r>
      <w:r>
        <w:rPr>
          <w:rFonts w:asciiTheme="minorHAnsi" w:hAnsiTheme="minorHAnsi" w:eastAsiaTheme="minorEastAsia" w:cstheme="minorBidi"/>
          <w:sz w:val="32"/>
          <w:szCs w:val="32"/>
        </w:rPr>
        <w:tab/>
      </w:r>
      <w:r>
        <w:rPr>
          <w:rStyle w:val="14"/>
          <w:rFonts w:hint="eastAsia" w:eastAsia="楷体_GB2312"/>
          <w:kern w:val="0"/>
          <w:sz w:val="32"/>
          <w:szCs w:val="32"/>
        </w:rPr>
        <w:t>加强国防动员能力建设</w:t>
      </w:r>
      <w:r>
        <w:rPr>
          <w:sz w:val="32"/>
          <w:szCs w:val="32"/>
        </w:rPr>
        <w:tab/>
      </w:r>
      <w:r>
        <w:rPr>
          <w:sz w:val="32"/>
          <w:szCs w:val="32"/>
        </w:rPr>
        <w:fldChar w:fldCharType="begin"/>
      </w:r>
      <w:r>
        <w:rPr>
          <w:sz w:val="32"/>
          <w:szCs w:val="32"/>
        </w:rPr>
        <w:instrText xml:space="preserve"> PAGEREF _Toc218241192 \h </w:instrText>
      </w:r>
      <w:r>
        <w:rPr>
          <w:sz w:val="32"/>
          <w:szCs w:val="32"/>
        </w:rPr>
        <w:fldChar w:fldCharType="separate"/>
      </w:r>
      <w:r>
        <w:rPr>
          <w:sz w:val="32"/>
          <w:szCs w:val="32"/>
        </w:rPr>
        <w:t>100</w:t>
      </w:r>
      <w:r>
        <w:rPr>
          <w:sz w:val="32"/>
          <w:szCs w:val="32"/>
        </w:rPr>
        <w:fldChar w:fldCharType="end"/>
      </w:r>
      <w:r>
        <w:rPr>
          <w:sz w:val="32"/>
          <w:szCs w:val="32"/>
        </w:rPr>
        <w:fldChar w:fldCharType="end"/>
      </w:r>
    </w:p>
    <w:p w14:paraId="703EA4A6">
      <w:pPr>
        <w:pStyle w:val="9"/>
        <w:tabs>
          <w:tab w:val="right" w:leader="dot" w:pos="8296"/>
        </w:tabs>
        <w:rPr>
          <w:rFonts w:asciiTheme="minorHAnsi" w:hAnsiTheme="minorHAnsi" w:eastAsiaTheme="minorEastAsia" w:cstheme="minorBidi"/>
          <w:sz w:val="32"/>
          <w:szCs w:val="32"/>
        </w:rPr>
      </w:pPr>
      <w:r>
        <w:fldChar w:fldCharType="begin"/>
      </w:r>
      <w:r>
        <w:instrText xml:space="preserve"> HYPERLINK \l "_Toc218241193" </w:instrText>
      </w:r>
      <w:r>
        <w:fldChar w:fldCharType="separate"/>
      </w:r>
      <w:r>
        <w:rPr>
          <w:rStyle w:val="14"/>
          <w:rFonts w:hint="eastAsia" w:eastAsia="黑体"/>
          <w:bCs/>
          <w:kern w:val="0"/>
          <w:sz w:val="32"/>
          <w:szCs w:val="32"/>
        </w:rPr>
        <w:t>第三十六章</w:t>
      </w:r>
      <w:r>
        <w:rPr>
          <w:rStyle w:val="14"/>
          <w:rFonts w:eastAsia="黑体"/>
          <w:bCs/>
          <w:kern w:val="0"/>
          <w:sz w:val="32"/>
          <w:szCs w:val="32"/>
        </w:rPr>
        <w:t xml:space="preserve">  </w:t>
      </w:r>
      <w:r>
        <w:rPr>
          <w:rStyle w:val="14"/>
          <w:rFonts w:hint="eastAsia" w:eastAsia="黑体"/>
          <w:bCs/>
          <w:kern w:val="0"/>
          <w:sz w:val="32"/>
          <w:szCs w:val="32"/>
        </w:rPr>
        <w:t>提升防灾减灾救灾水平</w:t>
      </w:r>
      <w:r>
        <w:rPr>
          <w:sz w:val="32"/>
          <w:szCs w:val="32"/>
        </w:rPr>
        <w:tab/>
      </w:r>
      <w:r>
        <w:rPr>
          <w:sz w:val="32"/>
          <w:szCs w:val="32"/>
        </w:rPr>
        <w:fldChar w:fldCharType="begin"/>
      </w:r>
      <w:r>
        <w:rPr>
          <w:sz w:val="32"/>
          <w:szCs w:val="32"/>
        </w:rPr>
        <w:instrText xml:space="preserve"> PAGEREF _Toc218241193 \h </w:instrText>
      </w:r>
      <w:r>
        <w:rPr>
          <w:sz w:val="32"/>
          <w:szCs w:val="32"/>
        </w:rPr>
        <w:fldChar w:fldCharType="separate"/>
      </w:r>
      <w:r>
        <w:rPr>
          <w:sz w:val="32"/>
          <w:szCs w:val="32"/>
        </w:rPr>
        <w:t>100</w:t>
      </w:r>
      <w:r>
        <w:rPr>
          <w:sz w:val="32"/>
          <w:szCs w:val="32"/>
        </w:rPr>
        <w:fldChar w:fldCharType="end"/>
      </w:r>
      <w:r>
        <w:rPr>
          <w:sz w:val="32"/>
          <w:szCs w:val="32"/>
        </w:rPr>
        <w:fldChar w:fldCharType="end"/>
      </w:r>
    </w:p>
    <w:p w14:paraId="4606FCE2">
      <w:pPr>
        <w:pStyle w:val="6"/>
        <w:tabs>
          <w:tab w:val="left" w:pos="2100"/>
          <w:tab w:val="right" w:leader="dot" w:pos="8296"/>
        </w:tabs>
        <w:rPr>
          <w:rFonts w:asciiTheme="minorHAnsi" w:hAnsiTheme="minorHAnsi" w:eastAsiaTheme="minorEastAsia" w:cstheme="minorBidi"/>
          <w:sz w:val="32"/>
          <w:szCs w:val="32"/>
        </w:rPr>
      </w:pPr>
      <w:r>
        <w:fldChar w:fldCharType="begin"/>
      </w:r>
      <w:r>
        <w:instrText xml:space="preserve"> HYPERLINK \l "_Toc218241194" </w:instrText>
      </w:r>
      <w:r>
        <w:fldChar w:fldCharType="separate"/>
      </w:r>
      <w:r>
        <w:rPr>
          <w:rStyle w:val="14"/>
          <w:rFonts w:hint="eastAsia" w:eastAsia="楷体_GB2312"/>
          <w:kern w:val="0"/>
          <w:sz w:val="32"/>
          <w:szCs w:val="32"/>
        </w:rPr>
        <w:t>第一节</w:t>
      </w:r>
      <w:r>
        <w:rPr>
          <w:rFonts w:asciiTheme="minorHAnsi" w:hAnsiTheme="minorHAnsi" w:eastAsiaTheme="minorEastAsia" w:cstheme="minorBidi"/>
          <w:sz w:val="32"/>
          <w:szCs w:val="32"/>
        </w:rPr>
        <w:tab/>
      </w:r>
      <w:r>
        <w:rPr>
          <w:rStyle w:val="14"/>
          <w:rFonts w:hint="eastAsia" w:eastAsia="楷体_GB2312"/>
          <w:kern w:val="0"/>
          <w:sz w:val="32"/>
          <w:szCs w:val="32"/>
        </w:rPr>
        <w:t>深化应急管理体制机制改革</w:t>
      </w:r>
      <w:r>
        <w:rPr>
          <w:sz w:val="32"/>
          <w:szCs w:val="32"/>
        </w:rPr>
        <w:tab/>
      </w:r>
      <w:r>
        <w:rPr>
          <w:sz w:val="32"/>
          <w:szCs w:val="32"/>
        </w:rPr>
        <w:fldChar w:fldCharType="begin"/>
      </w:r>
      <w:r>
        <w:rPr>
          <w:sz w:val="32"/>
          <w:szCs w:val="32"/>
        </w:rPr>
        <w:instrText xml:space="preserve"> PAGEREF _Toc218241194 \h </w:instrText>
      </w:r>
      <w:r>
        <w:rPr>
          <w:sz w:val="32"/>
          <w:szCs w:val="32"/>
        </w:rPr>
        <w:fldChar w:fldCharType="separate"/>
      </w:r>
      <w:r>
        <w:rPr>
          <w:sz w:val="32"/>
          <w:szCs w:val="32"/>
        </w:rPr>
        <w:t>100</w:t>
      </w:r>
      <w:r>
        <w:rPr>
          <w:sz w:val="32"/>
          <w:szCs w:val="32"/>
        </w:rPr>
        <w:fldChar w:fldCharType="end"/>
      </w:r>
      <w:r>
        <w:rPr>
          <w:sz w:val="32"/>
          <w:szCs w:val="32"/>
        </w:rPr>
        <w:fldChar w:fldCharType="end"/>
      </w:r>
    </w:p>
    <w:p w14:paraId="3D36CD50">
      <w:pPr>
        <w:pStyle w:val="6"/>
        <w:tabs>
          <w:tab w:val="left" w:pos="2100"/>
          <w:tab w:val="right" w:leader="dot" w:pos="8296"/>
        </w:tabs>
        <w:rPr>
          <w:rFonts w:asciiTheme="minorHAnsi" w:hAnsiTheme="minorHAnsi" w:eastAsiaTheme="minorEastAsia" w:cstheme="minorBidi"/>
          <w:sz w:val="32"/>
          <w:szCs w:val="32"/>
        </w:rPr>
      </w:pPr>
      <w:r>
        <w:fldChar w:fldCharType="begin"/>
      </w:r>
      <w:r>
        <w:instrText xml:space="preserve"> HYPERLINK \l "_Toc218241195" </w:instrText>
      </w:r>
      <w:r>
        <w:fldChar w:fldCharType="separate"/>
      </w:r>
      <w:r>
        <w:rPr>
          <w:rStyle w:val="14"/>
          <w:rFonts w:hint="eastAsia" w:eastAsia="楷体_GB2312"/>
          <w:kern w:val="0"/>
          <w:sz w:val="32"/>
          <w:szCs w:val="32"/>
        </w:rPr>
        <w:t>第二节</w:t>
      </w:r>
      <w:r>
        <w:rPr>
          <w:rFonts w:asciiTheme="minorHAnsi" w:hAnsiTheme="minorHAnsi" w:eastAsiaTheme="minorEastAsia" w:cstheme="minorBidi"/>
          <w:sz w:val="32"/>
          <w:szCs w:val="32"/>
        </w:rPr>
        <w:tab/>
      </w:r>
      <w:r>
        <w:rPr>
          <w:rStyle w:val="14"/>
          <w:rFonts w:hint="eastAsia" w:eastAsia="楷体_GB2312"/>
          <w:kern w:val="0"/>
          <w:sz w:val="32"/>
          <w:szCs w:val="32"/>
        </w:rPr>
        <w:t>健全立体化应急救援力量体系</w:t>
      </w:r>
      <w:r>
        <w:rPr>
          <w:sz w:val="32"/>
          <w:szCs w:val="32"/>
        </w:rPr>
        <w:tab/>
      </w:r>
      <w:r>
        <w:rPr>
          <w:sz w:val="32"/>
          <w:szCs w:val="32"/>
        </w:rPr>
        <w:fldChar w:fldCharType="begin"/>
      </w:r>
      <w:r>
        <w:rPr>
          <w:sz w:val="32"/>
          <w:szCs w:val="32"/>
        </w:rPr>
        <w:instrText xml:space="preserve"> PAGEREF _Toc218241195 \h </w:instrText>
      </w:r>
      <w:r>
        <w:rPr>
          <w:sz w:val="32"/>
          <w:szCs w:val="32"/>
        </w:rPr>
        <w:fldChar w:fldCharType="separate"/>
      </w:r>
      <w:r>
        <w:rPr>
          <w:sz w:val="32"/>
          <w:szCs w:val="32"/>
        </w:rPr>
        <w:t>101</w:t>
      </w:r>
      <w:r>
        <w:rPr>
          <w:sz w:val="32"/>
          <w:szCs w:val="32"/>
        </w:rPr>
        <w:fldChar w:fldCharType="end"/>
      </w:r>
      <w:r>
        <w:rPr>
          <w:sz w:val="32"/>
          <w:szCs w:val="32"/>
        </w:rPr>
        <w:fldChar w:fldCharType="end"/>
      </w:r>
    </w:p>
    <w:p w14:paraId="6C13F933">
      <w:pPr>
        <w:pStyle w:val="6"/>
        <w:tabs>
          <w:tab w:val="left" w:pos="2100"/>
          <w:tab w:val="right" w:leader="dot" w:pos="8296"/>
        </w:tabs>
        <w:rPr>
          <w:rFonts w:asciiTheme="minorHAnsi" w:hAnsiTheme="minorHAnsi" w:eastAsiaTheme="minorEastAsia" w:cstheme="minorBidi"/>
          <w:sz w:val="32"/>
          <w:szCs w:val="32"/>
        </w:rPr>
      </w:pPr>
      <w:r>
        <w:fldChar w:fldCharType="begin"/>
      </w:r>
      <w:r>
        <w:instrText xml:space="preserve"> HYPERLINK \l "_Toc218241196" </w:instrText>
      </w:r>
      <w:r>
        <w:fldChar w:fldCharType="separate"/>
      </w:r>
      <w:r>
        <w:rPr>
          <w:rStyle w:val="14"/>
          <w:rFonts w:hint="eastAsia" w:eastAsia="楷体_GB2312"/>
          <w:kern w:val="0"/>
          <w:sz w:val="32"/>
          <w:szCs w:val="32"/>
        </w:rPr>
        <w:t>第三节</w:t>
      </w:r>
      <w:r>
        <w:rPr>
          <w:rFonts w:asciiTheme="minorHAnsi" w:hAnsiTheme="minorHAnsi" w:eastAsiaTheme="minorEastAsia" w:cstheme="minorBidi"/>
          <w:sz w:val="32"/>
          <w:szCs w:val="32"/>
        </w:rPr>
        <w:tab/>
      </w:r>
      <w:r>
        <w:rPr>
          <w:rStyle w:val="14"/>
          <w:rFonts w:hint="eastAsia" w:eastAsia="楷体_GB2312"/>
          <w:kern w:val="0"/>
          <w:sz w:val="32"/>
          <w:szCs w:val="32"/>
        </w:rPr>
        <w:t>提升自然灾害防灾减灾能力</w:t>
      </w:r>
      <w:r>
        <w:rPr>
          <w:sz w:val="32"/>
          <w:szCs w:val="32"/>
        </w:rPr>
        <w:tab/>
      </w:r>
      <w:r>
        <w:rPr>
          <w:sz w:val="32"/>
          <w:szCs w:val="32"/>
        </w:rPr>
        <w:fldChar w:fldCharType="begin"/>
      </w:r>
      <w:r>
        <w:rPr>
          <w:sz w:val="32"/>
          <w:szCs w:val="32"/>
        </w:rPr>
        <w:instrText xml:space="preserve"> PAGEREF _Toc218241196 \h </w:instrText>
      </w:r>
      <w:r>
        <w:rPr>
          <w:sz w:val="32"/>
          <w:szCs w:val="32"/>
        </w:rPr>
        <w:fldChar w:fldCharType="separate"/>
      </w:r>
      <w:r>
        <w:rPr>
          <w:sz w:val="32"/>
          <w:szCs w:val="32"/>
        </w:rPr>
        <w:t>102</w:t>
      </w:r>
      <w:r>
        <w:rPr>
          <w:sz w:val="32"/>
          <w:szCs w:val="32"/>
        </w:rPr>
        <w:fldChar w:fldCharType="end"/>
      </w:r>
      <w:r>
        <w:rPr>
          <w:sz w:val="32"/>
          <w:szCs w:val="32"/>
        </w:rPr>
        <w:fldChar w:fldCharType="end"/>
      </w:r>
    </w:p>
    <w:p w14:paraId="0FAD903B">
      <w:pPr>
        <w:pStyle w:val="6"/>
        <w:tabs>
          <w:tab w:val="left" w:pos="2100"/>
          <w:tab w:val="right" w:leader="dot" w:pos="8296"/>
        </w:tabs>
        <w:rPr>
          <w:rFonts w:asciiTheme="minorHAnsi" w:hAnsiTheme="minorHAnsi" w:eastAsiaTheme="minorEastAsia" w:cstheme="minorBidi"/>
          <w:sz w:val="32"/>
          <w:szCs w:val="32"/>
        </w:rPr>
      </w:pPr>
      <w:r>
        <w:fldChar w:fldCharType="begin"/>
      </w:r>
      <w:r>
        <w:instrText xml:space="preserve"> HYPERLINK \l "_Toc218241197" </w:instrText>
      </w:r>
      <w:r>
        <w:fldChar w:fldCharType="separate"/>
      </w:r>
      <w:r>
        <w:rPr>
          <w:rStyle w:val="14"/>
          <w:rFonts w:hint="eastAsia" w:eastAsia="楷体_GB2312"/>
          <w:kern w:val="0"/>
          <w:sz w:val="32"/>
          <w:szCs w:val="32"/>
        </w:rPr>
        <w:t>第四节</w:t>
      </w:r>
      <w:r>
        <w:rPr>
          <w:rFonts w:asciiTheme="minorHAnsi" w:hAnsiTheme="minorHAnsi" w:eastAsiaTheme="minorEastAsia" w:cstheme="minorBidi"/>
          <w:sz w:val="32"/>
          <w:szCs w:val="32"/>
        </w:rPr>
        <w:tab/>
      </w:r>
      <w:r>
        <w:rPr>
          <w:rStyle w:val="14"/>
          <w:rFonts w:hint="eastAsia" w:eastAsia="楷体_GB2312"/>
          <w:kern w:val="0"/>
          <w:sz w:val="32"/>
          <w:szCs w:val="32"/>
        </w:rPr>
        <w:t>优化应急综合保障能力</w:t>
      </w:r>
      <w:r>
        <w:rPr>
          <w:sz w:val="32"/>
          <w:szCs w:val="32"/>
        </w:rPr>
        <w:tab/>
      </w:r>
      <w:r>
        <w:rPr>
          <w:sz w:val="32"/>
          <w:szCs w:val="32"/>
        </w:rPr>
        <w:fldChar w:fldCharType="begin"/>
      </w:r>
      <w:r>
        <w:rPr>
          <w:sz w:val="32"/>
          <w:szCs w:val="32"/>
        </w:rPr>
        <w:instrText xml:space="preserve"> PAGEREF _Toc218241197 \h </w:instrText>
      </w:r>
      <w:r>
        <w:rPr>
          <w:sz w:val="32"/>
          <w:szCs w:val="32"/>
        </w:rPr>
        <w:fldChar w:fldCharType="separate"/>
      </w:r>
      <w:r>
        <w:rPr>
          <w:sz w:val="32"/>
          <w:szCs w:val="32"/>
        </w:rPr>
        <w:t>103</w:t>
      </w:r>
      <w:r>
        <w:rPr>
          <w:sz w:val="32"/>
          <w:szCs w:val="32"/>
        </w:rPr>
        <w:fldChar w:fldCharType="end"/>
      </w:r>
      <w:r>
        <w:rPr>
          <w:sz w:val="32"/>
          <w:szCs w:val="32"/>
        </w:rPr>
        <w:fldChar w:fldCharType="end"/>
      </w:r>
    </w:p>
    <w:p w14:paraId="6F90503C">
      <w:pPr>
        <w:pStyle w:val="6"/>
        <w:tabs>
          <w:tab w:val="left" w:pos="2100"/>
          <w:tab w:val="right" w:leader="dot" w:pos="8296"/>
        </w:tabs>
        <w:rPr>
          <w:rFonts w:asciiTheme="minorHAnsi" w:hAnsiTheme="minorHAnsi" w:eastAsiaTheme="minorEastAsia" w:cstheme="minorBidi"/>
          <w:sz w:val="32"/>
          <w:szCs w:val="32"/>
        </w:rPr>
      </w:pPr>
      <w:r>
        <w:fldChar w:fldCharType="begin"/>
      </w:r>
      <w:r>
        <w:instrText xml:space="preserve"> HYPERLINK \l "_Toc218241198" </w:instrText>
      </w:r>
      <w:r>
        <w:fldChar w:fldCharType="separate"/>
      </w:r>
      <w:r>
        <w:rPr>
          <w:rStyle w:val="14"/>
          <w:rFonts w:hint="eastAsia" w:eastAsia="楷体_GB2312"/>
          <w:kern w:val="0"/>
          <w:sz w:val="32"/>
          <w:szCs w:val="32"/>
        </w:rPr>
        <w:t>第五节</w:t>
      </w:r>
      <w:r>
        <w:rPr>
          <w:rFonts w:asciiTheme="minorHAnsi" w:hAnsiTheme="minorHAnsi" w:eastAsiaTheme="minorEastAsia" w:cstheme="minorBidi"/>
          <w:sz w:val="32"/>
          <w:szCs w:val="32"/>
        </w:rPr>
        <w:tab/>
      </w:r>
      <w:r>
        <w:rPr>
          <w:rStyle w:val="14"/>
          <w:rFonts w:hint="eastAsia" w:eastAsia="楷体_GB2312"/>
          <w:kern w:val="0"/>
          <w:sz w:val="32"/>
          <w:szCs w:val="32"/>
        </w:rPr>
        <w:t>创新社会共建共治共享模式</w:t>
      </w:r>
      <w:r>
        <w:rPr>
          <w:sz w:val="32"/>
          <w:szCs w:val="32"/>
        </w:rPr>
        <w:tab/>
      </w:r>
      <w:r>
        <w:rPr>
          <w:sz w:val="32"/>
          <w:szCs w:val="32"/>
        </w:rPr>
        <w:fldChar w:fldCharType="begin"/>
      </w:r>
      <w:r>
        <w:rPr>
          <w:sz w:val="32"/>
          <w:szCs w:val="32"/>
        </w:rPr>
        <w:instrText xml:space="preserve"> PAGEREF _Toc218241198 \h </w:instrText>
      </w:r>
      <w:r>
        <w:rPr>
          <w:sz w:val="32"/>
          <w:szCs w:val="32"/>
        </w:rPr>
        <w:fldChar w:fldCharType="separate"/>
      </w:r>
      <w:r>
        <w:rPr>
          <w:sz w:val="32"/>
          <w:szCs w:val="32"/>
        </w:rPr>
        <w:t>103</w:t>
      </w:r>
      <w:r>
        <w:rPr>
          <w:sz w:val="32"/>
          <w:szCs w:val="32"/>
        </w:rPr>
        <w:fldChar w:fldCharType="end"/>
      </w:r>
      <w:r>
        <w:rPr>
          <w:sz w:val="32"/>
          <w:szCs w:val="32"/>
        </w:rPr>
        <w:fldChar w:fldCharType="end"/>
      </w:r>
    </w:p>
    <w:p w14:paraId="524B7CCA">
      <w:pPr>
        <w:pStyle w:val="9"/>
        <w:tabs>
          <w:tab w:val="right" w:leader="dot" w:pos="8296"/>
        </w:tabs>
        <w:rPr>
          <w:rFonts w:asciiTheme="minorHAnsi" w:hAnsiTheme="minorHAnsi" w:eastAsiaTheme="minorEastAsia" w:cstheme="minorBidi"/>
          <w:sz w:val="32"/>
          <w:szCs w:val="32"/>
        </w:rPr>
      </w:pPr>
      <w:r>
        <w:fldChar w:fldCharType="begin"/>
      </w:r>
      <w:r>
        <w:instrText xml:space="preserve"> HYPERLINK \l "_Toc218241199" </w:instrText>
      </w:r>
      <w:r>
        <w:fldChar w:fldCharType="separate"/>
      </w:r>
      <w:r>
        <w:rPr>
          <w:rStyle w:val="14"/>
          <w:rFonts w:hint="eastAsia" w:eastAsia="黑体"/>
          <w:bCs/>
          <w:kern w:val="0"/>
          <w:sz w:val="32"/>
          <w:szCs w:val="32"/>
        </w:rPr>
        <w:t>第三十七章</w:t>
      </w:r>
      <w:r>
        <w:rPr>
          <w:rStyle w:val="14"/>
          <w:rFonts w:eastAsia="黑体"/>
          <w:bCs/>
          <w:kern w:val="0"/>
          <w:sz w:val="32"/>
          <w:szCs w:val="32"/>
        </w:rPr>
        <w:t xml:space="preserve">  </w:t>
      </w:r>
      <w:r>
        <w:rPr>
          <w:rStyle w:val="14"/>
          <w:rFonts w:hint="eastAsia" w:eastAsia="黑体"/>
          <w:bCs/>
          <w:kern w:val="0"/>
          <w:sz w:val="32"/>
          <w:szCs w:val="32"/>
        </w:rPr>
        <w:t>加强民主法治建设</w:t>
      </w:r>
      <w:r>
        <w:rPr>
          <w:sz w:val="32"/>
          <w:szCs w:val="32"/>
        </w:rPr>
        <w:tab/>
      </w:r>
      <w:r>
        <w:rPr>
          <w:sz w:val="32"/>
          <w:szCs w:val="32"/>
        </w:rPr>
        <w:fldChar w:fldCharType="begin"/>
      </w:r>
      <w:r>
        <w:rPr>
          <w:sz w:val="32"/>
          <w:szCs w:val="32"/>
        </w:rPr>
        <w:instrText xml:space="preserve"> PAGEREF _Toc218241199 \h </w:instrText>
      </w:r>
      <w:r>
        <w:rPr>
          <w:sz w:val="32"/>
          <w:szCs w:val="32"/>
        </w:rPr>
        <w:fldChar w:fldCharType="separate"/>
      </w:r>
      <w:r>
        <w:rPr>
          <w:sz w:val="32"/>
          <w:szCs w:val="32"/>
        </w:rPr>
        <w:t>105</w:t>
      </w:r>
      <w:r>
        <w:rPr>
          <w:sz w:val="32"/>
          <w:szCs w:val="32"/>
        </w:rPr>
        <w:fldChar w:fldCharType="end"/>
      </w:r>
      <w:r>
        <w:rPr>
          <w:sz w:val="32"/>
          <w:szCs w:val="32"/>
        </w:rPr>
        <w:fldChar w:fldCharType="end"/>
      </w:r>
    </w:p>
    <w:p w14:paraId="70BB8672">
      <w:pPr>
        <w:pStyle w:val="6"/>
        <w:tabs>
          <w:tab w:val="left" w:pos="2100"/>
          <w:tab w:val="right" w:leader="dot" w:pos="8296"/>
        </w:tabs>
        <w:rPr>
          <w:rFonts w:asciiTheme="minorHAnsi" w:hAnsiTheme="minorHAnsi" w:eastAsiaTheme="minorEastAsia" w:cstheme="minorBidi"/>
          <w:sz w:val="32"/>
          <w:szCs w:val="32"/>
        </w:rPr>
      </w:pPr>
      <w:r>
        <w:fldChar w:fldCharType="begin"/>
      </w:r>
      <w:r>
        <w:instrText xml:space="preserve"> HYPERLINK \l "_Toc218241200" </w:instrText>
      </w:r>
      <w:r>
        <w:fldChar w:fldCharType="separate"/>
      </w:r>
      <w:r>
        <w:rPr>
          <w:rStyle w:val="14"/>
          <w:rFonts w:hint="eastAsia" w:eastAsia="楷体_GB2312"/>
          <w:kern w:val="0"/>
          <w:sz w:val="32"/>
          <w:szCs w:val="32"/>
        </w:rPr>
        <w:t>第一节</w:t>
      </w:r>
      <w:r>
        <w:rPr>
          <w:rFonts w:asciiTheme="minorHAnsi" w:hAnsiTheme="minorHAnsi" w:eastAsiaTheme="minorEastAsia" w:cstheme="minorBidi"/>
          <w:sz w:val="32"/>
          <w:szCs w:val="32"/>
        </w:rPr>
        <w:tab/>
      </w:r>
      <w:r>
        <w:rPr>
          <w:rStyle w:val="14"/>
          <w:rFonts w:hint="eastAsia" w:eastAsia="楷体_GB2312"/>
          <w:kern w:val="0"/>
          <w:sz w:val="32"/>
          <w:szCs w:val="32"/>
        </w:rPr>
        <w:t>健全民主政治制度</w:t>
      </w:r>
      <w:r>
        <w:rPr>
          <w:sz w:val="32"/>
          <w:szCs w:val="32"/>
        </w:rPr>
        <w:tab/>
      </w:r>
      <w:r>
        <w:rPr>
          <w:sz w:val="32"/>
          <w:szCs w:val="32"/>
        </w:rPr>
        <w:fldChar w:fldCharType="begin"/>
      </w:r>
      <w:r>
        <w:rPr>
          <w:sz w:val="32"/>
          <w:szCs w:val="32"/>
        </w:rPr>
        <w:instrText xml:space="preserve"> PAGEREF _Toc218241200 \h </w:instrText>
      </w:r>
      <w:r>
        <w:rPr>
          <w:sz w:val="32"/>
          <w:szCs w:val="32"/>
        </w:rPr>
        <w:fldChar w:fldCharType="separate"/>
      </w:r>
      <w:r>
        <w:rPr>
          <w:sz w:val="32"/>
          <w:szCs w:val="32"/>
        </w:rPr>
        <w:t>105</w:t>
      </w:r>
      <w:r>
        <w:rPr>
          <w:sz w:val="32"/>
          <w:szCs w:val="32"/>
        </w:rPr>
        <w:fldChar w:fldCharType="end"/>
      </w:r>
      <w:r>
        <w:rPr>
          <w:sz w:val="32"/>
          <w:szCs w:val="32"/>
        </w:rPr>
        <w:fldChar w:fldCharType="end"/>
      </w:r>
    </w:p>
    <w:p w14:paraId="6DCF6C60">
      <w:pPr>
        <w:pStyle w:val="6"/>
        <w:tabs>
          <w:tab w:val="left" w:pos="2100"/>
          <w:tab w:val="right" w:leader="dot" w:pos="8296"/>
        </w:tabs>
        <w:rPr>
          <w:rFonts w:asciiTheme="minorHAnsi" w:hAnsiTheme="minorHAnsi" w:eastAsiaTheme="minorEastAsia" w:cstheme="minorBidi"/>
          <w:sz w:val="32"/>
          <w:szCs w:val="32"/>
        </w:rPr>
      </w:pPr>
      <w:r>
        <w:fldChar w:fldCharType="begin"/>
      </w:r>
      <w:r>
        <w:instrText xml:space="preserve"> HYPERLINK \l "_Toc218241201" </w:instrText>
      </w:r>
      <w:r>
        <w:fldChar w:fldCharType="separate"/>
      </w:r>
      <w:r>
        <w:rPr>
          <w:rStyle w:val="14"/>
          <w:rFonts w:hint="eastAsia" w:eastAsia="楷体_GB2312"/>
          <w:kern w:val="0"/>
          <w:sz w:val="32"/>
          <w:szCs w:val="32"/>
        </w:rPr>
        <w:t>第二节</w:t>
      </w:r>
      <w:r>
        <w:rPr>
          <w:rFonts w:asciiTheme="minorHAnsi" w:hAnsiTheme="minorHAnsi" w:eastAsiaTheme="minorEastAsia" w:cstheme="minorBidi"/>
          <w:sz w:val="32"/>
          <w:szCs w:val="32"/>
        </w:rPr>
        <w:tab/>
      </w:r>
      <w:r>
        <w:rPr>
          <w:rStyle w:val="14"/>
          <w:rFonts w:hint="eastAsia" w:eastAsia="楷体_GB2312"/>
          <w:kern w:val="0"/>
          <w:sz w:val="32"/>
          <w:szCs w:val="32"/>
        </w:rPr>
        <w:t>全面强化法治建设</w:t>
      </w:r>
      <w:r>
        <w:rPr>
          <w:sz w:val="32"/>
          <w:szCs w:val="32"/>
        </w:rPr>
        <w:tab/>
      </w:r>
      <w:r>
        <w:rPr>
          <w:sz w:val="32"/>
          <w:szCs w:val="32"/>
        </w:rPr>
        <w:fldChar w:fldCharType="begin"/>
      </w:r>
      <w:r>
        <w:rPr>
          <w:sz w:val="32"/>
          <w:szCs w:val="32"/>
        </w:rPr>
        <w:instrText xml:space="preserve"> PAGEREF _Toc218241201 \h </w:instrText>
      </w:r>
      <w:r>
        <w:rPr>
          <w:sz w:val="32"/>
          <w:szCs w:val="32"/>
        </w:rPr>
        <w:fldChar w:fldCharType="separate"/>
      </w:r>
      <w:r>
        <w:rPr>
          <w:sz w:val="32"/>
          <w:szCs w:val="32"/>
        </w:rPr>
        <w:t>106</w:t>
      </w:r>
      <w:r>
        <w:rPr>
          <w:sz w:val="32"/>
          <w:szCs w:val="32"/>
        </w:rPr>
        <w:fldChar w:fldCharType="end"/>
      </w:r>
      <w:r>
        <w:rPr>
          <w:sz w:val="32"/>
          <w:szCs w:val="32"/>
        </w:rPr>
        <w:fldChar w:fldCharType="end"/>
      </w:r>
    </w:p>
    <w:p w14:paraId="33CA955C">
      <w:pPr>
        <w:pStyle w:val="6"/>
        <w:tabs>
          <w:tab w:val="left" w:pos="2100"/>
          <w:tab w:val="right" w:leader="dot" w:pos="8296"/>
        </w:tabs>
        <w:rPr>
          <w:rFonts w:asciiTheme="minorHAnsi" w:hAnsiTheme="minorHAnsi" w:eastAsiaTheme="minorEastAsia" w:cstheme="minorBidi"/>
          <w:sz w:val="32"/>
          <w:szCs w:val="32"/>
        </w:rPr>
      </w:pPr>
      <w:r>
        <w:fldChar w:fldCharType="begin"/>
      </w:r>
      <w:r>
        <w:instrText xml:space="preserve"> HYPERLINK \l "_Toc218241202" </w:instrText>
      </w:r>
      <w:r>
        <w:fldChar w:fldCharType="separate"/>
      </w:r>
      <w:r>
        <w:rPr>
          <w:rStyle w:val="14"/>
          <w:rFonts w:hint="eastAsia" w:eastAsia="楷体_GB2312"/>
          <w:kern w:val="0"/>
          <w:sz w:val="32"/>
          <w:szCs w:val="32"/>
        </w:rPr>
        <w:t>第三节</w:t>
      </w:r>
      <w:r>
        <w:rPr>
          <w:rFonts w:asciiTheme="minorHAnsi" w:hAnsiTheme="minorHAnsi" w:eastAsiaTheme="minorEastAsia" w:cstheme="minorBidi"/>
          <w:sz w:val="32"/>
          <w:szCs w:val="32"/>
        </w:rPr>
        <w:tab/>
      </w:r>
      <w:r>
        <w:rPr>
          <w:rStyle w:val="14"/>
          <w:rFonts w:hint="eastAsia" w:eastAsia="楷体_GB2312"/>
          <w:kern w:val="0"/>
          <w:sz w:val="32"/>
          <w:szCs w:val="32"/>
        </w:rPr>
        <w:t>创新社会治理机制</w:t>
      </w:r>
      <w:r>
        <w:rPr>
          <w:sz w:val="32"/>
          <w:szCs w:val="32"/>
        </w:rPr>
        <w:tab/>
      </w:r>
      <w:r>
        <w:rPr>
          <w:sz w:val="32"/>
          <w:szCs w:val="32"/>
        </w:rPr>
        <w:fldChar w:fldCharType="begin"/>
      </w:r>
      <w:r>
        <w:rPr>
          <w:sz w:val="32"/>
          <w:szCs w:val="32"/>
        </w:rPr>
        <w:instrText xml:space="preserve"> PAGEREF _Toc218241202 \h </w:instrText>
      </w:r>
      <w:r>
        <w:rPr>
          <w:sz w:val="32"/>
          <w:szCs w:val="32"/>
        </w:rPr>
        <w:fldChar w:fldCharType="separate"/>
      </w:r>
      <w:r>
        <w:rPr>
          <w:sz w:val="32"/>
          <w:szCs w:val="32"/>
        </w:rPr>
        <w:t>106</w:t>
      </w:r>
      <w:r>
        <w:rPr>
          <w:sz w:val="32"/>
          <w:szCs w:val="32"/>
        </w:rPr>
        <w:fldChar w:fldCharType="end"/>
      </w:r>
      <w:r>
        <w:rPr>
          <w:sz w:val="32"/>
          <w:szCs w:val="32"/>
        </w:rPr>
        <w:fldChar w:fldCharType="end"/>
      </w:r>
    </w:p>
    <w:p w14:paraId="6C49FFBA">
      <w:pPr>
        <w:pStyle w:val="6"/>
        <w:tabs>
          <w:tab w:val="left" w:pos="2100"/>
          <w:tab w:val="right" w:leader="dot" w:pos="8296"/>
        </w:tabs>
        <w:rPr>
          <w:rFonts w:asciiTheme="minorHAnsi" w:hAnsiTheme="minorHAnsi" w:eastAsiaTheme="minorEastAsia" w:cstheme="minorBidi"/>
          <w:sz w:val="32"/>
          <w:szCs w:val="32"/>
        </w:rPr>
      </w:pPr>
      <w:r>
        <w:fldChar w:fldCharType="begin"/>
      </w:r>
      <w:r>
        <w:instrText xml:space="preserve"> HYPERLINK \l "_Toc218241203" </w:instrText>
      </w:r>
      <w:r>
        <w:fldChar w:fldCharType="separate"/>
      </w:r>
      <w:r>
        <w:rPr>
          <w:rStyle w:val="14"/>
          <w:rFonts w:hint="eastAsia" w:eastAsia="楷体_GB2312"/>
          <w:kern w:val="0"/>
          <w:sz w:val="32"/>
          <w:szCs w:val="32"/>
        </w:rPr>
        <w:t>第四节</w:t>
      </w:r>
      <w:r>
        <w:rPr>
          <w:rFonts w:asciiTheme="minorHAnsi" w:hAnsiTheme="minorHAnsi" w:eastAsiaTheme="minorEastAsia" w:cstheme="minorBidi"/>
          <w:sz w:val="32"/>
          <w:szCs w:val="32"/>
        </w:rPr>
        <w:tab/>
      </w:r>
      <w:r>
        <w:rPr>
          <w:rStyle w:val="14"/>
          <w:rFonts w:hint="eastAsia" w:eastAsia="楷体_GB2312"/>
          <w:kern w:val="0"/>
          <w:sz w:val="32"/>
          <w:szCs w:val="32"/>
        </w:rPr>
        <w:t>加强反腐倡廉建设</w:t>
      </w:r>
      <w:r>
        <w:rPr>
          <w:sz w:val="32"/>
          <w:szCs w:val="32"/>
        </w:rPr>
        <w:tab/>
      </w:r>
      <w:r>
        <w:rPr>
          <w:sz w:val="32"/>
          <w:szCs w:val="32"/>
        </w:rPr>
        <w:fldChar w:fldCharType="begin"/>
      </w:r>
      <w:r>
        <w:rPr>
          <w:sz w:val="32"/>
          <w:szCs w:val="32"/>
        </w:rPr>
        <w:instrText xml:space="preserve"> PAGEREF _Toc218241203 \h </w:instrText>
      </w:r>
      <w:r>
        <w:rPr>
          <w:sz w:val="32"/>
          <w:szCs w:val="32"/>
        </w:rPr>
        <w:fldChar w:fldCharType="separate"/>
      </w:r>
      <w:r>
        <w:rPr>
          <w:sz w:val="32"/>
          <w:szCs w:val="32"/>
        </w:rPr>
        <w:t>107</w:t>
      </w:r>
      <w:r>
        <w:rPr>
          <w:sz w:val="32"/>
          <w:szCs w:val="32"/>
        </w:rPr>
        <w:fldChar w:fldCharType="end"/>
      </w:r>
      <w:r>
        <w:rPr>
          <w:sz w:val="32"/>
          <w:szCs w:val="32"/>
        </w:rPr>
        <w:fldChar w:fldCharType="end"/>
      </w:r>
    </w:p>
    <w:p w14:paraId="3CE5E440">
      <w:pPr>
        <w:pStyle w:val="8"/>
        <w:tabs>
          <w:tab w:val="right" w:leader="dot" w:pos="8296"/>
        </w:tabs>
        <w:rPr>
          <w:rFonts w:asciiTheme="minorHAnsi" w:hAnsiTheme="minorHAnsi" w:eastAsiaTheme="minorEastAsia" w:cstheme="minorBidi"/>
          <w:sz w:val="32"/>
          <w:szCs w:val="32"/>
        </w:rPr>
      </w:pPr>
      <w:r>
        <w:fldChar w:fldCharType="begin"/>
      </w:r>
      <w:r>
        <w:instrText xml:space="preserve"> HYPERLINK \l "_Toc218241204" </w:instrText>
      </w:r>
      <w:r>
        <w:fldChar w:fldCharType="separate"/>
      </w:r>
      <w:r>
        <w:rPr>
          <w:rStyle w:val="14"/>
          <w:rFonts w:hint="eastAsia" w:eastAsia="方正大标宋简体"/>
          <w:sz w:val="32"/>
          <w:szCs w:val="32"/>
        </w:rPr>
        <w:t>第十二篇</w:t>
      </w:r>
      <w:r>
        <w:rPr>
          <w:rStyle w:val="14"/>
          <w:rFonts w:eastAsia="方正大标宋简体"/>
          <w:sz w:val="32"/>
          <w:szCs w:val="32"/>
        </w:rPr>
        <w:t xml:space="preserve">  </w:t>
      </w:r>
      <w:r>
        <w:rPr>
          <w:rStyle w:val="14"/>
          <w:rFonts w:hint="eastAsia" w:eastAsia="方正大标宋简体"/>
          <w:sz w:val="32"/>
          <w:szCs w:val="32"/>
        </w:rPr>
        <w:t>凝心聚力</w:t>
      </w:r>
      <w:r>
        <w:rPr>
          <w:rStyle w:val="14"/>
          <w:rFonts w:eastAsia="方正大标宋简体"/>
          <w:sz w:val="32"/>
          <w:szCs w:val="32"/>
        </w:rPr>
        <w:t xml:space="preserve">  </w:t>
      </w:r>
      <w:r>
        <w:rPr>
          <w:rStyle w:val="14"/>
          <w:rFonts w:hint="eastAsia" w:eastAsia="方正大标宋简体"/>
          <w:sz w:val="32"/>
          <w:szCs w:val="32"/>
        </w:rPr>
        <w:t>确保美丽蓝图变为现实</w:t>
      </w:r>
      <w:r>
        <w:rPr>
          <w:sz w:val="32"/>
          <w:szCs w:val="32"/>
        </w:rPr>
        <w:tab/>
      </w:r>
      <w:r>
        <w:rPr>
          <w:sz w:val="32"/>
          <w:szCs w:val="32"/>
        </w:rPr>
        <w:fldChar w:fldCharType="begin"/>
      </w:r>
      <w:r>
        <w:rPr>
          <w:sz w:val="32"/>
          <w:szCs w:val="32"/>
        </w:rPr>
        <w:instrText xml:space="preserve"> PAGEREF _Toc218241204 \h </w:instrText>
      </w:r>
      <w:r>
        <w:rPr>
          <w:sz w:val="32"/>
          <w:szCs w:val="32"/>
        </w:rPr>
        <w:fldChar w:fldCharType="separate"/>
      </w:r>
      <w:r>
        <w:rPr>
          <w:sz w:val="32"/>
          <w:szCs w:val="32"/>
        </w:rPr>
        <w:t>108</w:t>
      </w:r>
      <w:r>
        <w:rPr>
          <w:sz w:val="32"/>
          <w:szCs w:val="32"/>
        </w:rPr>
        <w:fldChar w:fldCharType="end"/>
      </w:r>
      <w:r>
        <w:rPr>
          <w:sz w:val="32"/>
          <w:szCs w:val="32"/>
        </w:rPr>
        <w:fldChar w:fldCharType="end"/>
      </w:r>
    </w:p>
    <w:p w14:paraId="6A65429B">
      <w:pPr>
        <w:pStyle w:val="9"/>
        <w:tabs>
          <w:tab w:val="right" w:leader="dot" w:pos="8296"/>
        </w:tabs>
        <w:rPr>
          <w:rFonts w:asciiTheme="minorHAnsi" w:hAnsiTheme="minorHAnsi" w:eastAsiaTheme="minorEastAsia" w:cstheme="minorBidi"/>
          <w:sz w:val="32"/>
          <w:szCs w:val="32"/>
        </w:rPr>
      </w:pPr>
      <w:r>
        <w:fldChar w:fldCharType="begin"/>
      </w:r>
      <w:r>
        <w:instrText xml:space="preserve"> HYPERLINK \l "_Toc218241205" </w:instrText>
      </w:r>
      <w:r>
        <w:fldChar w:fldCharType="separate"/>
      </w:r>
      <w:r>
        <w:rPr>
          <w:rStyle w:val="14"/>
          <w:rFonts w:hint="eastAsia" w:eastAsia="黑体"/>
          <w:bCs/>
          <w:kern w:val="0"/>
          <w:sz w:val="32"/>
          <w:szCs w:val="32"/>
        </w:rPr>
        <w:t>第三十八章</w:t>
      </w:r>
      <w:r>
        <w:rPr>
          <w:rStyle w:val="14"/>
          <w:rFonts w:eastAsia="黑体"/>
          <w:bCs/>
          <w:kern w:val="0"/>
          <w:sz w:val="32"/>
          <w:szCs w:val="32"/>
        </w:rPr>
        <w:t xml:space="preserve">  </w:t>
      </w:r>
      <w:r>
        <w:rPr>
          <w:rStyle w:val="14"/>
          <w:rFonts w:hint="eastAsia" w:eastAsia="黑体"/>
          <w:bCs/>
          <w:kern w:val="0"/>
          <w:sz w:val="32"/>
          <w:szCs w:val="32"/>
        </w:rPr>
        <w:t>全面加强党的领导</w:t>
      </w:r>
      <w:r>
        <w:rPr>
          <w:sz w:val="32"/>
          <w:szCs w:val="32"/>
        </w:rPr>
        <w:tab/>
      </w:r>
      <w:r>
        <w:rPr>
          <w:sz w:val="32"/>
          <w:szCs w:val="32"/>
        </w:rPr>
        <w:fldChar w:fldCharType="begin"/>
      </w:r>
      <w:r>
        <w:rPr>
          <w:sz w:val="32"/>
          <w:szCs w:val="32"/>
        </w:rPr>
        <w:instrText xml:space="preserve"> PAGEREF _Toc218241205 \h </w:instrText>
      </w:r>
      <w:r>
        <w:rPr>
          <w:sz w:val="32"/>
          <w:szCs w:val="32"/>
        </w:rPr>
        <w:fldChar w:fldCharType="separate"/>
      </w:r>
      <w:r>
        <w:rPr>
          <w:sz w:val="32"/>
          <w:szCs w:val="32"/>
        </w:rPr>
        <w:t>108</w:t>
      </w:r>
      <w:r>
        <w:rPr>
          <w:sz w:val="32"/>
          <w:szCs w:val="32"/>
        </w:rPr>
        <w:fldChar w:fldCharType="end"/>
      </w:r>
      <w:r>
        <w:rPr>
          <w:sz w:val="32"/>
          <w:szCs w:val="32"/>
        </w:rPr>
        <w:fldChar w:fldCharType="end"/>
      </w:r>
    </w:p>
    <w:p w14:paraId="13CEF5AF">
      <w:pPr>
        <w:pStyle w:val="9"/>
        <w:tabs>
          <w:tab w:val="right" w:leader="dot" w:pos="8296"/>
        </w:tabs>
        <w:rPr>
          <w:rFonts w:asciiTheme="minorHAnsi" w:hAnsiTheme="minorHAnsi" w:eastAsiaTheme="minorEastAsia" w:cstheme="minorBidi"/>
          <w:sz w:val="32"/>
          <w:szCs w:val="32"/>
        </w:rPr>
      </w:pPr>
      <w:r>
        <w:fldChar w:fldCharType="begin"/>
      </w:r>
      <w:r>
        <w:instrText xml:space="preserve"> HYPERLINK \l "_Toc218241206" </w:instrText>
      </w:r>
      <w:r>
        <w:fldChar w:fldCharType="separate"/>
      </w:r>
      <w:r>
        <w:rPr>
          <w:rStyle w:val="14"/>
          <w:rFonts w:hint="eastAsia" w:eastAsia="黑体"/>
          <w:bCs/>
          <w:kern w:val="0"/>
          <w:sz w:val="32"/>
          <w:szCs w:val="32"/>
        </w:rPr>
        <w:t>第三十九章</w:t>
      </w:r>
      <w:r>
        <w:rPr>
          <w:rStyle w:val="14"/>
          <w:rFonts w:eastAsia="黑体"/>
          <w:bCs/>
          <w:kern w:val="0"/>
          <w:sz w:val="32"/>
          <w:szCs w:val="32"/>
        </w:rPr>
        <w:t xml:space="preserve">  </w:t>
      </w:r>
      <w:r>
        <w:rPr>
          <w:rStyle w:val="14"/>
          <w:rFonts w:hint="eastAsia" w:eastAsia="黑体"/>
          <w:bCs/>
          <w:kern w:val="0"/>
          <w:sz w:val="32"/>
          <w:szCs w:val="32"/>
        </w:rPr>
        <w:t>突出重大项目支撑</w:t>
      </w:r>
      <w:r>
        <w:rPr>
          <w:sz w:val="32"/>
          <w:szCs w:val="32"/>
        </w:rPr>
        <w:tab/>
      </w:r>
      <w:r>
        <w:rPr>
          <w:sz w:val="32"/>
          <w:szCs w:val="32"/>
        </w:rPr>
        <w:fldChar w:fldCharType="begin"/>
      </w:r>
      <w:r>
        <w:rPr>
          <w:sz w:val="32"/>
          <w:szCs w:val="32"/>
        </w:rPr>
        <w:instrText xml:space="preserve"> PAGEREF _Toc218241206 \h </w:instrText>
      </w:r>
      <w:r>
        <w:rPr>
          <w:sz w:val="32"/>
          <w:szCs w:val="32"/>
        </w:rPr>
        <w:fldChar w:fldCharType="separate"/>
      </w:r>
      <w:r>
        <w:rPr>
          <w:sz w:val="32"/>
          <w:szCs w:val="32"/>
        </w:rPr>
        <w:t>108</w:t>
      </w:r>
      <w:r>
        <w:rPr>
          <w:sz w:val="32"/>
          <w:szCs w:val="32"/>
        </w:rPr>
        <w:fldChar w:fldCharType="end"/>
      </w:r>
      <w:r>
        <w:rPr>
          <w:sz w:val="32"/>
          <w:szCs w:val="32"/>
        </w:rPr>
        <w:fldChar w:fldCharType="end"/>
      </w:r>
    </w:p>
    <w:p w14:paraId="55A84FAE">
      <w:pPr>
        <w:pStyle w:val="9"/>
        <w:tabs>
          <w:tab w:val="right" w:leader="dot" w:pos="8296"/>
        </w:tabs>
        <w:rPr>
          <w:rFonts w:asciiTheme="minorHAnsi" w:hAnsiTheme="minorHAnsi" w:eastAsiaTheme="minorEastAsia" w:cstheme="minorBidi"/>
          <w:sz w:val="32"/>
          <w:szCs w:val="32"/>
        </w:rPr>
      </w:pPr>
      <w:r>
        <w:fldChar w:fldCharType="begin"/>
      </w:r>
      <w:r>
        <w:instrText xml:space="preserve"> HYPERLINK \l "_Toc218241207" </w:instrText>
      </w:r>
      <w:r>
        <w:fldChar w:fldCharType="separate"/>
      </w:r>
      <w:r>
        <w:rPr>
          <w:rStyle w:val="14"/>
          <w:rFonts w:hint="eastAsia" w:eastAsia="黑体"/>
          <w:bCs/>
          <w:kern w:val="0"/>
          <w:sz w:val="32"/>
          <w:szCs w:val="32"/>
        </w:rPr>
        <w:t>第四十章</w:t>
      </w:r>
      <w:r>
        <w:rPr>
          <w:rStyle w:val="14"/>
          <w:rFonts w:eastAsia="黑体"/>
          <w:bCs/>
          <w:kern w:val="0"/>
          <w:sz w:val="32"/>
          <w:szCs w:val="32"/>
        </w:rPr>
        <w:t xml:space="preserve">  </w:t>
      </w:r>
      <w:r>
        <w:rPr>
          <w:rStyle w:val="14"/>
          <w:rFonts w:hint="eastAsia" w:eastAsia="黑体"/>
          <w:bCs/>
          <w:kern w:val="0"/>
          <w:sz w:val="32"/>
          <w:szCs w:val="32"/>
        </w:rPr>
        <w:t>落实专项规划</w:t>
      </w:r>
      <w:r>
        <w:rPr>
          <w:sz w:val="32"/>
          <w:szCs w:val="32"/>
        </w:rPr>
        <w:tab/>
      </w:r>
      <w:r>
        <w:rPr>
          <w:sz w:val="32"/>
          <w:szCs w:val="32"/>
        </w:rPr>
        <w:fldChar w:fldCharType="begin"/>
      </w:r>
      <w:r>
        <w:rPr>
          <w:sz w:val="32"/>
          <w:szCs w:val="32"/>
        </w:rPr>
        <w:instrText xml:space="preserve"> PAGEREF _Toc218241207 \h </w:instrText>
      </w:r>
      <w:r>
        <w:rPr>
          <w:sz w:val="32"/>
          <w:szCs w:val="32"/>
        </w:rPr>
        <w:fldChar w:fldCharType="separate"/>
      </w:r>
      <w:r>
        <w:rPr>
          <w:sz w:val="32"/>
          <w:szCs w:val="32"/>
        </w:rPr>
        <w:t>109</w:t>
      </w:r>
      <w:r>
        <w:rPr>
          <w:sz w:val="32"/>
          <w:szCs w:val="32"/>
        </w:rPr>
        <w:fldChar w:fldCharType="end"/>
      </w:r>
      <w:r>
        <w:rPr>
          <w:sz w:val="32"/>
          <w:szCs w:val="32"/>
        </w:rPr>
        <w:fldChar w:fldCharType="end"/>
      </w:r>
    </w:p>
    <w:p w14:paraId="26B191D5">
      <w:pPr>
        <w:pStyle w:val="9"/>
        <w:tabs>
          <w:tab w:val="right" w:leader="dot" w:pos="8296"/>
        </w:tabs>
        <w:rPr>
          <w:rFonts w:asciiTheme="minorHAnsi" w:hAnsiTheme="minorHAnsi" w:eastAsiaTheme="minorEastAsia" w:cstheme="minorBidi"/>
          <w:sz w:val="32"/>
          <w:szCs w:val="32"/>
        </w:rPr>
      </w:pPr>
      <w:r>
        <w:fldChar w:fldCharType="begin"/>
      </w:r>
      <w:r>
        <w:instrText xml:space="preserve"> HYPERLINK \l "_Toc218241208" </w:instrText>
      </w:r>
      <w:r>
        <w:fldChar w:fldCharType="separate"/>
      </w:r>
      <w:r>
        <w:rPr>
          <w:rStyle w:val="14"/>
          <w:rFonts w:hint="eastAsia" w:eastAsia="黑体"/>
          <w:bCs/>
          <w:kern w:val="0"/>
          <w:sz w:val="32"/>
          <w:szCs w:val="32"/>
        </w:rPr>
        <w:t>第四十一章</w:t>
      </w:r>
      <w:r>
        <w:rPr>
          <w:rStyle w:val="14"/>
          <w:rFonts w:eastAsia="黑体"/>
          <w:bCs/>
          <w:kern w:val="0"/>
          <w:sz w:val="32"/>
          <w:szCs w:val="32"/>
        </w:rPr>
        <w:t xml:space="preserve">  </w:t>
      </w:r>
      <w:r>
        <w:rPr>
          <w:rStyle w:val="14"/>
          <w:rFonts w:hint="eastAsia" w:eastAsia="黑体"/>
          <w:bCs/>
          <w:kern w:val="0"/>
          <w:sz w:val="32"/>
          <w:szCs w:val="32"/>
        </w:rPr>
        <w:t>加强规划衔接协调</w:t>
      </w:r>
      <w:r>
        <w:rPr>
          <w:sz w:val="32"/>
          <w:szCs w:val="32"/>
        </w:rPr>
        <w:tab/>
      </w:r>
      <w:r>
        <w:rPr>
          <w:sz w:val="32"/>
          <w:szCs w:val="32"/>
        </w:rPr>
        <w:fldChar w:fldCharType="begin"/>
      </w:r>
      <w:r>
        <w:rPr>
          <w:sz w:val="32"/>
          <w:szCs w:val="32"/>
        </w:rPr>
        <w:instrText xml:space="preserve"> PAGEREF _Toc218241208 \h </w:instrText>
      </w:r>
      <w:r>
        <w:rPr>
          <w:sz w:val="32"/>
          <w:szCs w:val="32"/>
        </w:rPr>
        <w:fldChar w:fldCharType="separate"/>
      </w:r>
      <w:r>
        <w:rPr>
          <w:sz w:val="32"/>
          <w:szCs w:val="32"/>
        </w:rPr>
        <w:t>111</w:t>
      </w:r>
      <w:r>
        <w:rPr>
          <w:sz w:val="32"/>
          <w:szCs w:val="32"/>
        </w:rPr>
        <w:fldChar w:fldCharType="end"/>
      </w:r>
      <w:r>
        <w:rPr>
          <w:sz w:val="32"/>
          <w:szCs w:val="32"/>
        </w:rPr>
        <w:fldChar w:fldCharType="end"/>
      </w:r>
    </w:p>
    <w:p w14:paraId="77C30765">
      <w:pPr>
        <w:pStyle w:val="9"/>
        <w:tabs>
          <w:tab w:val="right" w:leader="dot" w:pos="8296"/>
        </w:tabs>
        <w:rPr>
          <w:rFonts w:asciiTheme="minorHAnsi" w:hAnsiTheme="minorHAnsi" w:eastAsiaTheme="minorEastAsia" w:cstheme="minorBidi"/>
          <w:sz w:val="32"/>
          <w:szCs w:val="32"/>
        </w:rPr>
      </w:pPr>
      <w:r>
        <w:fldChar w:fldCharType="begin"/>
      </w:r>
      <w:r>
        <w:instrText xml:space="preserve"> HYPERLINK \l "_Toc218241209" </w:instrText>
      </w:r>
      <w:r>
        <w:fldChar w:fldCharType="separate"/>
      </w:r>
      <w:r>
        <w:rPr>
          <w:rStyle w:val="14"/>
          <w:rFonts w:hint="eastAsia" w:eastAsia="黑体"/>
          <w:bCs/>
          <w:kern w:val="0"/>
          <w:sz w:val="32"/>
          <w:szCs w:val="32"/>
        </w:rPr>
        <w:t>第四十二章</w:t>
      </w:r>
      <w:r>
        <w:rPr>
          <w:rStyle w:val="14"/>
          <w:rFonts w:eastAsia="黑体"/>
          <w:bCs/>
          <w:kern w:val="0"/>
          <w:sz w:val="32"/>
          <w:szCs w:val="32"/>
        </w:rPr>
        <w:t xml:space="preserve">  </w:t>
      </w:r>
      <w:r>
        <w:rPr>
          <w:rStyle w:val="14"/>
          <w:rFonts w:hint="eastAsia" w:eastAsia="黑体"/>
          <w:bCs/>
          <w:kern w:val="0"/>
          <w:sz w:val="32"/>
          <w:szCs w:val="32"/>
        </w:rPr>
        <w:t>加强规划实施监督评估</w:t>
      </w:r>
      <w:r>
        <w:rPr>
          <w:sz w:val="32"/>
          <w:szCs w:val="32"/>
        </w:rPr>
        <w:tab/>
      </w:r>
      <w:r>
        <w:rPr>
          <w:sz w:val="32"/>
          <w:szCs w:val="32"/>
        </w:rPr>
        <w:fldChar w:fldCharType="begin"/>
      </w:r>
      <w:r>
        <w:rPr>
          <w:sz w:val="32"/>
          <w:szCs w:val="32"/>
        </w:rPr>
        <w:instrText xml:space="preserve"> PAGEREF _Toc218241209 \h </w:instrText>
      </w:r>
      <w:r>
        <w:rPr>
          <w:sz w:val="32"/>
          <w:szCs w:val="32"/>
        </w:rPr>
        <w:fldChar w:fldCharType="separate"/>
      </w:r>
      <w:r>
        <w:rPr>
          <w:sz w:val="32"/>
          <w:szCs w:val="32"/>
        </w:rPr>
        <w:t>111</w:t>
      </w:r>
      <w:r>
        <w:rPr>
          <w:sz w:val="32"/>
          <w:szCs w:val="32"/>
        </w:rPr>
        <w:fldChar w:fldCharType="end"/>
      </w:r>
      <w:r>
        <w:rPr>
          <w:sz w:val="32"/>
          <w:szCs w:val="32"/>
        </w:rPr>
        <w:fldChar w:fldCharType="end"/>
      </w:r>
    </w:p>
    <w:p w14:paraId="032808D4">
      <w:pPr>
        <w:spacing w:line="580" w:lineRule="exact"/>
        <w:ind w:firstLine="525"/>
        <w:rPr>
          <w:rFonts w:eastAsia="仿宋_GB2312"/>
          <w:color w:val="000000"/>
          <w:sz w:val="32"/>
          <w:szCs w:val="32"/>
        </w:rPr>
        <w:sectPr>
          <w:footerReference r:id="rId4" w:type="default"/>
          <w:pgSz w:w="11906" w:h="16838"/>
          <w:pgMar w:top="1531" w:right="1800" w:bottom="1531" w:left="1800" w:header="851" w:footer="992" w:gutter="0"/>
          <w:pgNumType w:fmt="upperRoman" w:start="1"/>
          <w:cols w:space="0" w:num="1"/>
          <w:docGrid w:type="lines" w:linePitch="312" w:charSpace="0"/>
        </w:sectPr>
      </w:pPr>
      <w:r>
        <w:rPr>
          <w:rFonts w:hint="eastAsia" w:eastAsia="仿宋_GB2312"/>
          <w:color w:val="000000"/>
          <w:sz w:val="32"/>
          <w:szCs w:val="32"/>
        </w:rPr>
        <w:fldChar w:fldCharType="end"/>
      </w:r>
    </w:p>
    <w:p w14:paraId="67157C1B">
      <w:pPr>
        <w:spacing w:line="580" w:lineRule="exact"/>
        <w:ind w:firstLine="800" w:firstLineChars="250"/>
        <w:rPr>
          <w:rFonts w:eastAsia="仿宋_GB2312"/>
          <w:color w:val="000000"/>
          <w:sz w:val="32"/>
          <w:szCs w:val="32"/>
        </w:rPr>
      </w:pPr>
      <w:r>
        <w:rPr>
          <w:rFonts w:hint="eastAsia" w:eastAsia="仿宋_GB2312"/>
          <w:color w:val="000000"/>
          <w:sz w:val="32"/>
          <w:szCs w:val="32"/>
        </w:rPr>
        <w:t>理塘县</w:t>
      </w:r>
      <w:r>
        <w:rPr>
          <w:rFonts w:eastAsia="仿宋_GB2312"/>
          <w:color w:val="000000"/>
          <w:sz w:val="32"/>
          <w:szCs w:val="32"/>
        </w:rPr>
        <w:t>国民经济和社会发展第十</w:t>
      </w:r>
      <w:r>
        <w:rPr>
          <w:rFonts w:hint="eastAsia" w:eastAsia="仿宋_GB2312"/>
          <w:color w:val="000000"/>
          <w:sz w:val="32"/>
          <w:szCs w:val="32"/>
        </w:rPr>
        <w:t>五</w:t>
      </w:r>
      <w:r>
        <w:rPr>
          <w:rFonts w:eastAsia="仿宋_GB2312"/>
          <w:color w:val="000000"/>
          <w:sz w:val="32"/>
          <w:szCs w:val="32"/>
        </w:rPr>
        <w:t>个五年规划纲要</w:t>
      </w:r>
      <w:r>
        <w:rPr>
          <w:rFonts w:hint="eastAsia" w:eastAsia="仿宋_GB2312"/>
          <w:color w:val="000000"/>
          <w:sz w:val="32"/>
          <w:szCs w:val="32"/>
        </w:rPr>
        <w:t>（2026-2030年）（以下简称</w:t>
      </w:r>
      <w:bookmarkStart w:id="2" w:name="OLE_LINK83"/>
      <w:r>
        <w:rPr>
          <w:rFonts w:hint="eastAsia" w:eastAsia="仿宋_GB2312"/>
          <w:color w:val="000000"/>
          <w:sz w:val="32"/>
          <w:szCs w:val="32"/>
        </w:rPr>
        <w:t>《纲要》</w:t>
      </w:r>
      <w:bookmarkEnd w:id="2"/>
      <w:r>
        <w:rPr>
          <w:rFonts w:hint="eastAsia" w:eastAsia="仿宋_GB2312"/>
          <w:color w:val="000000"/>
          <w:sz w:val="32"/>
          <w:szCs w:val="32"/>
        </w:rPr>
        <w:t>），根据党的二十届四中全会、省委</w:t>
      </w:r>
      <w:bookmarkStart w:id="3" w:name="OLE_LINK81"/>
      <w:bookmarkStart w:id="4" w:name="OLE_LINK77"/>
      <w:r>
        <w:rPr>
          <w:rFonts w:hint="eastAsia" w:eastAsia="仿宋_GB2312"/>
          <w:color w:val="000000"/>
          <w:sz w:val="32"/>
          <w:szCs w:val="32"/>
        </w:rPr>
        <w:t>十二届八次全会</w:t>
      </w:r>
      <w:bookmarkEnd w:id="3"/>
      <w:bookmarkEnd w:id="4"/>
      <w:r>
        <w:rPr>
          <w:rFonts w:hint="eastAsia" w:eastAsia="仿宋_GB2312"/>
          <w:color w:val="000000"/>
          <w:sz w:val="32"/>
          <w:szCs w:val="32"/>
        </w:rPr>
        <w:t>、州委十二届十次全会精神和</w:t>
      </w:r>
      <w:r>
        <w:rPr>
          <w:rFonts w:eastAsia="仿宋_GB2312"/>
          <w:color w:val="000000"/>
          <w:sz w:val="32"/>
          <w:szCs w:val="32"/>
        </w:rPr>
        <w:t>《中共</w:t>
      </w:r>
      <w:r>
        <w:rPr>
          <w:rFonts w:hint="eastAsia" w:eastAsia="仿宋_GB2312"/>
          <w:color w:val="000000"/>
          <w:sz w:val="32"/>
          <w:szCs w:val="32"/>
        </w:rPr>
        <w:t>理塘县</w:t>
      </w:r>
      <w:r>
        <w:rPr>
          <w:rFonts w:eastAsia="仿宋_GB2312"/>
          <w:color w:val="000000"/>
          <w:sz w:val="32"/>
          <w:szCs w:val="32"/>
        </w:rPr>
        <w:t>委关于制定</w:t>
      </w:r>
      <w:r>
        <w:rPr>
          <w:rFonts w:hint="eastAsia" w:eastAsia="仿宋_GB2312"/>
          <w:color w:val="000000"/>
          <w:sz w:val="32"/>
          <w:szCs w:val="32"/>
        </w:rPr>
        <w:t>理塘县</w:t>
      </w:r>
      <w:r>
        <w:rPr>
          <w:rFonts w:eastAsia="仿宋_GB2312"/>
          <w:color w:val="000000"/>
          <w:sz w:val="32"/>
          <w:szCs w:val="32"/>
        </w:rPr>
        <w:t>国民经济和社会发展第十</w:t>
      </w:r>
      <w:r>
        <w:rPr>
          <w:rFonts w:hint="eastAsia" w:eastAsia="仿宋_GB2312"/>
          <w:color w:val="000000"/>
          <w:sz w:val="32"/>
          <w:szCs w:val="32"/>
        </w:rPr>
        <w:t>五</w:t>
      </w:r>
      <w:r>
        <w:rPr>
          <w:rFonts w:eastAsia="仿宋_GB2312"/>
          <w:color w:val="000000"/>
          <w:sz w:val="32"/>
          <w:szCs w:val="32"/>
        </w:rPr>
        <w:t>个五年规划的建议》编制，</w:t>
      </w:r>
      <w:r>
        <w:rPr>
          <w:rFonts w:hint="eastAsia" w:eastAsia="仿宋_GB2312"/>
          <w:color w:val="000000"/>
          <w:sz w:val="32"/>
          <w:szCs w:val="32"/>
        </w:rPr>
        <w:t>广泛征求了各乡镇、各部门、工商联、各人民团体和社会各界意见，集中体现新时期</w:t>
      </w:r>
      <w:r>
        <w:rPr>
          <w:rFonts w:eastAsia="仿宋_GB2312"/>
          <w:color w:val="000000"/>
          <w:sz w:val="32"/>
          <w:szCs w:val="32"/>
        </w:rPr>
        <w:t>“</w:t>
      </w:r>
      <w:r>
        <w:rPr>
          <w:rFonts w:hint="eastAsia" w:eastAsia="仿宋_GB2312"/>
          <w:color w:val="000000"/>
          <w:sz w:val="32"/>
          <w:szCs w:val="32"/>
        </w:rPr>
        <w:t>县为民造福、民为县立业</w:t>
      </w:r>
      <w:r>
        <w:rPr>
          <w:rFonts w:eastAsia="仿宋_GB2312"/>
          <w:color w:val="000000"/>
          <w:sz w:val="32"/>
          <w:szCs w:val="32"/>
        </w:rPr>
        <w:t>”</w:t>
      </w:r>
      <w:r>
        <w:rPr>
          <w:rFonts w:hint="eastAsia" w:eastAsia="仿宋_GB2312"/>
          <w:color w:val="000000"/>
          <w:sz w:val="32"/>
          <w:szCs w:val="32"/>
        </w:rPr>
        <w:t>的理塘新价值观。《纲要》</w:t>
      </w:r>
      <w:r>
        <w:rPr>
          <w:rFonts w:eastAsia="仿宋_GB2312"/>
          <w:color w:val="000000"/>
          <w:sz w:val="32"/>
          <w:szCs w:val="32"/>
        </w:rPr>
        <w:t>是全</w:t>
      </w:r>
      <w:r>
        <w:rPr>
          <w:rFonts w:hint="eastAsia" w:eastAsia="仿宋_GB2312"/>
          <w:color w:val="000000"/>
          <w:sz w:val="32"/>
          <w:szCs w:val="32"/>
        </w:rPr>
        <w:t>县</w:t>
      </w:r>
      <w:r>
        <w:rPr>
          <w:rFonts w:eastAsia="仿宋_GB2312"/>
          <w:color w:val="000000"/>
          <w:sz w:val="32"/>
          <w:szCs w:val="32"/>
        </w:rPr>
        <w:t>人民的共同愿景，是政府履行</w:t>
      </w:r>
      <w:r>
        <w:rPr>
          <w:rFonts w:hint="eastAsia" w:eastAsia="仿宋_GB2312"/>
          <w:color w:val="000000"/>
          <w:sz w:val="32"/>
          <w:szCs w:val="32"/>
        </w:rPr>
        <w:t>经济调节、市场监管、社会管理和公共服务职责</w:t>
      </w:r>
      <w:r>
        <w:rPr>
          <w:rFonts w:eastAsia="仿宋_GB2312"/>
          <w:color w:val="000000"/>
          <w:sz w:val="32"/>
          <w:szCs w:val="32"/>
        </w:rPr>
        <w:t>的重要依据，是引导市场主体自主决策的重要参考，是社会主义现代化</w:t>
      </w:r>
      <w:r>
        <w:rPr>
          <w:rFonts w:hint="eastAsia" w:eastAsia="仿宋_GB2312"/>
          <w:color w:val="000000"/>
          <w:sz w:val="32"/>
          <w:szCs w:val="32"/>
        </w:rPr>
        <w:t>理塘</w:t>
      </w:r>
      <w:r>
        <w:rPr>
          <w:rFonts w:eastAsia="仿宋_GB2312"/>
          <w:color w:val="000000"/>
          <w:sz w:val="32"/>
          <w:szCs w:val="32"/>
        </w:rPr>
        <w:t>建设的</w:t>
      </w:r>
      <w:r>
        <w:rPr>
          <w:rFonts w:hint="eastAsia" w:eastAsia="仿宋_GB2312"/>
          <w:color w:val="000000"/>
          <w:sz w:val="32"/>
          <w:szCs w:val="32"/>
        </w:rPr>
        <w:t>宏伟蓝图和</w:t>
      </w:r>
      <w:r>
        <w:rPr>
          <w:rFonts w:eastAsia="仿宋_GB2312"/>
          <w:color w:val="000000"/>
          <w:sz w:val="32"/>
          <w:szCs w:val="32"/>
        </w:rPr>
        <w:t>行动纲领。</w:t>
      </w:r>
    </w:p>
    <w:p w14:paraId="7E6FDB21">
      <w:pPr>
        <w:pStyle w:val="2"/>
        <w:numPr>
          <w:ilvl w:val="0"/>
          <w:numId w:val="1"/>
        </w:numPr>
        <w:spacing w:before="156" w:beforeLines="50" w:after="156" w:afterLines="50" w:line="580" w:lineRule="exact"/>
        <w:ind w:left="1080" w:hanging="1080" w:firstLineChars="0"/>
        <w:jc w:val="center"/>
        <w:outlineLvl w:val="0"/>
        <w:rPr>
          <w:rFonts w:eastAsia="方正大标宋简体"/>
          <w:color w:val="FF0000"/>
          <w:sz w:val="32"/>
          <w:szCs w:val="32"/>
        </w:rPr>
      </w:pPr>
      <w:bookmarkStart w:id="5" w:name="_Toc903"/>
      <w:bookmarkStart w:id="6" w:name="_Toc212814814"/>
      <w:bookmarkStart w:id="7" w:name="_Toc214372618"/>
      <w:bookmarkStart w:id="8" w:name="_Toc24165"/>
      <w:bookmarkStart w:id="9" w:name="OLE_LINK131"/>
      <w:bookmarkStart w:id="10" w:name="OLE_LINK132"/>
      <w:r>
        <w:rPr>
          <w:rFonts w:hint="eastAsia" w:eastAsia="方正大标宋简体"/>
          <w:sz w:val="32"/>
          <w:szCs w:val="32"/>
        </w:rPr>
        <w:t xml:space="preserve"> </w:t>
      </w:r>
      <w:bookmarkStart w:id="11" w:name="_Toc218241018"/>
      <w:r>
        <w:rPr>
          <w:rFonts w:hint="eastAsia" w:eastAsia="方正大标宋简体"/>
          <w:sz w:val="32"/>
          <w:szCs w:val="32"/>
        </w:rPr>
        <w:t>服务大局  奋力谱写中国式现代化理塘新篇章</w:t>
      </w:r>
      <w:bookmarkEnd w:id="5"/>
      <w:bookmarkEnd w:id="6"/>
      <w:bookmarkEnd w:id="7"/>
      <w:bookmarkEnd w:id="8"/>
      <w:bookmarkEnd w:id="11"/>
    </w:p>
    <w:bookmarkEnd w:id="9"/>
    <w:bookmarkEnd w:id="10"/>
    <w:p w14:paraId="1200E1C6">
      <w:pPr>
        <w:spacing w:line="580" w:lineRule="exact"/>
        <w:ind w:firstLine="640" w:firstLineChars="200"/>
        <w:rPr>
          <w:rFonts w:eastAsia="仿宋_GB2312"/>
          <w:color w:val="000000"/>
          <w:kern w:val="0"/>
          <w:sz w:val="32"/>
          <w:szCs w:val="32"/>
        </w:rPr>
      </w:pPr>
      <w:r>
        <w:rPr>
          <w:rFonts w:eastAsia="仿宋_GB2312"/>
          <w:color w:val="000000"/>
          <w:sz w:val="32"/>
          <w:szCs w:val="32"/>
        </w:rPr>
        <w:t>“十五五”时期（2026-2030年），是我国基本实现社会主义现代化承</w:t>
      </w:r>
      <w:r>
        <w:rPr>
          <w:rFonts w:hint="eastAsia" w:eastAsia="仿宋_GB2312"/>
          <w:color w:val="000000"/>
          <w:sz w:val="32"/>
          <w:szCs w:val="32"/>
        </w:rPr>
        <w:t>前</w:t>
      </w:r>
      <w:r>
        <w:rPr>
          <w:rFonts w:eastAsia="仿宋_GB2312"/>
          <w:color w:val="000000"/>
          <w:sz w:val="32"/>
          <w:szCs w:val="32"/>
        </w:rPr>
        <w:t>启</w:t>
      </w:r>
      <w:r>
        <w:rPr>
          <w:rFonts w:hint="eastAsia" w:eastAsia="仿宋_GB2312"/>
          <w:color w:val="000000"/>
          <w:sz w:val="32"/>
          <w:szCs w:val="32"/>
        </w:rPr>
        <w:t>后</w:t>
      </w:r>
      <w:r>
        <w:rPr>
          <w:rFonts w:eastAsia="仿宋_GB2312"/>
          <w:color w:val="000000"/>
          <w:sz w:val="32"/>
          <w:szCs w:val="32"/>
        </w:rPr>
        <w:t>的关键时期，也是理塘服务国</w:t>
      </w:r>
      <w:r>
        <w:rPr>
          <w:rFonts w:hint="eastAsia" w:eastAsia="仿宋_GB2312"/>
          <w:color w:val="000000"/>
          <w:sz w:val="32"/>
          <w:szCs w:val="32"/>
        </w:rPr>
        <w:t>、</w:t>
      </w:r>
      <w:r>
        <w:rPr>
          <w:rFonts w:eastAsia="仿宋_GB2312"/>
          <w:color w:val="000000"/>
          <w:sz w:val="32"/>
          <w:szCs w:val="32"/>
        </w:rPr>
        <w:t>省</w:t>
      </w:r>
      <w:r>
        <w:rPr>
          <w:rFonts w:hint="eastAsia" w:eastAsia="仿宋_GB2312"/>
          <w:color w:val="000000"/>
          <w:sz w:val="32"/>
          <w:szCs w:val="32"/>
        </w:rPr>
        <w:t>、</w:t>
      </w:r>
      <w:r>
        <w:rPr>
          <w:rFonts w:eastAsia="仿宋_GB2312"/>
          <w:color w:val="000000"/>
          <w:sz w:val="32"/>
          <w:szCs w:val="32"/>
        </w:rPr>
        <w:t>州战略全局，全力建设</w:t>
      </w:r>
      <w:bookmarkStart w:id="12" w:name="OLE_LINK23"/>
      <w:bookmarkStart w:id="13" w:name="OLE_LINK22"/>
      <w:r>
        <w:rPr>
          <w:rFonts w:eastAsia="仿宋_GB2312"/>
          <w:color w:val="000000"/>
          <w:sz w:val="32"/>
          <w:szCs w:val="32"/>
        </w:rPr>
        <w:t>“州域副中心（康南中心）</w:t>
      </w:r>
      <w:r>
        <w:rPr>
          <w:rFonts w:hint="eastAsia" w:eastAsia="仿宋_GB2312"/>
          <w:color w:val="000000"/>
          <w:sz w:val="32"/>
          <w:szCs w:val="32"/>
        </w:rPr>
        <w:t>”</w:t>
      </w:r>
      <w:bookmarkEnd w:id="12"/>
      <w:bookmarkEnd w:id="13"/>
      <w:r>
        <w:rPr>
          <w:rFonts w:eastAsia="仿宋_GB2312"/>
          <w:color w:val="000000"/>
          <w:sz w:val="32"/>
          <w:szCs w:val="32"/>
        </w:rPr>
        <w:t>的关键时期。</w:t>
      </w:r>
      <w:r>
        <w:rPr>
          <w:rFonts w:hint="eastAsia" w:eastAsia="仿宋_GB2312"/>
          <w:color w:val="000000"/>
          <w:kern w:val="0"/>
          <w:sz w:val="32"/>
          <w:szCs w:val="32"/>
        </w:rPr>
        <w:t>必须立足新发展阶段、贯彻新发展理念、融入新发展格局，为建设社会主义现代化理塘奠定坚实基础。</w:t>
      </w:r>
    </w:p>
    <w:p w14:paraId="548AE6F4">
      <w:pPr>
        <w:pStyle w:val="15"/>
        <w:numPr>
          <w:ilvl w:val="0"/>
          <w:numId w:val="2"/>
        </w:numPr>
        <w:spacing w:before="156" w:beforeLines="50" w:after="156" w:afterLines="50" w:line="580" w:lineRule="exact"/>
        <w:ind w:left="1080" w:hanging="1080" w:firstLineChars="0"/>
        <w:jc w:val="center"/>
        <w:outlineLvl w:val="1"/>
        <w:rPr>
          <w:rFonts w:eastAsia="黑体"/>
          <w:sz w:val="32"/>
          <w:szCs w:val="32"/>
        </w:rPr>
      </w:pPr>
      <w:bookmarkStart w:id="14" w:name="_Toc214372619"/>
      <w:bookmarkStart w:id="15" w:name="_Toc28013"/>
      <w:bookmarkStart w:id="16" w:name="_Toc212814815"/>
      <w:bookmarkStart w:id="17" w:name="_Toc6062"/>
      <w:r>
        <w:rPr>
          <w:rFonts w:hint="eastAsia" w:eastAsia="黑体"/>
          <w:sz w:val="32"/>
          <w:szCs w:val="32"/>
        </w:rPr>
        <w:t xml:space="preserve"> </w:t>
      </w:r>
      <w:bookmarkStart w:id="18" w:name="_Toc218241019"/>
      <w:r>
        <w:rPr>
          <w:rFonts w:eastAsia="黑体"/>
          <w:sz w:val="32"/>
          <w:szCs w:val="32"/>
        </w:rPr>
        <w:t>规划背景</w:t>
      </w:r>
      <w:bookmarkEnd w:id="14"/>
      <w:bookmarkEnd w:id="15"/>
      <w:bookmarkEnd w:id="16"/>
      <w:bookmarkEnd w:id="17"/>
      <w:bookmarkEnd w:id="18"/>
    </w:p>
    <w:p w14:paraId="7BA03FB6">
      <w:pPr>
        <w:pStyle w:val="15"/>
        <w:numPr>
          <w:ilvl w:val="0"/>
          <w:numId w:val="3"/>
        </w:numPr>
        <w:spacing w:before="156" w:beforeLines="50" w:after="156" w:afterLines="50" w:line="580" w:lineRule="exact"/>
        <w:ind w:left="1080" w:hanging="1080" w:firstLineChars="0"/>
        <w:jc w:val="center"/>
        <w:outlineLvl w:val="2"/>
        <w:rPr>
          <w:rFonts w:eastAsia="楷体_GB2312"/>
          <w:b/>
          <w:color w:val="000000"/>
          <w:kern w:val="0"/>
          <w:sz w:val="32"/>
          <w:szCs w:val="32"/>
        </w:rPr>
      </w:pPr>
      <w:bookmarkStart w:id="19" w:name="_Toc28935"/>
      <w:r>
        <w:rPr>
          <w:rFonts w:hint="eastAsia" w:eastAsia="楷体_GB2312"/>
          <w:b/>
          <w:color w:val="000000"/>
          <w:kern w:val="0"/>
          <w:sz w:val="32"/>
          <w:szCs w:val="32"/>
        </w:rPr>
        <w:t xml:space="preserve"> </w:t>
      </w:r>
      <w:bookmarkStart w:id="20" w:name="_Toc218241020"/>
      <w:r>
        <w:rPr>
          <w:rFonts w:hint="eastAsia" w:eastAsia="楷体_GB2312"/>
          <w:b/>
          <w:color w:val="000000"/>
          <w:kern w:val="0"/>
          <w:sz w:val="32"/>
          <w:szCs w:val="32"/>
        </w:rPr>
        <w:t>“十四五”时期发展成就</w:t>
      </w:r>
      <w:bookmarkEnd w:id="19"/>
      <w:bookmarkEnd w:id="20"/>
    </w:p>
    <w:p w14:paraId="148212D8">
      <w:pPr>
        <w:spacing w:line="580" w:lineRule="exact"/>
        <w:ind w:firstLine="800" w:firstLineChars="250"/>
        <w:rPr>
          <w:rFonts w:eastAsia="仿宋_GB2312"/>
          <w:bCs/>
          <w:sz w:val="32"/>
          <w:szCs w:val="32"/>
        </w:rPr>
      </w:pPr>
      <w:r>
        <w:rPr>
          <w:rFonts w:eastAsia="仿宋_GB2312"/>
          <w:sz w:val="32"/>
          <w:szCs w:val="32"/>
        </w:rPr>
        <w:t>“十四五”时期</w:t>
      </w:r>
      <w:r>
        <w:rPr>
          <w:rFonts w:hint="eastAsia" w:eastAsia="仿宋_GB2312"/>
          <w:sz w:val="32"/>
          <w:szCs w:val="32"/>
        </w:rPr>
        <w:t>，</w:t>
      </w:r>
      <w:r>
        <w:rPr>
          <w:rFonts w:eastAsia="仿宋_GB2312"/>
          <w:bCs/>
          <w:sz w:val="32"/>
          <w:szCs w:val="32"/>
        </w:rPr>
        <w:t>面对县内外严峻复杂形势和挑战</w:t>
      </w:r>
      <w:r>
        <w:rPr>
          <w:rFonts w:hint="eastAsia" w:eastAsia="仿宋_GB2312"/>
          <w:bCs/>
          <w:sz w:val="32"/>
          <w:szCs w:val="32"/>
        </w:rPr>
        <w:t>，</w:t>
      </w:r>
      <w:r>
        <w:rPr>
          <w:rFonts w:eastAsia="仿宋_GB2312"/>
          <w:bCs/>
          <w:sz w:val="32"/>
          <w:szCs w:val="32"/>
        </w:rPr>
        <w:t>县委</w:t>
      </w:r>
      <w:r>
        <w:rPr>
          <w:rFonts w:hint="eastAsia" w:eastAsia="仿宋_GB2312"/>
          <w:bCs/>
          <w:sz w:val="32"/>
          <w:szCs w:val="32"/>
        </w:rPr>
        <w:t>、</w:t>
      </w:r>
      <w:r>
        <w:rPr>
          <w:rFonts w:eastAsia="仿宋_GB2312"/>
          <w:bCs/>
          <w:sz w:val="32"/>
          <w:szCs w:val="32"/>
        </w:rPr>
        <w:t>县政府团结带领全县干部群众迎难而上、团结奋进，紧扣州委总体工作格局，深入实施县委经济社会发展总体思路，全力以赴拼经济搞建设谋发展，顺利完成“十四五”规划主要目标任务，高质量发展扎实推进，安全发展基础巩固夯实，民生保障有力有效，经济社会取得全方</w:t>
      </w:r>
      <w:r>
        <w:rPr>
          <w:rFonts w:hint="eastAsia" w:eastAsia="仿宋_GB2312"/>
          <w:bCs/>
          <w:sz w:val="32"/>
          <w:szCs w:val="32"/>
        </w:rPr>
        <w:t>位</w:t>
      </w:r>
      <w:r>
        <w:rPr>
          <w:rFonts w:eastAsia="仿宋_GB2312"/>
          <w:bCs/>
          <w:sz w:val="32"/>
          <w:szCs w:val="32"/>
        </w:rPr>
        <w:t>、历史性成就，团结富裕和谐美丽社会主义现代化新理塘建设实现良好开局。</w:t>
      </w:r>
    </w:p>
    <w:p w14:paraId="07382ED9">
      <w:pPr>
        <w:spacing w:line="580" w:lineRule="exact"/>
        <w:ind w:firstLine="800" w:firstLineChars="249"/>
        <w:rPr>
          <w:rFonts w:eastAsia="仿宋_GB2312"/>
          <w:bCs/>
          <w:sz w:val="32"/>
          <w:szCs w:val="32"/>
        </w:rPr>
      </w:pPr>
      <w:bookmarkStart w:id="803" w:name="_GoBack"/>
      <w:bookmarkStart w:id="21" w:name="_Toc205564771"/>
      <w:r>
        <w:rPr>
          <w:rFonts w:hint="eastAsia" w:eastAsia="仿宋_GB2312"/>
          <w:b/>
          <w:bCs/>
          <w:sz w:val="32"/>
          <w:szCs w:val="32"/>
        </w:rPr>
        <w:t>经济综合实力跃上新台阶</w:t>
      </w:r>
      <w:r>
        <w:rPr>
          <w:rFonts w:hint="eastAsia" w:eastAsia="仿宋_GB2312"/>
          <w:bCs/>
          <w:sz w:val="32"/>
          <w:szCs w:val="32"/>
        </w:rPr>
        <w:t>。</w:t>
      </w:r>
      <w:r>
        <w:rPr>
          <w:rFonts w:eastAsia="仿宋_GB2312"/>
          <w:bCs/>
          <w:sz w:val="32"/>
          <w:szCs w:val="32"/>
        </w:rPr>
        <w:t>202</w:t>
      </w:r>
      <w:r>
        <w:rPr>
          <w:rFonts w:hint="eastAsia" w:eastAsia="仿宋_GB2312"/>
          <w:bCs/>
          <w:sz w:val="32"/>
          <w:szCs w:val="32"/>
        </w:rPr>
        <w:t>5年全县地区生产总值达到</w:t>
      </w:r>
      <w:r>
        <w:rPr>
          <w:rFonts w:hint="eastAsia" w:eastAsia="仿宋_GB2312"/>
          <w:bCs/>
          <w:sz w:val="32"/>
          <w:szCs w:val="32"/>
          <w:lang w:val="en-US" w:eastAsia="zh-CN"/>
        </w:rPr>
        <w:t>30.88</w:t>
      </w:r>
      <w:r>
        <w:rPr>
          <w:rFonts w:hint="eastAsia" w:eastAsia="仿宋_GB2312"/>
          <w:bCs/>
          <w:sz w:val="32"/>
          <w:szCs w:val="32"/>
        </w:rPr>
        <w:t>亿元、较</w:t>
      </w:r>
      <w:r>
        <w:rPr>
          <w:rFonts w:eastAsia="仿宋_GB2312"/>
          <w:bCs/>
          <w:sz w:val="32"/>
          <w:szCs w:val="32"/>
        </w:rPr>
        <w:t>2020</w:t>
      </w:r>
      <w:r>
        <w:rPr>
          <w:rFonts w:hint="eastAsia" w:eastAsia="仿宋_GB2312"/>
          <w:bCs/>
          <w:sz w:val="32"/>
          <w:szCs w:val="32"/>
        </w:rPr>
        <w:t>年（</w:t>
      </w:r>
      <w:r>
        <w:rPr>
          <w:rFonts w:eastAsia="仿宋_GB2312"/>
          <w:bCs/>
          <w:sz w:val="32"/>
          <w:szCs w:val="32"/>
        </w:rPr>
        <w:t>19.63</w:t>
      </w:r>
      <w:r>
        <w:rPr>
          <w:rFonts w:hint="eastAsia" w:eastAsia="仿宋_GB2312"/>
          <w:bCs/>
          <w:sz w:val="32"/>
          <w:szCs w:val="32"/>
        </w:rPr>
        <w:t>亿元）增长6</w:t>
      </w:r>
      <w:r>
        <w:rPr>
          <w:rFonts w:hint="eastAsia" w:eastAsia="仿宋_GB2312"/>
          <w:bCs/>
          <w:sz w:val="32"/>
          <w:szCs w:val="32"/>
          <w:lang w:val="en-US" w:eastAsia="zh-CN"/>
        </w:rPr>
        <w:t>0</w:t>
      </w:r>
      <w:r>
        <w:rPr>
          <w:rFonts w:eastAsia="仿宋_GB2312"/>
          <w:bCs/>
          <w:sz w:val="32"/>
          <w:szCs w:val="32"/>
        </w:rPr>
        <w:t>%</w:t>
      </w:r>
      <w:r>
        <w:rPr>
          <w:rFonts w:hint="eastAsia" w:eastAsia="仿宋_GB2312"/>
          <w:bCs/>
          <w:sz w:val="32"/>
          <w:szCs w:val="32"/>
        </w:rPr>
        <w:t>以上，</w:t>
      </w:r>
      <w:r>
        <w:rPr>
          <w:rFonts w:eastAsia="仿宋_GB2312"/>
          <w:bCs/>
          <w:sz w:val="32"/>
          <w:szCs w:val="32"/>
        </w:rPr>
        <w:t>“</w:t>
      </w:r>
      <w:r>
        <w:rPr>
          <w:rFonts w:hint="eastAsia" w:eastAsia="仿宋_GB2312"/>
          <w:bCs/>
          <w:sz w:val="32"/>
          <w:szCs w:val="32"/>
        </w:rPr>
        <w:t>十四五</w:t>
      </w:r>
      <w:r>
        <w:rPr>
          <w:rFonts w:eastAsia="仿宋_GB2312"/>
          <w:bCs/>
          <w:sz w:val="32"/>
          <w:szCs w:val="32"/>
        </w:rPr>
        <w:t>”</w:t>
      </w:r>
      <w:r>
        <w:rPr>
          <w:rFonts w:hint="eastAsia" w:eastAsia="仿宋_GB2312"/>
          <w:bCs/>
          <w:sz w:val="32"/>
          <w:szCs w:val="32"/>
        </w:rPr>
        <w:t>以来年均增长</w:t>
      </w:r>
      <w:r>
        <w:rPr>
          <w:rFonts w:eastAsia="仿宋_GB2312"/>
          <w:bCs/>
          <w:sz w:val="32"/>
          <w:szCs w:val="32"/>
        </w:rPr>
        <w:t>4.</w:t>
      </w:r>
      <w:r>
        <w:rPr>
          <w:rFonts w:hint="eastAsia" w:eastAsia="仿宋_GB2312"/>
          <w:bCs/>
          <w:sz w:val="32"/>
          <w:szCs w:val="32"/>
        </w:rPr>
        <w:t>7</w:t>
      </w:r>
      <w:r>
        <w:rPr>
          <w:rFonts w:eastAsia="仿宋_GB2312"/>
          <w:bCs/>
          <w:sz w:val="32"/>
          <w:szCs w:val="32"/>
        </w:rPr>
        <w:t>%</w:t>
      </w:r>
      <w:r>
        <w:rPr>
          <w:rFonts w:hint="eastAsia" w:eastAsia="仿宋_GB2312"/>
          <w:bCs/>
          <w:sz w:val="32"/>
          <w:szCs w:val="32"/>
        </w:rPr>
        <w:t>左右，经济总量跃居全州第一梯队。三次产业结构从</w:t>
      </w:r>
      <w:r>
        <w:rPr>
          <w:rFonts w:eastAsia="仿宋_GB2312"/>
          <w:bCs/>
          <w:sz w:val="32"/>
          <w:szCs w:val="32"/>
        </w:rPr>
        <w:t>2020</w:t>
      </w:r>
      <w:r>
        <w:rPr>
          <w:rFonts w:hint="eastAsia" w:eastAsia="仿宋_GB2312"/>
          <w:bCs/>
          <w:sz w:val="32"/>
          <w:szCs w:val="32"/>
        </w:rPr>
        <w:t>年的</w:t>
      </w:r>
      <w:r>
        <w:rPr>
          <w:rFonts w:eastAsia="仿宋_GB2312"/>
          <w:bCs/>
          <w:sz w:val="32"/>
          <w:szCs w:val="32"/>
        </w:rPr>
        <w:t>33.4</w:t>
      </w:r>
      <w:r>
        <w:rPr>
          <w:rFonts w:hint="eastAsia" w:eastAsia="仿宋_GB2312"/>
          <w:bCs/>
          <w:sz w:val="32"/>
          <w:szCs w:val="32"/>
        </w:rPr>
        <w:t>：</w:t>
      </w:r>
      <w:r>
        <w:rPr>
          <w:rFonts w:eastAsia="仿宋_GB2312"/>
          <w:bCs/>
          <w:sz w:val="32"/>
          <w:szCs w:val="32"/>
        </w:rPr>
        <w:t>9.2</w:t>
      </w:r>
      <w:r>
        <w:rPr>
          <w:rFonts w:hint="eastAsia" w:eastAsia="仿宋_GB2312"/>
          <w:bCs/>
          <w:sz w:val="32"/>
          <w:szCs w:val="32"/>
        </w:rPr>
        <w:t>：</w:t>
      </w:r>
      <w:r>
        <w:rPr>
          <w:rFonts w:eastAsia="仿宋_GB2312"/>
          <w:bCs/>
          <w:sz w:val="32"/>
          <w:szCs w:val="32"/>
        </w:rPr>
        <w:t>57.4</w:t>
      </w:r>
      <w:r>
        <w:rPr>
          <w:rFonts w:hint="eastAsia" w:eastAsia="仿宋_GB2312"/>
          <w:bCs/>
          <w:sz w:val="32"/>
          <w:szCs w:val="32"/>
        </w:rPr>
        <w:t>调整为</w:t>
      </w:r>
      <w:r>
        <w:rPr>
          <w:rFonts w:eastAsia="仿宋_GB2312"/>
          <w:bCs/>
          <w:sz w:val="32"/>
          <w:szCs w:val="32"/>
        </w:rPr>
        <w:t>202</w:t>
      </w:r>
      <w:r>
        <w:rPr>
          <w:rFonts w:hint="eastAsia" w:eastAsia="仿宋_GB2312"/>
          <w:bCs/>
          <w:sz w:val="32"/>
          <w:szCs w:val="32"/>
        </w:rPr>
        <w:t>5年的</w:t>
      </w:r>
      <w:r>
        <w:rPr>
          <w:rFonts w:eastAsia="仿宋_GB2312"/>
          <w:bCs/>
          <w:sz w:val="32"/>
          <w:szCs w:val="32"/>
        </w:rPr>
        <w:t>2</w:t>
      </w:r>
      <w:r>
        <w:rPr>
          <w:rFonts w:hint="eastAsia" w:eastAsia="仿宋_GB2312"/>
          <w:bCs/>
          <w:sz w:val="32"/>
          <w:szCs w:val="32"/>
          <w:lang w:val="en-US" w:eastAsia="zh-CN"/>
        </w:rPr>
        <w:t>8</w:t>
      </w:r>
      <w:r>
        <w:rPr>
          <w:rFonts w:eastAsia="仿宋_GB2312"/>
          <w:bCs/>
          <w:sz w:val="32"/>
          <w:szCs w:val="32"/>
        </w:rPr>
        <w:t>:</w:t>
      </w:r>
      <w:r>
        <w:rPr>
          <w:rFonts w:hint="eastAsia" w:eastAsia="仿宋_GB2312"/>
          <w:bCs/>
          <w:sz w:val="32"/>
          <w:szCs w:val="32"/>
        </w:rPr>
        <w:t>9</w:t>
      </w:r>
      <w:r>
        <w:rPr>
          <w:rFonts w:eastAsia="仿宋_GB2312"/>
          <w:bCs/>
          <w:sz w:val="32"/>
          <w:szCs w:val="32"/>
        </w:rPr>
        <w:t>:63</w:t>
      </w:r>
      <w:r>
        <w:rPr>
          <w:rFonts w:hint="eastAsia" w:eastAsia="仿宋_GB2312"/>
          <w:bCs/>
          <w:sz w:val="32"/>
          <w:szCs w:val="32"/>
          <w:lang w:eastAsia="zh-CN"/>
        </w:rPr>
        <w:t>，</w:t>
      </w:r>
      <w:r>
        <w:rPr>
          <w:rFonts w:hint="eastAsia" w:eastAsia="仿宋_GB2312"/>
          <w:bCs/>
          <w:sz w:val="32"/>
          <w:szCs w:val="32"/>
        </w:rPr>
        <w:t>地方一般公共预算收入</w:t>
      </w:r>
      <w:r>
        <w:rPr>
          <w:rFonts w:eastAsia="仿宋_GB2312"/>
          <w:bCs/>
          <w:sz w:val="32"/>
          <w:szCs w:val="32"/>
        </w:rPr>
        <w:t>202</w:t>
      </w:r>
      <w:r>
        <w:rPr>
          <w:rFonts w:hint="eastAsia" w:eastAsia="仿宋_GB2312"/>
          <w:bCs/>
          <w:sz w:val="32"/>
          <w:szCs w:val="32"/>
        </w:rPr>
        <w:t>5年突破2.</w:t>
      </w:r>
      <w:r>
        <w:rPr>
          <w:rFonts w:hint="eastAsia" w:eastAsia="仿宋_GB2312"/>
          <w:bCs/>
          <w:sz w:val="32"/>
          <w:szCs w:val="32"/>
          <w:lang w:val="en-US" w:eastAsia="zh-CN"/>
        </w:rPr>
        <w:t>55</w:t>
      </w:r>
      <w:r>
        <w:rPr>
          <w:rFonts w:hint="eastAsia" w:eastAsia="仿宋_GB2312"/>
          <w:bCs/>
          <w:sz w:val="32"/>
          <w:szCs w:val="32"/>
        </w:rPr>
        <w:t>亿元，进入全州第一方阵。</w:t>
      </w:r>
      <w:bookmarkStart w:id="22" w:name="OLE_LINK74"/>
      <w:bookmarkStart w:id="23" w:name="OLE_LINK73"/>
      <w:r>
        <w:rPr>
          <w:rFonts w:hint="eastAsia" w:eastAsia="仿宋_GB2312"/>
          <w:bCs/>
          <w:sz w:val="32"/>
          <w:szCs w:val="32"/>
        </w:rPr>
        <w:t>固定资产投资</w:t>
      </w:r>
      <w:r>
        <w:rPr>
          <w:rFonts w:hint="eastAsia" w:eastAsia="仿宋_GB2312"/>
          <w:bCs/>
          <w:sz w:val="32"/>
          <w:szCs w:val="32"/>
          <w:lang w:val="en-US" w:eastAsia="zh-CN"/>
        </w:rPr>
        <w:t>2025年</w:t>
      </w:r>
      <w:r>
        <w:rPr>
          <w:rFonts w:hint="eastAsia" w:ascii="仿宋" w:hAnsi="仿宋" w:eastAsia="仿宋" w:cs="仿宋"/>
          <w:color w:val="000000"/>
          <w:kern w:val="2"/>
          <w:sz w:val="32"/>
          <w:szCs w:val="32"/>
          <w:highlight w:val="none"/>
          <w:lang w:val="en-US" w:eastAsia="zh-CN"/>
        </w:rPr>
        <w:t>完成</w:t>
      </w:r>
      <w:r>
        <w:rPr>
          <w:rFonts w:hint="eastAsia" w:ascii="仿宋" w:hAnsi="仿宋" w:eastAsia="仿宋" w:cs="仿宋"/>
          <w:b w:val="0"/>
          <w:bCs w:val="0"/>
          <w:color w:val="000000"/>
          <w:sz w:val="32"/>
          <w:szCs w:val="32"/>
          <w:highlight w:val="none"/>
          <w:lang w:val="en-US" w:eastAsia="zh-CN"/>
        </w:rPr>
        <w:t>34.34亿元，同比增207.8%</w:t>
      </w:r>
      <w:r>
        <w:rPr>
          <w:rFonts w:hint="eastAsia" w:eastAsia="仿宋_GB2312"/>
          <w:bCs/>
          <w:sz w:val="32"/>
          <w:szCs w:val="32"/>
        </w:rPr>
        <w:t>持续高位运行，“十四五”</w:t>
      </w:r>
      <w:bookmarkEnd w:id="22"/>
      <w:bookmarkEnd w:id="23"/>
      <w:r>
        <w:rPr>
          <w:rFonts w:hint="eastAsia" w:eastAsia="仿宋_GB2312"/>
          <w:bCs/>
          <w:sz w:val="32"/>
          <w:szCs w:val="32"/>
        </w:rPr>
        <w:t>累计完成固定资产投资</w:t>
      </w:r>
      <w:r>
        <w:rPr>
          <w:rFonts w:hint="eastAsia" w:eastAsia="仿宋_GB2312"/>
          <w:bCs/>
          <w:sz w:val="32"/>
          <w:szCs w:val="32"/>
          <w:lang w:val="en-US" w:eastAsia="zh-CN"/>
        </w:rPr>
        <w:t>超80</w:t>
      </w:r>
      <w:r>
        <w:rPr>
          <w:rFonts w:hint="eastAsia" w:eastAsia="仿宋_GB2312"/>
          <w:bCs/>
          <w:sz w:val="32"/>
          <w:szCs w:val="32"/>
        </w:rPr>
        <w:t>亿元</w:t>
      </w:r>
      <w:r>
        <w:rPr>
          <w:rFonts w:hint="eastAsia" w:eastAsia="仿宋_GB2312"/>
          <w:bCs/>
          <w:sz w:val="32"/>
          <w:szCs w:val="32"/>
          <w:lang w:val="en-US" w:eastAsia="zh-CN"/>
        </w:rPr>
        <w:t>以上</w:t>
      </w:r>
      <w:r>
        <w:rPr>
          <w:rFonts w:hint="eastAsia" w:eastAsia="仿宋_GB2312"/>
          <w:bCs/>
          <w:sz w:val="32"/>
          <w:szCs w:val="32"/>
        </w:rPr>
        <w:t>。城乡居民人均可支配收入分别达</w:t>
      </w:r>
      <w:r>
        <w:rPr>
          <w:rFonts w:hint="eastAsia" w:ascii="仿宋" w:hAnsi="仿宋" w:eastAsia="仿宋" w:cs="仿宋"/>
          <w:color w:val="000000"/>
          <w:kern w:val="2"/>
          <w:sz w:val="32"/>
          <w:szCs w:val="32"/>
          <w:lang w:val="en-US" w:eastAsia="zh-CN"/>
        </w:rPr>
        <w:t>46373</w:t>
      </w:r>
      <w:r>
        <w:rPr>
          <w:rFonts w:hint="eastAsia" w:eastAsia="仿宋_GB2312"/>
          <w:bCs/>
          <w:sz w:val="32"/>
          <w:szCs w:val="32"/>
        </w:rPr>
        <w:t>元、</w:t>
      </w:r>
      <w:r>
        <w:rPr>
          <w:rFonts w:hint="eastAsia" w:ascii="仿宋" w:hAnsi="仿宋" w:eastAsia="仿宋" w:cs="仿宋"/>
          <w:color w:val="000000"/>
          <w:kern w:val="2"/>
          <w:sz w:val="32"/>
          <w:szCs w:val="32"/>
          <w:lang w:val="en-US" w:eastAsia="zh-CN"/>
        </w:rPr>
        <w:t>18139</w:t>
      </w:r>
      <w:r>
        <w:rPr>
          <w:rFonts w:hint="eastAsia" w:eastAsia="仿宋_GB2312"/>
          <w:bCs/>
          <w:sz w:val="32"/>
          <w:szCs w:val="32"/>
        </w:rPr>
        <w:t>元，分别较</w:t>
      </w:r>
      <w:r>
        <w:rPr>
          <w:rFonts w:eastAsia="仿宋_GB2312"/>
          <w:bCs/>
          <w:sz w:val="32"/>
          <w:szCs w:val="32"/>
        </w:rPr>
        <w:t>2020</w:t>
      </w:r>
      <w:r>
        <w:rPr>
          <w:rFonts w:hint="eastAsia" w:eastAsia="仿宋_GB2312"/>
          <w:bCs/>
          <w:sz w:val="32"/>
          <w:szCs w:val="32"/>
        </w:rPr>
        <w:t>年提高</w:t>
      </w:r>
      <w:r>
        <w:rPr>
          <w:rFonts w:hint="eastAsia" w:eastAsia="仿宋_GB2312"/>
          <w:bCs/>
          <w:sz w:val="32"/>
          <w:szCs w:val="32"/>
          <w:lang w:val="en-US" w:eastAsia="zh-CN"/>
        </w:rPr>
        <w:t>7030</w:t>
      </w:r>
      <w:r>
        <w:rPr>
          <w:rFonts w:hint="eastAsia" w:eastAsia="仿宋_GB2312"/>
          <w:bCs/>
          <w:sz w:val="32"/>
          <w:szCs w:val="32"/>
        </w:rPr>
        <w:t>元、</w:t>
      </w:r>
      <w:r>
        <w:rPr>
          <w:rFonts w:hint="eastAsia" w:eastAsia="仿宋_GB2312"/>
          <w:bCs/>
          <w:sz w:val="32"/>
          <w:szCs w:val="32"/>
          <w:lang w:val="en-US" w:eastAsia="zh-CN"/>
        </w:rPr>
        <w:t>5130</w:t>
      </w:r>
      <w:r>
        <w:rPr>
          <w:rFonts w:hint="eastAsia" w:eastAsia="仿宋_GB2312"/>
          <w:bCs/>
          <w:sz w:val="32"/>
          <w:szCs w:val="32"/>
        </w:rPr>
        <w:t>元。城镇化率提升至</w:t>
      </w:r>
      <w:r>
        <w:rPr>
          <w:rFonts w:eastAsia="仿宋_GB2312"/>
          <w:bCs/>
          <w:sz w:val="32"/>
          <w:szCs w:val="32"/>
        </w:rPr>
        <w:t>41.59%</w:t>
      </w:r>
      <w:r>
        <w:rPr>
          <w:rFonts w:hint="eastAsia" w:eastAsia="仿宋_GB2312"/>
          <w:bCs/>
          <w:sz w:val="32"/>
          <w:szCs w:val="32"/>
        </w:rPr>
        <w:t>，常住人口实现</w:t>
      </w:r>
      <w:r>
        <w:rPr>
          <w:rFonts w:eastAsia="仿宋_GB2312"/>
          <w:bCs/>
          <w:sz w:val="32"/>
          <w:szCs w:val="32"/>
        </w:rPr>
        <w:t>“</w:t>
      </w:r>
      <w:r>
        <w:rPr>
          <w:rFonts w:hint="eastAsia" w:eastAsia="仿宋_GB2312"/>
          <w:bCs/>
          <w:sz w:val="32"/>
          <w:szCs w:val="32"/>
        </w:rPr>
        <w:t>止降回升</w:t>
      </w:r>
      <w:r>
        <w:rPr>
          <w:rFonts w:eastAsia="仿宋_GB2312"/>
          <w:bCs/>
          <w:sz w:val="32"/>
          <w:szCs w:val="32"/>
        </w:rPr>
        <w:t>”</w:t>
      </w:r>
      <w:r>
        <w:rPr>
          <w:rFonts w:hint="eastAsia" w:eastAsia="仿宋_GB2312"/>
          <w:bCs/>
          <w:sz w:val="32"/>
          <w:szCs w:val="32"/>
        </w:rPr>
        <w:t>。</w:t>
      </w:r>
      <w:r>
        <w:rPr>
          <w:rFonts w:eastAsia="仿宋_GB2312"/>
          <w:bCs/>
          <w:sz w:val="32"/>
          <w:szCs w:val="32"/>
        </w:rPr>
        <w:t>202</w:t>
      </w:r>
      <w:r>
        <w:rPr>
          <w:rFonts w:hint="eastAsia" w:eastAsia="仿宋_GB2312"/>
          <w:bCs/>
          <w:sz w:val="32"/>
          <w:szCs w:val="32"/>
        </w:rPr>
        <w:t>5年社会消费品零售总额</w:t>
      </w:r>
      <w:r>
        <w:rPr>
          <w:rFonts w:hint="eastAsia" w:eastAsia="仿宋_GB2312"/>
          <w:bCs/>
          <w:sz w:val="32"/>
          <w:szCs w:val="32"/>
          <w:lang w:val="en-US" w:eastAsia="zh-CN"/>
        </w:rPr>
        <w:t>达10.38亿元，</w:t>
      </w:r>
      <w:r>
        <w:rPr>
          <w:rFonts w:hint="eastAsia" w:eastAsia="仿宋_GB2312"/>
          <w:bCs/>
          <w:sz w:val="32"/>
          <w:szCs w:val="32"/>
        </w:rPr>
        <w:t>年均增长</w:t>
      </w:r>
      <w:r>
        <w:rPr>
          <w:rFonts w:hint="eastAsia" w:eastAsia="仿宋_GB2312"/>
          <w:bCs/>
          <w:sz w:val="32"/>
          <w:szCs w:val="32"/>
          <w:lang w:val="en-US" w:eastAsia="zh-CN"/>
        </w:rPr>
        <w:t>4</w:t>
      </w:r>
      <w:r>
        <w:rPr>
          <w:rFonts w:eastAsia="仿宋_GB2312"/>
          <w:bCs/>
          <w:sz w:val="32"/>
          <w:szCs w:val="32"/>
        </w:rPr>
        <w:t>%</w:t>
      </w:r>
      <w:r>
        <w:rPr>
          <w:rFonts w:hint="eastAsia" w:eastAsia="仿宋_GB2312"/>
          <w:bCs/>
          <w:sz w:val="32"/>
          <w:szCs w:val="32"/>
          <w:lang w:val="en-US" w:eastAsia="zh-CN"/>
        </w:rPr>
        <w:t>以上</w:t>
      </w:r>
      <w:r>
        <w:rPr>
          <w:rFonts w:hint="eastAsia" w:eastAsia="仿宋_GB2312"/>
          <w:bCs/>
          <w:sz w:val="32"/>
          <w:szCs w:val="32"/>
        </w:rPr>
        <w:t>。</w:t>
      </w:r>
    </w:p>
    <w:p w14:paraId="5312292A">
      <w:pPr>
        <w:spacing w:line="580" w:lineRule="exact"/>
        <w:ind w:firstLine="630" w:firstLineChars="196"/>
        <w:rPr>
          <w:rFonts w:eastAsia="仿宋_GB2312"/>
          <w:kern w:val="0"/>
          <w:sz w:val="32"/>
          <w:szCs w:val="32"/>
        </w:rPr>
      </w:pPr>
      <w:r>
        <w:rPr>
          <w:rFonts w:hint="eastAsia" w:eastAsia="仿宋_GB2312"/>
          <w:b/>
          <w:bCs/>
          <w:sz w:val="32"/>
          <w:szCs w:val="32"/>
        </w:rPr>
        <w:t>脱贫攻坚成果得到新拓展</w:t>
      </w:r>
      <w:r>
        <w:rPr>
          <w:rFonts w:hint="eastAsia" w:eastAsia="仿宋_GB2312"/>
          <w:kern w:val="0"/>
          <w:sz w:val="32"/>
          <w:szCs w:val="32"/>
        </w:rPr>
        <w:t>。全县贫困发生率从</w:t>
      </w:r>
      <w:r>
        <w:rPr>
          <w:rFonts w:eastAsia="仿宋_GB2312"/>
          <w:kern w:val="0"/>
          <w:sz w:val="32"/>
          <w:szCs w:val="32"/>
        </w:rPr>
        <w:t>38.1%</w:t>
      </w:r>
      <w:r>
        <w:rPr>
          <w:rFonts w:hint="eastAsia" w:eastAsia="仿宋_GB2312"/>
          <w:kern w:val="0"/>
          <w:sz w:val="32"/>
          <w:szCs w:val="32"/>
        </w:rPr>
        <w:t>降至</w:t>
      </w:r>
      <w:r>
        <w:rPr>
          <w:rFonts w:eastAsia="仿宋_GB2312"/>
          <w:kern w:val="0"/>
          <w:sz w:val="32"/>
          <w:szCs w:val="32"/>
        </w:rPr>
        <w:t>0</w:t>
      </w:r>
      <w:r>
        <w:rPr>
          <w:rFonts w:hint="eastAsia" w:eastAsia="仿宋_GB2312"/>
          <w:kern w:val="0"/>
          <w:sz w:val="32"/>
          <w:szCs w:val="32"/>
        </w:rPr>
        <w:t>，县、乡、村三级防返贫动态监测帮扶体系高效运行。修订完善托底性帮扶</w:t>
      </w:r>
      <w:r>
        <w:rPr>
          <w:rFonts w:eastAsia="仿宋_GB2312"/>
          <w:kern w:val="0"/>
          <w:sz w:val="32"/>
          <w:szCs w:val="32"/>
        </w:rPr>
        <w:t>2024</w:t>
      </w:r>
      <w:r>
        <w:rPr>
          <w:rFonts w:hint="eastAsia" w:eastAsia="仿宋_GB2312"/>
          <w:kern w:val="0"/>
          <w:sz w:val="32"/>
          <w:szCs w:val="32"/>
        </w:rPr>
        <w:t>—</w:t>
      </w:r>
      <w:r>
        <w:rPr>
          <w:rFonts w:eastAsia="仿宋_GB2312"/>
          <w:kern w:val="0"/>
          <w:sz w:val="32"/>
          <w:szCs w:val="32"/>
        </w:rPr>
        <w:t>2027</w:t>
      </w:r>
      <w:r>
        <w:rPr>
          <w:rFonts w:hint="eastAsia" w:eastAsia="仿宋_GB2312"/>
          <w:kern w:val="0"/>
          <w:sz w:val="32"/>
          <w:szCs w:val="32"/>
        </w:rPr>
        <w:t>年行动计划，每年定期拟定</w:t>
      </w:r>
      <w:r>
        <w:rPr>
          <w:rFonts w:eastAsia="仿宋_GB2312"/>
          <w:kern w:val="0"/>
          <w:sz w:val="32"/>
          <w:szCs w:val="32"/>
        </w:rPr>
        <w:t>6</w:t>
      </w:r>
      <w:r>
        <w:rPr>
          <w:rFonts w:hint="eastAsia" w:eastAsia="仿宋_GB2312"/>
          <w:kern w:val="0"/>
          <w:sz w:val="32"/>
          <w:szCs w:val="32"/>
        </w:rPr>
        <w:t>张清单，共计</w:t>
      </w:r>
      <w:r>
        <w:rPr>
          <w:rFonts w:eastAsia="仿宋_GB2312"/>
          <w:kern w:val="0"/>
          <w:sz w:val="32"/>
          <w:szCs w:val="32"/>
        </w:rPr>
        <w:t>115</w:t>
      </w:r>
      <w:r>
        <w:rPr>
          <w:rFonts w:hint="eastAsia" w:eastAsia="仿宋_GB2312"/>
          <w:kern w:val="0"/>
          <w:sz w:val="32"/>
          <w:szCs w:val="32"/>
        </w:rPr>
        <w:t>项需求，争取托底性帮扶资金</w:t>
      </w:r>
      <w:r>
        <w:rPr>
          <w:rFonts w:eastAsia="仿宋_GB2312"/>
          <w:kern w:val="0"/>
          <w:sz w:val="32"/>
          <w:szCs w:val="32"/>
        </w:rPr>
        <w:t>3.6</w:t>
      </w:r>
      <w:r>
        <w:rPr>
          <w:rFonts w:hint="eastAsia" w:eastAsia="仿宋_GB2312"/>
          <w:kern w:val="0"/>
          <w:sz w:val="32"/>
          <w:szCs w:val="32"/>
        </w:rPr>
        <w:t>亿元。新建的理塘五粮液极地果蔬</w:t>
      </w:r>
      <w:r>
        <w:rPr>
          <w:rFonts w:eastAsia="仿宋_GB2312"/>
          <w:kern w:val="0"/>
          <w:sz w:val="32"/>
          <w:szCs w:val="32"/>
        </w:rPr>
        <w:t>(</w:t>
      </w:r>
      <w:r>
        <w:rPr>
          <w:rFonts w:hint="eastAsia" w:eastAsia="仿宋_GB2312"/>
          <w:kern w:val="0"/>
          <w:sz w:val="32"/>
          <w:szCs w:val="32"/>
        </w:rPr>
        <w:t>香菇</w:t>
      </w:r>
      <w:r>
        <w:rPr>
          <w:rFonts w:eastAsia="仿宋_GB2312"/>
          <w:kern w:val="0"/>
          <w:sz w:val="32"/>
          <w:szCs w:val="32"/>
        </w:rPr>
        <w:t>)</w:t>
      </w:r>
      <w:r>
        <w:rPr>
          <w:rFonts w:hint="eastAsia" w:eastAsia="仿宋_GB2312"/>
          <w:kern w:val="0"/>
          <w:sz w:val="32"/>
          <w:szCs w:val="32"/>
        </w:rPr>
        <w:t>基地，被省、州评为优秀案例。创建托底性帮扶“三资融合”创新发展示范县,经济指标稳步增长，人均地区生产总值、人均一般公共预算收入等核心指标全面达标。脱贫人口人均纯收入持续增加，先后被省委、省政府授予“脱贫攻坚先进县”“四川省乡村振兴考评表彰”等荣誉称号，</w:t>
      </w:r>
      <w:r>
        <w:rPr>
          <w:rFonts w:eastAsia="仿宋_GB2312"/>
          <w:kern w:val="0"/>
          <w:sz w:val="32"/>
          <w:szCs w:val="32"/>
        </w:rPr>
        <w:t>2021</w:t>
      </w:r>
      <w:r>
        <w:rPr>
          <w:rFonts w:hint="eastAsia" w:eastAsia="仿宋_GB2312"/>
          <w:kern w:val="0"/>
          <w:sz w:val="32"/>
          <w:szCs w:val="32"/>
        </w:rPr>
        <w:t>年县人民政府获党中央、国务院“全国脱贫攻坚先进集体”最高殊荣。</w:t>
      </w:r>
    </w:p>
    <w:p w14:paraId="1280A22D">
      <w:pPr>
        <w:spacing w:line="580" w:lineRule="exact"/>
        <w:ind w:firstLine="643"/>
        <w:rPr>
          <w:rFonts w:eastAsia="仿宋_GB2312"/>
          <w:kern w:val="0"/>
          <w:sz w:val="32"/>
          <w:szCs w:val="32"/>
        </w:rPr>
      </w:pPr>
      <w:r>
        <w:rPr>
          <w:rFonts w:hint="eastAsia" w:eastAsia="仿宋_GB2312"/>
          <w:b/>
          <w:bCs/>
          <w:sz w:val="32"/>
          <w:szCs w:val="32"/>
        </w:rPr>
        <w:t>生态文明建设迈出新步伐</w:t>
      </w:r>
      <w:r>
        <w:rPr>
          <w:rFonts w:hint="eastAsia" w:eastAsia="楷体_GB2312"/>
          <w:b/>
          <w:sz w:val="32"/>
          <w:szCs w:val="32"/>
        </w:rPr>
        <w:t>。</w:t>
      </w:r>
      <w:r>
        <w:rPr>
          <w:rFonts w:hint="eastAsia" w:eastAsia="仿宋_GB2312"/>
          <w:kern w:val="0"/>
          <w:sz w:val="32"/>
          <w:szCs w:val="32"/>
        </w:rPr>
        <w:t>深入推进长江</w:t>
      </w:r>
      <w:r>
        <w:rPr>
          <w:rFonts w:eastAsia="仿宋_GB2312"/>
          <w:kern w:val="0"/>
          <w:sz w:val="32"/>
          <w:szCs w:val="32"/>
        </w:rPr>
        <w:t>“</w:t>
      </w:r>
      <w:r>
        <w:rPr>
          <w:rFonts w:hint="eastAsia" w:eastAsia="仿宋_GB2312"/>
          <w:kern w:val="0"/>
          <w:sz w:val="32"/>
          <w:szCs w:val="32"/>
        </w:rPr>
        <w:t>十年禁渔</w:t>
      </w:r>
      <w:r>
        <w:rPr>
          <w:rFonts w:eastAsia="仿宋_GB2312"/>
          <w:kern w:val="0"/>
          <w:sz w:val="32"/>
          <w:szCs w:val="32"/>
        </w:rPr>
        <w:t>”</w:t>
      </w:r>
      <w:r>
        <w:rPr>
          <w:rFonts w:hint="eastAsia" w:eastAsia="仿宋_GB2312"/>
          <w:kern w:val="0"/>
          <w:sz w:val="32"/>
          <w:szCs w:val="32"/>
        </w:rPr>
        <w:t>，常态开展</w:t>
      </w:r>
      <w:r>
        <w:rPr>
          <w:rFonts w:eastAsia="仿宋_GB2312"/>
          <w:kern w:val="0"/>
          <w:sz w:val="32"/>
          <w:szCs w:val="32"/>
        </w:rPr>
        <w:t>“</w:t>
      </w:r>
      <w:r>
        <w:rPr>
          <w:rFonts w:hint="eastAsia" w:eastAsia="仿宋_GB2312"/>
          <w:kern w:val="0"/>
          <w:sz w:val="32"/>
          <w:szCs w:val="32"/>
        </w:rPr>
        <w:t>清四乱</w:t>
      </w:r>
      <w:r>
        <w:rPr>
          <w:rFonts w:eastAsia="仿宋_GB2312"/>
          <w:kern w:val="0"/>
          <w:sz w:val="32"/>
          <w:szCs w:val="32"/>
        </w:rPr>
        <w:t>”</w:t>
      </w:r>
      <w:r>
        <w:rPr>
          <w:rFonts w:hint="eastAsia" w:eastAsia="仿宋_GB2312"/>
          <w:kern w:val="0"/>
          <w:sz w:val="32"/>
          <w:szCs w:val="32"/>
        </w:rPr>
        <w:t>行动，清理河（湖）岸线</w:t>
      </w:r>
      <w:r>
        <w:rPr>
          <w:rFonts w:eastAsia="仿宋_GB2312"/>
          <w:kern w:val="0"/>
          <w:sz w:val="32"/>
          <w:szCs w:val="32"/>
        </w:rPr>
        <w:t>1760</w:t>
      </w:r>
      <w:r>
        <w:rPr>
          <w:rFonts w:hint="eastAsia" w:eastAsia="仿宋_GB2312"/>
          <w:kern w:val="0"/>
          <w:sz w:val="32"/>
          <w:szCs w:val="32"/>
        </w:rPr>
        <w:t>公里，草原改良</w:t>
      </w:r>
      <w:r>
        <w:rPr>
          <w:rFonts w:eastAsia="仿宋_GB2312"/>
          <w:kern w:val="0"/>
          <w:sz w:val="32"/>
          <w:szCs w:val="32"/>
        </w:rPr>
        <w:t>54.1</w:t>
      </w:r>
      <w:r>
        <w:rPr>
          <w:rFonts w:hint="eastAsia" w:eastAsia="仿宋_GB2312"/>
          <w:kern w:val="0"/>
          <w:sz w:val="32"/>
          <w:szCs w:val="32"/>
        </w:rPr>
        <w:t>万亩，退化林修复</w:t>
      </w:r>
      <w:r>
        <w:rPr>
          <w:rFonts w:eastAsia="仿宋_GB2312"/>
          <w:kern w:val="0"/>
          <w:sz w:val="32"/>
          <w:szCs w:val="32"/>
        </w:rPr>
        <w:t>3300</w:t>
      </w:r>
      <w:r>
        <w:rPr>
          <w:rFonts w:hint="eastAsia" w:eastAsia="仿宋_GB2312"/>
          <w:kern w:val="0"/>
          <w:sz w:val="32"/>
          <w:szCs w:val="32"/>
        </w:rPr>
        <w:t>亩、人工造林</w:t>
      </w:r>
      <w:r>
        <w:rPr>
          <w:rFonts w:eastAsia="仿宋_GB2312"/>
          <w:kern w:val="0"/>
          <w:sz w:val="32"/>
          <w:szCs w:val="32"/>
        </w:rPr>
        <w:t>3000</w:t>
      </w:r>
      <w:r>
        <w:rPr>
          <w:rFonts w:hint="eastAsia" w:eastAsia="仿宋_GB2312"/>
          <w:kern w:val="0"/>
          <w:sz w:val="32"/>
          <w:szCs w:val="32"/>
        </w:rPr>
        <w:t>亩，治理水土流失</w:t>
      </w:r>
      <w:r>
        <w:rPr>
          <w:rFonts w:eastAsia="仿宋_GB2312"/>
          <w:kern w:val="0"/>
          <w:sz w:val="32"/>
          <w:szCs w:val="32"/>
        </w:rPr>
        <w:t>560</w:t>
      </w:r>
      <w:r>
        <w:rPr>
          <w:rFonts w:hint="eastAsia" w:eastAsia="仿宋_GB2312"/>
          <w:kern w:val="0"/>
          <w:sz w:val="32"/>
          <w:szCs w:val="32"/>
        </w:rPr>
        <w:t>平方公里，地质灾害</w:t>
      </w:r>
      <w:r>
        <w:rPr>
          <w:rFonts w:eastAsia="仿宋_GB2312"/>
          <w:kern w:val="0"/>
          <w:sz w:val="32"/>
          <w:szCs w:val="32"/>
        </w:rPr>
        <w:t>6</w:t>
      </w:r>
      <w:r>
        <w:rPr>
          <w:rFonts w:hint="eastAsia" w:eastAsia="仿宋_GB2312"/>
          <w:kern w:val="0"/>
          <w:sz w:val="32"/>
          <w:szCs w:val="32"/>
        </w:rPr>
        <w:t>处。完成湿地保护修复、草原生态保护恢复、防沙治沙和海子山湿地生态效益补偿保护修复等项目，林草综合覆盖率达</w:t>
      </w:r>
      <w:r>
        <w:rPr>
          <w:rFonts w:eastAsia="仿宋_GB2312"/>
          <w:kern w:val="0"/>
          <w:sz w:val="32"/>
          <w:szCs w:val="32"/>
        </w:rPr>
        <w:t>81.76%</w:t>
      </w:r>
      <w:r>
        <w:rPr>
          <w:rFonts w:hint="eastAsia" w:eastAsia="仿宋_GB2312"/>
          <w:kern w:val="0"/>
          <w:sz w:val="32"/>
          <w:szCs w:val="32"/>
        </w:rPr>
        <w:t>以上，野生动植物保护率达</w:t>
      </w:r>
      <w:r>
        <w:rPr>
          <w:rFonts w:eastAsia="仿宋_GB2312"/>
          <w:kern w:val="0"/>
          <w:sz w:val="32"/>
          <w:szCs w:val="32"/>
        </w:rPr>
        <w:t>100%</w:t>
      </w:r>
      <w:r>
        <w:rPr>
          <w:rFonts w:hint="eastAsia" w:eastAsia="仿宋_GB2312"/>
          <w:kern w:val="0"/>
          <w:sz w:val="32"/>
          <w:szCs w:val="32"/>
        </w:rPr>
        <w:t>。完成饮用水源地保护建设、农村生活污水治理等</w:t>
      </w:r>
      <w:r>
        <w:rPr>
          <w:rFonts w:eastAsia="仿宋_GB2312"/>
          <w:kern w:val="0"/>
          <w:sz w:val="32"/>
          <w:szCs w:val="32"/>
        </w:rPr>
        <w:t>3</w:t>
      </w:r>
      <w:r>
        <w:rPr>
          <w:rFonts w:hint="eastAsia" w:eastAsia="仿宋_GB2312"/>
          <w:kern w:val="0"/>
          <w:sz w:val="32"/>
          <w:szCs w:val="32"/>
        </w:rPr>
        <w:t>个项目，规范设置入河排污口</w:t>
      </w:r>
      <w:r>
        <w:rPr>
          <w:rFonts w:eastAsia="仿宋_GB2312"/>
          <w:kern w:val="0"/>
          <w:sz w:val="32"/>
          <w:szCs w:val="32"/>
        </w:rPr>
        <w:t>11</w:t>
      </w:r>
      <w:r>
        <w:rPr>
          <w:rFonts w:hint="eastAsia" w:eastAsia="仿宋_GB2312"/>
          <w:kern w:val="0"/>
          <w:sz w:val="32"/>
          <w:szCs w:val="32"/>
        </w:rPr>
        <w:t>个，清退矿业权</w:t>
      </w:r>
      <w:r>
        <w:rPr>
          <w:rFonts w:eastAsia="仿宋_GB2312"/>
          <w:kern w:val="0"/>
          <w:sz w:val="32"/>
          <w:szCs w:val="32"/>
        </w:rPr>
        <w:t>1</w:t>
      </w:r>
      <w:r>
        <w:rPr>
          <w:rFonts w:hint="eastAsia" w:eastAsia="仿宋_GB2312"/>
          <w:kern w:val="0"/>
          <w:sz w:val="32"/>
          <w:szCs w:val="32"/>
        </w:rPr>
        <w:t>宗。省、州生态环境保护督察反馈问题完成整改销号</w:t>
      </w:r>
      <w:r>
        <w:rPr>
          <w:rFonts w:eastAsia="仿宋_GB2312"/>
          <w:kern w:val="0"/>
          <w:sz w:val="32"/>
          <w:szCs w:val="32"/>
        </w:rPr>
        <w:t>24</w:t>
      </w:r>
      <w:r>
        <w:rPr>
          <w:rFonts w:hint="eastAsia" w:eastAsia="仿宋_GB2312"/>
          <w:kern w:val="0"/>
          <w:sz w:val="32"/>
          <w:szCs w:val="32"/>
        </w:rPr>
        <w:t>个。空气质量持续保持Ⅰ级标准。统筹固碳能力，探索开发林草碳汇项目，积极推动生态价值转化。</w:t>
      </w:r>
    </w:p>
    <w:p w14:paraId="101C6ACD">
      <w:pPr>
        <w:spacing w:line="580" w:lineRule="exact"/>
        <w:ind w:firstLine="630" w:firstLineChars="196"/>
        <w:rPr>
          <w:rFonts w:eastAsia="仿宋_GB2312"/>
          <w:kern w:val="0"/>
          <w:sz w:val="32"/>
          <w:szCs w:val="32"/>
        </w:rPr>
      </w:pPr>
      <w:r>
        <w:rPr>
          <w:rFonts w:hint="eastAsia" w:eastAsia="仿宋_GB2312"/>
          <w:b/>
          <w:bCs/>
          <w:sz w:val="32"/>
          <w:szCs w:val="32"/>
        </w:rPr>
        <w:t>绿色产业发展呈现新格局</w:t>
      </w:r>
      <w:r>
        <w:rPr>
          <w:rFonts w:hint="eastAsia" w:eastAsia="仿宋_GB2312"/>
          <w:kern w:val="0"/>
          <w:sz w:val="32"/>
          <w:szCs w:val="32"/>
        </w:rPr>
        <w:t>。成功创建第五批天府旅游名县、第四批省级全域旅游示范区，荣获中国最美生态文化旅游名县、中国文旅融合高质量发展示范县。成功举办理塘第七届文化自然遗产日、哒野赛马文旅季等重大活动，</w:t>
      </w:r>
      <w:r>
        <w:rPr>
          <w:rFonts w:hint="eastAsia" w:eastAsia="仿宋_GB2312"/>
          <w:color w:val="000000"/>
          <w:sz w:val="32"/>
          <w:szCs w:val="32"/>
        </w:rPr>
        <w:t>成功承办“四川省天府百姓大舞台川西北片区汇演活动”，</w:t>
      </w:r>
      <w:r>
        <w:rPr>
          <w:rFonts w:hint="eastAsia" w:eastAsia="仿宋_GB2312"/>
          <w:kern w:val="0"/>
          <w:sz w:val="32"/>
          <w:szCs w:val="32"/>
        </w:rPr>
        <w:t>地觅文化艺术获</w:t>
      </w:r>
      <w:r>
        <w:rPr>
          <w:rFonts w:eastAsia="仿宋_GB2312"/>
          <w:kern w:val="0"/>
          <w:sz w:val="32"/>
          <w:szCs w:val="32"/>
        </w:rPr>
        <w:t>2024</w:t>
      </w:r>
      <w:r>
        <w:rPr>
          <w:rFonts w:hint="eastAsia" w:eastAsia="仿宋_GB2312"/>
          <w:kern w:val="0"/>
          <w:sz w:val="32"/>
          <w:szCs w:val="32"/>
        </w:rPr>
        <w:t>年度四川省优秀非遗工坊称号。康巴游牧文化体验区成功创建国家</w:t>
      </w:r>
      <w:r>
        <w:rPr>
          <w:rFonts w:eastAsia="仿宋_GB2312"/>
          <w:kern w:val="0"/>
          <w:sz w:val="32"/>
          <w:szCs w:val="32"/>
        </w:rPr>
        <w:t>4A</w:t>
      </w:r>
      <w:r>
        <w:rPr>
          <w:rFonts w:hint="eastAsia" w:eastAsia="仿宋_GB2312"/>
          <w:kern w:val="0"/>
          <w:sz w:val="32"/>
          <w:szCs w:val="32"/>
        </w:rPr>
        <w:t>级景区、玛吉阿米花园农庄成功创建国家</w:t>
      </w:r>
      <w:r>
        <w:rPr>
          <w:rFonts w:eastAsia="仿宋_GB2312"/>
          <w:kern w:val="0"/>
          <w:sz w:val="32"/>
          <w:szCs w:val="32"/>
        </w:rPr>
        <w:t>3A</w:t>
      </w:r>
      <w:r>
        <w:rPr>
          <w:rFonts w:hint="eastAsia" w:eastAsia="仿宋_GB2312"/>
          <w:kern w:val="0"/>
          <w:sz w:val="32"/>
          <w:szCs w:val="32"/>
        </w:rPr>
        <w:t>级景区，仁康古街获评第二批国家级旅游休闲街区，濯桑乡汉戈村获评天府旅游名村、“理塘藏戏”获评天府旅游名品。建成</w:t>
      </w:r>
      <w:r>
        <w:rPr>
          <w:rFonts w:eastAsia="仿宋_GB2312"/>
          <w:kern w:val="0"/>
          <w:sz w:val="32"/>
          <w:szCs w:val="32"/>
        </w:rPr>
        <w:t>14.2</w:t>
      </w:r>
      <w:r>
        <w:rPr>
          <w:rFonts w:hint="eastAsia" w:eastAsia="仿宋_GB2312"/>
          <w:kern w:val="0"/>
          <w:sz w:val="32"/>
          <w:szCs w:val="32"/>
        </w:rPr>
        <w:t>万亩蔬菜和牦牛现代农业园区，</w:t>
      </w:r>
      <w:r>
        <w:rPr>
          <w:rFonts w:eastAsia="仿宋_GB2312"/>
          <w:kern w:val="0"/>
          <w:sz w:val="32"/>
          <w:szCs w:val="32"/>
        </w:rPr>
        <w:t>4.6</w:t>
      </w:r>
      <w:r>
        <w:rPr>
          <w:rFonts w:hint="eastAsia" w:eastAsia="仿宋_GB2312"/>
          <w:kern w:val="0"/>
          <w:sz w:val="32"/>
          <w:szCs w:val="32"/>
        </w:rPr>
        <w:t>万亩青稞、马铃薯等特色农业产业基地，</w:t>
      </w:r>
      <w:r>
        <w:rPr>
          <w:rFonts w:eastAsia="仿宋_GB2312"/>
          <w:kern w:val="0"/>
          <w:sz w:val="32"/>
          <w:szCs w:val="32"/>
        </w:rPr>
        <w:t>15</w:t>
      </w:r>
      <w:r>
        <w:rPr>
          <w:rFonts w:hint="eastAsia" w:eastAsia="仿宋_GB2312"/>
          <w:kern w:val="0"/>
          <w:sz w:val="32"/>
          <w:szCs w:val="32"/>
        </w:rPr>
        <w:t>个</w:t>
      </w:r>
      <w:r>
        <w:rPr>
          <w:rFonts w:eastAsia="仿宋_GB2312"/>
          <w:kern w:val="0"/>
          <w:sz w:val="32"/>
          <w:szCs w:val="32"/>
        </w:rPr>
        <w:t>500</w:t>
      </w:r>
      <w:r>
        <w:rPr>
          <w:rFonts w:hint="eastAsia" w:eastAsia="仿宋_GB2312"/>
          <w:kern w:val="0"/>
          <w:sz w:val="32"/>
          <w:szCs w:val="32"/>
        </w:rPr>
        <w:t>头规模以上牦牛养殖集体牧场，禾尼牦牛现代农业园区成功创建四川省三星级现代农业园区。新认证绿色有机农产品</w:t>
      </w:r>
      <w:r>
        <w:rPr>
          <w:rFonts w:eastAsia="仿宋_GB2312"/>
          <w:kern w:val="0"/>
          <w:sz w:val="32"/>
          <w:szCs w:val="32"/>
        </w:rPr>
        <w:t>6</w:t>
      </w:r>
      <w:r>
        <w:rPr>
          <w:rFonts w:hint="eastAsia" w:eastAsia="仿宋_GB2312"/>
          <w:kern w:val="0"/>
          <w:sz w:val="32"/>
          <w:szCs w:val="32"/>
        </w:rPr>
        <w:t>个，申报注册理塘牦牛、勒通绵羊等地理标志产品</w:t>
      </w:r>
      <w:r>
        <w:rPr>
          <w:rFonts w:eastAsia="仿宋_GB2312"/>
          <w:kern w:val="0"/>
          <w:sz w:val="32"/>
          <w:szCs w:val="32"/>
        </w:rPr>
        <w:t>11</w:t>
      </w:r>
      <w:r>
        <w:rPr>
          <w:rFonts w:hint="eastAsia" w:eastAsia="仿宋_GB2312"/>
          <w:kern w:val="0"/>
          <w:sz w:val="32"/>
          <w:szCs w:val="32"/>
        </w:rPr>
        <w:t>个，香菇、木耳等绿色农产品</w:t>
      </w:r>
      <w:r>
        <w:rPr>
          <w:rFonts w:eastAsia="仿宋_GB2312"/>
          <w:kern w:val="0"/>
          <w:sz w:val="32"/>
          <w:szCs w:val="32"/>
        </w:rPr>
        <w:t>2</w:t>
      </w:r>
      <w:r>
        <w:rPr>
          <w:rFonts w:hint="eastAsia" w:eastAsia="仿宋_GB2312"/>
          <w:kern w:val="0"/>
          <w:sz w:val="32"/>
          <w:szCs w:val="32"/>
        </w:rPr>
        <w:t>个。编制完成全县风、光、地热、抽水蓄能综合利用规划，装机总容量</w:t>
      </w:r>
      <w:r>
        <w:rPr>
          <w:rFonts w:eastAsia="仿宋_GB2312"/>
          <w:kern w:val="0"/>
          <w:sz w:val="32"/>
          <w:szCs w:val="32"/>
        </w:rPr>
        <w:t>230</w:t>
      </w:r>
      <w:r>
        <w:rPr>
          <w:rFonts w:hint="eastAsia" w:eastAsia="仿宋_GB2312"/>
          <w:kern w:val="0"/>
          <w:sz w:val="32"/>
          <w:szCs w:val="32"/>
        </w:rPr>
        <w:t>万千伏的理塘奔戈光伏发电项目、理塘</w:t>
      </w:r>
      <w:r>
        <w:rPr>
          <w:rFonts w:eastAsia="仿宋_GB2312"/>
          <w:kern w:val="0"/>
          <w:sz w:val="32"/>
          <w:szCs w:val="32"/>
        </w:rPr>
        <w:t>3</w:t>
      </w:r>
      <w:r>
        <w:rPr>
          <w:rFonts w:hint="eastAsia" w:eastAsia="仿宋_GB2312"/>
          <w:kern w:val="0"/>
          <w:sz w:val="32"/>
          <w:szCs w:val="32"/>
        </w:rPr>
        <w:t>号地块高城光伏项目、理塘索绒光伏发电项目开工建设，</w:t>
      </w:r>
      <w:r>
        <w:rPr>
          <w:rFonts w:eastAsia="仿宋_GB2312"/>
          <w:kern w:val="0"/>
          <w:sz w:val="32"/>
          <w:szCs w:val="32"/>
        </w:rPr>
        <w:t>100</w:t>
      </w:r>
      <w:r>
        <w:rPr>
          <w:rFonts w:hint="eastAsia" w:eastAsia="仿宋_GB2312"/>
          <w:kern w:val="0"/>
          <w:sz w:val="32"/>
          <w:szCs w:val="32"/>
        </w:rPr>
        <w:t>万千瓦抽水蓄能项目完成法人优选，</w:t>
      </w:r>
      <w:r>
        <w:rPr>
          <w:rFonts w:eastAsia="仿宋_GB2312"/>
          <w:kern w:val="0"/>
          <w:sz w:val="32"/>
          <w:szCs w:val="32"/>
        </w:rPr>
        <w:t>10</w:t>
      </w:r>
      <w:r>
        <w:rPr>
          <w:rFonts w:hint="eastAsia" w:eastAsia="仿宋_GB2312"/>
          <w:kern w:val="0"/>
          <w:sz w:val="32"/>
          <w:szCs w:val="32"/>
        </w:rPr>
        <w:t>万千瓦实验风电项目完成实施方案编制和草地、林地、生态红线等敏感因素排查。聚力建设三州地区唯一的康藏现代农牧产业加工贸易园区省级外贸转型升级基地，成功创建“国家级电子商务进农村综合示范县”实施康南物流基础设施暨仓储物流体系、康南邮件集散处理中心等一批重大项目，打通县内物流配送主通道</w:t>
      </w:r>
      <w:r>
        <w:rPr>
          <w:rFonts w:eastAsia="仿宋_GB2312"/>
          <w:kern w:val="0"/>
          <w:sz w:val="32"/>
          <w:szCs w:val="32"/>
        </w:rPr>
        <w:t>9</w:t>
      </w:r>
      <w:r>
        <w:rPr>
          <w:rFonts w:hint="eastAsia" w:eastAsia="仿宋_GB2312"/>
          <w:kern w:val="0"/>
          <w:sz w:val="32"/>
          <w:szCs w:val="32"/>
        </w:rPr>
        <w:t>条。</w:t>
      </w:r>
    </w:p>
    <w:p w14:paraId="6675EE65">
      <w:pPr>
        <w:spacing w:line="580" w:lineRule="exact"/>
        <w:ind w:firstLine="630" w:firstLineChars="196"/>
        <w:rPr>
          <w:kern w:val="0"/>
          <w:szCs w:val="32"/>
        </w:rPr>
      </w:pPr>
      <w:r>
        <w:rPr>
          <w:rFonts w:hint="eastAsia" w:eastAsia="仿宋_GB2312"/>
          <w:b/>
          <w:bCs/>
          <w:sz w:val="32"/>
          <w:szCs w:val="32"/>
        </w:rPr>
        <w:t>基础设施建设取得新进展</w:t>
      </w:r>
      <w:r>
        <w:rPr>
          <w:rFonts w:hint="eastAsia" w:eastAsia="楷体_GB2312"/>
          <w:b/>
          <w:sz w:val="32"/>
          <w:szCs w:val="32"/>
        </w:rPr>
        <w:t>。</w:t>
      </w:r>
      <w:r>
        <w:rPr>
          <w:rFonts w:hint="eastAsia" w:eastAsia="仿宋_GB2312"/>
          <w:kern w:val="0"/>
          <w:sz w:val="32"/>
          <w:szCs w:val="32"/>
        </w:rPr>
        <w:t>成功创建第七批“四好农村路”省级示范县，新建和改建农村公路</w:t>
      </w:r>
      <w:r>
        <w:rPr>
          <w:rFonts w:eastAsia="仿宋_GB2312"/>
          <w:kern w:val="0"/>
          <w:sz w:val="32"/>
          <w:szCs w:val="32"/>
        </w:rPr>
        <w:t>141.66</w:t>
      </w:r>
      <w:r>
        <w:rPr>
          <w:rFonts w:hint="eastAsia" w:eastAsia="仿宋_GB2312"/>
          <w:kern w:val="0"/>
          <w:sz w:val="32"/>
          <w:szCs w:val="32"/>
        </w:rPr>
        <w:t>公里，全县行政村道路通畅率达</w:t>
      </w:r>
      <w:r>
        <w:rPr>
          <w:rFonts w:eastAsia="仿宋_GB2312"/>
          <w:kern w:val="0"/>
          <w:sz w:val="32"/>
          <w:szCs w:val="32"/>
        </w:rPr>
        <w:t>100%</w:t>
      </w:r>
      <w:r>
        <w:rPr>
          <w:rFonts w:hint="eastAsia" w:eastAsia="仿宋_GB2312"/>
          <w:kern w:val="0"/>
          <w:sz w:val="32"/>
          <w:szCs w:val="32"/>
        </w:rPr>
        <w:t>，县城道路硬化实现“全覆盖”。累计投入</w:t>
      </w:r>
      <w:r>
        <w:rPr>
          <w:rFonts w:eastAsia="仿宋_GB2312"/>
          <w:kern w:val="0"/>
          <w:sz w:val="32"/>
          <w:szCs w:val="32"/>
        </w:rPr>
        <w:t>2000</w:t>
      </w:r>
      <w:r>
        <w:rPr>
          <w:rFonts w:hint="eastAsia" w:eastAsia="仿宋_GB2312"/>
          <w:kern w:val="0"/>
          <w:sz w:val="32"/>
          <w:szCs w:val="32"/>
        </w:rPr>
        <w:t>余万元用于农村公路养护工作。综合治理河道长度达22.57公里，新增和改善灌面5.29万亩，农村安全饮水普及率达95.62</w:t>
      </w:r>
      <w:r>
        <w:rPr>
          <w:rFonts w:eastAsia="仿宋_GB2312"/>
          <w:kern w:val="0"/>
          <w:sz w:val="32"/>
          <w:szCs w:val="32"/>
        </w:rPr>
        <w:t>%</w:t>
      </w:r>
      <w:r>
        <w:rPr>
          <w:rFonts w:hint="eastAsia" w:eastAsia="仿宋_GB2312"/>
          <w:kern w:val="0"/>
          <w:sz w:val="32"/>
          <w:szCs w:val="32"/>
        </w:rPr>
        <w:t>，建成查马日东水利工程及热依曲河曲登乡浑查村、拉合库流域防洪治理工程，火古龙沟小流域水土流失综合治理工程等，推进查马日东水利工程渠系配套、甲洼镇江达村马铃薯良繁基地太阳能提灌改造提升巩固等灌溉项目。禾尼段</w:t>
      </w:r>
      <w:r>
        <w:rPr>
          <w:rFonts w:eastAsia="仿宋_GB2312"/>
          <w:kern w:val="0"/>
          <w:sz w:val="32"/>
          <w:szCs w:val="32"/>
        </w:rPr>
        <w:t>500</w:t>
      </w:r>
      <w:r>
        <w:rPr>
          <w:rFonts w:hint="eastAsia" w:eastAsia="仿宋_GB2312"/>
          <w:kern w:val="0"/>
          <w:sz w:val="32"/>
          <w:szCs w:val="32"/>
        </w:rPr>
        <w:t>千伏升压站正在优化选址，金上—湖北±</w:t>
      </w:r>
      <w:r>
        <w:rPr>
          <w:rFonts w:eastAsia="仿宋_GB2312"/>
          <w:kern w:val="0"/>
          <w:sz w:val="32"/>
          <w:szCs w:val="32"/>
        </w:rPr>
        <w:t>800</w:t>
      </w:r>
      <w:r>
        <w:rPr>
          <w:rFonts w:hint="eastAsia" w:eastAsia="仿宋_GB2312"/>
          <w:kern w:val="0"/>
          <w:sz w:val="32"/>
          <w:szCs w:val="32"/>
        </w:rPr>
        <w:t>千伏特高压直流输电线路（理塘段）全线贯通，理塘下坝</w:t>
      </w:r>
      <w:r>
        <w:rPr>
          <w:rFonts w:eastAsia="仿宋_GB2312"/>
          <w:kern w:val="0"/>
          <w:sz w:val="32"/>
          <w:szCs w:val="32"/>
        </w:rPr>
        <w:t>35kV</w:t>
      </w:r>
      <w:r>
        <w:rPr>
          <w:rFonts w:hint="eastAsia" w:eastAsia="仿宋_GB2312"/>
          <w:kern w:val="0"/>
          <w:sz w:val="32"/>
          <w:szCs w:val="32"/>
        </w:rPr>
        <w:t>输变电工程建设及下坝片区</w:t>
      </w:r>
      <w:r>
        <w:rPr>
          <w:rFonts w:eastAsia="仿宋_GB2312"/>
          <w:kern w:val="0"/>
          <w:sz w:val="32"/>
          <w:szCs w:val="32"/>
        </w:rPr>
        <w:t>4</w:t>
      </w:r>
      <w:r>
        <w:rPr>
          <w:rFonts w:hint="eastAsia" w:eastAsia="仿宋_GB2312"/>
          <w:kern w:val="0"/>
          <w:sz w:val="32"/>
          <w:szCs w:val="32"/>
        </w:rPr>
        <w:t>条线路改造，全部乡（镇）并入四川电网主网供电。建成城市供暖一期工程、格萨尔广场节能改造等项目，供暖二期工程稳步推进，供暖面积达</w:t>
      </w:r>
      <w:r>
        <w:rPr>
          <w:rFonts w:eastAsia="仿宋_GB2312"/>
          <w:kern w:val="0"/>
          <w:sz w:val="32"/>
          <w:szCs w:val="32"/>
        </w:rPr>
        <w:t>14.8</w:t>
      </w:r>
      <w:r>
        <w:rPr>
          <w:rFonts w:hint="eastAsia" w:eastAsia="仿宋_GB2312"/>
          <w:kern w:val="0"/>
          <w:sz w:val="32"/>
          <w:szCs w:val="32"/>
        </w:rPr>
        <w:t>万平方米，县城供暖覆盖率从</w:t>
      </w:r>
      <w:r>
        <w:rPr>
          <w:rFonts w:eastAsia="仿宋_GB2312"/>
          <w:kern w:val="0"/>
          <w:sz w:val="32"/>
          <w:szCs w:val="32"/>
        </w:rPr>
        <w:t>40%</w:t>
      </w:r>
      <w:r>
        <w:rPr>
          <w:rFonts w:hint="eastAsia" w:eastAsia="仿宋_GB2312"/>
          <w:kern w:val="0"/>
          <w:sz w:val="32"/>
          <w:szCs w:val="32"/>
        </w:rPr>
        <w:t>提升至</w:t>
      </w:r>
      <w:r>
        <w:rPr>
          <w:rFonts w:eastAsia="仿宋_GB2312"/>
          <w:kern w:val="0"/>
          <w:sz w:val="32"/>
          <w:szCs w:val="32"/>
        </w:rPr>
        <w:t>75%</w:t>
      </w:r>
      <w:r>
        <w:rPr>
          <w:rFonts w:hint="eastAsia" w:eastAsia="仿宋_GB2312"/>
          <w:kern w:val="0"/>
          <w:sz w:val="32"/>
          <w:szCs w:val="32"/>
        </w:rPr>
        <w:t>。高原用氧健康产业项目竣工投产，基本实现旅游重点线路、重点点位、重点场景供氧全覆盖。</w:t>
      </w:r>
    </w:p>
    <w:p w14:paraId="24E25480">
      <w:pPr>
        <w:spacing w:line="580" w:lineRule="exact"/>
        <w:ind w:firstLine="643" w:firstLineChars="200"/>
        <w:rPr>
          <w:rFonts w:eastAsia="仿宋_GB2312"/>
          <w:kern w:val="0"/>
          <w:sz w:val="32"/>
          <w:szCs w:val="32"/>
        </w:rPr>
      </w:pPr>
      <w:r>
        <w:rPr>
          <w:rFonts w:hint="eastAsia" w:eastAsia="仿宋_GB2312"/>
          <w:b/>
          <w:bCs/>
          <w:sz w:val="32"/>
          <w:szCs w:val="32"/>
        </w:rPr>
        <w:t>和美城乡建设焕发新颜值</w:t>
      </w:r>
      <w:r>
        <w:rPr>
          <w:rFonts w:hint="eastAsia" w:eastAsia="仿宋_GB2312"/>
          <w:kern w:val="0"/>
          <w:sz w:val="32"/>
          <w:szCs w:val="32"/>
        </w:rPr>
        <w:t>。深入实施以人为本的新型城镇化，城镇化率达到41.7%。城市更新和生命线工程、高原宜居工程、城区供水管网改扩建工程持续推进，争取中央预算内资金、超长期特别国债、地方政府专项债资金实施</w:t>
      </w:r>
      <w:r>
        <w:rPr>
          <w:rFonts w:eastAsia="仿宋_GB2312"/>
          <w:kern w:val="0"/>
          <w:sz w:val="32"/>
          <w:szCs w:val="32"/>
        </w:rPr>
        <w:t>37</w:t>
      </w:r>
      <w:r>
        <w:rPr>
          <w:rFonts w:hint="eastAsia" w:eastAsia="仿宋_GB2312"/>
          <w:kern w:val="0"/>
          <w:sz w:val="32"/>
          <w:szCs w:val="32"/>
        </w:rPr>
        <w:t>个项目，总投资超</w:t>
      </w:r>
      <w:r>
        <w:rPr>
          <w:rFonts w:eastAsia="仿宋_GB2312"/>
          <w:kern w:val="0"/>
          <w:sz w:val="32"/>
          <w:szCs w:val="32"/>
        </w:rPr>
        <w:t>25</w:t>
      </w:r>
      <w:r>
        <w:rPr>
          <w:rFonts w:hint="eastAsia" w:eastAsia="仿宋_GB2312"/>
          <w:kern w:val="0"/>
          <w:sz w:val="32"/>
          <w:szCs w:val="32"/>
        </w:rPr>
        <w:t>亿元。实施</w:t>
      </w:r>
      <w:r>
        <w:rPr>
          <w:rFonts w:eastAsia="仿宋_GB2312"/>
          <w:kern w:val="0"/>
          <w:sz w:val="32"/>
          <w:szCs w:val="32"/>
        </w:rPr>
        <w:t>7</w:t>
      </w:r>
      <w:r>
        <w:rPr>
          <w:rFonts w:hint="eastAsia" w:eastAsia="仿宋_GB2312"/>
          <w:kern w:val="0"/>
          <w:sz w:val="32"/>
          <w:szCs w:val="32"/>
        </w:rPr>
        <w:t>个乡村振兴</w:t>
      </w:r>
      <w:r>
        <w:rPr>
          <w:rFonts w:eastAsia="仿宋_GB2312"/>
          <w:kern w:val="0"/>
          <w:sz w:val="32"/>
          <w:szCs w:val="32"/>
        </w:rPr>
        <w:t>“</w:t>
      </w:r>
      <w:r>
        <w:rPr>
          <w:rFonts w:hint="eastAsia" w:eastAsia="仿宋_GB2312"/>
          <w:kern w:val="0"/>
          <w:sz w:val="32"/>
          <w:szCs w:val="32"/>
        </w:rPr>
        <w:t>双百工程</w:t>
      </w:r>
      <w:r>
        <w:rPr>
          <w:rFonts w:eastAsia="仿宋_GB2312"/>
          <w:kern w:val="0"/>
          <w:sz w:val="32"/>
          <w:szCs w:val="32"/>
        </w:rPr>
        <w:t>”</w:t>
      </w:r>
      <w:r>
        <w:rPr>
          <w:rFonts w:hint="eastAsia" w:eastAsia="仿宋_GB2312"/>
          <w:kern w:val="0"/>
          <w:sz w:val="32"/>
          <w:szCs w:val="32"/>
        </w:rPr>
        <w:t>示范村建设，建成</w:t>
      </w:r>
      <w:r>
        <w:rPr>
          <w:rFonts w:eastAsia="仿宋_GB2312"/>
          <w:kern w:val="0"/>
          <w:sz w:val="32"/>
          <w:szCs w:val="32"/>
        </w:rPr>
        <w:t>3</w:t>
      </w:r>
      <w:r>
        <w:rPr>
          <w:rFonts w:hint="eastAsia" w:eastAsia="仿宋_GB2312"/>
          <w:kern w:val="0"/>
          <w:sz w:val="32"/>
          <w:szCs w:val="32"/>
        </w:rPr>
        <w:t>个省级宜居宜业和美乡村、</w:t>
      </w:r>
      <w:r>
        <w:rPr>
          <w:rFonts w:eastAsia="仿宋_GB2312"/>
          <w:kern w:val="0"/>
          <w:sz w:val="32"/>
          <w:szCs w:val="32"/>
        </w:rPr>
        <w:t>1</w:t>
      </w:r>
      <w:r>
        <w:rPr>
          <w:rFonts w:hint="eastAsia" w:eastAsia="仿宋_GB2312"/>
          <w:kern w:val="0"/>
          <w:sz w:val="32"/>
          <w:szCs w:val="32"/>
        </w:rPr>
        <w:t>个精品村。修复仁康古街历史建筑</w:t>
      </w:r>
      <w:r>
        <w:rPr>
          <w:rFonts w:eastAsia="仿宋_GB2312"/>
          <w:kern w:val="0"/>
          <w:sz w:val="32"/>
          <w:szCs w:val="32"/>
        </w:rPr>
        <w:t>2</w:t>
      </w:r>
      <w:r>
        <w:rPr>
          <w:rFonts w:hint="eastAsia" w:eastAsia="仿宋_GB2312"/>
          <w:kern w:val="0"/>
          <w:sz w:val="32"/>
          <w:szCs w:val="32"/>
        </w:rPr>
        <w:t>处，替然尼巴村入选省级历史文化街区。</w:t>
      </w:r>
      <w:r>
        <w:rPr>
          <w:rFonts w:hint="eastAsia" w:eastAsia="仿宋_GB2312"/>
          <w:sz w:val="32"/>
          <w:szCs w:val="32"/>
        </w:rPr>
        <w:t>成功申报省级国家级传统村落62个，申报位居四川省第一。</w:t>
      </w:r>
      <w:r>
        <w:rPr>
          <w:rFonts w:hint="eastAsia" w:eastAsia="仿宋_GB2312"/>
          <w:kern w:val="0"/>
          <w:sz w:val="32"/>
          <w:szCs w:val="32"/>
        </w:rPr>
        <w:t>完成农村</w:t>
      </w:r>
      <w:r>
        <w:rPr>
          <w:rFonts w:eastAsia="仿宋_GB2312"/>
          <w:kern w:val="0"/>
          <w:sz w:val="32"/>
          <w:szCs w:val="32"/>
        </w:rPr>
        <w:t>“</w:t>
      </w:r>
      <w:r>
        <w:rPr>
          <w:rFonts w:hint="eastAsia" w:eastAsia="仿宋_GB2312"/>
          <w:kern w:val="0"/>
          <w:sz w:val="32"/>
          <w:szCs w:val="32"/>
        </w:rPr>
        <w:t>户改厕</w:t>
      </w:r>
      <w:r>
        <w:rPr>
          <w:rFonts w:eastAsia="仿宋_GB2312"/>
          <w:kern w:val="0"/>
          <w:sz w:val="32"/>
          <w:szCs w:val="32"/>
        </w:rPr>
        <w:t>”1098</w:t>
      </w:r>
      <w:r>
        <w:rPr>
          <w:rFonts w:hint="eastAsia" w:eastAsia="仿宋_GB2312"/>
          <w:kern w:val="0"/>
          <w:sz w:val="32"/>
          <w:szCs w:val="32"/>
        </w:rPr>
        <w:t>户和</w:t>
      </w:r>
      <w:r>
        <w:rPr>
          <w:rFonts w:eastAsia="仿宋_GB2312"/>
          <w:kern w:val="0"/>
          <w:sz w:val="32"/>
          <w:szCs w:val="32"/>
        </w:rPr>
        <w:t>49</w:t>
      </w:r>
      <w:r>
        <w:rPr>
          <w:rFonts w:hint="eastAsia" w:eastAsia="仿宋_GB2312"/>
          <w:kern w:val="0"/>
          <w:sz w:val="32"/>
          <w:szCs w:val="32"/>
        </w:rPr>
        <w:t>个村生活污水治理项目，覆盖率分别达</w:t>
      </w:r>
      <w:r>
        <w:rPr>
          <w:rFonts w:eastAsia="仿宋_GB2312"/>
          <w:kern w:val="0"/>
          <w:sz w:val="32"/>
          <w:szCs w:val="32"/>
        </w:rPr>
        <w:t>99.8%</w:t>
      </w:r>
      <w:r>
        <w:rPr>
          <w:rFonts w:hint="eastAsia" w:eastAsia="仿宋_GB2312"/>
          <w:kern w:val="0"/>
          <w:sz w:val="32"/>
          <w:szCs w:val="32"/>
        </w:rPr>
        <w:t>、</w:t>
      </w:r>
      <w:r>
        <w:rPr>
          <w:rFonts w:eastAsia="仿宋_GB2312"/>
          <w:kern w:val="0"/>
          <w:sz w:val="32"/>
          <w:szCs w:val="32"/>
        </w:rPr>
        <w:t>32.9%</w:t>
      </w:r>
      <w:r>
        <w:rPr>
          <w:rFonts w:hint="eastAsia" w:eastAsia="仿宋_GB2312"/>
          <w:kern w:val="0"/>
          <w:sz w:val="32"/>
          <w:szCs w:val="32"/>
        </w:rPr>
        <w:t>，实现县乡村三级生活垃圾收转运体系、建制镇污水处理全覆盖。开展新型职业农民培训</w:t>
      </w:r>
      <w:r>
        <w:rPr>
          <w:rFonts w:eastAsia="仿宋_GB2312"/>
          <w:kern w:val="0"/>
          <w:sz w:val="32"/>
          <w:szCs w:val="32"/>
        </w:rPr>
        <w:t>1.5</w:t>
      </w:r>
      <w:r>
        <w:rPr>
          <w:rFonts w:hint="eastAsia" w:eastAsia="仿宋_GB2312"/>
          <w:kern w:val="0"/>
          <w:sz w:val="32"/>
          <w:szCs w:val="32"/>
        </w:rPr>
        <w:t>万人次，现场技术指导</w:t>
      </w:r>
      <w:r>
        <w:rPr>
          <w:rFonts w:eastAsia="仿宋_GB2312"/>
          <w:kern w:val="0"/>
          <w:sz w:val="32"/>
          <w:szCs w:val="32"/>
        </w:rPr>
        <w:t>1000</w:t>
      </w:r>
      <w:r>
        <w:rPr>
          <w:rFonts w:hint="eastAsia" w:eastAsia="仿宋_GB2312"/>
          <w:kern w:val="0"/>
          <w:sz w:val="32"/>
          <w:szCs w:val="32"/>
        </w:rPr>
        <w:t>余人次，培养</w:t>
      </w:r>
      <w:r>
        <w:rPr>
          <w:rFonts w:eastAsia="仿宋_GB2312"/>
          <w:kern w:val="0"/>
          <w:sz w:val="32"/>
          <w:szCs w:val="32"/>
        </w:rPr>
        <w:t>“</w:t>
      </w:r>
      <w:r>
        <w:rPr>
          <w:rFonts w:hint="eastAsia" w:eastAsia="仿宋_GB2312"/>
          <w:kern w:val="0"/>
          <w:sz w:val="32"/>
          <w:szCs w:val="32"/>
        </w:rPr>
        <w:t>土专家、田秀才</w:t>
      </w:r>
      <w:r>
        <w:rPr>
          <w:rFonts w:eastAsia="仿宋_GB2312"/>
          <w:kern w:val="0"/>
          <w:sz w:val="32"/>
          <w:szCs w:val="32"/>
        </w:rPr>
        <w:t>”320</w:t>
      </w:r>
      <w:r>
        <w:rPr>
          <w:rFonts w:hint="eastAsia" w:eastAsia="仿宋_GB2312"/>
          <w:kern w:val="0"/>
          <w:sz w:val="32"/>
          <w:szCs w:val="32"/>
        </w:rPr>
        <w:t>人，</w:t>
      </w:r>
      <w:r>
        <w:rPr>
          <w:rFonts w:eastAsia="仿宋_GB2312"/>
          <w:kern w:val="0"/>
          <w:sz w:val="32"/>
          <w:szCs w:val="32"/>
        </w:rPr>
        <w:t>“</w:t>
      </w:r>
      <w:r>
        <w:rPr>
          <w:rFonts w:hint="eastAsia" w:eastAsia="仿宋_GB2312"/>
          <w:kern w:val="0"/>
          <w:sz w:val="32"/>
          <w:szCs w:val="32"/>
        </w:rPr>
        <w:t>双向</w:t>
      </w:r>
      <w:r>
        <w:rPr>
          <w:rFonts w:eastAsia="仿宋_GB2312"/>
          <w:kern w:val="0"/>
          <w:sz w:val="32"/>
          <w:szCs w:val="32"/>
        </w:rPr>
        <w:t>”</w:t>
      </w:r>
      <w:r>
        <w:rPr>
          <w:rFonts w:hint="eastAsia" w:eastAsia="仿宋_GB2312"/>
          <w:kern w:val="0"/>
          <w:sz w:val="32"/>
          <w:szCs w:val="32"/>
        </w:rPr>
        <w:t>致富带头人</w:t>
      </w:r>
      <w:r>
        <w:rPr>
          <w:rFonts w:eastAsia="仿宋_GB2312"/>
          <w:kern w:val="0"/>
          <w:sz w:val="32"/>
          <w:szCs w:val="32"/>
        </w:rPr>
        <w:t>43</w:t>
      </w:r>
      <w:r>
        <w:rPr>
          <w:rFonts w:hint="eastAsia" w:eastAsia="仿宋_GB2312"/>
          <w:kern w:val="0"/>
          <w:sz w:val="32"/>
          <w:szCs w:val="32"/>
        </w:rPr>
        <w:t>名。</w:t>
      </w:r>
    </w:p>
    <w:p w14:paraId="2B15948B">
      <w:pPr>
        <w:spacing w:line="580" w:lineRule="exact"/>
        <w:ind w:firstLine="630" w:firstLineChars="196"/>
        <w:rPr>
          <w:rFonts w:eastAsia="仿宋_GB2312"/>
          <w:kern w:val="0"/>
          <w:sz w:val="32"/>
          <w:szCs w:val="32"/>
        </w:rPr>
      </w:pPr>
      <w:r>
        <w:rPr>
          <w:rFonts w:hint="eastAsia" w:eastAsia="仿宋_GB2312"/>
          <w:b/>
          <w:bCs/>
          <w:sz w:val="32"/>
          <w:szCs w:val="32"/>
        </w:rPr>
        <w:t>改革开放合作释放新活力</w:t>
      </w:r>
      <w:r>
        <w:rPr>
          <w:rFonts w:hint="eastAsia" w:eastAsia="仿宋_GB2312"/>
          <w:kern w:val="0"/>
          <w:sz w:val="32"/>
          <w:szCs w:val="32"/>
        </w:rPr>
        <w:t>。持续推进</w:t>
      </w:r>
      <w:r>
        <w:rPr>
          <w:rFonts w:eastAsia="仿宋_GB2312"/>
          <w:kern w:val="0"/>
          <w:sz w:val="32"/>
          <w:szCs w:val="32"/>
        </w:rPr>
        <w:t>“</w:t>
      </w:r>
      <w:r>
        <w:rPr>
          <w:rFonts w:hint="eastAsia" w:eastAsia="仿宋_GB2312"/>
          <w:kern w:val="0"/>
          <w:sz w:val="32"/>
          <w:szCs w:val="32"/>
        </w:rPr>
        <w:t>最多跑一次</w:t>
      </w:r>
      <w:r>
        <w:rPr>
          <w:rFonts w:eastAsia="仿宋_GB2312"/>
          <w:kern w:val="0"/>
          <w:sz w:val="32"/>
          <w:szCs w:val="32"/>
        </w:rPr>
        <w:t>”</w:t>
      </w:r>
      <w:r>
        <w:rPr>
          <w:rFonts w:hint="eastAsia" w:eastAsia="仿宋_GB2312"/>
          <w:kern w:val="0"/>
          <w:sz w:val="32"/>
          <w:szCs w:val="32"/>
        </w:rPr>
        <w:t>改革，优化</w:t>
      </w:r>
      <w:r>
        <w:rPr>
          <w:rFonts w:eastAsia="仿宋_GB2312"/>
          <w:kern w:val="0"/>
          <w:sz w:val="32"/>
          <w:szCs w:val="32"/>
        </w:rPr>
        <w:t>“</w:t>
      </w:r>
      <w:r>
        <w:rPr>
          <w:rFonts w:hint="eastAsia" w:eastAsia="仿宋_GB2312"/>
          <w:kern w:val="0"/>
          <w:sz w:val="32"/>
          <w:szCs w:val="32"/>
        </w:rPr>
        <w:t>指尖</w:t>
      </w:r>
      <w:r>
        <w:rPr>
          <w:rFonts w:eastAsia="仿宋_GB2312"/>
          <w:kern w:val="0"/>
          <w:sz w:val="32"/>
          <w:szCs w:val="32"/>
        </w:rPr>
        <w:t>”</w:t>
      </w:r>
      <w:r>
        <w:rPr>
          <w:rFonts w:hint="eastAsia" w:eastAsia="仿宋_GB2312"/>
          <w:kern w:val="0"/>
          <w:sz w:val="32"/>
          <w:szCs w:val="32"/>
        </w:rPr>
        <w:t>便民服务，</w:t>
      </w:r>
      <w:r>
        <w:rPr>
          <w:rFonts w:eastAsia="仿宋_GB2312"/>
          <w:kern w:val="0"/>
          <w:sz w:val="32"/>
          <w:szCs w:val="32"/>
        </w:rPr>
        <w:t>“</w:t>
      </w:r>
      <w:r>
        <w:rPr>
          <w:rFonts w:hint="eastAsia" w:eastAsia="仿宋_GB2312"/>
          <w:kern w:val="0"/>
          <w:sz w:val="32"/>
          <w:szCs w:val="32"/>
        </w:rPr>
        <w:t>三化</w:t>
      </w:r>
      <w:r>
        <w:rPr>
          <w:rFonts w:eastAsia="仿宋_GB2312"/>
          <w:kern w:val="0"/>
          <w:sz w:val="32"/>
          <w:szCs w:val="32"/>
        </w:rPr>
        <w:t>”</w:t>
      </w:r>
      <w:r>
        <w:rPr>
          <w:rFonts w:hint="eastAsia" w:eastAsia="仿宋_GB2312"/>
          <w:kern w:val="0"/>
          <w:sz w:val="32"/>
          <w:szCs w:val="32"/>
        </w:rPr>
        <w:t>建设扩面增效，深入开展政府采购项目跨州远程异地评审，互联网</w:t>
      </w:r>
      <w:r>
        <w:rPr>
          <w:rFonts w:eastAsia="仿宋_GB2312"/>
          <w:kern w:val="0"/>
          <w:sz w:val="32"/>
          <w:szCs w:val="32"/>
        </w:rPr>
        <w:t>“</w:t>
      </w:r>
      <w:r>
        <w:rPr>
          <w:rFonts w:hint="eastAsia" w:eastAsia="仿宋_GB2312"/>
          <w:kern w:val="0"/>
          <w:sz w:val="32"/>
          <w:szCs w:val="32"/>
        </w:rPr>
        <w:t>政务</w:t>
      </w:r>
      <w:r>
        <w:rPr>
          <w:rFonts w:eastAsia="仿宋_GB2312"/>
          <w:kern w:val="0"/>
          <w:sz w:val="32"/>
          <w:szCs w:val="32"/>
        </w:rPr>
        <w:t>+”</w:t>
      </w:r>
      <w:r>
        <w:rPr>
          <w:rFonts w:hint="eastAsia" w:eastAsia="仿宋_GB2312"/>
          <w:kern w:val="0"/>
          <w:sz w:val="32"/>
          <w:szCs w:val="32"/>
        </w:rPr>
        <w:t>实现</w:t>
      </w:r>
      <w:r>
        <w:rPr>
          <w:rFonts w:eastAsia="仿宋_GB2312"/>
          <w:kern w:val="0"/>
          <w:sz w:val="32"/>
          <w:szCs w:val="32"/>
        </w:rPr>
        <w:t>“</w:t>
      </w:r>
      <w:r>
        <w:rPr>
          <w:rFonts w:hint="eastAsia" w:eastAsia="仿宋_GB2312"/>
          <w:kern w:val="0"/>
          <w:sz w:val="32"/>
          <w:szCs w:val="32"/>
        </w:rPr>
        <w:t>全程网办</w:t>
      </w:r>
      <w:r>
        <w:rPr>
          <w:rFonts w:eastAsia="仿宋_GB2312"/>
          <w:kern w:val="0"/>
          <w:sz w:val="32"/>
          <w:szCs w:val="32"/>
        </w:rPr>
        <w:t>”</w:t>
      </w:r>
      <w:r>
        <w:rPr>
          <w:rFonts w:hint="eastAsia" w:eastAsia="仿宋_GB2312"/>
          <w:kern w:val="0"/>
          <w:sz w:val="32"/>
          <w:szCs w:val="32"/>
        </w:rPr>
        <w:t>。全力推进国企战略性重组，完成原</w:t>
      </w:r>
      <w:r>
        <w:rPr>
          <w:rFonts w:eastAsia="仿宋_GB2312"/>
          <w:kern w:val="0"/>
          <w:sz w:val="32"/>
          <w:szCs w:val="32"/>
        </w:rPr>
        <w:t>16</w:t>
      </w:r>
      <w:r>
        <w:rPr>
          <w:rFonts w:hint="eastAsia" w:eastAsia="仿宋_GB2312"/>
          <w:kern w:val="0"/>
          <w:sz w:val="32"/>
          <w:szCs w:val="32"/>
        </w:rPr>
        <w:t>家国企清产核资、人员分流等改革工作，多渠道统筹化解拖欠民营企业、中小企业欠款</w:t>
      </w:r>
      <w:r>
        <w:rPr>
          <w:rFonts w:eastAsia="仿宋_GB2312"/>
          <w:kern w:val="0"/>
          <w:sz w:val="32"/>
          <w:szCs w:val="32"/>
        </w:rPr>
        <w:t>3.78</w:t>
      </w:r>
      <w:r>
        <w:rPr>
          <w:rFonts w:hint="eastAsia" w:eastAsia="仿宋_GB2312"/>
          <w:kern w:val="0"/>
          <w:sz w:val="32"/>
          <w:szCs w:val="32"/>
        </w:rPr>
        <w:t>亿元，累计培育</w:t>
      </w:r>
      <w:r>
        <w:rPr>
          <w:rFonts w:eastAsia="仿宋_GB2312"/>
          <w:kern w:val="0"/>
          <w:sz w:val="32"/>
          <w:szCs w:val="32"/>
        </w:rPr>
        <w:t>10</w:t>
      </w:r>
      <w:r>
        <w:rPr>
          <w:rFonts w:hint="eastAsia" w:eastAsia="仿宋_GB2312"/>
          <w:kern w:val="0"/>
          <w:sz w:val="32"/>
          <w:szCs w:val="32"/>
        </w:rPr>
        <w:t>家限额以上商贸单位和</w:t>
      </w:r>
      <w:r>
        <w:rPr>
          <w:rFonts w:eastAsia="仿宋_GB2312"/>
          <w:kern w:val="0"/>
          <w:sz w:val="32"/>
          <w:szCs w:val="32"/>
        </w:rPr>
        <w:t>2</w:t>
      </w:r>
      <w:r>
        <w:rPr>
          <w:rFonts w:hint="eastAsia" w:eastAsia="仿宋_GB2312"/>
          <w:kern w:val="0"/>
          <w:sz w:val="32"/>
          <w:szCs w:val="32"/>
        </w:rPr>
        <w:t>家规上服务业，引进工业企业</w:t>
      </w:r>
      <w:r>
        <w:rPr>
          <w:rFonts w:eastAsia="仿宋_GB2312"/>
          <w:kern w:val="0"/>
          <w:sz w:val="32"/>
          <w:szCs w:val="32"/>
        </w:rPr>
        <w:t>1</w:t>
      </w:r>
      <w:r>
        <w:rPr>
          <w:rFonts w:hint="eastAsia" w:eastAsia="仿宋_GB2312"/>
          <w:kern w:val="0"/>
          <w:sz w:val="32"/>
          <w:szCs w:val="32"/>
        </w:rPr>
        <w:t>家。东西部协作扎实推进，成功打造“塘塘电商直播基地”，“塘塘合作”成为国家区县对口支援的典范，打通“川酒入浙”“理塘产品全国流通”双渠道，推动飞地飞楼园区承接东部产业转移、赋能本土产业升级。设立</w:t>
      </w:r>
      <w:r>
        <w:rPr>
          <w:rFonts w:eastAsia="仿宋_GB2312"/>
          <w:kern w:val="0"/>
          <w:sz w:val="32"/>
          <w:szCs w:val="32"/>
        </w:rPr>
        <w:t>5</w:t>
      </w:r>
      <w:r>
        <w:rPr>
          <w:rFonts w:hint="eastAsia" w:eastAsia="仿宋_GB2312"/>
          <w:kern w:val="0"/>
          <w:sz w:val="32"/>
          <w:szCs w:val="32"/>
        </w:rPr>
        <w:t>亿元飞地经济专项基金。基本建成康南陆空物流港，尼泊尔国家馆理塘展示展销中心开馆运营，成功举办</w:t>
      </w:r>
      <w:r>
        <w:rPr>
          <w:rFonts w:eastAsia="仿宋_GB2312"/>
          <w:kern w:val="0"/>
          <w:sz w:val="32"/>
          <w:szCs w:val="32"/>
        </w:rPr>
        <w:t>“</w:t>
      </w:r>
      <w:r>
        <w:rPr>
          <w:rFonts w:hint="eastAsia" w:eastAsia="仿宋_GB2312"/>
          <w:kern w:val="0"/>
          <w:sz w:val="32"/>
          <w:szCs w:val="32"/>
        </w:rPr>
        <w:t>四川</w:t>
      </w:r>
      <w:r>
        <w:rPr>
          <w:rFonts w:eastAsia="仿宋_GB2312"/>
          <w:kern w:val="0"/>
          <w:sz w:val="32"/>
          <w:szCs w:val="32"/>
        </w:rPr>
        <w:t>·</w:t>
      </w:r>
      <w:r>
        <w:rPr>
          <w:rFonts w:hint="eastAsia" w:eastAsia="仿宋_GB2312"/>
          <w:kern w:val="0"/>
          <w:sz w:val="32"/>
          <w:szCs w:val="32"/>
        </w:rPr>
        <w:t>尼泊尔中小微企业峰会</w:t>
      </w:r>
      <w:r>
        <w:rPr>
          <w:rFonts w:eastAsia="仿宋_GB2312"/>
          <w:kern w:val="0"/>
          <w:sz w:val="32"/>
          <w:szCs w:val="32"/>
        </w:rPr>
        <w:t>”“</w:t>
      </w:r>
      <w:r>
        <w:rPr>
          <w:rFonts w:hint="eastAsia" w:eastAsia="仿宋_GB2312"/>
          <w:kern w:val="0"/>
          <w:sz w:val="32"/>
          <w:szCs w:val="32"/>
        </w:rPr>
        <w:t>泛喜马拉雅民族手工艺品展</w:t>
      </w:r>
      <w:r>
        <w:rPr>
          <w:rFonts w:eastAsia="仿宋_GB2312"/>
          <w:kern w:val="0"/>
          <w:sz w:val="32"/>
          <w:szCs w:val="32"/>
        </w:rPr>
        <w:t>”</w:t>
      </w:r>
      <w:r>
        <w:rPr>
          <w:rFonts w:hint="eastAsia" w:eastAsia="仿宋_GB2312"/>
          <w:kern w:val="0"/>
          <w:sz w:val="32"/>
          <w:szCs w:val="32"/>
        </w:rPr>
        <w:t>等跨国跨省交流活动等。</w:t>
      </w:r>
    </w:p>
    <w:p w14:paraId="46DCF3C0">
      <w:pPr>
        <w:spacing w:line="580" w:lineRule="exact"/>
        <w:ind w:firstLine="630" w:firstLineChars="196"/>
        <w:rPr>
          <w:rFonts w:eastAsia="仿宋_GB2312"/>
          <w:kern w:val="0"/>
          <w:sz w:val="32"/>
          <w:szCs w:val="32"/>
        </w:rPr>
      </w:pPr>
      <w:r>
        <w:rPr>
          <w:rFonts w:hint="eastAsia" w:eastAsia="仿宋_GB2312"/>
          <w:b/>
          <w:bCs/>
          <w:sz w:val="32"/>
          <w:szCs w:val="32"/>
        </w:rPr>
        <w:t>民生社会事业获得新改善</w:t>
      </w:r>
      <w:r>
        <w:rPr>
          <w:rFonts w:hint="eastAsia" w:eastAsia="仿宋_GB2312"/>
          <w:bCs/>
          <w:sz w:val="32"/>
          <w:szCs w:val="32"/>
        </w:rPr>
        <w:t>。</w:t>
      </w:r>
      <w:r>
        <w:rPr>
          <w:rFonts w:hint="eastAsia" w:eastAsia="仿宋_GB2312"/>
          <w:kern w:val="0"/>
          <w:sz w:val="32"/>
          <w:szCs w:val="32"/>
        </w:rPr>
        <w:t>严格落实十二年免费教育，受益学生</w:t>
      </w:r>
      <w:r>
        <w:rPr>
          <w:rFonts w:eastAsia="仿宋_GB2312"/>
          <w:kern w:val="0"/>
          <w:sz w:val="32"/>
          <w:szCs w:val="32"/>
        </w:rPr>
        <w:t>1.6</w:t>
      </w:r>
      <w:r>
        <w:rPr>
          <w:rFonts w:hint="eastAsia" w:eastAsia="仿宋_GB2312"/>
          <w:kern w:val="0"/>
          <w:sz w:val="32"/>
          <w:szCs w:val="32"/>
        </w:rPr>
        <w:t>万余人次，通过省级、国家级义务教育均衡验收。有序推进麦洼乡小学、绒坝乡小学、然东小学等十所“微型”薄弱小学学校撤并，濯桑片区寄宿制完全中学开学招生。城关第三完全小学成功创建省义务教育优质发展共同体领航学校，县幼儿园成功创建省级示范性幼儿园。成功创建二级甲等医院</w:t>
      </w:r>
      <w:r>
        <w:rPr>
          <w:rFonts w:eastAsia="仿宋_GB2312"/>
          <w:kern w:val="0"/>
          <w:sz w:val="32"/>
          <w:szCs w:val="32"/>
        </w:rPr>
        <w:t>2</w:t>
      </w:r>
      <w:r>
        <w:rPr>
          <w:rFonts w:hint="eastAsia" w:eastAsia="仿宋_GB2312"/>
          <w:kern w:val="0"/>
          <w:sz w:val="32"/>
          <w:szCs w:val="32"/>
        </w:rPr>
        <w:t>所，二级甲等专科医院</w:t>
      </w:r>
      <w:r>
        <w:rPr>
          <w:rFonts w:eastAsia="仿宋_GB2312"/>
          <w:kern w:val="0"/>
          <w:sz w:val="32"/>
          <w:szCs w:val="32"/>
        </w:rPr>
        <w:t>1</w:t>
      </w:r>
      <w:r>
        <w:rPr>
          <w:rFonts w:hint="eastAsia" w:eastAsia="仿宋_GB2312"/>
          <w:kern w:val="0"/>
          <w:sz w:val="32"/>
          <w:szCs w:val="32"/>
        </w:rPr>
        <w:t>所、疾控中心</w:t>
      </w:r>
      <w:r>
        <w:rPr>
          <w:rFonts w:eastAsia="仿宋_GB2312"/>
          <w:kern w:val="0"/>
          <w:sz w:val="32"/>
          <w:szCs w:val="32"/>
        </w:rPr>
        <w:t>1</w:t>
      </w:r>
      <w:r>
        <w:rPr>
          <w:rFonts w:hint="eastAsia" w:eastAsia="仿宋_GB2312"/>
          <w:kern w:val="0"/>
          <w:sz w:val="32"/>
          <w:szCs w:val="32"/>
        </w:rPr>
        <w:t>所，成立康巴骨科医院，全县</w:t>
      </w:r>
      <w:r>
        <w:rPr>
          <w:rFonts w:eastAsia="仿宋_GB2312"/>
          <w:kern w:val="0"/>
          <w:sz w:val="32"/>
          <w:szCs w:val="32"/>
        </w:rPr>
        <w:t>24</w:t>
      </w:r>
      <w:r>
        <w:rPr>
          <w:rFonts w:hint="eastAsia" w:eastAsia="仿宋_GB2312"/>
          <w:kern w:val="0"/>
          <w:sz w:val="32"/>
          <w:szCs w:val="32"/>
        </w:rPr>
        <w:t>个乡镇卫生院和</w:t>
      </w:r>
      <w:r>
        <w:rPr>
          <w:rFonts w:eastAsia="仿宋_GB2312"/>
          <w:kern w:val="0"/>
          <w:sz w:val="32"/>
          <w:szCs w:val="32"/>
        </w:rPr>
        <w:t>92</w:t>
      </w:r>
      <w:r>
        <w:rPr>
          <w:rFonts w:hint="eastAsia" w:eastAsia="仿宋_GB2312"/>
          <w:kern w:val="0"/>
          <w:sz w:val="32"/>
          <w:szCs w:val="32"/>
        </w:rPr>
        <w:t>个村卫生室完成达标建设，基本建成县、乡、村三级医疗卫生服务体系，人均期望寿命由</w:t>
      </w:r>
      <w:r>
        <w:rPr>
          <w:rFonts w:eastAsia="仿宋_GB2312"/>
          <w:kern w:val="0"/>
          <w:sz w:val="32"/>
          <w:szCs w:val="32"/>
        </w:rPr>
        <w:t>60</w:t>
      </w:r>
      <w:r>
        <w:rPr>
          <w:rFonts w:hint="eastAsia" w:eastAsia="仿宋_GB2312"/>
          <w:kern w:val="0"/>
          <w:sz w:val="32"/>
          <w:szCs w:val="32"/>
        </w:rPr>
        <w:t>岁提升到</w:t>
      </w:r>
      <w:r>
        <w:rPr>
          <w:rFonts w:eastAsia="仿宋_GB2312"/>
          <w:kern w:val="0"/>
          <w:sz w:val="32"/>
          <w:szCs w:val="32"/>
        </w:rPr>
        <w:t>65</w:t>
      </w:r>
      <w:r>
        <w:rPr>
          <w:rFonts w:hint="eastAsia" w:eastAsia="仿宋_GB2312"/>
          <w:kern w:val="0"/>
          <w:sz w:val="32"/>
          <w:szCs w:val="32"/>
        </w:rPr>
        <w:t>岁，</w:t>
      </w:r>
      <w:r>
        <w:rPr>
          <w:rFonts w:eastAsia="仿宋_GB2312"/>
          <w:kern w:val="0"/>
          <w:sz w:val="32"/>
          <w:szCs w:val="32"/>
        </w:rPr>
        <w:t>5</w:t>
      </w:r>
      <w:r>
        <w:rPr>
          <w:rFonts w:hint="eastAsia" w:eastAsia="仿宋_GB2312"/>
          <w:kern w:val="0"/>
          <w:sz w:val="32"/>
          <w:szCs w:val="32"/>
        </w:rPr>
        <w:t>岁以下儿童死亡率由</w:t>
      </w:r>
      <w:r>
        <w:rPr>
          <w:rFonts w:eastAsia="仿宋_GB2312"/>
          <w:kern w:val="0"/>
          <w:sz w:val="32"/>
          <w:szCs w:val="32"/>
        </w:rPr>
        <w:t>6.59‰</w:t>
      </w:r>
      <w:r>
        <w:rPr>
          <w:rFonts w:hint="eastAsia" w:eastAsia="仿宋_GB2312"/>
          <w:kern w:val="0"/>
          <w:sz w:val="32"/>
          <w:szCs w:val="32"/>
        </w:rPr>
        <w:t>下降至</w:t>
      </w:r>
      <w:r>
        <w:rPr>
          <w:rFonts w:eastAsia="仿宋_GB2312"/>
          <w:kern w:val="0"/>
          <w:sz w:val="32"/>
          <w:szCs w:val="32"/>
        </w:rPr>
        <w:t>4.79‰</w:t>
      </w:r>
      <w:r>
        <w:rPr>
          <w:rFonts w:hint="eastAsia" w:eastAsia="仿宋_GB2312"/>
          <w:kern w:val="0"/>
          <w:sz w:val="32"/>
          <w:szCs w:val="32"/>
        </w:rPr>
        <w:t>。实现基本医疗保险全覆盖，农村低收入人口、脱贫人口参保率</w:t>
      </w:r>
      <w:r>
        <w:rPr>
          <w:rFonts w:eastAsia="仿宋_GB2312"/>
          <w:kern w:val="0"/>
          <w:sz w:val="32"/>
          <w:szCs w:val="32"/>
        </w:rPr>
        <w:t>100%</w:t>
      </w:r>
      <w:r>
        <w:rPr>
          <w:rFonts w:hint="eastAsia" w:eastAsia="仿宋_GB2312"/>
          <w:kern w:val="0"/>
          <w:sz w:val="32"/>
          <w:szCs w:val="32"/>
        </w:rPr>
        <w:t>。城乡居民养老保险参保达</w:t>
      </w:r>
      <w:r>
        <w:rPr>
          <w:rFonts w:eastAsia="仿宋_GB2312"/>
          <w:kern w:val="0"/>
          <w:sz w:val="32"/>
          <w:szCs w:val="32"/>
        </w:rPr>
        <w:t>3.3</w:t>
      </w:r>
      <w:r>
        <w:rPr>
          <w:rFonts w:hint="eastAsia" w:eastAsia="仿宋_GB2312"/>
          <w:kern w:val="0"/>
          <w:sz w:val="32"/>
          <w:szCs w:val="32"/>
        </w:rPr>
        <w:t>万人。登记失业率持续控制在</w:t>
      </w:r>
      <w:r>
        <w:rPr>
          <w:rFonts w:eastAsia="仿宋_GB2312"/>
          <w:kern w:val="0"/>
          <w:sz w:val="32"/>
          <w:szCs w:val="32"/>
        </w:rPr>
        <w:t>4.2%</w:t>
      </w:r>
      <w:r>
        <w:rPr>
          <w:rFonts w:hint="eastAsia" w:eastAsia="仿宋_GB2312"/>
          <w:kern w:val="0"/>
          <w:sz w:val="32"/>
          <w:szCs w:val="32"/>
        </w:rPr>
        <w:t>以内。</w:t>
      </w:r>
    </w:p>
    <w:bookmarkEnd w:id="803"/>
    <w:p w14:paraId="25DAAC5B">
      <w:pPr>
        <w:pStyle w:val="2"/>
        <w:ind w:firstLine="643"/>
        <w:rPr>
          <w:rFonts w:eastAsia="仿宋_GB2312"/>
          <w:bCs/>
          <w:sz w:val="32"/>
          <w:szCs w:val="32"/>
        </w:rPr>
      </w:pPr>
      <w:r>
        <w:rPr>
          <w:rFonts w:hint="eastAsia" w:eastAsia="仿宋_GB2312"/>
          <w:b/>
          <w:bCs/>
          <w:sz w:val="32"/>
          <w:szCs w:val="32"/>
        </w:rPr>
        <w:t>社会和谐稳定开创新局面</w:t>
      </w:r>
      <w:r>
        <w:rPr>
          <w:rFonts w:hint="eastAsia" w:eastAsia="仿宋_GB2312"/>
          <w:bCs/>
          <w:sz w:val="32"/>
          <w:szCs w:val="32"/>
        </w:rPr>
        <w:t>。落实新修订《宗教事务条例》，坚持藏传佛教中国化方向，全面推行宗教领域“三定之治”，全面实施</w:t>
      </w:r>
      <w:r>
        <w:rPr>
          <w:rFonts w:eastAsia="仿宋_GB2312"/>
          <w:bCs/>
          <w:sz w:val="32"/>
          <w:szCs w:val="32"/>
        </w:rPr>
        <w:t>“</w:t>
      </w:r>
      <w:r>
        <w:rPr>
          <w:rFonts w:hint="eastAsia" w:eastAsia="仿宋_GB2312"/>
          <w:bCs/>
          <w:sz w:val="32"/>
          <w:szCs w:val="32"/>
        </w:rPr>
        <w:t>党员干部</w:t>
      </w:r>
      <w:r>
        <w:rPr>
          <w:rFonts w:eastAsia="仿宋_GB2312"/>
          <w:bCs/>
          <w:sz w:val="32"/>
          <w:szCs w:val="32"/>
        </w:rPr>
        <w:t>+</w:t>
      </w:r>
      <w:r>
        <w:rPr>
          <w:rFonts w:hint="eastAsia" w:eastAsia="仿宋_GB2312"/>
          <w:bCs/>
          <w:sz w:val="32"/>
          <w:szCs w:val="32"/>
        </w:rPr>
        <w:t>僧人</w:t>
      </w:r>
      <w:r>
        <w:rPr>
          <w:rFonts w:eastAsia="仿宋_GB2312"/>
          <w:bCs/>
          <w:sz w:val="32"/>
          <w:szCs w:val="32"/>
        </w:rPr>
        <w:t>”</w:t>
      </w:r>
      <w:r>
        <w:rPr>
          <w:rFonts w:hint="eastAsia" w:eastAsia="仿宋_GB2312"/>
          <w:bCs/>
          <w:sz w:val="32"/>
          <w:szCs w:val="32"/>
        </w:rPr>
        <w:t>新型寺管模式。</w:t>
      </w:r>
      <w:r>
        <w:rPr>
          <w:rFonts w:eastAsia="仿宋_GB2312"/>
          <w:bCs/>
          <w:sz w:val="32"/>
          <w:szCs w:val="32"/>
        </w:rPr>
        <w:t>“</w:t>
      </w:r>
      <w:r>
        <w:rPr>
          <w:rFonts w:hint="eastAsia" w:eastAsia="仿宋_GB2312"/>
          <w:bCs/>
          <w:sz w:val="32"/>
          <w:szCs w:val="32"/>
        </w:rPr>
        <w:t>一寺一策</w:t>
      </w:r>
      <w:r>
        <w:rPr>
          <w:rFonts w:eastAsia="仿宋_GB2312"/>
          <w:bCs/>
          <w:sz w:val="32"/>
          <w:szCs w:val="32"/>
        </w:rPr>
        <w:t>”</w:t>
      </w:r>
      <w:r>
        <w:rPr>
          <w:rFonts w:hint="eastAsia" w:eastAsia="仿宋_GB2312"/>
          <w:bCs/>
          <w:sz w:val="32"/>
          <w:szCs w:val="32"/>
        </w:rPr>
        <w:t>依法规范管理通过省级验收。全方位开展民族团结进步宣传教育活动，纵深推进“民族团结进家庭·三房治理保平安”，持续巩固中华民族共同体意识，成功创建全省民族团结示范县。全面落实安全生产</w:t>
      </w:r>
      <w:r>
        <w:rPr>
          <w:rFonts w:eastAsia="仿宋_GB2312"/>
          <w:bCs/>
          <w:sz w:val="32"/>
          <w:szCs w:val="32"/>
        </w:rPr>
        <w:t>“</w:t>
      </w:r>
      <w:r>
        <w:rPr>
          <w:rFonts w:hint="eastAsia" w:eastAsia="仿宋_GB2312"/>
          <w:bCs/>
          <w:sz w:val="32"/>
          <w:szCs w:val="32"/>
        </w:rPr>
        <w:t>党政同责、一岗双责</w:t>
      </w:r>
      <w:r>
        <w:rPr>
          <w:rFonts w:eastAsia="仿宋_GB2312"/>
          <w:bCs/>
          <w:sz w:val="32"/>
          <w:szCs w:val="32"/>
        </w:rPr>
        <w:t>”</w:t>
      </w:r>
      <w:r>
        <w:rPr>
          <w:rFonts w:hint="eastAsia" w:eastAsia="仿宋_GB2312"/>
          <w:bCs/>
          <w:sz w:val="32"/>
          <w:szCs w:val="32"/>
        </w:rPr>
        <w:t>和</w:t>
      </w:r>
      <w:r>
        <w:rPr>
          <w:rFonts w:eastAsia="仿宋_GB2312"/>
          <w:bCs/>
          <w:sz w:val="32"/>
          <w:szCs w:val="32"/>
        </w:rPr>
        <w:t>“</w:t>
      </w:r>
      <w:r>
        <w:rPr>
          <w:rFonts w:hint="eastAsia" w:eastAsia="仿宋_GB2312"/>
          <w:bCs/>
          <w:sz w:val="32"/>
          <w:szCs w:val="32"/>
        </w:rPr>
        <w:t>甘六条</w:t>
      </w:r>
      <w:r>
        <w:rPr>
          <w:rFonts w:eastAsia="仿宋_GB2312"/>
          <w:bCs/>
          <w:sz w:val="32"/>
          <w:szCs w:val="32"/>
        </w:rPr>
        <w:t>”</w:t>
      </w:r>
      <w:r>
        <w:rPr>
          <w:rFonts w:hint="eastAsia" w:eastAsia="仿宋_GB2312"/>
          <w:bCs/>
          <w:sz w:val="32"/>
          <w:szCs w:val="32"/>
        </w:rPr>
        <w:t>硬措施，重点领域安全监管，事故起数、死亡人数</w:t>
      </w:r>
      <w:r>
        <w:rPr>
          <w:rFonts w:eastAsia="仿宋_GB2312"/>
          <w:bCs/>
          <w:sz w:val="32"/>
          <w:szCs w:val="32"/>
        </w:rPr>
        <w:t>“</w:t>
      </w:r>
      <w:r>
        <w:rPr>
          <w:rFonts w:hint="eastAsia" w:eastAsia="仿宋_GB2312"/>
          <w:bCs/>
          <w:sz w:val="32"/>
          <w:szCs w:val="32"/>
        </w:rPr>
        <w:t>双下降</w:t>
      </w:r>
      <w:r>
        <w:rPr>
          <w:rFonts w:eastAsia="仿宋_GB2312"/>
          <w:bCs/>
          <w:sz w:val="32"/>
          <w:szCs w:val="32"/>
        </w:rPr>
        <w:t>”</w:t>
      </w:r>
      <w:r>
        <w:rPr>
          <w:rFonts w:hint="eastAsia" w:eastAsia="仿宋_GB2312"/>
          <w:bCs/>
          <w:sz w:val="32"/>
          <w:szCs w:val="32"/>
        </w:rPr>
        <w:t>。统筹做好防汛减灾、森林草原防灭火、城镇燃气、危化品等安全监管，成功应对汛期强降水，重特大森林草原火灾</w:t>
      </w:r>
      <w:r>
        <w:rPr>
          <w:rFonts w:eastAsia="仿宋_GB2312"/>
          <w:bCs/>
          <w:sz w:val="32"/>
          <w:szCs w:val="32"/>
        </w:rPr>
        <w:t>“</w:t>
      </w:r>
      <w:r>
        <w:rPr>
          <w:rFonts w:hint="eastAsia" w:eastAsia="仿宋_GB2312"/>
          <w:bCs/>
          <w:sz w:val="32"/>
          <w:szCs w:val="32"/>
        </w:rPr>
        <w:t>零发生</w:t>
      </w:r>
      <w:r>
        <w:rPr>
          <w:rFonts w:eastAsia="仿宋_GB2312"/>
          <w:bCs/>
          <w:sz w:val="32"/>
          <w:szCs w:val="32"/>
        </w:rPr>
        <w:t>”</w:t>
      </w:r>
      <w:r>
        <w:rPr>
          <w:rFonts w:hint="eastAsia" w:eastAsia="仿宋_GB2312"/>
          <w:bCs/>
          <w:sz w:val="32"/>
          <w:szCs w:val="32"/>
        </w:rPr>
        <w:t>。 依法治县战略深入实施，扫黑除恶、</w:t>
      </w:r>
      <w:r>
        <w:rPr>
          <w:rFonts w:hint="eastAsia" w:eastAsia="仿宋_GB2312"/>
          <w:bCs/>
          <w:sz w:val="32"/>
          <w:szCs w:val="32"/>
          <w:lang w:bidi="bo-CN"/>
        </w:rPr>
        <w:t>缉枪治爆、</w:t>
      </w:r>
      <w:r>
        <w:rPr>
          <w:rFonts w:hint="eastAsia" w:eastAsia="仿宋_GB2312"/>
          <w:bCs/>
          <w:sz w:val="32"/>
          <w:szCs w:val="32"/>
        </w:rPr>
        <w:t>全民禁毒等专项斗争取得重大成果，社会管理机制不断健全，网络安全综合治理体系和网络文明不断加强。</w:t>
      </w:r>
    </w:p>
    <w:p w14:paraId="55171D2E">
      <w:pPr>
        <w:pStyle w:val="2"/>
        <w:ind w:firstLine="0" w:firstLineChars="0"/>
      </w:pPr>
    </w:p>
    <w:bookmarkEnd w:id="21"/>
    <w:p w14:paraId="3AEAD368">
      <w:pPr>
        <w:spacing w:before="156" w:after="156" w:line="580" w:lineRule="exact"/>
        <w:ind w:firstLine="630" w:firstLineChars="196"/>
        <w:rPr>
          <w:rFonts w:eastAsia="楷体_GB2312"/>
          <w:b/>
          <w:sz w:val="32"/>
          <w:szCs w:val="32"/>
        </w:rPr>
      </w:pPr>
      <w:bookmarkStart w:id="24" w:name="OLE_LINK19"/>
      <w:bookmarkStart w:id="25" w:name="OLE_LINK122"/>
      <w:r>
        <w:rPr>
          <w:rFonts w:hint="eastAsia" w:eastAsia="楷体_GB2312"/>
          <w:b/>
          <w:sz w:val="32"/>
          <w:szCs w:val="32"/>
        </w:rPr>
        <w:t xml:space="preserve">专栏1  </w:t>
      </w:r>
      <w:r>
        <w:rPr>
          <w:rFonts w:eastAsia="楷体_GB2312"/>
          <w:b/>
          <w:sz w:val="32"/>
          <w:szCs w:val="32"/>
        </w:rPr>
        <w:t>“</w:t>
      </w:r>
      <w:r>
        <w:rPr>
          <w:rFonts w:hint="eastAsia" w:eastAsia="楷体_GB2312"/>
          <w:b/>
          <w:sz w:val="32"/>
          <w:szCs w:val="32"/>
        </w:rPr>
        <w:t>十四五”规划主要指标完成情况</w:t>
      </w:r>
    </w:p>
    <w:tbl>
      <w:tblPr>
        <w:tblStyle w:val="12"/>
        <w:tblW w:w="86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1" w:type="dxa"/>
          <w:bottom w:w="0" w:type="dxa"/>
          <w:right w:w="51" w:type="dxa"/>
        </w:tblCellMar>
      </w:tblPr>
      <w:tblGrid>
        <w:gridCol w:w="1526"/>
        <w:gridCol w:w="850"/>
        <w:gridCol w:w="709"/>
        <w:gridCol w:w="1276"/>
        <w:gridCol w:w="142"/>
        <w:gridCol w:w="1134"/>
        <w:gridCol w:w="1134"/>
        <w:gridCol w:w="1134"/>
        <w:gridCol w:w="708"/>
      </w:tblGrid>
      <w:tr w14:paraId="11098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blHeader/>
        </w:trPr>
        <w:tc>
          <w:tcPr>
            <w:tcW w:w="1526" w:type="dxa"/>
            <w:vMerge w:val="restart"/>
            <w:vAlign w:val="center"/>
          </w:tcPr>
          <w:p w14:paraId="79850A29">
            <w:pPr>
              <w:snapToGrid w:val="0"/>
              <w:spacing w:before="62" w:beforeLines="20" w:after="62" w:afterLines="20"/>
              <w:jc w:val="center"/>
              <w:textAlignment w:val="center"/>
              <w:rPr>
                <w:rFonts w:ascii="楷体_GB2312" w:eastAsia="楷体_GB2312"/>
                <w:b/>
                <w:color w:val="000000"/>
                <w:kern w:val="0"/>
                <w:sz w:val="24"/>
              </w:rPr>
            </w:pPr>
          </w:p>
          <w:p w14:paraId="2F52B85E">
            <w:pPr>
              <w:pStyle w:val="2"/>
              <w:snapToGrid w:val="0"/>
              <w:spacing w:before="62" w:beforeLines="20" w:after="62" w:afterLines="20"/>
              <w:ind w:firstLine="422"/>
              <w:jc w:val="center"/>
              <w:rPr>
                <w:rFonts w:ascii="楷体_GB2312" w:eastAsia="楷体_GB2312"/>
                <w:b/>
              </w:rPr>
            </w:pPr>
          </w:p>
          <w:p w14:paraId="3759D4A2">
            <w:pPr>
              <w:snapToGrid w:val="0"/>
              <w:spacing w:before="62" w:beforeLines="20" w:after="62" w:afterLines="20"/>
              <w:jc w:val="center"/>
              <w:textAlignment w:val="center"/>
              <w:rPr>
                <w:rFonts w:ascii="楷体_GB2312" w:eastAsia="楷体_GB2312"/>
                <w:b/>
                <w:color w:val="000000"/>
                <w:kern w:val="0"/>
                <w:sz w:val="24"/>
              </w:rPr>
            </w:pPr>
            <w:r>
              <w:rPr>
                <w:rFonts w:hint="eastAsia" w:ascii="楷体_GB2312" w:eastAsia="楷体_GB2312"/>
                <w:b/>
                <w:color w:val="000000"/>
                <w:kern w:val="0"/>
                <w:sz w:val="24"/>
              </w:rPr>
              <w:t>指标</w:t>
            </w:r>
          </w:p>
        </w:tc>
        <w:tc>
          <w:tcPr>
            <w:tcW w:w="850" w:type="dxa"/>
            <w:vMerge w:val="restart"/>
            <w:vAlign w:val="center"/>
          </w:tcPr>
          <w:p w14:paraId="5BD78E2E">
            <w:pPr>
              <w:snapToGrid w:val="0"/>
              <w:spacing w:before="62" w:beforeLines="20" w:after="62" w:afterLines="20"/>
              <w:ind w:firstLine="482"/>
              <w:jc w:val="center"/>
              <w:textAlignment w:val="center"/>
              <w:rPr>
                <w:rFonts w:ascii="楷体_GB2312" w:eastAsia="楷体_GB2312" w:hAnsiTheme="minorHAnsi"/>
                <w:b/>
                <w:color w:val="000000"/>
                <w:kern w:val="0"/>
                <w:sz w:val="24"/>
              </w:rPr>
            </w:pPr>
          </w:p>
          <w:p w14:paraId="7A10976D">
            <w:pPr>
              <w:snapToGrid w:val="0"/>
              <w:spacing w:before="62" w:beforeLines="20" w:after="62" w:afterLines="20"/>
              <w:ind w:firstLine="482"/>
              <w:jc w:val="center"/>
              <w:textAlignment w:val="center"/>
              <w:rPr>
                <w:rFonts w:ascii="楷体_GB2312" w:eastAsia="楷体_GB2312" w:hAnsiTheme="minorHAnsi"/>
                <w:b/>
                <w:color w:val="000000"/>
                <w:kern w:val="0"/>
                <w:sz w:val="24"/>
              </w:rPr>
            </w:pPr>
          </w:p>
          <w:p w14:paraId="3B295826">
            <w:pPr>
              <w:snapToGrid w:val="0"/>
              <w:spacing w:before="62" w:beforeLines="20" w:after="62" w:afterLines="20"/>
              <w:jc w:val="center"/>
              <w:textAlignment w:val="center"/>
              <w:rPr>
                <w:rFonts w:ascii="楷体_GB2312" w:eastAsia="楷体_GB2312"/>
                <w:b/>
                <w:color w:val="000000"/>
                <w:kern w:val="0"/>
                <w:sz w:val="24"/>
              </w:rPr>
            </w:pPr>
            <w:r>
              <w:rPr>
                <w:rFonts w:hint="eastAsia" w:ascii="楷体_GB2312" w:eastAsia="楷体_GB2312"/>
                <w:b/>
                <w:color w:val="000000"/>
                <w:kern w:val="0"/>
                <w:sz w:val="24"/>
              </w:rPr>
              <w:t>2020年</w:t>
            </w:r>
          </w:p>
        </w:tc>
        <w:tc>
          <w:tcPr>
            <w:tcW w:w="3261" w:type="dxa"/>
            <w:gridSpan w:val="4"/>
            <w:vAlign w:val="center"/>
          </w:tcPr>
          <w:p w14:paraId="58ACD890">
            <w:pPr>
              <w:snapToGrid w:val="0"/>
              <w:spacing w:before="62" w:beforeLines="20" w:after="62" w:afterLines="20"/>
              <w:ind w:firstLine="482"/>
              <w:jc w:val="center"/>
              <w:textAlignment w:val="center"/>
              <w:rPr>
                <w:rFonts w:ascii="楷体_GB2312" w:eastAsia="楷体_GB2312" w:hAnsiTheme="minorHAnsi"/>
                <w:b/>
                <w:color w:val="000000"/>
                <w:kern w:val="0"/>
                <w:sz w:val="24"/>
              </w:rPr>
            </w:pPr>
          </w:p>
          <w:p w14:paraId="6D35CCE4">
            <w:pPr>
              <w:snapToGrid w:val="0"/>
              <w:spacing w:before="62" w:beforeLines="20" w:after="62" w:afterLines="20"/>
              <w:ind w:firstLine="482" w:firstLineChars="200"/>
              <w:jc w:val="center"/>
              <w:textAlignment w:val="center"/>
              <w:rPr>
                <w:rFonts w:ascii="楷体_GB2312" w:eastAsia="楷体_GB2312"/>
                <w:b/>
                <w:color w:val="000000"/>
                <w:kern w:val="0"/>
                <w:sz w:val="24"/>
              </w:rPr>
            </w:pPr>
            <w:r>
              <w:rPr>
                <w:rFonts w:hint="eastAsia" w:ascii="楷体_GB2312" w:eastAsia="楷体_GB2312"/>
                <w:b/>
                <w:color w:val="000000"/>
                <w:kern w:val="0"/>
                <w:sz w:val="24"/>
              </w:rPr>
              <w:t>规划目标</w:t>
            </w:r>
          </w:p>
        </w:tc>
        <w:tc>
          <w:tcPr>
            <w:tcW w:w="2268" w:type="dxa"/>
            <w:gridSpan w:val="2"/>
            <w:vAlign w:val="center"/>
          </w:tcPr>
          <w:p w14:paraId="4BDDDEC3">
            <w:pPr>
              <w:pStyle w:val="15"/>
              <w:snapToGrid w:val="0"/>
              <w:spacing w:before="62" w:beforeLines="20" w:after="62" w:afterLines="20"/>
              <w:ind w:firstLine="602" w:firstLineChars="250"/>
              <w:jc w:val="center"/>
              <w:rPr>
                <w:rFonts w:ascii="楷体_GB2312" w:eastAsia="楷体_GB2312"/>
                <w:b/>
                <w:color w:val="000000"/>
                <w:kern w:val="0"/>
                <w:sz w:val="24"/>
              </w:rPr>
            </w:pPr>
            <w:r>
              <w:rPr>
                <w:rFonts w:hint="eastAsia" w:ascii="楷体_GB2312" w:eastAsia="楷体_GB2312"/>
                <w:b/>
                <w:color w:val="000000"/>
                <w:kern w:val="0"/>
                <w:sz w:val="24"/>
              </w:rPr>
              <w:t>完成情况</w:t>
            </w:r>
          </w:p>
        </w:tc>
        <w:tc>
          <w:tcPr>
            <w:tcW w:w="708" w:type="dxa"/>
            <w:vAlign w:val="center"/>
          </w:tcPr>
          <w:p w14:paraId="3E536A7B">
            <w:pPr>
              <w:pStyle w:val="15"/>
              <w:snapToGrid w:val="0"/>
              <w:spacing w:before="62" w:beforeLines="20" w:after="62" w:afterLines="20"/>
              <w:ind w:firstLine="0" w:firstLineChars="0"/>
              <w:jc w:val="center"/>
              <w:rPr>
                <w:rFonts w:ascii="楷体_GB2312" w:eastAsia="楷体_GB2312"/>
                <w:b/>
                <w:color w:val="000000"/>
                <w:kern w:val="0"/>
                <w:sz w:val="24"/>
              </w:rPr>
            </w:pPr>
            <w:r>
              <w:rPr>
                <w:rFonts w:hint="eastAsia" w:ascii="楷体_GB2312" w:eastAsia="楷体_GB2312"/>
                <w:b/>
                <w:color w:val="000000"/>
                <w:kern w:val="0"/>
                <w:sz w:val="24"/>
              </w:rPr>
              <w:t>备注</w:t>
            </w:r>
          </w:p>
        </w:tc>
      </w:tr>
      <w:tr w14:paraId="08B18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blHeader/>
        </w:trPr>
        <w:tc>
          <w:tcPr>
            <w:tcW w:w="1526" w:type="dxa"/>
            <w:vMerge w:val="continue"/>
            <w:vAlign w:val="center"/>
          </w:tcPr>
          <w:p w14:paraId="092E5AA9">
            <w:pPr>
              <w:snapToGrid w:val="0"/>
              <w:spacing w:before="62" w:beforeLines="20" w:after="62" w:afterLines="20"/>
              <w:ind w:firstLine="482"/>
              <w:jc w:val="center"/>
              <w:textAlignment w:val="center"/>
              <w:rPr>
                <w:rFonts w:ascii="楷体_GB2312" w:eastAsia="楷体_GB2312" w:hAnsiTheme="minorHAnsi"/>
                <w:b/>
                <w:color w:val="000000"/>
                <w:kern w:val="0"/>
                <w:sz w:val="24"/>
              </w:rPr>
            </w:pPr>
          </w:p>
        </w:tc>
        <w:tc>
          <w:tcPr>
            <w:tcW w:w="850" w:type="dxa"/>
            <w:vMerge w:val="continue"/>
            <w:vAlign w:val="center"/>
          </w:tcPr>
          <w:p w14:paraId="157822EB">
            <w:pPr>
              <w:snapToGrid w:val="0"/>
              <w:spacing w:before="62" w:beforeLines="20" w:after="62" w:afterLines="20"/>
              <w:ind w:firstLine="482"/>
              <w:jc w:val="center"/>
              <w:textAlignment w:val="center"/>
              <w:rPr>
                <w:rFonts w:ascii="楷体_GB2312" w:eastAsia="楷体_GB2312" w:hAnsiTheme="minorHAnsi"/>
                <w:b/>
                <w:color w:val="000000"/>
                <w:kern w:val="0"/>
                <w:sz w:val="24"/>
              </w:rPr>
            </w:pPr>
          </w:p>
        </w:tc>
        <w:tc>
          <w:tcPr>
            <w:tcW w:w="709" w:type="dxa"/>
            <w:vAlign w:val="center"/>
          </w:tcPr>
          <w:p w14:paraId="7255057F">
            <w:pPr>
              <w:snapToGrid w:val="0"/>
              <w:spacing w:before="62" w:beforeLines="20" w:after="62" w:afterLines="20"/>
              <w:jc w:val="center"/>
              <w:textAlignment w:val="center"/>
              <w:rPr>
                <w:rFonts w:ascii="楷体_GB2312" w:eastAsia="楷体_GB2312"/>
                <w:b/>
                <w:color w:val="000000"/>
                <w:kern w:val="0"/>
                <w:sz w:val="24"/>
              </w:rPr>
            </w:pPr>
            <w:r>
              <w:rPr>
                <w:rFonts w:hint="eastAsia" w:ascii="楷体_GB2312" w:eastAsia="楷体_GB2312"/>
                <w:b/>
                <w:color w:val="000000"/>
                <w:kern w:val="0"/>
                <w:sz w:val="24"/>
              </w:rPr>
              <w:t>2025年</w:t>
            </w:r>
          </w:p>
        </w:tc>
        <w:tc>
          <w:tcPr>
            <w:tcW w:w="1276" w:type="dxa"/>
            <w:vAlign w:val="center"/>
          </w:tcPr>
          <w:p w14:paraId="51E67CAB">
            <w:pPr>
              <w:snapToGrid w:val="0"/>
              <w:spacing w:before="62" w:beforeLines="20" w:after="62" w:afterLines="20"/>
              <w:jc w:val="center"/>
              <w:textAlignment w:val="center"/>
              <w:rPr>
                <w:rFonts w:ascii="楷体_GB2312" w:eastAsia="楷体_GB2312"/>
                <w:b/>
                <w:color w:val="000000"/>
                <w:kern w:val="0"/>
                <w:sz w:val="24"/>
              </w:rPr>
            </w:pPr>
            <w:r>
              <w:rPr>
                <w:rFonts w:hint="eastAsia" w:ascii="楷体_GB2312" w:eastAsia="楷体_GB2312"/>
                <w:b/>
                <w:color w:val="000000"/>
                <w:kern w:val="0"/>
                <w:sz w:val="24"/>
              </w:rPr>
              <w:t>最低目标</w:t>
            </w:r>
          </w:p>
          <w:p w14:paraId="7F989E92">
            <w:pPr>
              <w:pStyle w:val="2"/>
              <w:snapToGrid w:val="0"/>
              <w:spacing w:before="62" w:beforeLines="20" w:after="62" w:afterLines="20"/>
              <w:ind w:firstLine="0" w:firstLineChars="0"/>
              <w:jc w:val="center"/>
              <w:rPr>
                <w:rFonts w:ascii="楷体_GB2312" w:eastAsia="楷体_GB2312"/>
                <w:b/>
                <w:color w:val="000000"/>
                <w:kern w:val="0"/>
                <w:sz w:val="24"/>
              </w:rPr>
            </w:pPr>
            <w:r>
              <w:rPr>
                <w:rFonts w:hint="eastAsia" w:ascii="楷体_GB2312" w:eastAsia="楷体_GB2312"/>
                <w:b/>
                <w:color w:val="000000"/>
                <w:kern w:val="0"/>
                <w:sz w:val="24"/>
              </w:rPr>
              <w:t>年均增长［累计］</w:t>
            </w:r>
          </w:p>
        </w:tc>
        <w:tc>
          <w:tcPr>
            <w:tcW w:w="1276" w:type="dxa"/>
            <w:gridSpan w:val="2"/>
            <w:vAlign w:val="center"/>
          </w:tcPr>
          <w:p w14:paraId="76C05E14">
            <w:pPr>
              <w:snapToGrid w:val="0"/>
              <w:spacing w:before="62" w:beforeLines="20" w:after="62" w:afterLines="20"/>
              <w:jc w:val="center"/>
              <w:textAlignment w:val="center"/>
              <w:rPr>
                <w:rFonts w:ascii="楷体_GB2312" w:eastAsia="楷体_GB2312"/>
                <w:b/>
                <w:color w:val="000000"/>
                <w:kern w:val="0"/>
                <w:sz w:val="24"/>
              </w:rPr>
            </w:pPr>
            <w:r>
              <w:rPr>
                <w:rFonts w:hint="eastAsia" w:ascii="楷体_GB2312" w:eastAsia="楷体_GB2312"/>
                <w:b/>
                <w:color w:val="000000"/>
                <w:kern w:val="0"/>
                <w:sz w:val="24"/>
              </w:rPr>
              <w:t>最高目标</w:t>
            </w:r>
          </w:p>
          <w:p w14:paraId="03C7A928">
            <w:pPr>
              <w:pStyle w:val="2"/>
              <w:snapToGrid w:val="0"/>
              <w:spacing w:before="62" w:beforeLines="20" w:after="62" w:afterLines="20"/>
              <w:ind w:firstLine="0" w:firstLineChars="0"/>
              <w:jc w:val="center"/>
              <w:rPr>
                <w:rFonts w:ascii="楷体_GB2312" w:eastAsia="楷体_GB2312"/>
                <w:b/>
                <w:color w:val="000000"/>
                <w:kern w:val="0"/>
                <w:sz w:val="24"/>
              </w:rPr>
            </w:pPr>
            <w:r>
              <w:rPr>
                <w:rFonts w:hint="eastAsia" w:ascii="楷体_GB2312" w:eastAsia="楷体_GB2312"/>
                <w:b/>
                <w:color w:val="000000"/>
                <w:kern w:val="0"/>
                <w:sz w:val="24"/>
              </w:rPr>
              <w:t>年均增长［累计］</w:t>
            </w:r>
          </w:p>
        </w:tc>
        <w:tc>
          <w:tcPr>
            <w:tcW w:w="1134" w:type="dxa"/>
            <w:vAlign w:val="center"/>
          </w:tcPr>
          <w:p w14:paraId="4B5FACD2">
            <w:pPr>
              <w:snapToGrid w:val="0"/>
              <w:spacing w:before="62" w:beforeLines="20" w:after="62" w:afterLines="20"/>
              <w:jc w:val="center"/>
              <w:textAlignment w:val="center"/>
              <w:rPr>
                <w:rFonts w:ascii="楷体_GB2312" w:eastAsia="楷体_GB2312"/>
                <w:b/>
                <w:color w:val="000000"/>
                <w:kern w:val="0"/>
                <w:sz w:val="24"/>
              </w:rPr>
            </w:pPr>
            <w:r>
              <w:rPr>
                <w:rFonts w:hint="eastAsia" w:ascii="楷体_GB2312" w:eastAsia="楷体_GB2312"/>
                <w:b/>
                <w:color w:val="000000"/>
                <w:kern w:val="0"/>
                <w:sz w:val="24"/>
              </w:rPr>
              <w:t>2025年</w:t>
            </w:r>
          </w:p>
        </w:tc>
        <w:tc>
          <w:tcPr>
            <w:tcW w:w="1134" w:type="dxa"/>
            <w:vAlign w:val="center"/>
          </w:tcPr>
          <w:p w14:paraId="2ABAF959">
            <w:pPr>
              <w:snapToGrid w:val="0"/>
              <w:spacing w:before="62" w:beforeLines="20" w:after="62" w:afterLines="20"/>
              <w:jc w:val="center"/>
              <w:textAlignment w:val="center"/>
              <w:rPr>
                <w:rFonts w:ascii="楷体_GB2312" w:eastAsia="楷体_GB2312"/>
                <w:b/>
                <w:color w:val="000000"/>
                <w:kern w:val="0"/>
                <w:sz w:val="24"/>
              </w:rPr>
            </w:pPr>
            <w:bookmarkStart w:id="26" w:name="OLE_LINK229"/>
            <w:bookmarkStart w:id="27" w:name="OLE_LINK228"/>
            <w:r>
              <w:rPr>
                <w:rFonts w:hint="eastAsia" w:ascii="楷体_GB2312" w:eastAsia="楷体_GB2312"/>
                <w:b/>
                <w:color w:val="000000"/>
                <w:kern w:val="0"/>
                <w:sz w:val="24"/>
              </w:rPr>
              <w:t>年均增长</w:t>
            </w:r>
            <w:bookmarkEnd w:id="26"/>
            <w:bookmarkEnd w:id="27"/>
          </w:p>
        </w:tc>
        <w:tc>
          <w:tcPr>
            <w:tcW w:w="708" w:type="dxa"/>
            <w:vAlign w:val="center"/>
          </w:tcPr>
          <w:p w14:paraId="4C88A59D">
            <w:pPr>
              <w:pStyle w:val="15"/>
              <w:snapToGrid w:val="0"/>
              <w:spacing w:before="62" w:beforeLines="20" w:after="62" w:afterLines="20"/>
              <w:ind w:firstLine="0" w:firstLineChars="0"/>
              <w:jc w:val="center"/>
              <w:rPr>
                <w:rFonts w:ascii="楷体_GB2312" w:eastAsia="楷体_GB2312" w:hAnsiTheme="minorHAnsi"/>
                <w:b/>
                <w:color w:val="000000"/>
                <w:kern w:val="0"/>
                <w:sz w:val="24"/>
              </w:rPr>
            </w:pPr>
          </w:p>
        </w:tc>
      </w:tr>
      <w:tr w14:paraId="0BEA1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c>
          <w:tcPr>
            <w:tcW w:w="1526" w:type="dxa"/>
            <w:vAlign w:val="center"/>
          </w:tcPr>
          <w:p w14:paraId="367042D3">
            <w:pPr>
              <w:snapToGrid w:val="0"/>
              <w:spacing w:before="62" w:beforeLines="20" w:after="62" w:afterLines="20"/>
              <w:jc w:val="center"/>
              <w:textAlignment w:val="center"/>
              <w:rPr>
                <w:rFonts w:ascii="楷体_GB2312" w:eastAsia="楷体_GB2312"/>
                <w:color w:val="000000"/>
                <w:kern w:val="0"/>
                <w:sz w:val="24"/>
              </w:rPr>
            </w:pPr>
            <w:r>
              <w:rPr>
                <w:rFonts w:hint="eastAsia" w:ascii="楷体_GB2312" w:eastAsia="楷体_GB2312"/>
                <w:color w:val="000000"/>
                <w:kern w:val="0"/>
                <w:sz w:val="24"/>
              </w:rPr>
              <w:t>地区生产总值（亿元）</w:t>
            </w:r>
          </w:p>
        </w:tc>
        <w:tc>
          <w:tcPr>
            <w:tcW w:w="850" w:type="dxa"/>
            <w:vAlign w:val="center"/>
          </w:tcPr>
          <w:p w14:paraId="6C474D47">
            <w:pPr>
              <w:snapToGrid w:val="0"/>
              <w:spacing w:before="62" w:beforeLines="20" w:after="62" w:afterLines="20"/>
              <w:jc w:val="center"/>
              <w:textAlignment w:val="center"/>
              <w:rPr>
                <w:rFonts w:hint="default" w:ascii="楷体_GB2312" w:eastAsia="楷体_GB2312"/>
                <w:color w:val="000000"/>
                <w:kern w:val="0"/>
                <w:sz w:val="24"/>
                <w:lang w:val="en-US" w:eastAsia="zh-CN"/>
              </w:rPr>
            </w:pPr>
            <w:r>
              <w:rPr>
                <w:rFonts w:hint="eastAsia" w:ascii="楷体_GB2312" w:eastAsia="楷体_GB2312"/>
                <w:color w:val="000000"/>
                <w:kern w:val="0"/>
                <w:sz w:val="24"/>
                <w:lang w:val="en-US" w:eastAsia="zh-CN"/>
              </w:rPr>
              <w:t>21.13</w:t>
            </w:r>
          </w:p>
        </w:tc>
        <w:tc>
          <w:tcPr>
            <w:tcW w:w="709" w:type="dxa"/>
            <w:vAlign w:val="center"/>
          </w:tcPr>
          <w:p w14:paraId="6A5B99C7">
            <w:pPr>
              <w:snapToGrid w:val="0"/>
              <w:spacing w:before="62" w:beforeLines="20" w:after="62" w:afterLines="20"/>
              <w:ind w:firstLine="482"/>
              <w:jc w:val="center"/>
              <w:textAlignment w:val="center"/>
              <w:rPr>
                <w:rFonts w:ascii="楷体_GB2312" w:eastAsia="楷体_GB2312" w:hAnsiTheme="minorHAnsi"/>
                <w:b/>
                <w:color w:val="000000"/>
                <w:kern w:val="0"/>
                <w:sz w:val="24"/>
              </w:rPr>
            </w:pPr>
          </w:p>
        </w:tc>
        <w:tc>
          <w:tcPr>
            <w:tcW w:w="1276" w:type="dxa"/>
            <w:vAlign w:val="center"/>
          </w:tcPr>
          <w:p w14:paraId="216C6F2C">
            <w:pPr>
              <w:snapToGrid w:val="0"/>
              <w:spacing w:before="62" w:beforeLines="20" w:after="62" w:afterLines="20"/>
              <w:jc w:val="center"/>
              <w:textAlignment w:val="center"/>
              <w:rPr>
                <w:rFonts w:ascii="楷体_GB2312" w:eastAsia="楷体_GB2312"/>
                <w:color w:val="000000"/>
                <w:kern w:val="0"/>
                <w:sz w:val="24"/>
              </w:rPr>
            </w:pPr>
            <w:r>
              <w:rPr>
                <w:rFonts w:hint="eastAsia" w:ascii="楷体_GB2312" w:eastAsia="楷体_GB2312"/>
                <w:color w:val="000000"/>
                <w:kern w:val="0"/>
                <w:sz w:val="24"/>
              </w:rPr>
              <w:t>5</w:t>
            </w:r>
          </w:p>
        </w:tc>
        <w:tc>
          <w:tcPr>
            <w:tcW w:w="1276" w:type="dxa"/>
            <w:gridSpan w:val="2"/>
            <w:vAlign w:val="center"/>
          </w:tcPr>
          <w:p w14:paraId="74E6AF4D">
            <w:pPr>
              <w:snapToGrid w:val="0"/>
              <w:spacing w:before="62" w:beforeLines="20" w:after="62" w:afterLines="20"/>
              <w:jc w:val="center"/>
              <w:textAlignment w:val="center"/>
              <w:rPr>
                <w:rFonts w:ascii="楷体_GB2312" w:eastAsia="楷体_GB2312"/>
                <w:color w:val="000000"/>
                <w:kern w:val="0"/>
                <w:sz w:val="24"/>
              </w:rPr>
            </w:pPr>
            <w:r>
              <w:rPr>
                <w:rFonts w:hint="eastAsia" w:ascii="楷体_GB2312" w:eastAsia="楷体_GB2312"/>
                <w:color w:val="000000"/>
                <w:kern w:val="0"/>
                <w:sz w:val="24"/>
              </w:rPr>
              <w:t>9</w:t>
            </w:r>
          </w:p>
        </w:tc>
        <w:tc>
          <w:tcPr>
            <w:tcW w:w="1134" w:type="dxa"/>
            <w:vAlign w:val="center"/>
          </w:tcPr>
          <w:p w14:paraId="016BC438">
            <w:pPr>
              <w:snapToGrid w:val="0"/>
              <w:spacing w:before="62" w:beforeLines="20" w:after="62" w:afterLines="20"/>
              <w:jc w:val="center"/>
              <w:textAlignment w:val="center"/>
              <w:rPr>
                <w:rFonts w:hint="default" w:ascii="楷体_GB2312" w:eastAsia="楷体_GB2312"/>
                <w:color w:val="000000"/>
                <w:kern w:val="0"/>
                <w:sz w:val="24"/>
                <w:lang w:val="en-US" w:eastAsia="zh-CN"/>
              </w:rPr>
            </w:pPr>
            <w:r>
              <w:rPr>
                <w:rFonts w:hint="eastAsia" w:ascii="楷体_GB2312" w:eastAsia="楷体_GB2312"/>
                <w:color w:val="000000"/>
                <w:kern w:val="0"/>
                <w:sz w:val="24"/>
                <w:lang w:val="en-US" w:eastAsia="zh-CN"/>
              </w:rPr>
              <w:t>30.88</w:t>
            </w:r>
          </w:p>
        </w:tc>
        <w:tc>
          <w:tcPr>
            <w:tcW w:w="1134" w:type="dxa"/>
            <w:vAlign w:val="center"/>
          </w:tcPr>
          <w:p w14:paraId="442F4B3C">
            <w:pPr>
              <w:snapToGrid w:val="0"/>
              <w:spacing w:before="62" w:beforeLines="20" w:after="62" w:afterLines="20"/>
              <w:jc w:val="center"/>
              <w:textAlignment w:val="center"/>
              <w:rPr>
                <w:rFonts w:hint="default" w:ascii="楷体_GB2312" w:eastAsia="楷体_GB2312"/>
                <w:color w:val="000000"/>
                <w:kern w:val="0"/>
                <w:sz w:val="24"/>
                <w:lang w:val="en-US" w:eastAsia="zh-CN"/>
              </w:rPr>
            </w:pPr>
            <w:r>
              <w:rPr>
                <w:rFonts w:hint="eastAsia" w:ascii="楷体_GB2312" w:eastAsia="楷体_GB2312"/>
                <w:color w:val="000000"/>
                <w:kern w:val="0"/>
                <w:sz w:val="24"/>
                <w:lang w:val="en-US" w:eastAsia="zh-CN"/>
              </w:rPr>
              <w:t>7.8</w:t>
            </w:r>
          </w:p>
        </w:tc>
        <w:tc>
          <w:tcPr>
            <w:tcW w:w="708" w:type="dxa"/>
            <w:vAlign w:val="center"/>
          </w:tcPr>
          <w:p w14:paraId="6056FAB9">
            <w:pPr>
              <w:snapToGrid w:val="0"/>
              <w:spacing w:before="62" w:beforeLines="20" w:after="62" w:afterLines="20"/>
              <w:ind w:firstLine="482"/>
              <w:jc w:val="center"/>
              <w:textAlignment w:val="center"/>
              <w:rPr>
                <w:rFonts w:ascii="楷体_GB2312" w:eastAsia="楷体_GB2312" w:hAnsiTheme="minorHAnsi"/>
                <w:b/>
                <w:color w:val="000000"/>
                <w:kern w:val="0"/>
                <w:sz w:val="24"/>
              </w:rPr>
            </w:pPr>
          </w:p>
        </w:tc>
      </w:tr>
      <w:tr w14:paraId="7EC49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c>
          <w:tcPr>
            <w:tcW w:w="1526" w:type="dxa"/>
            <w:vAlign w:val="center"/>
          </w:tcPr>
          <w:p w14:paraId="06FB8411">
            <w:pPr>
              <w:snapToGrid w:val="0"/>
              <w:spacing w:before="62" w:beforeLines="20" w:after="62" w:afterLines="20"/>
              <w:jc w:val="center"/>
              <w:textAlignment w:val="center"/>
              <w:rPr>
                <w:rFonts w:ascii="楷体_GB2312" w:eastAsia="楷体_GB2312"/>
                <w:color w:val="000000"/>
                <w:kern w:val="0"/>
                <w:sz w:val="24"/>
              </w:rPr>
            </w:pPr>
            <w:r>
              <w:rPr>
                <w:rFonts w:hint="eastAsia" w:ascii="楷体_GB2312" w:eastAsia="楷体_GB2312"/>
                <w:color w:val="000000"/>
                <w:kern w:val="0"/>
                <w:sz w:val="24"/>
              </w:rPr>
              <w:t>常住人口城镇化率（%）</w:t>
            </w:r>
          </w:p>
        </w:tc>
        <w:tc>
          <w:tcPr>
            <w:tcW w:w="850" w:type="dxa"/>
            <w:vAlign w:val="center"/>
          </w:tcPr>
          <w:p w14:paraId="13C90F86">
            <w:pPr>
              <w:snapToGrid w:val="0"/>
              <w:spacing w:before="62" w:beforeLines="20" w:after="62" w:afterLines="20"/>
              <w:ind w:firstLine="482"/>
              <w:jc w:val="center"/>
              <w:textAlignment w:val="center"/>
              <w:rPr>
                <w:rFonts w:ascii="楷体_GB2312" w:eastAsia="楷体_GB2312" w:hAnsiTheme="minorHAnsi"/>
                <w:b/>
                <w:color w:val="000000"/>
                <w:kern w:val="0"/>
                <w:sz w:val="24"/>
              </w:rPr>
            </w:pPr>
          </w:p>
        </w:tc>
        <w:tc>
          <w:tcPr>
            <w:tcW w:w="709" w:type="dxa"/>
            <w:vAlign w:val="center"/>
          </w:tcPr>
          <w:p w14:paraId="3F562E41">
            <w:pPr>
              <w:snapToGrid w:val="0"/>
              <w:spacing w:before="62" w:beforeLines="20" w:after="62" w:afterLines="20"/>
              <w:ind w:firstLine="482"/>
              <w:jc w:val="center"/>
              <w:textAlignment w:val="center"/>
              <w:rPr>
                <w:rFonts w:ascii="楷体_GB2312" w:eastAsia="楷体_GB2312" w:hAnsiTheme="minorHAnsi"/>
                <w:b/>
                <w:color w:val="000000"/>
                <w:kern w:val="0"/>
                <w:sz w:val="24"/>
              </w:rPr>
            </w:pPr>
          </w:p>
        </w:tc>
        <w:tc>
          <w:tcPr>
            <w:tcW w:w="2552" w:type="dxa"/>
            <w:gridSpan w:val="3"/>
            <w:vAlign w:val="center"/>
          </w:tcPr>
          <w:p w14:paraId="644FE5CE">
            <w:pPr>
              <w:snapToGrid w:val="0"/>
              <w:spacing w:before="62" w:beforeLines="20" w:after="62" w:afterLines="20"/>
              <w:ind w:firstLine="482"/>
              <w:jc w:val="center"/>
              <w:textAlignment w:val="center"/>
              <w:rPr>
                <w:rFonts w:ascii="楷体_GB2312" w:eastAsia="楷体_GB2312" w:hAnsiTheme="minorHAnsi"/>
                <w:b/>
                <w:color w:val="000000"/>
                <w:kern w:val="0"/>
                <w:sz w:val="24"/>
              </w:rPr>
            </w:pPr>
          </w:p>
        </w:tc>
        <w:tc>
          <w:tcPr>
            <w:tcW w:w="1134" w:type="dxa"/>
            <w:vAlign w:val="center"/>
          </w:tcPr>
          <w:p w14:paraId="2DEA4E3A">
            <w:pPr>
              <w:snapToGrid w:val="0"/>
              <w:spacing w:before="62" w:beforeLines="20" w:after="62" w:afterLines="20"/>
              <w:jc w:val="center"/>
              <w:textAlignment w:val="center"/>
              <w:rPr>
                <w:rFonts w:ascii="楷体_GB2312" w:eastAsia="楷体_GB2312"/>
                <w:color w:val="000000"/>
                <w:kern w:val="0"/>
                <w:sz w:val="24"/>
              </w:rPr>
            </w:pPr>
            <w:r>
              <w:rPr>
                <w:rFonts w:hint="eastAsia" w:ascii="楷体_GB2312" w:eastAsia="楷体_GB2312"/>
                <w:color w:val="000000"/>
                <w:kern w:val="0"/>
                <w:sz w:val="24"/>
              </w:rPr>
              <w:t>41.59</w:t>
            </w:r>
          </w:p>
        </w:tc>
        <w:tc>
          <w:tcPr>
            <w:tcW w:w="1134" w:type="dxa"/>
            <w:vAlign w:val="center"/>
          </w:tcPr>
          <w:p w14:paraId="7856E140">
            <w:pPr>
              <w:snapToGrid w:val="0"/>
              <w:spacing w:before="62" w:beforeLines="20" w:after="62" w:afterLines="20"/>
              <w:ind w:firstLine="482"/>
              <w:jc w:val="both"/>
              <w:textAlignment w:val="center"/>
              <w:rPr>
                <w:rFonts w:hint="eastAsia" w:ascii="楷体_GB2312" w:eastAsia="楷体_GB2312" w:hAnsiTheme="minorHAnsi"/>
                <w:b/>
                <w:color w:val="000000"/>
                <w:kern w:val="0"/>
                <w:sz w:val="24"/>
                <w:lang w:val="en-US" w:eastAsia="zh-CN"/>
              </w:rPr>
            </w:pPr>
            <w:r>
              <w:rPr>
                <w:rFonts w:hint="eastAsia" w:ascii="楷体_GB2312" w:eastAsia="楷体_GB2312" w:hAnsiTheme="minorHAnsi"/>
                <w:b/>
                <w:color w:val="000000"/>
                <w:kern w:val="0"/>
                <w:sz w:val="24"/>
                <w:lang w:val="en-US" w:eastAsia="zh-CN"/>
              </w:rPr>
              <w:t>-</w:t>
            </w:r>
          </w:p>
        </w:tc>
        <w:tc>
          <w:tcPr>
            <w:tcW w:w="708" w:type="dxa"/>
            <w:vAlign w:val="center"/>
          </w:tcPr>
          <w:p w14:paraId="40B4FF18">
            <w:pPr>
              <w:snapToGrid w:val="0"/>
              <w:spacing w:before="62" w:beforeLines="20" w:after="62" w:afterLines="20"/>
              <w:ind w:firstLine="482"/>
              <w:jc w:val="center"/>
              <w:textAlignment w:val="center"/>
              <w:rPr>
                <w:rFonts w:ascii="楷体_GB2312" w:eastAsia="楷体_GB2312" w:hAnsiTheme="minorHAnsi"/>
                <w:b/>
                <w:color w:val="000000"/>
                <w:kern w:val="0"/>
                <w:sz w:val="24"/>
              </w:rPr>
            </w:pPr>
          </w:p>
        </w:tc>
      </w:tr>
      <w:tr w14:paraId="3EA3F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c>
          <w:tcPr>
            <w:tcW w:w="1526" w:type="dxa"/>
            <w:vAlign w:val="center"/>
          </w:tcPr>
          <w:p w14:paraId="5B23005A">
            <w:pPr>
              <w:snapToGrid w:val="0"/>
              <w:spacing w:before="62" w:beforeLines="20" w:after="62" w:afterLines="20"/>
              <w:jc w:val="center"/>
              <w:textAlignment w:val="center"/>
              <w:rPr>
                <w:rFonts w:ascii="楷体_GB2312" w:eastAsia="楷体_GB2312"/>
                <w:color w:val="000000"/>
                <w:kern w:val="0"/>
                <w:sz w:val="24"/>
              </w:rPr>
            </w:pPr>
            <w:r>
              <w:rPr>
                <w:rFonts w:hint="eastAsia" w:ascii="楷体_GB2312" w:eastAsia="楷体_GB2312"/>
                <w:color w:val="000000"/>
                <w:kern w:val="0"/>
                <w:sz w:val="24"/>
              </w:rPr>
              <w:t>地方一般公共预算收入总量（亿元）</w:t>
            </w:r>
          </w:p>
        </w:tc>
        <w:tc>
          <w:tcPr>
            <w:tcW w:w="850" w:type="dxa"/>
            <w:vAlign w:val="center"/>
          </w:tcPr>
          <w:p w14:paraId="4EE0EB99">
            <w:pPr>
              <w:snapToGrid w:val="0"/>
              <w:spacing w:before="62" w:beforeLines="20" w:after="62" w:afterLines="20"/>
              <w:jc w:val="center"/>
              <w:textAlignment w:val="center"/>
              <w:rPr>
                <w:rFonts w:hint="default" w:ascii="楷体_GB2312" w:eastAsia="楷体_GB2312"/>
                <w:color w:val="000000"/>
                <w:kern w:val="0"/>
                <w:sz w:val="24"/>
                <w:lang w:val="en-US" w:eastAsia="zh-CN"/>
              </w:rPr>
            </w:pPr>
            <w:r>
              <w:rPr>
                <w:rFonts w:hint="eastAsia" w:ascii="楷体_GB2312" w:eastAsia="楷体_GB2312"/>
                <w:color w:val="000000"/>
                <w:kern w:val="0"/>
                <w:sz w:val="24"/>
                <w:lang w:val="en-US" w:eastAsia="zh-CN"/>
              </w:rPr>
              <w:t>1.2</w:t>
            </w:r>
          </w:p>
        </w:tc>
        <w:tc>
          <w:tcPr>
            <w:tcW w:w="709" w:type="dxa"/>
            <w:vAlign w:val="center"/>
          </w:tcPr>
          <w:p w14:paraId="3B57E7D2">
            <w:pPr>
              <w:snapToGrid w:val="0"/>
              <w:spacing w:before="62" w:beforeLines="20" w:after="62" w:afterLines="20"/>
              <w:ind w:firstLine="482"/>
              <w:jc w:val="center"/>
              <w:textAlignment w:val="center"/>
              <w:rPr>
                <w:rFonts w:ascii="楷体_GB2312" w:eastAsia="楷体_GB2312" w:hAnsiTheme="minorHAnsi"/>
                <w:b/>
                <w:color w:val="000000"/>
                <w:kern w:val="0"/>
                <w:sz w:val="24"/>
              </w:rPr>
            </w:pPr>
          </w:p>
        </w:tc>
        <w:tc>
          <w:tcPr>
            <w:tcW w:w="1418" w:type="dxa"/>
            <w:gridSpan w:val="2"/>
            <w:vAlign w:val="center"/>
          </w:tcPr>
          <w:p w14:paraId="0B4E9846">
            <w:pPr>
              <w:snapToGrid w:val="0"/>
              <w:spacing w:before="62" w:beforeLines="20" w:after="62" w:afterLines="20"/>
              <w:jc w:val="center"/>
              <w:textAlignment w:val="center"/>
              <w:rPr>
                <w:rFonts w:ascii="楷体_GB2312" w:eastAsia="楷体_GB2312"/>
                <w:b/>
                <w:color w:val="000000"/>
                <w:kern w:val="0"/>
                <w:sz w:val="24"/>
              </w:rPr>
            </w:pPr>
            <w:r>
              <w:rPr>
                <w:rFonts w:hint="eastAsia" w:ascii="楷体_GB2312" w:eastAsia="楷体_GB2312"/>
                <w:b/>
                <w:color w:val="000000"/>
                <w:kern w:val="0"/>
                <w:sz w:val="24"/>
              </w:rPr>
              <w:t>3</w:t>
            </w:r>
          </w:p>
        </w:tc>
        <w:tc>
          <w:tcPr>
            <w:tcW w:w="1134" w:type="dxa"/>
            <w:vAlign w:val="center"/>
          </w:tcPr>
          <w:p w14:paraId="302B07E2">
            <w:pPr>
              <w:snapToGrid w:val="0"/>
              <w:spacing w:before="62" w:beforeLines="20" w:after="62" w:afterLines="20"/>
              <w:jc w:val="center"/>
              <w:textAlignment w:val="center"/>
              <w:rPr>
                <w:rFonts w:ascii="楷体_GB2312" w:eastAsia="楷体_GB2312"/>
                <w:color w:val="000000"/>
                <w:kern w:val="0"/>
                <w:sz w:val="24"/>
              </w:rPr>
            </w:pPr>
            <w:r>
              <w:rPr>
                <w:rFonts w:hint="eastAsia" w:ascii="楷体_GB2312" w:eastAsia="楷体_GB2312"/>
                <w:color w:val="000000"/>
                <w:kern w:val="0"/>
                <w:sz w:val="24"/>
              </w:rPr>
              <w:t>7</w:t>
            </w:r>
          </w:p>
        </w:tc>
        <w:tc>
          <w:tcPr>
            <w:tcW w:w="1134" w:type="dxa"/>
            <w:vAlign w:val="center"/>
          </w:tcPr>
          <w:p w14:paraId="461F698B">
            <w:pPr>
              <w:snapToGrid w:val="0"/>
              <w:spacing w:before="62" w:beforeLines="20" w:after="62" w:afterLines="20"/>
              <w:jc w:val="center"/>
              <w:textAlignment w:val="center"/>
              <w:rPr>
                <w:rFonts w:hint="default" w:ascii="楷体_GB2312" w:eastAsia="楷体_GB2312"/>
                <w:color w:val="000000"/>
                <w:kern w:val="0"/>
                <w:sz w:val="24"/>
                <w:lang w:val="en-US" w:eastAsia="zh-CN"/>
              </w:rPr>
            </w:pPr>
            <w:r>
              <w:rPr>
                <w:rFonts w:hint="eastAsia" w:ascii="楷体_GB2312" w:eastAsia="楷体_GB2312"/>
                <w:color w:val="000000"/>
                <w:kern w:val="0"/>
                <w:sz w:val="24"/>
              </w:rPr>
              <w:t>2.</w:t>
            </w:r>
            <w:r>
              <w:rPr>
                <w:rFonts w:hint="eastAsia" w:ascii="楷体_GB2312" w:eastAsia="楷体_GB2312"/>
                <w:color w:val="000000"/>
                <w:kern w:val="0"/>
                <w:sz w:val="24"/>
                <w:lang w:val="en-US" w:eastAsia="zh-CN"/>
              </w:rPr>
              <w:t>55</w:t>
            </w:r>
          </w:p>
        </w:tc>
        <w:tc>
          <w:tcPr>
            <w:tcW w:w="1134" w:type="dxa"/>
            <w:vAlign w:val="center"/>
          </w:tcPr>
          <w:p w14:paraId="3B4BCA51">
            <w:pPr>
              <w:snapToGrid w:val="0"/>
              <w:spacing w:before="62" w:beforeLines="20" w:after="62" w:afterLines="20"/>
              <w:jc w:val="center"/>
              <w:textAlignment w:val="center"/>
              <w:rPr>
                <w:rFonts w:hint="default" w:ascii="楷体_GB2312" w:eastAsia="楷体_GB2312"/>
                <w:color w:val="000000"/>
                <w:kern w:val="0"/>
                <w:sz w:val="24"/>
                <w:lang w:val="en-US" w:eastAsia="zh-CN"/>
              </w:rPr>
            </w:pPr>
            <w:r>
              <w:rPr>
                <w:rFonts w:hint="eastAsia" w:ascii="楷体_GB2312" w:eastAsia="楷体_GB2312"/>
                <w:color w:val="000000"/>
                <w:kern w:val="0"/>
                <w:sz w:val="24"/>
                <w:lang w:val="en-US" w:eastAsia="zh-CN"/>
              </w:rPr>
              <w:t>16.27</w:t>
            </w:r>
          </w:p>
        </w:tc>
        <w:tc>
          <w:tcPr>
            <w:tcW w:w="708" w:type="dxa"/>
            <w:vAlign w:val="center"/>
          </w:tcPr>
          <w:p w14:paraId="43104523">
            <w:pPr>
              <w:snapToGrid w:val="0"/>
              <w:spacing w:before="62" w:beforeLines="20" w:after="62" w:afterLines="20"/>
              <w:jc w:val="center"/>
              <w:textAlignment w:val="center"/>
              <w:rPr>
                <w:rFonts w:ascii="楷体_GB2312" w:eastAsia="楷体_GB2312"/>
                <w:color w:val="000000"/>
                <w:kern w:val="0"/>
                <w:sz w:val="24"/>
              </w:rPr>
            </w:pPr>
          </w:p>
        </w:tc>
      </w:tr>
      <w:tr w14:paraId="0BD84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c>
          <w:tcPr>
            <w:tcW w:w="1526" w:type="dxa"/>
            <w:vAlign w:val="center"/>
          </w:tcPr>
          <w:p w14:paraId="3137058C">
            <w:pPr>
              <w:snapToGrid w:val="0"/>
              <w:spacing w:before="62" w:beforeLines="20" w:after="62" w:afterLines="20"/>
              <w:jc w:val="center"/>
              <w:textAlignment w:val="center"/>
              <w:rPr>
                <w:rFonts w:ascii="楷体_GB2312" w:eastAsia="楷体_GB2312"/>
                <w:color w:val="000000"/>
                <w:kern w:val="0"/>
                <w:sz w:val="24"/>
              </w:rPr>
            </w:pPr>
            <w:r>
              <w:rPr>
                <w:rFonts w:hint="eastAsia" w:ascii="楷体_GB2312" w:eastAsia="楷体_GB2312"/>
                <w:color w:val="000000"/>
                <w:kern w:val="0"/>
                <w:sz w:val="24"/>
              </w:rPr>
              <w:t>固定资产投资（亿元）</w:t>
            </w:r>
          </w:p>
        </w:tc>
        <w:tc>
          <w:tcPr>
            <w:tcW w:w="850" w:type="dxa"/>
            <w:vAlign w:val="center"/>
          </w:tcPr>
          <w:p w14:paraId="22C4C17F">
            <w:pPr>
              <w:snapToGrid w:val="0"/>
              <w:spacing w:before="62" w:beforeLines="20" w:after="62" w:afterLines="20"/>
              <w:jc w:val="center"/>
              <w:textAlignment w:val="center"/>
              <w:rPr>
                <w:rFonts w:hint="default" w:ascii="楷体_GB2312" w:eastAsia="楷体_GB2312"/>
                <w:color w:val="000000"/>
                <w:kern w:val="0"/>
                <w:sz w:val="24"/>
                <w:lang w:val="en-US" w:eastAsia="zh-CN"/>
              </w:rPr>
            </w:pPr>
            <w:r>
              <w:rPr>
                <w:rFonts w:hint="eastAsia" w:ascii="楷体_GB2312" w:eastAsia="楷体_GB2312"/>
                <w:color w:val="000000"/>
                <w:kern w:val="0"/>
                <w:sz w:val="24"/>
                <w:lang w:val="en-US" w:eastAsia="zh-CN"/>
              </w:rPr>
              <w:t>21.13</w:t>
            </w:r>
          </w:p>
        </w:tc>
        <w:tc>
          <w:tcPr>
            <w:tcW w:w="709" w:type="dxa"/>
            <w:vAlign w:val="center"/>
          </w:tcPr>
          <w:p w14:paraId="63D52BBF">
            <w:pPr>
              <w:snapToGrid w:val="0"/>
              <w:spacing w:before="62" w:beforeLines="20" w:after="62" w:afterLines="20"/>
              <w:ind w:firstLine="482"/>
              <w:jc w:val="center"/>
              <w:textAlignment w:val="center"/>
              <w:rPr>
                <w:rFonts w:ascii="楷体_GB2312" w:eastAsia="楷体_GB2312" w:hAnsiTheme="minorHAnsi"/>
                <w:b/>
                <w:color w:val="000000"/>
                <w:kern w:val="0"/>
                <w:sz w:val="24"/>
              </w:rPr>
            </w:pPr>
          </w:p>
        </w:tc>
        <w:tc>
          <w:tcPr>
            <w:tcW w:w="1418" w:type="dxa"/>
            <w:gridSpan w:val="2"/>
            <w:vAlign w:val="center"/>
          </w:tcPr>
          <w:p w14:paraId="6CE508A1">
            <w:pPr>
              <w:snapToGrid w:val="0"/>
              <w:spacing w:before="62" w:beforeLines="20" w:after="62" w:afterLines="20"/>
              <w:jc w:val="center"/>
              <w:textAlignment w:val="center"/>
              <w:rPr>
                <w:rFonts w:ascii="楷体_GB2312" w:eastAsia="楷体_GB2312"/>
                <w:b/>
                <w:color w:val="000000"/>
                <w:kern w:val="0"/>
                <w:sz w:val="24"/>
              </w:rPr>
            </w:pPr>
            <w:r>
              <w:rPr>
                <w:rFonts w:hint="eastAsia" w:ascii="楷体_GB2312" w:eastAsia="楷体_GB2312"/>
                <w:b/>
                <w:color w:val="000000"/>
                <w:kern w:val="0"/>
                <w:sz w:val="24"/>
              </w:rPr>
              <w:t>6</w:t>
            </w:r>
          </w:p>
        </w:tc>
        <w:tc>
          <w:tcPr>
            <w:tcW w:w="1134" w:type="dxa"/>
            <w:vAlign w:val="center"/>
          </w:tcPr>
          <w:p w14:paraId="45D428C4">
            <w:pPr>
              <w:snapToGrid w:val="0"/>
              <w:spacing w:before="62" w:beforeLines="20" w:after="62" w:afterLines="20"/>
              <w:jc w:val="center"/>
              <w:textAlignment w:val="center"/>
              <w:rPr>
                <w:rFonts w:ascii="楷体_GB2312" w:eastAsia="楷体_GB2312"/>
                <w:color w:val="000000"/>
                <w:kern w:val="0"/>
                <w:sz w:val="24"/>
              </w:rPr>
            </w:pPr>
            <w:r>
              <w:rPr>
                <w:rFonts w:hint="eastAsia" w:ascii="楷体_GB2312" w:eastAsia="楷体_GB2312"/>
                <w:color w:val="000000"/>
                <w:kern w:val="0"/>
                <w:sz w:val="24"/>
              </w:rPr>
              <w:t>10</w:t>
            </w:r>
          </w:p>
        </w:tc>
        <w:tc>
          <w:tcPr>
            <w:tcW w:w="1134" w:type="dxa"/>
            <w:vAlign w:val="center"/>
          </w:tcPr>
          <w:p w14:paraId="07E7BB0F">
            <w:pPr>
              <w:snapToGrid w:val="0"/>
              <w:spacing w:before="62" w:beforeLines="20" w:after="62" w:afterLines="20"/>
              <w:jc w:val="center"/>
              <w:textAlignment w:val="center"/>
              <w:rPr>
                <w:rFonts w:hint="default" w:ascii="楷体_GB2312" w:eastAsia="楷体_GB2312"/>
                <w:color w:val="000000"/>
                <w:kern w:val="0"/>
                <w:sz w:val="24"/>
                <w:lang w:val="en-US" w:eastAsia="zh-CN"/>
              </w:rPr>
            </w:pPr>
            <w:r>
              <w:rPr>
                <w:rFonts w:hint="eastAsia" w:ascii="楷体_GB2312" w:eastAsia="楷体_GB2312"/>
                <w:color w:val="000000"/>
                <w:kern w:val="0"/>
                <w:sz w:val="24"/>
                <w:lang w:val="en-US" w:eastAsia="zh-CN"/>
              </w:rPr>
              <w:t>34.34</w:t>
            </w:r>
          </w:p>
        </w:tc>
        <w:tc>
          <w:tcPr>
            <w:tcW w:w="1134" w:type="dxa"/>
            <w:vAlign w:val="center"/>
          </w:tcPr>
          <w:p w14:paraId="42A44333">
            <w:pPr>
              <w:snapToGrid w:val="0"/>
              <w:spacing w:before="62" w:beforeLines="20" w:after="62" w:afterLines="20"/>
              <w:jc w:val="center"/>
              <w:textAlignment w:val="center"/>
              <w:rPr>
                <w:rFonts w:hint="default" w:ascii="楷体_GB2312" w:eastAsia="楷体_GB2312"/>
                <w:color w:val="000000"/>
                <w:kern w:val="0"/>
                <w:sz w:val="24"/>
                <w:lang w:val="en-US" w:eastAsia="zh-CN"/>
              </w:rPr>
            </w:pPr>
            <w:r>
              <w:rPr>
                <w:rFonts w:hint="eastAsia" w:ascii="楷体_GB2312" w:eastAsia="楷体_GB2312"/>
                <w:color w:val="000000"/>
                <w:kern w:val="0"/>
                <w:sz w:val="24"/>
                <w:lang w:val="en-US" w:eastAsia="zh-CN"/>
              </w:rPr>
              <w:t>8.89</w:t>
            </w:r>
          </w:p>
        </w:tc>
        <w:tc>
          <w:tcPr>
            <w:tcW w:w="708" w:type="dxa"/>
            <w:vAlign w:val="center"/>
          </w:tcPr>
          <w:p w14:paraId="1EC3EAAC">
            <w:pPr>
              <w:snapToGrid w:val="0"/>
              <w:spacing w:before="62" w:beforeLines="20" w:after="62" w:afterLines="20"/>
              <w:jc w:val="center"/>
              <w:textAlignment w:val="center"/>
              <w:rPr>
                <w:rFonts w:hint="default" w:ascii="楷体_GB2312" w:eastAsia="楷体_GB2312"/>
                <w:color w:val="000000"/>
                <w:kern w:val="0"/>
                <w:sz w:val="24"/>
                <w:lang w:val="en-US" w:eastAsia="zh-CN"/>
              </w:rPr>
            </w:pPr>
            <w:r>
              <w:rPr>
                <w:rFonts w:hint="eastAsia" w:ascii="楷体_GB2312" w:eastAsia="楷体_GB2312"/>
                <w:color w:val="000000"/>
                <w:kern w:val="0"/>
                <w:sz w:val="24"/>
                <w:lang w:val="en-US" w:eastAsia="zh-CN"/>
              </w:rPr>
              <w:t>80.14（累计）</w:t>
            </w:r>
          </w:p>
        </w:tc>
      </w:tr>
      <w:tr w14:paraId="65252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c>
          <w:tcPr>
            <w:tcW w:w="1526" w:type="dxa"/>
            <w:vAlign w:val="center"/>
          </w:tcPr>
          <w:p w14:paraId="36E97A2E">
            <w:pPr>
              <w:snapToGrid w:val="0"/>
              <w:spacing w:before="62" w:beforeLines="20" w:after="62" w:afterLines="20"/>
              <w:jc w:val="center"/>
              <w:textAlignment w:val="center"/>
              <w:rPr>
                <w:rFonts w:ascii="楷体_GB2312" w:eastAsia="楷体_GB2312"/>
                <w:color w:val="000000"/>
                <w:kern w:val="0"/>
                <w:sz w:val="24"/>
              </w:rPr>
            </w:pPr>
            <w:r>
              <w:rPr>
                <w:rFonts w:hint="eastAsia" w:ascii="楷体_GB2312" w:eastAsia="楷体_GB2312"/>
                <w:color w:val="000000"/>
                <w:kern w:val="0"/>
                <w:sz w:val="24"/>
              </w:rPr>
              <w:t>社会消费品零售总额（亿元）</w:t>
            </w:r>
          </w:p>
        </w:tc>
        <w:tc>
          <w:tcPr>
            <w:tcW w:w="850" w:type="dxa"/>
            <w:vAlign w:val="center"/>
          </w:tcPr>
          <w:p w14:paraId="60D58D30">
            <w:pPr>
              <w:snapToGrid w:val="0"/>
              <w:spacing w:before="62" w:beforeLines="20" w:after="62" w:afterLines="20"/>
              <w:jc w:val="center"/>
              <w:textAlignment w:val="center"/>
              <w:rPr>
                <w:rFonts w:hint="default" w:ascii="楷体_GB2312" w:eastAsia="楷体_GB2312"/>
                <w:color w:val="000000"/>
                <w:kern w:val="0"/>
                <w:sz w:val="24"/>
                <w:lang w:val="en-US" w:eastAsia="zh-CN"/>
              </w:rPr>
            </w:pPr>
            <w:r>
              <w:rPr>
                <w:rFonts w:hint="eastAsia" w:ascii="楷体_GB2312" w:eastAsia="楷体_GB2312"/>
                <w:color w:val="000000"/>
                <w:kern w:val="0"/>
                <w:sz w:val="24"/>
                <w:lang w:val="en-US" w:eastAsia="zh-CN"/>
              </w:rPr>
              <w:t>8.44</w:t>
            </w:r>
          </w:p>
        </w:tc>
        <w:tc>
          <w:tcPr>
            <w:tcW w:w="709" w:type="dxa"/>
            <w:vAlign w:val="center"/>
          </w:tcPr>
          <w:p w14:paraId="52E62EE6">
            <w:pPr>
              <w:snapToGrid w:val="0"/>
              <w:spacing w:before="62" w:beforeLines="20" w:after="62" w:afterLines="20"/>
              <w:ind w:firstLine="482"/>
              <w:jc w:val="center"/>
              <w:textAlignment w:val="center"/>
              <w:rPr>
                <w:rFonts w:ascii="楷体_GB2312" w:eastAsia="楷体_GB2312" w:hAnsiTheme="minorHAnsi"/>
                <w:b/>
                <w:color w:val="000000"/>
                <w:kern w:val="0"/>
                <w:sz w:val="24"/>
              </w:rPr>
            </w:pPr>
          </w:p>
        </w:tc>
        <w:tc>
          <w:tcPr>
            <w:tcW w:w="1418" w:type="dxa"/>
            <w:gridSpan w:val="2"/>
            <w:vAlign w:val="center"/>
          </w:tcPr>
          <w:p w14:paraId="59205577">
            <w:pPr>
              <w:snapToGrid w:val="0"/>
              <w:spacing w:before="62" w:beforeLines="20" w:after="62" w:afterLines="20"/>
              <w:jc w:val="center"/>
              <w:textAlignment w:val="center"/>
              <w:rPr>
                <w:rFonts w:ascii="楷体_GB2312" w:eastAsia="楷体_GB2312"/>
                <w:b/>
                <w:color w:val="000000"/>
                <w:kern w:val="0"/>
                <w:sz w:val="24"/>
              </w:rPr>
            </w:pPr>
            <w:r>
              <w:rPr>
                <w:rFonts w:hint="eastAsia" w:ascii="楷体_GB2312" w:eastAsia="楷体_GB2312"/>
                <w:b/>
                <w:color w:val="000000"/>
                <w:kern w:val="0"/>
                <w:sz w:val="24"/>
              </w:rPr>
              <w:t>5</w:t>
            </w:r>
          </w:p>
        </w:tc>
        <w:tc>
          <w:tcPr>
            <w:tcW w:w="1134" w:type="dxa"/>
            <w:vAlign w:val="center"/>
          </w:tcPr>
          <w:p w14:paraId="5857CB02">
            <w:pPr>
              <w:snapToGrid w:val="0"/>
              <w:spacing w:before="62" w:beforeLines="20" w:after="62" w:afterLines="20"/>
              <w:jc w:val="center"/>
              <w:textAlignment w:val="center"/>
              <w:rPr>
                <w:rFonts w:ascii="楷体_GB2312" w:eastAsia="楷体_GB2312"/>
                <w:color w:val="000000"/>
                <w:kern w:val="0"/>
                <w:sz w:val="24"/>
              </w:rPr>
            </w:pPr>
            <w:r>
              <w:rPr>
                <w:rFonts w:hint="eastAsia" w:ascii="楷体_GB2312" w:eastAsia="楷体_GB2312"/>
                <w:color w:val="000000"/>
                <w:kern w:val="0"/>
                <w:sz w:val="24"/>
              </w:rPr>
              <w:t>10</w:t>
            </w:r>
          </w:p>
        </w:tc>
        <w:tc>
          <w:tcPr>
            <w:tcW w:w="1134" w:type="dxa"/>
            <w:vAlign w:val="center"/>
          </w:tcPr>
          <w:p w14:paraId="51EDC6BC">
            <w:pPr>
              <w:snapToGrid w:val="0"/>
              <w:spacing w:before="62" w:beforeLines="20" w:after="62" w:afterLines="20"/>
              <w:jc w:val="center"/>
              <w:textAlignment w:val="center"/>
              <w:rPr>
                <w:rFonts w:hint="eastAsia" w:ascii="楷体_GB2312" w:eastAsia="楷体_GB2312"/>
                <w:color w:val="000000"/>
                <w:kern w:val="0"/>
                <w:sz w:val="24"/>
                <w:lang w:eastAsia="zh-CN"/>
              </w:rPr>
            </w:pPr>
            <w:r>
              <w:rPr>
                <w:rFonts w:hint="eastAsia" w:ascii="楷体_GB2312" w:eastAsia="楷体_GB2312"/>
                <w:color w:val="000000"/>
                <w:kern w:val="0"/>
                <w:sz w:val="24"/>
              </w:rPr>
              <w:t>1</w:t>
            </w:r>
            <w:r>
              <w:rPr>
                <w:rFonts w:hint="eastAsia" w:ascii="楷体_GB2312" w:eastAsia="楷体_GB2312"/>
                <w:color w:val="000000"/>
                <w:kern w:val="0"/>
                <w:sz w:val="24"/>
                <w:lang w:val="en-US" w:eastAsia="zh-CN"/>
              </w:rPr>
              <w:t>0</w:t>
            </w:r>
            <w:r>
              <w:rPr>
                <w:rFonts w:hint="eastAsia" w:ascii="楷体_GB2312" w:eastAsia="楷体_GB2312"/>
                <w:color w:val="000000"/>
                <w:kern w:val="0"/>
                <w:sz w:val="24"/>
              </w:rPr>
              <w:t>.3</w:t>
            </w:r>
            <w:r>
              <w:rPr>
                <w:rFonts w:hint="eastAsia" w:ascii="楷体_GB2312" w:eastAsia="楷体_GB2312"/>
                <w:color w:val="000000"/>
                <w:kern w:val="0"/>
                <w:sz w:val="24"/>
                <w:lang w:val="en-US" w:eastAsia="zh-CN"/>
              </w:rPr>
              <w:t>8</w:t>
            </w:r>
          </w:p>
        </w:tc>
        <w:tc>
          <w:tcPr>
            <w:tcW w:w="1134" w:type="dxa"/>
            <w:vAlign w:val="center"/>
          </w:tcPr>
          <w:p w14:paraId="288BB8CA">
            <w:pPr>
              <w:snapToGrid w:val="0"/>
              <w:spacing w:before="62" w:beforeLines="20" w:after="62" w:afterLines="20"/>
              <w:jc w:val="center"/>
              <w:textAlignment w:val="center"/>
              <w:rPr>
                <w:rFonts w:hint="default" w:ascii="楷体_GB2312" w:eastAsia="楷体_GB2312"/>
                <w:color w:val="000000"/>
                <w:kern w:val="0"/>
                <w:sz w:val="24"/>
                <w:lang w:val="en-US" w:eastAsia="zh-CN"/>
              </w:rPr>
            </w:pPr>
            <w:r>
              <w:rPr>
                <w:rFonts w:hint="eastAsia" w:ascii="楷体_GB2312" w:eastAsia="楷体_GB2312"/>
                <w:color w:val="000000"/>
                <w:kern w:val="0"/>
                <w:sz w:val="24"/>
                <w:lang w:val="en-US" w:eastAsia="zh-CN"/>
              </w:rPr>
              <w:t>4.22</w:t>
            </w:r>
          </w:p>
        </w:tc>
        <w:tc>
          <w:tcPr>
            <w:tcW w:w="708" w:type="dxa"/>
            <w:vAlign w:val="center"/>
          </w:tcPr>
          <w:p w14:paraId="36BC5989">
            <w:pPr>
              <w:snapToGrid w:val="0"/>
              <w:spacing w:before="62" w:beforeLines="20" w:after="62" w:afterLines="20"/>
              <w:jc w:val="center"/>
              <w:textAlignment w:val="center"/>
              <w:rPr>
                <w:rFonts w:ascii="楷体_GB2312" w:eastAsia="楷体_GB2312"/>
                <w:color w:val="000000"/>
                <w:kern w:val="0"/>
                <w:sz w:val="24"/>
              </w:rPr>
            </w:pPr>
          </w:p>
        </w:tc>
      </w:tr>
      <w:tr w14:paraId="196CF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c>
          <w:tcPr>
            <w:tcW w:w="1526" w:type="dxa"/>
            <w:vAlign w:val="center"/>
          </w:tcPr>
          <w:p w14:paraId="09A235CE">
            <w:pPr>
              <w:snapToGrid w:val="0"/>
              <w:spacing w:before="62" w:beforeLines="20" w:after="62" w:afterLines="20"/>
              <w:jc w:val="center"/>
              <w:textAlignment w:val="center"/>
              <w:rPr>
                <w:rFonts w:ascii="楷体_GB2312" w:eastAsia="楷体_GB2312"/>
                <w:color w:val="000000"/>
                <w:kern w:val="0"/>
                <w:sz w:val="24"/>
              </w:rPr>
            </w:pPr>
            <w:r>
              <w:rPr>
                <w:rFonts w:hint="eastAsia" w:ascii="楷体_GB2312" w:eastAsia="楷体_GB2312"/>
                <w:color w:val="000000"/>
                <w:kern w:val="0"/>
                <w:sz w:val="24"/>
              </w:rPr>
              <w:t>民营经济增加值占比（%）</w:t>
            </w:r>
          </w:p>
        </w:tc>
        <w:tc>
          <w:tcPr>
            <w:tcW w:w="850" w:type="dxa"/>
            <w:vAlign w:val="center"/>
          </w:tcPr>
          <w:p w14:paraId="306E9864">
            <w:pPr>
              <w:snapToGrid w:val="0"/>
              <w:spacing w:before="62" w:beforeLines="20" w:after="62" w:afterLines="20"/>
              <w:jc w:val="center"/>
              <w:textAlignment w:val="center"/>
              <w:rPr>
                <w:rFonts w:hint="eastAsia" w:ascii="楷体_GB2312" w:eastAsia="楷体_GB2312" w:hAnsiTheme="minorHAnsi"/>
                <w:b/>
                <w:color w:val="000000"/>
                <w:kern w:val="0"/>
                <w:sz w:val="24"/>
                <w:lang w:val="en-US" w:eastAsia="zh-CN"/>
              </w:rPr>
            </w:pPr>
            <w:r>
              <w:rPr>
                <w:rFonts w:hint="eastAsia" w:ascii="楷体_GB2312" w:eastAsia="楷体_GB2312" w:hAnsiTheme="minorHAnsi"/>
                <w:b/>
                <w:color w:val="000000"/>
                <w:kern w:val="0"/>
                <w:sz w:val="24"/>
                <w:lang w:val="en-US" w:eastAsia="zh-CN"/>
              </w:rPr>
              <w:t>-</w:t>
            </w:r>
          </w:p>
        </w:tc>
        <w:tc>
          <w:tcPr>
            <w:tcW w:w="709" w:type="dxa"/>
            <w:vAlign w:val="center"/>
          </w:tcPr>
          <w:p w14:paraId="2AC5842A">
            <w:pPr>
              <w:snapToGrid w:val="0"/>
              <w:spacing w:before="62" w:beforeLines="20" w:after="62" w:afterLines="20"/>
              <w:ind w:firstLine="482"/>
              <w:jc w:val="center"/>
              <w:textAlignment w:val="center"/>
              <w:rPr>
                <w:rFonts w:ascii="楷体_GB2312" w:eastAsia="楷体_GB2312" w:hAnsiTheme="minorHAnsi"/>
                <w:b/>
                <w:color w:val="000000"/>
                <w:kern w:val="0"/>
                <w:sz w:val="24"/>
              </w:rPr>
            </w:pPr>
          </w:p>
        </w:tc>
        <w:tc>
          <w:tcPr>
            <w:tcW w:w="1418" w:type="dxa"/>
            <w:gridSpan w:val="2"/>
            <w:vAlign w:val="center"/>
          </w:tcPr>
          <w:p w14:paraId="5B0D853D">
            <w:pPr>
              <w:snapToGrid w:val="0"/>
              <w:spacing w:before="62" w:beforeLines="20" w:after="62" w:afterLines="20"/>
              <w:ind w:firstLine="482"/>
              <w:jc w:val="both"/>
              <w:textAlignment w:val="center"/>
              <w:rPr>
                <w:rFonts w:hint="eastAsia" w:ascii="楷体_GB2312" w:eastAsia="楷体_GB2312" w:hAnsiTheme="minorHAnsi"/>
                <w:b/>
                <w:color w:val="000000"/>
                <w:kern w:val="0"/>
                <w:sz w:val="24"/>
                <w:lang w:val="en-US" w:eastAsia="zh-CN"/>
              </w:rPr>
            </w:pPr>
            <w:r>
              <w:rPr>
                <w:rFonts w:hint="eastAsia" w:ascii="楷体_GB2312" w:eastAsia="楷体_GB2312" w:hAnsiTheme="minorHAnsi"/>
                <w:b/>
                <w:color w:val="000000"/>
                <w:kern w:val="0"/>
                <w:sz w:val="24"/>
                <w:lang w:val="en-US" w:eastAsia="zh-CN"/>
              </w:rPr>
              <w:t>-</w:t>
            </w:r>
          </w:p>
        </w:tc>
        <w:tc>
          <w:tcPr>
            <w:tcW w:w="1134" w:type="dxa"/>
            <w:vAlign w:val="center"/>
          </w:tcPr>
          <w:p w14:paraId="040F9FC8">
            <w:pPr>
              <w:snapToGrid w:val="0"/>
              <w:spacing w:before="62" w:beforeLines="20" w:after="62" w:afterLines="20"/>
              <w:ind w:firstLine="482"/>
              <w:jc w:val="both"/>
              <w:textAlignment w:val="center"/>
              <w:rPr>
                <w:rFonts w:hint="eastAsia" w:ascii="楷体_GB2312" w:eastAsia="楷体_GB2312" w:hAnsiTheme="minorHAnsi"/>
                <w:b/>
                <w:color w:val="000000"/>
                <w:kern w:val="0"/>
                <w:sz w:val="24"/>
                <w:lang w:val="en-US" w:eastAsia="zh-CN"/>
              </w:rPr>
            </w:pPr>
            <w:r>
              <w:rPr>
                <w:rFonts w:hint="eastAsia" w:ascii="楷体_GB2312" w:eastAsia="楷体_GB2312" w:hAnsiTheme="minorHAnsi"/>
                <w:b/>
                <w:color w:val="000000"/>
                <w:kern w:val="0"/>
                <w:sz w:val="24"/>
                <w:lang w:val="en-US" w:eastAsia="zh-CN"/>
              </w:rPr>
              <w:t>-</w:t>
            </w:r>
          </w:p>
        </w:tc>
        <w:tc>
          <w:tcPr>
            <w:tcW w:w="1134" w:type="dxa"/>
            <w:vAlign w:val="center"/>
          </w:tcPr>
          <w:p w14:paraId="0D860D70">
            <w:pPr>
              <w:snapToGrid w:val="0"/>
              <w:spacing w:before="62" w:beforeLines="20" w:after="62" w:afterLines="20"/>
              <w:jc w:val="center"/>
              <w:textAlignment w:val="center"/>
              <w:rPr>
                <w:rFonts w:ascii="楷体_GB2312" w:eastAsia="楷体_GB2312"/>
                <w:color w:val="000000"/>
                <w:kern w:val="0"/>
                <w:sz w:val="24"/>
              </w:rPr>
            </w:pPr>
            <w:r>
              <w:rPr>
                <w:rFonts w:hint="eastAsia" w:ascii="楷体_GB2312" w:eastAsia="楷体_GB2312"/>
                <w:color w:val="000000"/>
                <w:kern w:val="0"/>
                <w:sz w:val="24"/>
              </w:rPr>
              <w:t>53</w:t>
            </w:r>
          </w:p>
        </w:tc>
        <w:tc>
          <w:tcPr>
            <w:tcW w:w="1134" w:type="dxa"/>
            <w:vAlign w:val="center"/>
          </w:tcPr>
          <w:p w14:paraId="2A99C5B1">
            <w:pPr>
              <w:snapToGrid w:val="0"/>
              <w:spacing w:before="62" w:beforeLines="20" w:after="62" w:afterLines="20"/>
              <w:ind w:firstLine="482"/>
              <w:jc w:val="both"/>
              <w:textAlignment w:val="center"/>
              <w:rPr>
                <w:rFonts w:hint="eastAsia" w:ascii="楷体_GB2312" w:eastAsia="楷体_GB2312" w:hAnsiTheme="minorHAnsi"/>
                <w:b/>
                <w:color w:val="000000"/>
                <w:kern w:val="0"/>
                <w:sz w:val="24"/>
                <w:lang w:val="en-US" w:eastAsia="zh-CN"/>
              </w:rPr>
            </w:pPr>
            <w:r>
              <w:rPr>
                <w:rFonts w:hint="eastAsia" w:ascii="楷体_GB2312" w:eastAsia="楷体_GB2312" w:hAnsiTheme="minorHAnsi"/>
                <w:b/>
                <w:color w:val="000000"/>
                <w:kern w:val="0"/>
                <w:sz w:val="24"/>
                <w:lang w:val="en-US" w:eastAsia="zh-CN"/>
              </w:rPr>
              <w:t>-</w:t>
            </w:r>
          </w:p>
        </w:tc>
        <w:tc>
          <w:tcPr>
            <w:tcW w:w="708" w:type="dxa"/>
            <w:vAlign w:val="center"/>
          </w:tcPr>
          <w:p w14:paraId="1DD7E190">
            <w:pPr>
              <w:snapToGrid w:val="0"/>
              <w:spacing w:before="62" w:beforeLines="20" w:after="62" w:afterLines="20"/>
              <w:ind w:firstLine="482"/>
              <w:jc w:val="center"/>
              <w:textAlignment w:val="center"/>
              <w:rPr>
                <w:rFonts w:ascii="楷体_GB2312" w:eastAsia="楷体_GB2312" w:hAnsiTheme="minorHAnsi"/>
                <w:b/>
                <w:color w:val="000000"/>
                <w:kern w:val="0"/>
                <w:sz w:val="24"/>
              </w:rPr>
            </w:pPr>
          </w:p>
        </w:tc>
      </w:tr>
      <w:tr w14:paraId="0D279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c>
          <w:tcPr>
            <w:tcW w:w="1526" w:type="dxa"/>
            <w:vAlign w:val="center"/>
          </w:tcPr>
          <w:p w14:paraId="2BE6F9D3">
            <w:pPr>
              <w:snapToGrid w:val="0"/>
              <w:spacing w:before="62" w:beforeLines="20" w:after="62" w:afterLines="20"/>
              <w:jc w:val="center"/>
              <w:textAlignment w:val="center"/>
              <w:rPr>
                <w:rFonts w:ascii="楷体_GB2312" w:eastAsia="楷体_GB2312"/>
                <w:color w:val="000000"/>
                <w:kern w:val="0"/>
                <w:sz w:val="24"/>
              </w:rPr>
            </w:pPr>
            <w:r>
              <w:rPr>
                <w:rFonts w:hint="eastAsia" w:ascii="楷体_GB2312" w:eastAsia="楷体_GB2312"/>
                <w:color w:val="000000"/>
                <w:kern w:val="0"/>
                <w:sz w:val="24"/>
              </w:rPr>
              <w:t>城镇居民人均可支配收入总量（元）</w:t>
            </w:r>
          </w:p>
        </w:tc>
        <w:tc>
          <w:tcPr>
            <w:tcW w:w="850" w:type="dxa"/>
            <w:vAlign w:val="center"/>
          </w:tcPr>
          <w:p w14:paraId="247D64EB">
            <w:pPr>
              <w:snapToGrid w:val="0"/>
              <w:spacing w:before="62" w:beforeLines="20" w:after="62" w:afterLines="20"/>
              <w:jc w:val="center"/>
              <w:textAlignment w:val="center"/>
              <w:rPr>
                <w:rFonts w:hint="default" w:ascii="楷体_GB2312" w:eastAsia="楷体_GB2312"/>
                <w:color w:val="000000"/>
                <w:kern w:val="0"/>
                <w:sz w:val="24"/>
                <w:lang w:val="en-US" w:eastAsia="zh-CN"/>
              </w:rPr>
            </w:pPr>
            <w:r>
              <w:rPr>
                <w:rFonts w:hint="eastAsia" w:ascii="楷体_GB2312" w:eastAsia="楷体_GB2312"/>
                <w:color w:val="000000"/>
                <w:kern w:val="0"/>
                <w:sz w:val="24"/>
                <w:lang w:val="en-US" w:eastAsia="zh-CN"/>
              </w:rPr>
              <w:t>39343</w:t>
            </w:r>
          </w:p>
        </w:tc>
        <w:tc>
          <w:tcPr>
            <w:tcW w:w="709" w:type="dxa"/>
            <w:vAlign w:val="center"/>
          </w:tcPr>
          <w:p w14:paraId="524BD73C">
            <w:pPr>
              <w:snapToGrid w:val="0"/>
              <w:spacing w:before="62" w:beforeLines="20" w:after="62" w:afterLines="20"/>
              <w:ind w:firstLine="482"/>
              <w:jc w:val="center"/>
              <w:textAlignment w:val="center"/>
              <w:rPr>
                <w:rFonts w:ascii="楷体_GB2312" w:eastAsia="楷体_GB2312" w:hAnsiTheme="minorHAnsi"/>
                <w:b/>
                <w:color w:val="000000"/>
                <w:kern w:val="0"/>
                <w:sz w:val="24"/>
              </w:rPr>
            </w:pPr>
          </w:p>
        </w:tc>
        <w:tc>
          <w:tcPr>
            <w:tcW w:w="1418" w:type="dxa"/>
            <w:gridSpan w:val="2"/>
            <w:vAlign w:val="center"/>
          </w:tcPr>
          <w:p w14:paraId="5B66E6A5">
            <w:pPr>
              <w:snapToGrid w:val="0"/>
              <w:spacing w:before="62" w:beforeLines="20" w:after="62" w:afterLines="20"/>
              <w:ind w:firstLine="482"/>
              <w:jc w:val="both"/>
              <w:textAlignment w:val="center"/>
              <w:rPr>
                <w:rFonts w:hint="eastAsia" w:ascii="楷体_GB2312" w:eastAsia="楷体_GB2312" w:hAnsiTheme="minorHAnsi"/>
                <w:b/>
                <w:color w:val="000000"/>
                <w:kern w:val="0"/>
                <w:sz w:val="24"/>
                <w:lang w:val="en-US" w:eastAsia="zh-CN"/>
              </w:rPr>
            </w:pPr>
            <w:r>
              <w:rPr>
                <w:rFonts w:hint="eastAsia" w:ascii="楷体_GB2312" w:eastAsia="楷体_GB2312" w:hAnsiTheme="minorHAnsi"/>
                <w:b/>
                <w:color w:val="000000"/>
                <w:kern w:val="0"/>
                <w:sz w:val="24"/>
                <w:lang w:val="en-US" w:eastAsia="zh-CN"/>
              </w:rPr>
              <w:t>-</w:t>
            </w:r>
          </w:p>
        </w:tc>
        <w:tc>
          <w:tcPr>
            <w:tcW w:w="1134" w:type="dxa"/>
            <w:vAlign w:val="center"/>
          </w:tcPr>
          <w:p w14:paraId="2FA1D417">
            <w:pPr>
              <w:snapToGrid w:val="0"/>
              <w:spacing w:before="62" w:beforeLines="20" w:after="62" w:afterLines="20"/>
              <w:ind w:firstLine="482"/>
              <w:jc w:val="both"/>
              <w:textAlignment w:val="center"/>
              <w:rPr>
                <w:rFonts w:hint="eastAsia" w:ascii="楷体_GB2312" w:eastAsia="楷体_GB2312" w:hAnsiTheme="minorHAnsi"/>
                <w:b/>
                <w:color w:val="000000"/>
                <w:kern w:val="0"/>
                <w:sz w:val="24"/>
                <w:lang w:val="en-US" w:eastAsia="zh-CN"/>
              </w:rPr>
            </w:pPr>
            <w:r>
              <w:rPr>
                <w:rFonts w:hint="eastAsia" w:ascii="楷体_GB2312" w:eastAsia="楷体_GB2312" w:hAnsiTheme="minorHAnsi"/>
                <w:b/>
                <w:color w:val="000000"/>
                <w:kern w:val="0"/>
                <w:sz w:val="24"/>
                <w:lang w:val="en-US" w:eastAsia="zh-CN"/>
              </w:rPr>
              <w:t>-</w:t>
            </w:r>
          </w:p>
        </w:tc>
        <w:tc>
          <w:tcPr>
            <w:tcW w:w="1134" w:type="dxa"/>
            <w:vAlign w:val="center"/>
          </w:tcPr>
          <w:p w14:paraId="40B48AFB">
            <w:pPr>
              <w:snapToGrid w:val="0"/>
              <w:spacing w:before="62" w:beforeLines="20" w:after="62" w:afterLines="20"/>
              <w:jc w:val="center"/>
              <w:textAlignment w:val="center"/>
              <w:rPr>
                <w:rFonts w:hint="default" w:ascii="楷体_GB2312" w:eastAsia="楷体_GB2312"/>
                <w:color w:val="000000"/>
                <w:kern w:val="0"/>
                <w:sz w:val="24"/>
                <w:lang w:val="en-US" w:eastAsia="zh-CN"/>
              </w:rPr>
            </w:pPr>
            <w:r>
              <w:rPr>
                <w:rFonts w:hint="eastAsia" w:ascii="楷体_GB2312" w:eastAsia="楷体_GB2312"/>
                <w:color w:val="000000"/>
                <w:kern w:val="0"/>
                <w:sz w:val="24"/>
              </w:rPr>
              <w:t>46</w:t>
            </w:r>
            <w:r>
              <w:rPr>
                <w:rFonts w:hint="eastAsia" w:ascii="楷体_GB2312" w:eastAsia="楷体_GB2312"/>
                <w:color w:val="000000"/>
                <w:kern w:val="0"/>
                <w:sz w:val="24"/>
                <w:lang w:val="en-US" w:eastAsia="zh-CN"/>
              </w:rPr>
              <w:t>373</w:t>
            </w:r>
          </w:p>
        </w:tc>
        <w:tc>
          <w:tcPr>
            <w:tcW w:w="1134" w:type="dxa"/>
            <w:vAlign w:val="center"/>
          </w:tcPr>
          <w:p w14:paraId="6AB08C74">
            <w:pPr>
              <w:snapToGrid w:val="0"/>
              <w:spacing w:before="62" w:beforeLines="20" w:after="62" w:afterLines="20"/>
              <w:jc w:val="center"/>
              <w:textAlignment w:val="center"/>
              <w:rPr>
                <w:rFonts w:hint="default" w:ascii="楷体_GB2312" w:eastAsia="楷体_GB2312"/>
                <w:color w:val="000000"/>
                <w:kern w:val="0"/>
                <w:sz w:val="24"/>
                <w:lang w:val="en-US" w:eastAsia="zh-CN"/>
              </w:rPr>
            </w:pPr>
            <w:r>
              <w:rPr>
                <w:rFonts w:hint="eastAsia" w:ascii="楷体_GB2312" w:eastAsia="楷体_GB2312"/>
                <w:color w:val="000000"/>
                <w:kern w:val="0"/>
                <w:sz w:val="24"/>
                <w:lang w:val="en-US" w:eastAsia="zh-CN"/>
              </w:rPr>
              <w:t>3.34</w:t>
            </w:r>
          </w:p>
        </w:tc>
        <w:tc>
          <w:tcPr>
            <w:tcW w:w="708" w:type="dxa"/>
            <w:vAlign w:val="center"/>
          </w:tcPr>
          <w:p w14:paraId="73ECA8EC">
            <w:pPr>
              <w:snapToGrid w:val="0"/>
              <w:spacing w:before="62" w:beforeLines="20" w:after="62" w:afterLines="20"/>
              <w:ind w:firstLine="482"/>
              <w:jc w:val="center"/>
              <w:textAlignment w:val="center"/>
              <w:rPr>
                <w:rFonts w:ascii="楷体_GB2312" w:eastAsia="楷体_GB2312" w:hAnsiTheme="minorHAnsi"/>
                <w:b/>
                <w:color w:val="000000"/>
                <w:kern w:val="0"/>
                <w:sz w:val="24"/>
              </w:rPr>
            </w:pPr>
          </w:p>
        </w:tc>
      </w:tr>
      <w:tr w14:paraId="04439D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c>
          <w:tcPr>
            <w:tcW w:w="1526" w:type="dxa"/>
            <w:vAlign w:val="center"/>
          </w:tcPr>
          <w:p w14:paraId="6DA74FAD">
            <w:pPr>
              <w:snapToGrid w:val="0"/>
              <w:spacing w:before="62" w:beforeLines="20" w:after="62" w:afterLines="20"/>
              <w:jc w:val="center"/>
              <w:textAlignment w:val="center"/>
              <w:rPr>
                <w:rFonts w:ascii="楷体_GB2312" w:eastAsia="楷体_GB2312"/>
                <w:color w:val="000000"/>
                <w:kern w:val="0"/>
                <w:sz w:val="24"/>
              </w:rPr>
            </w:pPr>
            <w:r>
              <w:rPr>
                <w:rFonts w:hint="eastAsia" w:ascii="楷体_GB2312" w:eastAsia="楷体_GB2312"/>
                <w:color w:val="000000"/>
                <w:kern w:val="0"/>
                <w:sz w:val="24"/>
              </w:rPr>
              <w:t>农村居民人均可支配收入总量（元）</w:t>
            </w:r>
          </w:p>
        </w:tc>
        <w:tc>
          <w:tcPr>
            <w:tcW w:w="850" w:type="dxa"/>
            <w:vAlign w:val="center"/>
          </w:tcPr>
          <w:p w14:paraId="57E58903">
            <w:pPr>
              <w:snapToGrid w:val="0"/>
              <w:spacing w:before="62" w:beforeLines="20" w:after="62" w:afterLines="20"/>
              <w:jc w:val="center"/>
              <w:textAlignment w:val="center"/>
              <w:rPr>
                <w:rFonts w:hint="default" w:ascii="楷体_GB2312" w:eastAsia="楷体_GB2312"/>
                <w:color w:val="000000"/>
                <w:kern w:val="0"/>
                <w:sz w:val="24"/>
                <w:lang w:val="en-US" w:eastAsia="zh-CN"/>
              </w:rPr>
            </w:pPr>
            <w:r>
              <w:rPr>
                <w:rFonts w:hint="eastAsia" w:ascii="楷体_GB2312" w:eastAsia="楷体_GB2312"/>
                <w:color w:val="000000"/>
                <w:kern w:val="0"/>
                <w:sz w:val="24"/>
                <w:lang w:val="en-US" w:eastAsia="zh-CN"/>
              </w:rPr>
              <w:t>13009</w:t>
            </w:r>
          </w:p>
        </w:tc>
        <w:tc>
          <w:tcPr>
            <w:tcW w:w="709" w:type="dxa"/>
            <w:vAlign w:val="center"/>
          </w:tcPr>
          <w:p w14:paraId="1F4E2F9D">
            <w:pPr>
              <w:pStyle w:val="15"/>
              <w:snapToGrid w:val="0"/>
              <w:spacing w:before="62" w:beforeLines="20" w:after="62" w:afterLines="20"/>
              <w:ind w:firstLine="0" w:firstLineChars="0"/>
              <w:jc w:val="center"/>
              <w:rPr>
                <w:rFonts w:ascii="楷体_GB2312" w:eastAsia="楷体_GB2312" w:hAnsiTheme="minorHAnsi"/>
                <w:b/>
                <w:sz w:val="32"/>
                <w:szCs w:val="32"/>
              </w:rPr>
            </w:pPr>
          </w:p>
        </w:tc>
        <w:tc>
          <w:tcPr>
            <w:tcW w:w="1418" w:type="dxa"/>
            <w:gridSpan w:val="2"/>
            <w:vAlign w:val="center"/>
          </w:tcPr>
          <w:p w14:paraId="452283D4">
            <w:pPr>
              <w:pStyle w:val="15"/>
              <w:snapToGrid w:val="0"/>
              <w:spacing w:before="62" w:beforeLines="20" w:after="62" w:afterLines="20"/>
              <w:ind w:firstLine="0" w:firstLineChars="0"/>
              <w:jc w:val="center"/>
              <w:rPr>
                <w:rFonts w:hint="eastAsia" w:ascii="楷体_GB2312" w:eastAsia="楷体_GB2312" w:hAnsiTheme="minorHAnsi"/>
                <w:b/>
                <w:sz w:val="32"/>
                <w:szCs w:val="32"/>
                <w:lang w:val="en-US" w:eastAsia="zh-CN"/>
              </w:rPr>
            </w:pPr>
            <w:r>
              <w:rPr>
                <w:rFonts w:hint="eastAsia" w:ascii="楷体_GB2312" w:eastAsia="楷体_GB2312" w:hAnsiTheme="minorHAnsi"/>
                <w:b/>
                <w:sz w:val="32"/>
                <w:szCs w:val="32"/>
                <w:lang w:val="en-US" w:eastAsia="zh-CN"/>
              </w:rPr>
              <w:t>-</w:t>
            </w:r>
          </w:p>
        </w:tc>
        <w:tc>
          <w:tcPr>
            <w:tcW w:w="1134" w:type="dxa"/>
            <w:vAlign w:val="center"/>
          </w:tcPr>
          <w:p w14:paraId="0FEB4D91">
            <w:pPr>
              <w:snapToGrid w:val="0"/>
              <w:spacing w:before="62" w:beforeLines="20" w:after="62" w:afterLines="20"/>
              <w:ind w:firstLine="482"/>
              <w:jc w:val="both"/>
              <w:textAlignment w:val="center"/>
              <w:rPr>
                <w:rFonts w:hint="eastAsia" w:ascii="楷体_GB2312" w:eastAsia="楷体_GB2312" w:hAnsiTheme="minorHAnsi"/>
                <w:b/>
                <w:color w:val="000000"/>
                <w:kern w:val="0"/>
                <w:sz w:val="24"/>
                <w:lang w:val="en-US" w:eastAsia="zh-CN"/>
              </w:rPr>
            </w:pPr>
            <w:r>
              <w:rPr>
                <w:rFonts w:hint="eastAsia" w:ascii="楷体_GB2312" w:eastAsia="楷体_GB2312" w:hAnsiTheme="minorHAnsi"/>
                <w:b/>
                <w:color w:val="000000"/>
                <w:kern w:val="0"/>
                <w:sz w:val="24"/>
                <w:lang w:val="en-US" w:eastAsia="zh-CN"/>
              </w:rPr>
              <w:t>-</w:t>
            </w:r>
          </w:p>
        </w:tc>
        <w:tc>
          <w:tcPr>
            <w:tcW w:w="1134" w:type="dxa"/>
            <w:vAlign w:val="center"/>
          </w:tcPr>
          <w:p w14:paraId="4CC633FA">
            <w:pPr>
              <w:snapToGrid w:val="0"/>
              <w:spacing w:before="62" w:beforeLines="20" w:after="62" w:afterLines="20"/>
              <w:jc w:val="center"/>
              <w:textAlignment w:val="center"/>
              <w:rPr>
                <w:rFonts w:hint="default" w:ascii="楷体_GB2312" w:eastAsia="楷体_GB2312"/>
                <w:color w:val="000000"/>
                <w:kern w:val="0"/>
                <w:sz w:val="24"/>
                <w:lang w:val="en-US" w:eastAsia="zh-CN"/>
              </w:rPr>
            </w:pPr>
            <w:r>
              <w:rPr>
                <w:rFonts w:hint="eastAsia" w:ascii="楷体_GB2312" w:eastAsia="楷体_GB2312"/>
                <w:color w:val="000000"/>
                <w:kern w:val="0"/>
                <w:sz w:val="24"/>
              </w:rPr>
              <w:t>18</w:t>
            </w:r>
            <w:r>
              <w:rPr>
                <w:rFonts w:hint="eastAsia" w:ascii="楷体_GB2312" w:eastAsia="楷体_GB2312"/>
                <w:color w:val="000000"/>
                <w:kern w:val="0"/>
                <w:sz w:val="24"/>
                <w:lang w:val="en-US" w:eastAsia="zh-CN"/>
              </w:rPr>
              <w:t>139</w:t>
            </w:r>
          </w:p>
        </w:tc>
        <w:tc>
          <w:tcPr>
            <w:tcW w:w="1134" w:type="dxa"/>
            <w:vAlign w:val="center"/>
          </w:tcPr>
          <w:p w14:paraId="29E50058">
            <w:pPr>
              <w:snapToGrid w:val="0"/>
              <w:spacing w:before="62" w:beforeLines="20" w:after="62" w:afterLines="20"/>
              <w:jc w:val="center"/>
              <w:textAlignment w:val="center"/>
              <w:rPr>
                <w:rFonts w:hint="default" w:ascii="楷体_GB2312" w:eastAsia="楷体_GB2312"/>
                <w:color w:val="000000"/>
                <w:kern w:val="0"/>
                <w:sz w:val="24"/>
                <w:lang w:val="en-US" w:eastAsia="zh-CN"/>
              </w:rPr>
            </w:pPr>
            <w:r>
              <w:rPr>
                <w:rFonts w:hint="eastAsia" w:ascii="楷体_GB2312" w:eastAsia="楷体_GB2312"/>
                <w:color w:val="000000"/>
                <w:kern w:val="0"/>
                <w:sz w:val="24"/>
                <w:lang w:val="en-US" w:eastAsia="zh-CN"/>
              </w:rPr>
              <w:t>6.87</w:t>
            </w:r>
          </w:p>
        </w:tc>
        <w:tc>
          <w:tcPr>
            <w:tcW w:w="708" w:type="dxa"/>
            <w:vAlign w:val="center"/>
          </w:tcPr>
          <w:p w14:paraId="67A40F33">
            <w:pPr>
              <w:snapToGrid w:val="0"/>
              <w:spacing w:before="62" w:beforeLines="20" w:after="62" w:afterLines="20"/>
              <w:ind w:firstLine="482"/>
              <w:jc w:val="center"/>
              <w:textAlignment w:val="center"/>
              <w:rPr>
                <w:rFonts w:ascii="楷体_GB2312" w:eastAsia="楷体_GB2312" w:hAnsiTheme="minorHAnsi"/>
                <w:b/>
                <w:color w:val="000000"/>
                <w:kern w:val="0"/>
                <w:sz w:val="24"/>
              </w:rPr>
            </w:pPr>
          </w:p>
        </w:tc>
      </w:tr>
    </w:tbl>
    <w:p w14:paraId="47AD3B77">
      <w:pPr>
        <w:snapToGrid w:val="0"/>
        <w:spacing w:before="93" w:beforeLines="30" w:after="93" w:afterLines="30"/>
        <w:ind w:firstLine="480" w:firstLineChars="200"/>
        <w:rPr>
          <w:rFonts w:eastAsia="楷体_GB2312"/>
          <w:bCs/>
          <w:sz w:val="32"/>
          <w:szCs w:val="32"/>
        </w:rPr>
      </w:pPr>
      <w:r>
        <w:rPr>
          <w:rFonts w:hint="eastAsia"/>
          <w:bCs/>
          <w:color w:val="000000"/>
          <w:kern w:val="0"/>
          <w:sz w:val="24"/>
        </w:rPr>
        <w:t>备注：按照上级要求，2023年起将全社会固定资产投资，改为固定资产投资，统计口径有所变化。</w:t>
      </w:r>
      <w:bookmarkEnd w:id="24"/>
      <w:bookmarkEnd w:id="25"/>
    </w:p>
    <w:p w14:paraId="7541F2C1">
      <w:pPr>
        <w:pStyle w:val="15"/>
        <w:numPr>
          <w:ilvl w:val="0"/>
          <w:numId w:val="3"/>
        </w:numPr>
        <w:spacing w:before="156" w:beforeLines="50" w:after="156" w:afterLines="50" w:line="580" w:lineRule="exact"/>
        <w:ind w:left="1080" w:hanging="1080" w:firstLineChars="0"/>
        <w:jc w:val="center"/>
        <w:outlineLvl w:val="2"/>
        <w:rPr>
          <w:rFonts w:eastAsia="楷体_GB2312"/>
          <w:b/>
          <w:color w:val="000000"/>
          <w:kern w:val="0"/>
          <w:sz w:val="32"/>
          <w:szCs w:val="32"/>
        </w:rPr>
      </w:pPr>
      <w:bookmarkStart w:id="28" w:name="_Toc20096"/>
      <w:r>
        <w:rPr>
          <w:rFonts w:hint="eastAsia" w:eastAsia="楷体_GB2312"/>
          <w:b/>
          <w:color w:val="000000"/>
          <w:kern w:val="0"/>
          <w:sz w:val="32"/>
          <w:szCs w:val="32"/>
        </w:rPr>
        <w:t xml:space="preserve"> </w:t>
      </w:r>
      <w:bookmarkStart w:id="29" w:name="_Toc218241021"/>
      <w:r>
        <w:rPr>
          <w:rFonts w:hint="eastAsia" w:eastAsia="楷体_GB2312"/>
          <w:b/>
          <w:color w:val="000000"/>
          <w:kern w:val="0"/>
          <w:sz w:val="32"/>
          <w:szCs w:val="32"/>
        </w:rPr>
        <w:t>“十五五”时期面临形势</w:t>
      </w:r>
      <w:bookmarkEnd w:id="28"/>
      <w:bookmarkEnd w:id="29"/>
      <w:bookmarkStart w:id="30" w:name="OLE_LINK157"/>
      <w:bookmarkStart w:id="31" w:name="OLE_LINK76"/>
      <w:bookmarkStart w:id="32" w:name="OLE_LINK156"/>
      <w:bookmarkStart w:id="33" w:name="OLE_LINK133"/>
    </w:p>
    <w:p w14:paraId="032A761B">
      <w:pPr>
        <w:spacing w:line="580" w:lineRule="exact"/>
        <w:ind w:firstLine="640" w:firstLineChars="200"/>
        <w:rPr>
          <w:rFonts w:eastAsia="仿宋_GB2312"/>
          <w:color w:val="000000"/>
          <w:sz w:val="32"/>
          <w:szCs w:val="28"/>
        </w:rPr>
      </w:pPr>
      <w:r>
        <w:rPr>
          <w:rFonts w:hint="eastAsia" w:eastAsia="仿宋_GB2312"/>
          <w:color w:val="000000"/>
          <w:sz w:val="32"/>
          <w:szCs w:val="28"/>
        </w:rPr>
        <w:t>“十五五”时期，世界之变、时代之变、历史之变正以前所未有的方式展开。从</w:t>
      </w:r>
      <w:r>
        <w:rPr>
          <w:rFonts w:eastAsia="仿宋_GB2312"/>
          <w:color w:val="000000"/>
          <w:sz w:val="32"/>
          <w:szCs w:val="28"/>
        </w:rPr>
        <w:t>国际看，世界百年未有之大变局加速演进，新一轮科技革命和产业变革纵深推进，不稳定不确定因素显著增多。</w:t>
      </w:r>
      <w:r>
        <w:rPr>
          <w:rFonts w:hint="eastAsia" w:eastAsia="仿宋_GB2312"/>
          <w:color w:val="000000"/>
          <w:sz w:val="32"/>
          <w:szCs w:val="28"/>
        </w:rPr>
        <w:t>从国内看，“十五五”时期，中国式现代化“四梁八柱”加速构建。经济动力和结构加快转换，发展更多依靠内需特别是消费需求带动，因地制宜发展新质生产力成为推动经济高质量发展战略引擎，以县城为重要载体的城镇化建设加速城乡融合，粮食、能源、战略性矿产资源安全及生态安全的重要性和紧迫性进一步上升，</w:t>
      </w:r>
      <w:bookmarkStart w:id="34" w:name="OLE_LINK177"/>
      <w:bookmarkStart w:id="35" w:name="OLE_LINK170"/>
      <w:r>
        <w:rPr>
          <w:rFonts w:hint="eastAsia" w:eastAsia="仿宋_GB2312"/>
          <w:color w:val="000000"/>
          <w:sz w:val="32"/>
          <w:szCs w:val="28"/>
        </w:rPr>
        <w:t>人工智能、低空经济、新能源等</w:t>
      </w:r>
      <w:r>
        <w:rPr>
          <w:rFonts w:eastAsia="仿宋_GB2312"/>
          <w:color w:val="000000"/>
          <w:sz w:val="32"/>
          <w:szCs w:val="28"/>
        </w:rPr>
        <w:t>新赛道正在不断涌现</w:t>
      </w:r>
      <w:bookmarkEnd w:id="34"/>
      <w:bookmarkEnd w:id="35"/>
      <w:r>
        <w:rPr>
          <w:rFonts w:hint="eastAsia" w:eastAsia="仿宋_GB2312"/>
          <w:color w:val="000000"/>
          <w:sz w:val="32"/>
          <w:szCs w:val="28"/>
        </w:rPr>
        <w:t>，推动更多资金资源“投资于人”、服务于民生等重大战略举措，为理塘“十五五”推动经济社会高质量发展指明了方向。</w:t>
      </w:r>
    </w:p>
    <w:bookmarkEnd w:id="30"/>
    <w:bookmarkEnd w:id="31"/>
    <w:bookmarkEnd w:id="32"/>
    <w:p w14:paraId="6B8E5AC0">
      <w:pPr>
        <w:ind w:firstLine="640" w:firstLineChars="200"/>
        <w:rPr>
          <w:rFonts w:eastAsia="仿宋_GB2312"/>
          <w:sz w:val="32"/>
          <w:szCs w:val="32"/>
        </w:rPr>
      </w:pPr>
      <w:r>
        <w:rPr>
          <w:rFonts w:hint="eastAsia" w:eastAsia="仿宋_GB2312"/>
          <w:color w:val="000000"/>
          <w:sz w:val="32"/>
          <w:szCs w:val="28"/>
        </w:rPr>
        <w:t>我县发展机遇大于挑战。国家推进中国式现代化、推动实现全体人民共同富裕，深入实施区域协调发展战略、主体功能区战略，实施对口帮扶、东西部协作等</w:t>
      </w:r>
      <w:r>
        <w:rPr>
          <w:rFonts w:eastAsia="仿宋_GB2312"/>
          <w:bCs/>
          <w:sz w:val="32"/>
          <w:szCs w:val="32"/>
        </w:rPr>
        <w:t>差别化区域支持政策</w:t>
      </w:r>
      <w:r>
        <w:rPr>
          <w:rFonts w:hint="eastAsia" w:eastAsia="仿宋_GB2312"/>
          <w:bCs/>
          <w:sz w:val="32"/>
          <w:szCs w:val="32"/>
        </w:rPr>
        <w:t>，有利于坚定</w:t>
      </w:r>
      <w:r>
        <w:rPr>
          <w:rFonts w:eastAsia="仿宋_GB2312"/>
          <w:bCs/>
          <w:sz w:val="32"/>
          <w:szCs w:val="32"/>
        </w:rPr>
        <w:t>现代化新理塘建设</w:t>
      </w:r>
      <w:r>
        <w:rPr>
          <w:rFonts w:hint="eastAsia" w:eastAsia="仿宋_GB2312"/>
          <w:bCs/>
          <w:sz w:val="32"/>
          <w:szCs w:val="32"/>
        </w:rPr>
        <w:t>信心。</w:t>
      </w:r>
      <w:r>
        <w:rPr>
          <w:rFonts w:eastAsia="仿宋_GB2312"/>
          <w:bCs/>
          <w:sz w:val="32"/>
          <w:szCs w:val="32"/>
        </w:rPr>
        <w:t>国家将碳达峰碳中和纳入生态文明建设整体布局，大力推进绿色低碳产业发展</w:t>
      </w:r>
      <w:r>
        <w:rPr>
          <w:rFonts w:hint="eastAsia" w:eastAsia="仿宋_GB2312"/>
          <w:bCs/>
          <w:sz w:val="32"/>
          <w:szCs w:val="32"/>
        </w:rPr>
        <w:t>，有利于拓展我县农牧业、文旅、清洁能源发展空间。</w:t>
      </w:r>
      <w:r>
        <w:rPr>
          <w:rFonts w:eastAsia="仿宋_GB2312"/>
          <w:bCs/>
          <w:sz w:val="32"/>
          <w:szCs w:val="32"/>
        </w:rPr>
        <w:t>全省</w:t>
      </w:r>
      <w:r>
        <w:rPr>
          <w:rFonts w:hint="eastAsia" w:eastAsia="仿宋_GB2312"/>
          <w:bCs/>
          <w:sz w:val="32"/>
          <w:szCs w:val="32"/>
        </w:rPr>
        <w:t>强化国家战略腹地支撑功能建设、</w:t>
      </w:r>
      <w:r>
        <w:rPr>
          <w:rFonts w:eastAsia="仿宋_GB2312"/>
          <w:bCs/>
          <w:sz w:val="32"/>
          <w:szCs w:val="32"/>
        </w:rPr>
        <w:t>深入推进“五区共兴”</w:t>
      </w:r>
      <w:r>
        <w:rPr>
          <w:rFonts w:hint="eastAsia" w:eastAsia="仿宋_GB2312"/>
          <w:bCs/>
          <w:sz w:val="32"/>
          <w:szCs w:val="32"/>
        </w:rPr>
        <w:t>、</w:t>
      </w:r>
      <w:r>
        <w:rPr>
          <w:rFonts w:eastAsia="仿宋_GB2312"/>
          <w:bCs/>
          <w:sz w:val="32"/>
          <w:szCs w:val="32"/>
        </w:rPr>
        <w:t>着力推动欠发达地区跨越发展</w:t>
      </w:r>
      <w:r>
        <w:rPr>
          <w:rFonts w:hint="eastAsia" w:eastAsia="仿宋_GB2312"/>
          <w:bCs/>
          <w:sz w:val="32"/>
          <w:szCs w:val="32"/>
        </w:rPr>
        <w:t>，有利于我县在战略储备能力建设、产业发展、基础设施补短板等方面获得更多发展支持。甘孜建设</w:t>
      </w:r>
      <w:bookmarkStart w:id="36" w:name="OLE_LINK82"/>
      <w:r>
        <w:rPr>
          <w:rFonts w:eastAsia="仿宋_GB2312"/>
          <w:bCs/>
          <w:sz w:val="32"/>
          <w:szCs w:val="32"/>
        </w:rPr>
        <w:t>“</w:t>
      </w:r>
      <w:r>
        <w:rPr>
          <w:rFonts w:hint="eastAsia" w:eastAsia="仿宋_GB2312"/>
          <w:bCs/>
          <w:sz w:val="32"/>
          <w:szCs w:val="32"/>
        </w:rPr>
        <w:t>州域副中心（康南中心）</w:t>
      </w:r>
      <w:r>
        <w:rPr>
          <w:rFonts w:eastAsia="仿宋_GB2312"/>
          <w:bCs/>
          <w:sz w:val="32"/>
          <w:szCs w:val="32"/>
        </w:rPr>
        <w:t>”</w:t>
      </w:r>
      <w:bookmarkEnd w:id="36"/>
      <w:r>
        <w:rPr>
          <w:rFonts w:hint="eastAsia" w:eastAsia="仿宋_GB2312"/>
          <w:bCs/>
          <w:sz w:val="32"/>
          <w:szCs w:val="32"/>
        </w:rPr>
        <w:t>部署，有利于我县</w:t>
      </w:r>
      <w:r>
        <w:rPr>
          <w:rFonts w:eastAsia="仿宋_GB2312"/>
          <w:bCs/>
          <w:sz w:val="32"/>
          <w:szCs w:val="32"/>
        </w:rPr>
        <w:t>实现交通、产业、生态、民生的多维跃升</w:t>
      </w:r>
      <w:r>
        <w:rPr>
          <w:rFonts w:hint="eastAsia" w:eastAsia="仿宋_GB2312"/>
          <w:bCs/>
          <w:sz w:val="32"/>
          <w:szCs w:val="32"/>
        </w:rPr>
        <w:t>。川藏铁路等一批战略性工程实施，将</w:t>
      </w:r>
      <w:r>
        <w:rPr>
          <w:rFonts w:eastAsia="仿宋_GB2312"/>
          <w:sz w:val="32"/>
          <w:szCs w:val="32"/>
        </w:rPr>
        <w:t>有效促进人流、物流、资金流、信息流大进大出、快进快出</w:t>
      </w:r>
      <w:r>
        <w:rPr>
          <w:rFonts w:hint="eastAsia" w:eastAsia="仿宋_GB2312"/>
          <w:sz w:val="32"/>
          <w:szCs w:val="32"/>
        </w:rPr>
        <w:t>，有利于理塘更好融入成渝地区双城经济圈建设，助力全州加速构建东融、西联、南拓、北延的开放合作发展格局。</w:t>
      </w:r>
    </w:p>
    <w:p w14:paraId="2BD4F2AB">
      <w:pPr>
        <w:spacing w:line="580" w:lineRule="exact"/>
        <w:ind w:firstLine="640" w:firstLineChars="200"/>
        <w:rPr>
          <w:rFonts w:eastAsia="仿宋_GB2312"/>
          <w:bCs/>
          <w:sz w:val="32"/>
          <w:szCs w:val="32"/>
        </w:rPr>
      </w:pPr>
      <w:r>
        <w:rPr>
          <w:rFonts w:hint="eastAsia" w:eastAsia="仿宋_GB2312"/>
          <w:bCs/>
          <w:sz w:val="32"/>
          <w:szCs w:val="32"/>
        </w:rPr>
        <w:t>同时，“发展不快、发展质效不高、发展优势转化不足”仍是我县最大实际，面临发展不充分不平衡、优势资源利用不够、基础设施薄弱、</w:t>
      </w:r>
      <w:bookmarkStart w:id="37" w:name="OLE_LINK63"/>
      <w:bookmarkStart w:id="38" w:name="OLE_LINK58"/>
      <w:r>
        <w:rPr>
          <w:rFonts w:hint="eastAsia" w:eastAsia="仿宋_GB2312"/>
          <w:bCs/>
          <w:sz w:val="32"/>
          <w:szCs w:val="32"/>
        </w:rPr>
        <w:t>生态保护压力</w:t>
      </w:r>
      <w:bookmarkEnd w:id="37"/>
      <w:bookmarkEnd w:id="38"/>
      <w:r>
        <w:rPr>
          <w:rFonts w:hint="eastAsia" w:eastAsia="仿宋_GB2312"/>
          <w:bCs/>
          <w:sz w:val="32"/>
          <w:szCs w:val="32"/>
        </w:rPr>
        <w:t>大、社会发育滞后与维护社会稳定任务等突出困难和挑战。</w:t>
      </w:r>
    </w:p>
    <w:p w14:paraId="37631ED2">
      <w:pPr>
        <w:spacing w:line="580" w:lineRule="exact"/>
        <w:ind w:firstLine="640" w:firstLineChars="200"/>
        <w:rPr>
          <w:rFonts w:eastAsia="仿宋_GB2312"/>
          <w:bCs/>
          <w:sz w:val="32"/>
          <w:szCs w:val="32"/>
        </w:rPr>
      </w:pPr>
      <w:r>
        <w:rPr>
          <w:rFonts w:hint="eastAsia" w:eastAsia="仿宋_GB2312"/>
          <w:bCs/>
          <w:sz w:val="32"/>
          <w:szCs w:val="32"/>
        </w:rPr>
        <w:t>放眼“十五五”，虽然面临困难挑战依然不少，但我县经济稳定运行、高质量发展的大势没有改变。应倍加珍惜过去五年取得的成绩，总结提炼好的做法和取得的成功经验，在国、省、州战略方向指引下，把握发展是解决所有问题的关键作用，既要把准大局大势，提升战略思维，把理塘发展放在全国、全省、全州大局中谋划，真正把事关理塘发展的问题找准、政策吃透，也要结合我县实际，细化实化举措，谋深谋实项目，因势利导、乘势而上，着力锻长补短、扬优强弱，全方位推动理塘高质量发展不断取得新突破。</w:t>
      </w:r>
    </w:p>
    <w:bookmarkEnd w:id="33"/>
    <w:p w14:paraId="13892B0C">
      <w:pPr>
        <w:pStyle w:val="15"/>
        <w:numPr>
          <w:ilvl w:val="0"/>
          <w:numId w:val="2"/>
        </w:numPr>
        <w:spacing w:before="156" w:beforeLines="50" w:after="156" w:afterLines="50" w:line="580" w:lineRule="exact"/>
        <w:ind w:left="1080" w:hanging="1080" w:firstLineChars="0"/>
        <w:jc w:val="center"/>
        <w:outlineLvl w:val="1"/>
        <w:rPr>
          <w:rFonts w:eastAsia="黑体"/>
          <w:sz w:val="32"/>
          <w:szCs w:val="32"/>
        </w:rPr>
      </w:pPr>
      <w:bookmarkStart w:id="39" w:name="_Toc212814816"/>
      <w:bookmarkStart w:id="40" w:name="_Toc20107"/>
      <w:bookmarkStart w:id="41" w:name="_Toc214372620"/>
      <w:bookmarkStart w:id="42" w:name="_Toc14515"/>
      <w:r>
        <w:rPr>
          <w:rFonts w:hint="eastAsia" w:eastAsia="黑体"/>
          <w:sz w:val="32"/>
          <w:szCs w:val="32"/>
        </w:rPr>
        <w:t xml:space="preserve"> </w:t>
      </w:r>
      <w:bookmarkStart w:id="43" w:name="_Toc218241022"/>
      <w:r>
        <w:rPr>
          <w:rFonts w:eastAsia="黑体"/>
          <w:sz w:val="32"/>
          <w:szCs w:val="32"/>
        </w:rPr>
        <w:t>总体要求</w:t>
      </w:r>
      <w:bookmarkEnd w:id="39"/>
      <w:bookmarkEnd w:id="40"/>
      <w:bookmarkEnd w:id="41"/>
      <w:bookmarkEnd w:id="42"/>
      <w:bookmarkEnd w:id="43"/>
    </w:p>
    <w:p w14:paraId="10F5D923">
      <w:pPr>
        <w:spacing w:line="580" w:lineRule="exact"/>
        <w:ind w:firstLine="640" w:firstLineChars="200"/>
        <w:rPr>
          <w:rFonts w:eastAsia="仿宋_GB2312"/>
          <w:bCs/>
          <w:sz w:val="32"/>
          <w:szCs w:val="32"/>
        </w:rPr>
      </w:pPr>
      <w:r>
        <w:rPr>
          <w:rFonts w:eastAsia="仿宋_GB2312"/>
          <w:bCs/>
          <w:sz w:val="32"/>
          <w:szCs w:val="32"/>
        </w:rPr>
        <w:t>坚持以习近平新时代中国特色社会主义思想为指导，深入贯彻党的二十大和二十届二中、三中</w:t>
      </w:r>
      <w:r>
        <w:rPr>
          <w:rFonts w:hint="eastAsia" w:eastAsia="仿宋_GB2312"/>
          <w:bCs/>
          <w:sz w:val="32"/>
          <w:szCs w:val="32"/>
        </w:rPr>
        <w:t>、四中</w:t>
      </w:r>
      <w:r>
        <w:rPr>
          <w:rFonts w:eastAsia="仿宋_GB2312"/>
          <w:bCs/>
          <w:sz w:val="32"/>
          <w:szCs w:val="32"/>
        </w:rPr>
        <w:t>全会精神，坚定落实习近平生态文明思想和习近平总书记来川视察重要指示精神，全面贯彻新时代党的治藏方略，认真落实省州第十二次党代会和省委州委十二届历次全会决策，扎实推进县委十三届历次全会部署，完整准确全面贯彻新发展理念，紧扣高质量发展首要任务，</w:t>
      </w:r>
      <w:bookmarkStart w:id="44" w:name="OLE_LINK54"/>
      <w:bookmarkStart w:id="45" w:name="OLE_LINK55"/>
      <w:r>
        <w:rPr>
          <w:rFonts w:hint="eastAsia" w:eastAsia="仿宋_GB2312"/>
          <w:bCs/>
          <w:sz w:val="32"/>
          <w:szCs w:val="32"/>
        </w:rPr>
        <w:t>积极融入国、省、州重大发展战略</w:t>
      </w:r>
      <w:bookmarkEnd w:id="44"/>
      <w:bookmarkEnd w:id="45"/>
      <w:r>
        <w:rPr>
          <w:rFonts w:hint="eastAsia" w:eastAsia="仿宋_GB2312"/>
          <w:bCs/>
          <w:sz w:val="32"/>
          <w:szCs w:val="32"/>
        </w:rPr>
        <w:t>，统筹发展和安全两个大局，</w:t>
      </w:r>
      <w:bookmarkStart w:id="46" w:name="OLE_LINK18"/>
      <w:bookmarkStart w:id="47" w:name="OLE_LINK27"/>
      <w:r>
        <w:rPr>
          <w:rFonts w:hint="eastAsia" w:eastAsia="仿宋_GB2312"/>
          <w:bCs/>
          <w:sz w:val="32"/>
          <w:szCs w:val="32"/>
        </w:rPr>
        <w:t>发挥特色优势促进新质生产力</w:t>
      </w:r>
      <w:bookmarkEnd w:id="46"/>
      <w:bookmarkEnd w:id="47"/>
      <w:r>
        <w:rPr>
          <w:rFonts w:hint="eastAsia" w:eastAsia="仿宋_GB2312"/>
          <w:bCs/>
          <w:sz w:val="32"/>
          <w:szCs w:val="32"/>
        </w:rPr>
        <w:t>稳步布局，</w:t>
      </w:r>
      <w:r>
        <w:rPr>
          <w:rFonts w:eastAsia="仿宋_GB2312"/>
          <w:bCs/>
          <w:sz w:val="32"/>
          <w:szCs w:val="32"/>
        </w:rPr>
        <w:t>深入实施建设“两带</w:t>
      </w:r>
      <w:r>
        <w:rPr>
          <w:rFonts w:hint="eastAsia" w:eastAsia="仿宋_GB2312"/>
          <w:bCs/>
          <w:sz w:val="32"/>
          <w:szCs w:val="32"/>
        </w:rPr>
        <w:t>四</w:t>
      </w:r>
      <w:r>
        <w:rPr>
          <w:rFonts w:eastAsia="仿宋_GB2312"/>
          <w:bCs/>
          <w:sz w:val="32"/>
          <w:szCs w:val="32"/>
        </w:rPr>
        <w:t>区”做强“四篇文章”系统部署，聚力</w:t>
      </w:r>
      <w:bookmarkStart w:id="48" w:name="OLE_LINK40"/>
      <w:bookmarkStart w:id="49" w:name="OLE_LINK39"/>
      <w:r>
        <w:rPr>
          <w:rFonts w:eastAsia="仿宋_GB2312"/>
          <w:bCs/>
          <w:sz w:val="32"/>
          <w:szCs w:val="32"/>
        </w:rPr>
        <w:t>发展</w:t>
      </w:r>
      <w:bookmarkEnd w:id="48"/>
      <w:bookmarkEnd w:id="49"/>
      <w:r>
        <w:rPr>
          <w:rFonts w:eastAsia="仿宋_GB2312"/>
          <w:bCs/>
          <w:sz w:val="32"/>
          <w:szCs w:val="32"/>
        </w:rPr>
        <w:t>壮大“六型经济”</w:t>
      </w:r>
      <w:r>
        <w:rPr>
          <w:rFonts w:hint="eastAsia" w:eastAsia="仿宋_GB2312"/>
          <w:bCs/>
          <w:sz w:val="32"/>
          <w:szCs w:val="32"/>
        </w:rPr>
        <w:t>，</w:t>
      </w:r>
      <w:r>
        <w:rPr>
          <w:rFonts w:eastAsia="仿宋_GB2312"/>
          <w:bCs/>
          <w:sz w:val="32"/>
          <w:szCs w:val="32"/>
        </w:rPr>
        <w:t>做深做实“十大理塘行动”</w:t>
      </w:r>
      <w:r>
        <w:rPr>
          <w:rFonts w:hint="eastAsia" w:eastAsia="仿宋_GB2312"/>
          <w:bCs/>
          <w:sz w:val="32"/>
          <w:szCs w:val="32"/>
        </w:rPr>
        <w:t>。加快建设</w:t>
      </w:r>
      <w:bookmarkStart w:id="50" w:name="OLE_LINK38"/>
      <w:r>
        <w:rPr>
          <w:rFonts w:hint="eastAsia" w:eastAsia="仿宋_GB2312"/>
          <w:bCs/>
          <w:sz w:val="32"/>
          <w:szCs w:val="32"/>
        </w:rPr>
        <w:t>“州域副中心（康南中心）”</w:t>
      </w:r>
      <w:r>
        <w:rPr>
          <w:rFonts w:hint="eastAsia"/>
        </w:rPr>
        <w:t xml:space="preserve"> </w:t>
      </w:r>
      <w:r>
        <w:rPr>
          <w:rFonts w:hint="eastAsia" w:eastAsia="仿宋_GB2312"/>
          <w:bCs/>
          <w:sz w:val="32"/>
          <w:szCs w:val="32"/>
        </w:rPr>
        <w:t>之经济中心、文化中心、交通中心、教育中心、医疗中心、物流中心、游客集散中心，</w:t>
      </w:r>
      <w:r>
        <w:rPr>
          <w:rFonts w:eastAsia="仿宋_GB2312"/>
          <w:bCs/>
          <w:sz w:val="32"/>
          <w:szCs w:val="32"/>
        </w:rPr>
        <w:t>奋力谱写中国式现代化建设理塘新篇章。</w:t>
      </w:r>
    </w:p>
    <w:p w14:paraId="7F85096E">
      <w:pPr>
        <w:spacing w:line="580" w:lineRule="exact"/>
        <w:ind w:firstLine="640" w:firstLineChars="200"/>
        <w:rPr>
          <w:rFonts w:eastAsia="仿宋_GB2312"/>
          <w:bCs/>
          <w:sz w:val="32"/>
          <w:szCs w:val="32"/>
        </w:rPr>
      </w:pPr>
      <w:r>
        <w:rPr>
          <w:rFonts w:hint="eastAsia" w:eastAsia="仿宋_GB2312"/>
          <w:bCs/>
          <w:sz w:val="32"/>
          <w:szCs w:val="32"/>
        </w:rPr>
        <w:t>推动“十五五”时期理塘经济社会发展，最根本的是要坚持和加强党的全面领导、坚持人民至上、坚持新发展理念，强化发展意识，夯实发展基础，培育发展动力，健全发展机制，并重点把握好以下原则。</w:t>
      </w:r>
    </w:p>
    <w:bookmarkEnd w:id="50"/>
    <w:p w14:paraId="385C6E38">
      <w:pPr>
        <w:spacing w:line="580" w:lineRule="exact"/>
        <w:ind w:firstLine="643" w:firstLineChars="200"/>
        <w:rPr>
          <w:rFonts w:eastAsia="仿宋_GB2312"/>
          <w:bCs/>
          <w:sz w:val="32"/>
          <w:szCs w:val="32"/>
        </w:rPr>
      </w:pPr>
      <w:r>
        <w:rPr>
          <w:rFonts w:hint="eastAsia" w:eastAsia="仿宋_GB2312"/>
          <w:b/>
          <w:bCs/>
          <w:sz w:val="32"/>
          <w:szCs w:val="32"/>
        </w:rPr>
        <w:t>——</w:t>
      </w:r>
      <w:r>
        <w:rPr>
          <w:rFonts w:eastAsia="仿宋_GB2312"/>
          <w:b/>
          <w:bCs/>
          <w:sz w:val="32"/>
          <w:szCs w:val="32"/>
        </w:rPr>
        <w:t>坚持服务战略全局与提升发展位势相融合</w:t>
      </w:r>
      <w:r>
        <w:rPr>
          <w:rFonts w:hint="eastAsia" w:eastAsia="仿宋_GB2312"/>
          <w:bCs/>
          <w:sz w:val="32"/>
          <w:szCs w:val="32"/>
        </w:rPr>
        <w:t>。</w:t>
      </w:r>
      <w:r>
        <w:rPr>
          <w:rFonts w:eastAsia="仿宋_GB2312"/>
          <w:bCs/>
          <w:sz w:val="32"/>
          <w:szCs w:val="32"/>
        </w:rPr>
        <w:t>把理塘发展放在全国、全省</w:t>
      </w:r>
      <w:r>
        <w:rPr>
          <w:rFonts w:hint="eastAsia" w:eastAsia="仿宋_GB2312"/>
          <w:bCs/>
          <w:sz w:val="32"/>
          <w:szCs w:val="32"/>
        </w:rPr>
        <w:t>、</w:t>
      </w:r>
      <w:r>
        <w:rPr>
          <w:rFonts w:eastAsia="仿宋_GB2312"/>
          <w:bCs/>
          <w:sz w:val="32"/>
          <w:szCs w:val="32"/>
        </w:rPr>
        <w:t>全州大局中谋划思考定位，立足理塘新的历史方位和阶段特征，积极融入和服务新发展格局，</w:t>
      </w:r>
      <w:r>
        <w:rPr>
          <w:rFonts w:hint="eastAsia" w:eastAsia="仿宋_GB2312"/>
          <w:bCs/>
          <w:sz w:val="32"/>
          <w:szCs w:val="32"/>
        </w:rPr>
        <w:t>在</w:t>
      </w:r>
      <w:r>
        <w:rPr>
          <w:rFonts w:eastAsia="仿宋_GB2312"/>
          <w:bCs/>
          <w:sz w:val="32"/>
          <w:szCs w:val="32"/>
        </w:rPr>
        <w:t>全省建设“两高地两基地一屏障”</w:t>
      </w:r>
      <w:r>
        <w:rPr>
          <w:rFonts w:hint="eastAsia" w:eastAsia="仿宋_GB2312"/>
          <w:bCs/>
          <w:sz w:val="32"/>
          <w:szCs w:val="32"/>
        </w:rPr>
        <w:t>、</w:t>
      </w:r>
      <w:r>
        <w:rPr>
          <w:rFonts w:eastAsia="仿宋_GB2312"/>
          <w:bCs/>
          <w:sz w:val="32"/>
          <w:szCs w:val="32"/>
        </w:rPr>
        <w:t>全州建设“一州两区三地”等重大使命中扛牢理塘担当，以一域为全局增光添彩，在服务全局中提升理塘发展能级和发展位势。</w:t>
      </w:r>
    </w:p>
    <w:p w14:paraId="3FF436A3">
      <w:pPr>
        <w:spacing w:line="580" w:lineRule="exact"/>
        <w:ind w:firstLine="643" w:firstLineChars="200"/>
        <w:rPr>
          <w:rFonts w:eastAsia="仿宋_GB2312"/>
          <w:bCs/>
          <w:sz w:val="32"/>
          <w:szCs w:val="32"/>
        </w:rPr>
      </w:pPr>
      <w:bookmarkStart w:id="51" w:name="_Toc12443"/>
      <w:bookmarkStart w:id="52" w:name="_Toc27475"/>
      <w:r>
        <w:rPr>
          <w:rFonts w:hint="eastAsia" w:eastAsia="仿宋_GB2312"/>
          <w:b/>
          <w:bCs/>
          <w:sz w:val="32"/>
          <w:szCs w:val="32"/>
        </w:rPr>
        <w:t>——坚持新质生产力发展和传统生产力优化相结合</w:t>
      </w:r>
      <w:bookmarkEnd w:id="51"/>
      <w:bookmarkEnd w:id="52"/>
      <w:r>
        <w:rPr>
          <w:rFonts w:hint="eastAsia" w:eastAsia="仿宋_GB2312"/>
          <w:bCs/>
          <w:sz w:val="32"/>
          <w:szCs w:val="32"/>
        </w:rPr>
        <w:t>。</w:t>
      </w:r>
      <w:r>
        <w:rPr>
          <w:rFonts w:eastAsia="仿宋_GB2312"/>
          <w:bCs/>
          <w:sz w:val="32"/>
          <w:szCs w:val="32"/>
        </w:rPr>
        <w:t>牢牢把握高质量发展这个首要任务，紧抓新一轮科技革命和产业变革历史机遇，鲜明绿色低碳发展导向，立足</w:t>
      </w:r>
      <w:r>
        <w:rPr>
          <w:rFonts w:hint="eastAsia" w:eastAsia="仿宋_GB2312"/>
          <w:bCs/>
          <w:sz w:val="32"/>
          <w:szCs w:val="32"/>
        </w:rPr>
        <w:t>全</w:t>
      </w:r>
      <w:r>
        <w:rPr>
          <w:rFonts w:eastAsia="仿宋_GB2312"/>
          <w:bCs/>
          <w:sz w:val="32"/>
          <w:szCs w:val="32"/>
        </w:rPr>
        <w:t>县资源禀赋、产业基础，因地制宜推进新质生产力发展，狠抓传统产业转型升级，力促新兴产业培育发展，推进数字经济和实体经济深度融合，</w:t>
      </w:r>
      <w:r>
        <w:rPr>
          <w:rFonts w:hint="eastAsia" w:eastAsia="仿宋_GB2312"/>
          <w:bCs/>
          <w:sz w:val="32"/>
          <w:szCs w:val="32"/>
        </w:rPr>
        <w:t>全面增强产业竞争力、要素聚集力、区域辐射力。</w:t>
      </w:r>
    </w:p>
    <w:p w14:paraId="3CA5F24E">
      <w:pPr>
        <w:spacing w:line="580" w:lineRule="exact"/>
        <w:ind w:firstLine="643" w:firstLineChars="200"/>
        <w:rPr>
          <w:rFonts w:eastAsia="仿宋_GB2312"/>
          <w:bCs/>
          <w:sz w:val="32"/>
          <w:szCs w:val="32"/>
        </w:rPr>
      </w:pPr>
      <w:r>
        <w:rPr>
          <w:rFonts w:hint="eastAsia" w:eastAsia="仿宋_GB2312"/>
          <w:b/>
          <w:bCs/>
          <w:sz w:val="32"/>
          <w:szCs w:val="32"/>
        </w:rPr>
        <w:t>——</w:t>
      </w:r>
      <w:r>
        <w:rPr>
          <w:rFonts w:eastAsia="仿宋_GB2312"/>
          <w:b/>
          <w:bCs/>
          <w:sz w:val="32"/>
          <w:szCs w:val="32"/>
        </w:rPr>
        <w:t>坚持</w:t>
      </w:r>
      <w:r>
        <w:rPr>
          <w:rFonts w:hint="eastAsia" w:eastAsia="仿宋_GB2312"/>
          <w:b/>
          <w:bCs/>
          <w:sz w:val="32"/>
          <w:szCs w:val="32"/>
        </w:rPr>
        <w:t>全面深化</w:t>
      </w:r>
      <w:r>
        <w:rPr>
          <w:rFonts w:eastAsia="仿宋_GB2312"/>
          <w:b/>
          <w:bCs/>
          <w:sz w:val="32"/>
          <w:szCs w:val="32"/>
        </w:rPr>
        <w:t>改革和高水平</w:t>
      </w:r>
      <w:r>
        <w:rPr>
          <w:rFonts w:hint="eastAsia" w:eastAsia="仿宋_GB2312"/>
          <w:b/>
          <w:bCs/>
          <w:sz w:val="32"/>
          <w:szCs w:val="32"/>
        </w:rPr>
        <w:t>对外</w:t>
      </w:r>
      <w:r>
        <w:rPr>
          <w:rFonts w:eastAsia="仿宋_GB2312"/>
          <w:b/>
          <w:bCs/>
          <w:sz w:val="32"/>
          <w:szCs w:val="32"/>
        </w:rPr>
        <w:t>开放相统一</w:t>
      </w:r>
      <w:bookmarkStart w:id="53" w:name="OLE_LINK60"/>
      <w:bookmarkStart w:id="54" w:name="OLE_LINK61"/>
      <w:r>
        <w:rPr>
          <w:rFonts w:hint="eastAsia" w:eastAsia="仿宋_GB2312"/>
          <w:bCs/>
          <w:sz w:val="32"/>
          <w:szCs w:val="32"/>
        </w:rPr>
        <w:t>。</w:t>
      </w:r>
      <w:r>
        <w:rPr>
          <w:rFonts w:eastAsia="仿宋_GB2312"/>
          <w:bCs/>
          <w:sz w:val="32"/>
          <w:szCs w:val="32"/>
        </w:rPr>
        <w:t>发挥改革开放关键一招作</w:t>
      </w:r>
      <w:bookmarkEnd w:id="53"/>
      <w:bookmarkEnd w:id="54"/>
      <w:r>
        <w:rPr>
          <w:rFonts w:eastAsia="仿宋_GB2312"/>
          <w:bCs/>
          <w:sz w:val="32"/>
          <w:szCs w:val="32"/>
        </w:rPr>
        <w:t>用，推动改革系统集成协同高效，以深层次改革破除制约高质量发展、高效能治理、高品质生活的体制机制障碍</w:t>
      </w:r>
      <w:r>
        <w:rPr>
          <w:rFonts w:hint="eastAsia" w:eastAsia="仿宋_GB2312"/>
          <w:bCs/>
          <w:sz w:val="32"/>
          <w:szCs w:val="32"/>
        </w:rPr>
        <w:t>。</w:t>
      </w:r>
      <w:r>
        <w:rPr>
          <w:rFonts w:eastAsia="仿宋_GB2312"/>
          <w:bCs/>
          <w:sz w:val="32"/>
          <w:szCs w:val="32"/>
        </w:rPr>
        <w:t>实施立体全面开放合作，持续深化东西部协作和对口支援、托底性帮扶、结对帮扶体制机制，推动理塘在更大范围、更宽领域、更高平台聚集资源</w:t>
      </w:r>
      <w:r>
        <w:rPr>
          <w:rFonts w:hint="eastAsia" w:eastAsia="仿宋_GB2312"/>
          <w:bCs/>
          <w:sz w:val="32"/>
          <w:szCs w:val="32"/>
        </w:rPr>
        <w:t>，</w:t>
      </w:r>
      <w:r>
        <w:rPr>
          <w:rFonts w:eastAsia="仿宋_GB2312"/>
          <w:bCs/>
          <w:sz w:val="32"/>
          <w:szCs w:val="32"/>
        </w:rPr>
        <w:t>持续提高发展质量、提升全局分量。</w:t>
      </w:r>
    </w:p>
    <w:p w14:paraId="387D99E1">
      <w:pPr>
        <w:spacing w:line="580" w:lineRule="exact"/>
        <w:ind w:firstLine="643" w:firstLineChars="200"/>
        <w:rPr>
          <w:rFonts w:eastAsia="仿宋_GB2312"/>
          <w:bCs/>
          <w:sz w:val="32"/>
          <w:szCs w:val="32"/>
        </w:rPr>
      </w:pPr>
      <w:r>
        <w:rPr>
          <w:rFonts w:hint="eastAsia" w:eastAsia="仿宋_GB2312"/>
          <w:b/>
          <w:bCs/>
          <w:sz w:val="32"/>
          <w:szCs w:val="32"/>
        </w:rPr>
        <w:t>——</w:t>
      </w:r>
      <w:bookmarkStart w:id="55" w:name="OLE_LINK143"/>
      <w:bookmarkStart w:id="56" w:name="OLE_LINK36"/>
      <w:bookmarkStart w:id="57" w:name="OLE_LINK142"/>
      <w:r>
        <w:rPr>
          <w:rFonts w:hint="eastAsia" w:eastAsia="仿宋_GB2312"/>
          <w:b/>
          <w:bCs/>
          <w:sz w:val="32"/>
          <w:szCs w:val="32"/>
        </w:rPr>
        <w:t>坚持高质量发展和高水平安全相</w:t>
      </w:r>
      <w:bookmarkEnd w:id="55"/>
      <w:bookmarkEnd w:id="56"/>
      <w:bookmarkEnd w:id="57"/>
      <w:r>
        <w:rPr>
          <w:rFonts w:hint="eastAsia" w:eastAsia="仿宋_GB2312"/>
          <w:b/>
          <w:bCs/>
          <w:sz w:val="32"/>
          <w:szCs w:val="32"/>
        </w:rPr>
        <w:t>统筹</w:t>
      </w:r>
      <w:r>
        <w:rPr>
          <w:rFonts w:hint="eastAsia" w:eastAsia="仿宋_GB2312"/>
          <w:bCs/>
          <w:sz w:val="32"/>
          <w:szCs w:val="32"/>
        </w:rPr>
        <w:t>。</w:t>
      </w:r>
      <w:r>
        <w:rPr>
          <w:rFonts w:eastAsia="仿宋_GB2312"/>
          <w:bCs/>
          <w:sz w:val="32"/>
          <w:szCs w:val="32"/>
        </w:rPr>
        <w:t>完整、准确、全面贯彻新时代党的治藏方略，有形有感有效抓实铸牢中华民族共同体意识工作</w:t>
      </w:r>
      <w:r>
        <w:rPr>
          <w:rFonts w:hint="eastAsia" w:eastAsia="仿宋_GB2312"/>
          <w:bCs/>
          <w:sz w:val="32"/>
          <w:szCs w:val="32"/>
        </w:rPr>
        <w:t>，推动维护社会稳定向主动塑造稳定转变。</w:t>
      </w:r>
      <w:r>
        <w:rPr>
          <w:rFonts w:eastAsia="仿宋_GB2312"/>
          <w:bCs/>
          <w:sz w:val="32"/>
          <w:szCs w:val="32"/>
        </w:rPr>
        <w:t>提高把握机遇能力，</w:t>
      </w:r>
      <w:r>
        <w:rPr>
          <w:rFonts w:hint="eastAsia" w:eastAsia="仿宋_GB2312"/>
          <w:bCs/>
          <w:sz w:val="32"/>
          <w:szCs w:val="32"/>
        </w:rPr>
        <w:t>完善“平急两用”公共设施，强化战略物资储备，不断提升</w:t>
      </w:r>
      <w:r>
        <w:rPr>
          <w:rFonts w:eastAsia="仿宋_GB2312"/>
          <w:bCs/>
          <w:sz w:val="32"/>
          <w:szCs w:val="32"/>
        </w:rPr>
        <w:t>应急管理能力、防灾减灾能力、粮食和能源保障能力，有效应对各类风险挑战。</w:t>
      </w:r>
    </w:p>
    <w:p w14:paraId="32E029AC">
      <w:pPr>
        <w:spacing w:line="580" w:lineRule="exact"/>
        <w:ind w:firstLine="643" w:firstLineChars="200"/>
        <w:rPr>
          <w:rFonts w:eastAsia="仿宋_GB2312"/>
          <w:bCs/>
          <w:sz w:val="32"/>
          <w:szCs w:val="32"/>
        </w:rPr>
      </w:pPr>
      <w:bookmarkStart w:id="58" w:name="_Toc10858"/>
      <w:bookmarkStart w:id="59" w:name="_Toc28268"/>
      <w:bookmarkStart w:id="60" w:name="_Toc15514"/>
      <w:r>
        <w:rPr>
          <w:rFonts w:hint="eastAsia" w:eastAsia="仿宋_GB2312"/>
          <w:b/>
          <w:bCs/>
          <w:sz w:val="32"/>
          <w:szCs w:val="32"/>
        </w:rPr>
        <w:t>——</w:t>
      </w:r>
      <w:bookmarkStart w:id="61" w:name="OLE_LINK179"/>
      <w:bookmarkStart w:id="62" w:name="OLE_LINK180"/>
      <w:r>
        <w:rPr>
          <w:rFonts w:hint="eastAsia" w:eastAsia="仿宋_GB2312"/>
          <w:b/>
          <w:bCs/>
          <w:sz w:val="32"/>
          <w:szCs w:val="32"/>
        </w:rPr>
        <w:t>坚持促进经济发展与民生改善相促进</w:t>
      </w:r>
      <w:bookmarkEnd w:id="61"/>
      <w:bookmarkEnd w:id="62"/>
      <w:r>
        <w:rPr>
          <w:rFonts w:hint="eastAsia" w:eastAsia="仿宋_GB2312"/>
          <w:b/>
          <w:bCs/>
          <w:sz w:val="32"/>
          <w:szCs w:val="32"/>
        </w:rPr>
        <w:t>。</w:t>
      </w:r>
      <w:r>
        <w:rPr>
          <w:rFonts w:eastAsia="仿宋_GB2312"/>
          <w:bCs/>
          <w:sz w:val="32"/>
          <w:szCs w:val="32"/>
        </w:rPr>
        <w:t>以满足人民日益增长的美好生活需要为</w:t>
      </w:r>
      <w:r>
        <w:rPr>
          <w:rFonts w:hint="eastAsia" w:eastAsia="仿宋_GB2312"/>
          <w:bCs/>
          <w:sz w:val="32"/>
          <w:szCs w:val="32"/>
        </w:rPr>
        <w:t>一切工作</w:t>
      </w:r>
      <w:r>
        <w:rPr>
          <w:rFonts w:eastAsia="仿宋_GB2312"/>
          <w:bCs/>
          <w:sz w:val="32"/>
          <w:szCs w:val="32"/>
        </w:rPr>
        <w:t>出发点和落脚点</w:t>
      </w:r>
      <w:r>
        <w:rPr>
          <w:rFonts w:hint="eastAsia" w:eastAsia="仿宋_GB2312"/>
          <w:bCs/>
          <w:sz w:val="32"/>
          <w:szCs w:val="32"/>
        </w:rPr>
        <w:t>，持续彰显理塘“县为民造福、民为县立业”新价值观，探索完善促进共同富裕机制，</w:t>
      </w:r>
      <w:bookmarkStart w:id="63" w:name="OLE_LINK102"/>
      <w:bookmarkStart w:id="64" w:name="OLE_LINK112"/>
      <w:r>
        <w:rPr>
          <w:rFonts w:hint="eastAsia" w:eastAsia="仿宋_GB2312"/>
          <w:bCs/>
          <w:sz w:val="32"/>
          <w:szCs w:val="32"/>
        </w:rPr>
        <w:t>更加注重在高质量发展中保障和改善民生，采取更多惠民生、暖民心的行动，</w:t>
      </w:r>
      <w:bookmarkEnd w:id="63"/>
      <w:bookmarkEnd w:id="64"/>
      <w:r>
        <w:rPr>
          <w:rFonts w:hint="eastAsia" w:eastAsia="仿宋_GB2312"/>
          <w:bCs/>
          <w:sz w:val="32"/>
          <w:szCs w:val="32"/>
        </w:rPr>
        <w:t>发挥群众主体作用，“承天时、秉地利、聚人和”，</w:t>
      </w:r>
      <w:r>
        <w:rPr>
          <w:rFonts w:eastAsia="仿宋_GB2312"/>
          <w:bCs/>
          <w:sz w:val="32"/>
          <w:szCs w:val="32"/>
        </w:rPr>
        <w:t>不断增强</w:t>
      </w:r>
      <w:r>
        <w:rPr>
          <w:rFonts w:hint="eastAsia" w:eastAsia="仿宋_GB2312"/>
          <w:bCs/>
          <w:sz w:val="32"/>
          <w:szCs w:val="32"/>
        </w:rPr>
        <w:t>全县</w:t>
      </w:r>
      <w:r>
        <w:rPr>
          <w:rFonts w:eastAsia="仿宋_GB2312"/>
          <w:bCs/>
          <w:sz w:val="32"/>
          <w:szCs w:val="32"/>
        </w:rPr>
        <w:t>各族群众获得感、幸福感、安全感。</w:t>
      </w:r>
    </w:p>
    <w:bookmarkEnd w:id="58"/>
    <w:bookmarkEnd w:id="59"/>
    <w:bookmarkEnd w:id="60"/>
    <w:p w14:paraId="2980AAF5">
      <w:pPr>
        <w:pStyle w:val="15"/>
        <w:numPr>
          <w:ilvl w:val="0"/>
          <w:numId w:val="2"/>
        </w:numPr>
        <w:spacing w:before="156" w:beforeLines="50" w:after="156" w:afterLines="50" w:line="580" w:lineRule="exact"/>
        <w:ind w:left="1080" w:hanging="1080" w:firstLineChars="0"/>
        <w:jc w:val="center"/>
        <w:outlineLvl w:val="1"/>
        <w:rPr>
          <w:rFonts w:eastAsia="黑体"/>
          <w:sz w:val="32"/>
          <w:szCs w:val="32"/>
        </w:rPr>
      </w:pPr>
      <w:bookmarkStart w:id="65" w:name="_Toc2469"/>
      <w:bookmarkStart w:id="66" w:name="_Toc214372621"/>
      <w:bookmarkStart w:id="67" w:name="_Toc212814817"/>
      <w:bookmarkStart w:id="68" w:name="_Toc9282"/>
      <w:r>
        <w:rPr>
          <w:rFonts w:hint="eastAsia" w:eastAsia="黑体"/>
          <w:sz w:val="32"/>
          <w:szCs w:val="32"/>
        </w:rPr>
        <w:t xml:space="preserve"> </w:t>
      </w:r>
      <w:bookmarkStart w:id="69" w:name="_Toc218241023"/>
      <w:r>
        <w:rPr>
          <w:rFonts w:hint="eastAsia" w:eastAsia="黑体"/>
          <w:sz w:val="32"/>
          <w:szCs w:val="32"/>
        </w:rPr>
        <w:t>主要目标</w:t>
      </w:r>
      <w:bookmarkEnd w:id="65"/>
      <w:bookmarkEnd w:id="66"/>
      <w:bookmarkEnd w:id="67"/>
      <w:bookmarkEnd w:id="68"/>
      <w:bookmarkEnd w:id="69"/>
    </w:p>
    <w:p w14:paraId="482D84E5">
      <w:pPr>
        <w:pStyle w:val="4"/>
        <w:spacing w:after="0" w:line="580" w:lineRule="exact"/>
        <w:ind w:firstLine="640" w:firstLineChars="200"/>
        <w:rPr>
          <w:rFonts w:eastAsia="仿宋_GB2312"/>
          <w:bCs/>
          <w:sz w:val="32"/>
          <w:szCs w:val="32"/>
        </w:rPr>
      </w:pPr>
      <w:r>
        <w:rPr>
          <w:rFonts w:eastAsia="仿宋_GB2312"/>
          <w:bCs/>
          <w:sz w:val="32"/>
          <w:szCs w:val="32"/>
        </w:rPr>
        <w:t>锚定到二</w:t>
      </w:r>
      <w:r>
        <w:rPr>
          <w:rFonts w:hint="eastAsia"/>
          <w:bCs/>
          <w:sz w:val="32"/>
          <w:szCs w:val="32"/>
        </w:rPr>
        <w:t>〇</w:t>
      </w:r>
      <w:r>
        <w:rPr>
          <w:rFonts w:hint="eastAsia" w:eastAsia="仿宋_GB2312"/>
          <w:bCs/>
          <w:sz w:val="32"/>
          <w:szCs w:val="32"/>
        </w:rPr>
        <w:t>二九年完成二十届三中全会提出的改革任务和二</w:t>
      </w:r>
      <w:r>
        <w:rPr>
          <w:rFonts w:hint="eastAsia"/>
          <w:bCs/>
          <w:sz w:val="32"/>
          <w:szCs w:val="32"/>
        </w:rPr>
        <w:t>〇</w:t>
      </w:r>
      <w:r>
        <w:rPr>
          <w:rFonts w:hint="eastAsia" w:eastAsia="仿宋_GB2312"/>
          <w:bCs/>
          <w:sz w:val="32"/>
          <w:szCs w:val="32"/>
        </w:rPr>
        <w:t>三五年与全国、全省、全州基本同步实现社会主义现代化目标，充分衔接国、省、州指标体系，立足我县发展实际，统筹短期和长期，兼顾需要和可能，今后五年我县经济社会发展要努力实现以下主要目标</w:t>
      </w:r>
      <w:r>
        <w:rPr>
          <w:rFonts w:eastAsia="仿宋_GB2312"/>
          <w:bCs/>
          <w:sz w:val="32"/>
          <w:szCs w:val="32"/>
        </w:rPr>
        <w:t>。</w:t>
      </w:r>
    </w:p>
    <w:p w14:paraId="6C322DAD">
      <w:pPr>
        <w:spacing w:line="580" w:lineRule="exact"/>
        <w:ind w:firstLine="643" w:firstLineChars="200"/>
        <w:rPr>
          <w:rFonts w:eastAsia="仿宋_GB2312"/>
          <w:bCs/>
          <w:sz w:val="32"/>
          <w:szCs w:val="32"/>
        </w:rPr>
      </w:pPr>
      <w:r>
        <w:rPr>
          <w:rFonts w:eastAsia="仿宋_GB2312"/>
          <w:b/>
          <w:sz w:val="32"/>
          <w:szCs w:val="32"/>
        </w:rPr>
        <w:t>经济综合实力</w:t>
      </w:r>
      <w:r>
        <w:rPr>
          <w:rFonts w:hint="eastAsia" w:eastAsia="仿宋_GB2312"/>
          <w:b/>
          <w:sz w:val="32"/>
          <w:szCs w:val="32"/>
        </w:rPr>
        <w:t>稳步</w:t>
      </w:r>
      <w:r>
        <w:rPr>
          <w:rFonts w:eastAsia="仿宋_GB2312"/>
          <w:b/>
          <w:sz w:val="32"/>
          <w:szCs w:val="32"/>
        </w:rPr>
        <w:t>跃升</w:t>
      </w:r>
      <w:r>
        <w:rPr>
          <w:rFonts w:hint="eastAsia" w:eastAsia="仿宋_GB2312"/>
          <w:bCs/>
          <w:sz w:val="32"/>
          <w:szCs w:val="32"/>
        </w:rPr>
        <w:t>。</w:t>
      </w:r>
      <w:r>
        <w:rPr>
          <w:rFonts w:eastAsia="仿宋_GB2312"/>
          <w:bCs/>
          <w:sz w:val="32"/>
          <w:szCs w:val="32"/>
        </w:rPr>
        <w:t>保持经济体量较快增长，全力推动经济高质量发展。地区生产总值年均增速达到6.5%以上，2030年经济总量突破40亿元，力争45亿，在全州占比中实现提升，基本达到建成州域副中心要求。</w:t>
      </w:r>
      <w:r>
        <w:rPr>
          <w:rFonts w:hint="eastAsia" w:eastAsia="仿宋_GB2312"/>
          <w:bCs/>
          <w:sz w:val="32"/>
          <w:szCs w:val="32"/>
        </w:rPr>
        <w:t>一般公共预算收入增速达6%、社会消费品零售总额等指标持续提升。</w:t>
      </w:r>
    </w:p>
    <w:p w14:paraId="74F4ACFF">
      <w:pPr>
        <w:spacing w:line="580" w:lineRule="exact"/>
        <w:ind w:firstLine="643" w:firstLineChars="200"/>
        <w:rPr>
          <w:rFonts w:eastAsia="仿宋_GB2312"/>
          <w:bCs/>
          <w:sz w:val="32"/>
          <w:szCs w:val="32"/>
        </w:rPr>
      </w:pPr>
      <w:r>
        <w:rPr>
          <w:rFonts w:eastAsia="仿宋_GB2312"/>
          <w:b/>
          <w:sz w:val="32"/>
          <w:szCs w:val="32"/>
        </w:rPr>
        <w:t>生态文明成果持续巩固</w:t>
      </w:r>
      <w:r>
        <w:rPr>
          <w:rFonts w:hint="eastAsia" w:eastAsia="仿宋_GB2312"/>
          <w:bCs/>
          <w:sz w:val="32"/>
          <w:szCs w:val="32"/>
        </w:rPr>
        <w:t>。</w:t>
      </w:r>
      <w:r>
        <w:rPr>
          <w:rFonts w:eastAsia="仿宋_GB2312"/>
          <w:bCs/>
          <w:sz w:val="32"/>
          <w:szCs w:val="32"/>
        </w:rPr>
        <w:t>整合国道318沿线生态资源，挖掘生态旅游潜力，巩固生态保护成果。主要污染物排放总量持续减少，危废收集处理处置能力进一步提升。生态保护修复取得积极成效，生态系统稳定性大幅提高。湿地保护修复</w:t>
      </w:r>
      <w:r>
        <w:rPr>
          <w:rFonts w:hint="eastAsia" w:eastAsia="仿宋_GB2312"/>
          <w:bCs/>
          <w:sz w:val="32"/>
          <w:szCs w:val="32"/>
        </w:rPr>
        <w:t>、草原沙化治理</w:t>
      </w:r>
      <w:r>
        <w:rPr>
          <w:rFonts w:eastAsia="仿宋_GB2312"/>
          <w:bCs/>
          <w:sz w:val="32"/>
          <w:szCs w:val="32"/>
        </w:rPr>
        <w:t>等重点生态工程进一步落地见效，区域生态效益显著增强。长江上游生态安全屏障进一步筑牢。</w:t>
      </w:r>
    </w:p>
    <w:p w14:paraId="60A475ED">
      <w:pPr>
        <w:spacing w:line="580" w:lineRule="exact"/>
        <w:ind w:firstLine="643" w:firstLineChars="200"/>
        <w:rPr>
          <w:rFonts w:eastAsia="仿宋_GB2312"/>
          <w:bCs/>
          <w:sz w:val="32"/>
          <w:szCs w:val="32"/>
        </w:rPr>
      </w:pPr>
      <w:r>
        <w:rPr>
          <w:rFonts w:eastAsia="仿宋_GB2312"/>
          <w:b/>
          <w:sz w:val="32"/>
          <w:szCs w:val="32"/>
        </w:rPr>
        <w:t>现代产业体系加快构建</w:t>
      </w:r>
      <w:r>
        <w:rPr>
          <w:rFonts w:hint="eastAsia" w:eastAsia="仿宋_GB2312"/>
          <w:bCs/>
          <w:sz w:val="32"/>
          <w:szCs w:val="32"/>
        </w:rPr>
        <w:t>。</w:t>
      </w:r>
      <w:r>
        <w:rPr>
          <w:rFonts w:eastAsia="仿宋_GB2312"/>
          <w:bCs/>
          <w:sz w:val="32"/>
          <w:szCs w:val="32"/>
        </w:rPr>
        <w:t>紧扣产业“四篇文章”构建现代化产业体系。优先发展</w:t>
      </w:r>
      <w:r>
        <w:rPr>
          <w:rFonts w:hint="eastAsia" w:eastAsia="仿宋_GB2312"/>
          <w:bCs/>
          <w:sz w:val="32"/>
          <w:szCs w:val="32"/>
        </w:rPr>
        <w:t>文</w:t>
      </w:r>
      <w:r>
        <w:rPr>
          <w:rFonts w:eastAsia="仿宋_GB2312"/>
          <w:bCs/>
          <w:sz w:val="32"/>
          <w:szCs w:val="32"/>
        </w:rPr>
        <w:t>旅</w:t>
      </w:r>
      <w:r>
        <w:rPr>
          <w:rFonts w:hint="eastAsia" w:eastAsia="仿宋_GB2312"/>
          <w:bCs/>
          <w:sz w:val="32"/>
          <w:szCs w:val="32"/>
        </w:rPr>
        <w:t>产</w:t>
      </w:r>
      <w:r>
        <w:rPr>
          <w:rFonts w:eastAsia="仿宋_GB2312"/>
          <w:bCs/>
          <w:sz w:val="32"/>
          <w:szCs w:val="32"/>
        </w:rPr>
        <w:t>业建成国际生态文化旅游目的地；加快发展生态农牧业和商贸物流业</w:t>
      </w:r>
      <w:r>
        <w:rPr>
          <w:rFonts w:hint="eastAsia" w:eastAsia="仿宋_GB2312"/>
          <w:bCs/>
          <w:sz w:val="32"/>
          <w:szCs w:val="32"/>
        </w:rPr>
        <w:t>，</w:t>
      </w:r>
      <w:r>
        <w:rPr>
          <w:rFonts w:eastAsia="仿宋_GB2312"/>
          <w:bCs/>
          <w:sz w:val="32"/>
          <w:szCs w:val="32"/>
        </w:rPr>
        <w:t>推进形成高原县域经济转型发展示范地；着力推进清洁能源业，工业增加值、规模以上工业增加值等指标</w:t>
      </w:r>
      <w:r>
        <w:rPr>
          <w:rFonts w:hint="eastAsia" w:eastAsia="仿宋_GB2312"/>
          <w:bCs/>
          <w:sz w:val="32"/>
          <w:szCs w:val="32"/>
        </w:rPr>
        <w:t>持续</w:t>
      </w:r>
      <w:r>
        <w:rPr>
          <w:rFonts w:eastAsia="仿宋_GB2312"/>
          <w:bCs/>
          <w:sz w:val="32"/>
          <w:szCs w:val="32"/>
        </w:rPr>
        <w:t>增长。依托要素资源禀赋优化产业空间布局，建成康南绿色发展集中区</w:t>
      </w:r>
      <w:r>
        <w:rPr>
          <w:rFonts w:hint="eastAsia" w:eastAsia="仿宋_GB2312"/>
          <w:bCs/>
          <w:sz w:val="32"/>
          <w:szCs w:val="32"/>
        </w:rPr>
        <w:t>、</w:t>
      </w:r>
      <w:r>
        <w:rPr>
          <w:rFonts w:eastAsia="仿宋_GB2312"/>
          <w:bCs/>
          <w:sz w:val="32"/>
          <w:szCs w:val="32"/>
        </w:rPr>
        <w:t>有机农牧业集中发展区</w:t>
      </w:r>
      <w:r>
        <w:rPr>
          <w:rFonts w:hint="eastAsia" w:eastAsia="仿宋_GB2312"/>
          <w:bCs/>
          <w:sz w:val="32"/>
          <w:szCs w:val="32"/>
        </w:rPr>
        <w:t>、</w:t>
      </w:r>
      <w:r>
        <w:rPr>
          <w:rFonts w:eastAsia="仿宋_GB2312"/>
          <w:bCs/>
          <w:sz w:val="32"/>
          <w:szCs w:val="32"/>
        </w:rPr>
        <w:t>东西部创新协同发展示范区。</w:t>
      </w:r>
    </w:p>
    <w:p w14:paraId="0CC45235">
      <w:pPr>
        <w:spacing w:line="580" w:lineRule="exact"/>
        <w:ind w:firstLine="643" w:firstLineChars="200"/>
        <w:rPr>
          <w:rFonts w:eastAsia="仿宋_GB2312"/>
          <w:bCs/>
          <w:sz w:val="32"/>
          <w:szCs w:val="32"/>
        </w:rPr>
      </w:pPr>
      <w:r>
        <w:rPr>
          <w:rFonts w:eastAsia="仿宋_GB2312"/>
          <w:b/>
          <w:sz w:val="32"/>
          <w:szCs w:val="32"/>
        </w:rPr>
        <w:t>区域城乡发展更趋协调</w:t>
      </w:r>
      <w:r>
        <w:rPr>
          <w:rFonts w:hint="eastAsia" w:eastAsia="仿宋_GB2312"/>
          <w:bCs/>
          <w:sz w:val="32"/>
          <w:szCs w:val="32"/>
        </w:rPr>
        <w:t>。</w:t>
      </w:r>
      <w:r>
        <w:rPr>
          <w:rFonts w:eastAsia="仿宋_GB2312"/>
          <w:bCs/>
          <w:sz w:val="32"/>
          <w:szCs w:val="32"/>
        </w:rPr>
        <w:t>持续推进以县域为载体</w:t>
      </w:r>
      <w:r>
        <w:rPr>
          <w:rFonts w:hint="eastAsia" w:eastAsia="仿宋_GB2312"/>
          <w:bCs/>
          <w:sz w:val="32"/>
          <w:szCs w:val="32"/>
        </w:rPr>
        <w:t>的</w:t>
      </w:r>
      <w:r>
        <w:rPr>
          <w:rFonts w:eastAsia="仿宋_GB2312"/>
          <w:bCs/>
          <w:sz w:val="32"/>
          <w:szCs w:val="32"/>
        </w:rPr>
        <w:t>新型城镇化建设。城市更新继续完善，宜居宜业和美乡村建设持续推动。托底性帮扶继续落地见效，全力达到“十项指标”要求，脱贫人口稳岗就业态势进一步提升。交通设施基础进一</w:t>
      </w:r>
      <w:r>
        <w:rPr>
          <w:rFonts w:hint="eastAsia" w:eastAsia="仿宋_GB2312"/>
          <w:bCs/>
          <w:spacing w:val="-6"/>
          <w:sz w:val="32"/>
          <w:szCs w:val="32"/>
        </w:rPr>
        <w:t>步夯实，水利基础设施进一步完善，电力通讯建设进一步覆盖。</w:t>
      </w:r>
    </w:p>
    <w:p w14:paraId="4D5A25CC">
      <w:pPr>
        <w:spacing w:line="580" w:lineRule="exact"/>
        <w:ind w:firstLine="643" w:firstLineChars="200"/>
        <w:rPr>
          <w:rFonts w:eastAsia="仿宋_GB2312"/>
          <w:bCs/>
          <w:sz w:val="32"/>
          <w:szCs w:val="32"/>
        </w:rPr>
      </w:pPr>
      <w:r>
        <w:rPr>
          <w:rFonts w:eastAsia="仿宋_GB2312"/>
          <w:b/>
          <w:sz w:val="32"/>
          <w:szCs w:val="32"/>
        </w:rPr>
        <w:t>改革开放取得更大成效</w:t>
      </w:r>
      <w:r>
        <w:rPr>
          <w:rFonts w:hint="eastAsia" w:eastAsia="仿宋_GB2312"/>
          <w:bCs/>
          <w:sz w:val="32"/>
          <w:szCs w:val="32"/>
        </w:rPr>
        <w:t>。</w:t>
      </w:r>
      <w:r>
        <w:rPr>
          <w:rFonts w:eastAsia="仿宋_GB2312"/>
          <w:bCs/>
          <w:sz w:val="32"/>
          <w:szCs w:val="32"/>
        </w:rPr>
        <w:t>重点领域和关键环节改革取得重大进展。建设更加法治、高效、廉洁政府。各类市场主体竞相发展，民营经济量质双升。推动数字化建设与实体经济、社会治理、便民服务等深度融合。东西部协作全面拓展，产业发展、人才培养、市场开拓等方面合作进一步</w:t>
      </w:r>
      <w:r>
        <w:rPr>
          <w:rFonts w:hint="eastAsia" w:eastAsia="仿宋_GB2312"/>
          <w:bCs/>
          <w:sz w:val="32"/>
          <w:szCs w:val="32"/>
        </w:rPr>
        <w:t>深化</w:t>
      </w:r>
      <w:r>
        <w:rPr>
          <w:rFonts w:eastAsia="仿宋_GB2312"/>
          <w:bCs/>
          <w:sz w:val="32"/>
          <w:szCs w:val="32"/>
        </w:rPr>
        <w:t>。</w:t>
      </w:r>
    </w:p>
    <w:p w14:paraId="5A22D77D">
      <w:pPr>
        <w:spacing w:line="580" w:lineRule="exact"/>
        <w:ind w:firstLine="643" w:firstLineChars="200"/>
        <w:rPr>
          <w:rFonts w:eastAsia="仿宋_GB2312"/>
          <w:bCs/>
          <w:sz w:val="32"/>
          <w:szCs w:val="32"/>
        </w:rPr>
      </w:pPr>
      <w:r>
        <w:rPr>
          <w:rFonts w:eastAsia="仿宋_GB2312"/>
          <w:b/>
          <w:sz w:val="32"/>
          <w:szCs w:val="32"/>
        </w:rPr>
        <w:t>共同富裕建设扎实推进</w:t>
      </w:r>
      <w:r>
        <w:rPr>
          <w:rFonts w:hint="eastAsia" w:eastAsia="仿宋_GB2312"/>
          <w:bCs/>
          <w:sz w:val="32"/>
          <w:szCs w:val="32"/>
        </w:rPr>
        <w:t>。</w:t>
      </w:r>
      <w:r>
        <w:rPr>
          <w:rFonts w:eastAsia="仿宋_GB2312"/>
          <w:bCs/>
          <w:sz w:val="32"/>
          <w:szCs w:val="32"/>
        </w:rPr>
        <w:t>城乡居民民生福祉水平进一步提高。医疗卫生事业进一步壮大，医疗卫生资源配置持续优化，重大卫生事件防控救治体系与应急处置机制协同增强。公平高质量的教育体系基本建成，教育队伍水平进一步提升。居民收入增长高于经济增长，城乡居民收入</w:t>
      </w:r>
      <w:r>
        <w:rPr>
          <w:rFonts w:hint="eastAsia" w:eastAsia="仿宋_GB2312"/>
          <w:bCs/>
          <w:sz w:val="32"/>
          <w:szCs w:val="32"/>
        </w:rPr>
        <w:t>差距</w:t>
      </w:r>
      <w:r>
        <w:rPr>
          <w:rFonts w:eastAsia="仿宋_GB2312"/>
          <w:bCs/>
          <w:sz w:val="32"/>
          <w:szCs w:val="32"/>
        </w:rPr>
        <w:t>进一步缩小。多层次社会保障体系不断完善，“一老一小”人口服务水平大幅提升。</w:t>
      </w:r>
    </w:p>
    <w:p w14:paraId="51361D4F">
      <w:pPr>
        <w:spacing w:line="580" w:lineRule="exact"/>
        <w:ind w:firstLine="643"/>
        <w:rPr>
          <w:rFonts w:eastAsia="仿宋_GB2312"/>
          <w:bCs/>
          <w:sz w:val="32"/>
          <w:szCs w:val="32"/>
        </w:rPr>
      </w:pPr>
      <w:r>
        <w:rPr>
          <w:rFonts w:eastAsia="仿宋_GB2312"/>
          <w:b/>
          <w:sz w:val="32"/>
          <w:szCs w:val="32"/>
        </w:rPr>
        <w:t>安全发展根基更加牢固</w:t>
      </w:r>
      <w:r>
        <w:rPr>
          <w:rFonts w:hint="eastAsia" w:eastAsia="仿宋_GB2312"/>
          <w:bCs/>
          <w:sz w:val="32"/>
          <w:szCs w:val="32"/>
        </w:rPr>
        <w:t>。</w:t>
      </w:r>
      <w:r>
        <w:rPr>
          <w:rFonts w:eastAsia="仿宋_GB2312"/>
          <w:bCs/>
          <w:sz w:val="32"/>
          <w:szCs w:val="32"/>
        </w:rPr>
        <w:t>中华民族共同体意识不断筑牢，经济社会发展安全底线更加稳固。安全治理效能充分彰显，反分维稳</w:t>
      </w:r>
      <w:r>
        <w:rPr>
          <w:rFonts w:hint="eastAsia" w:eastAsia="仿宋_GB2312"/>
          <w:bCs/>
          <w:sz w:val="32"/>
          <w:szCs w:val="32"/>
        </w:rPr>
        <w:t>、社会治理</w:t>
      </w:r>
      <w:r>
        <w:rPr>
          <w:rFonts w:eastAsia="仿宋_GB2312"/>
          <w:bCs/>
          <w:sz w:val="32"/>
          <w:szCs w:val="32"/>
        </w:rPr>
        <w:t>等专项治理成果持续巩固。防范化解重大风险体制机制不断健全，防灾救灾减灾能力大幅提高，基层监测预警、应急救援能力和灾害处置能力不断提高。新时代“枫桥经验”深入践行，基层治理根基不断夯实。民族地区高质量发展典范建设扎实推进。</w:t>
      </w:r>
    </w:p>
    <w:p w14:paraId="7C0C4072">
      <w:pPr>
        <w:pStyle w:val="2"/>
      </w:pPr>
    </w:p>
    <w:p w14:paraId="70F3A048">
      <w:pPr>
        <w:pStyle w:val="2"/>
      </w:pPr>
    </w:p>
    <w:p w14:paraId="34BC125F">
      <w:pPr>
        <w:pStyle w:val="2"/>
      </w:pPr>
    </w:p>
    <w:p w14:paraId="09E9F554">
      <w:pPr>
        <w:pStyle w:val="15"/>
        <w:spacing w:before="156" w:beforeLines="50" w:after="156" w:afterLines="50" w:line="580" w:lineRule="exact"/>
        <w:ind w:firstLine="0" w:firstLineChars="0"/>
        <w:jc w:val="center"/>
        <w:rPr>
          <w:rFonts w:eastAsia="楷体_GB2312"/>
          <w:b/>
          <w:sz w:val="32"/>
          <w:szCs w:val="32"/>
        </w:rPr>
      </w:pPr>
      <w:r>
        <w:rPr>
          <w:rFonts w:hint="eastAsia" w:eastAsia="楷体_GB2312"/>
          <w:b/>
          <w:sz w:val="32"/>
          <w:szCs w:val="32"/>
        </w:rPr>
        <w:t>专栏2  “十五五”时期经济社会发展主要指标</w:t>
      </w:r>
    </w:p>
    <w:tbl>
      <w:tblPr>
        <w:tblStyle w:val="11"/>
        <w:tblW w:w="517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2" w:type="dxa"/>
          <w:bottom w:w="0" w:type="dxa"/>
          <w:right w:w="52" w:type="dxa"/>
        </w:tblCellMar>
      </w:tblPr>
      <w:tblGrid>
        <w:gridCol w:w="673"/>
        <w:gridCol w:w="3651"/>
        <w:gridCol w:w="1062"/>
        <w:gridCol w:w="1128"/>
        <w:gridCol w:w="1346"/>
        <w:gridCol w:w="848"/>
      </w:tblGrid>
      <w:tr w14:paraId="6E645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2" w:type="dxa"/>
            <w:bottom w:w="0" w:type="dxa"/>
            <w:right w:w="52" w:type="dxa"/>
          </w:tblCellMar>
        </w:tblPrEx>
        <w:trPr>
          <w:tblHeader/>
          <w:jc w:val="center"/>
        </w:trPr>
        <w:tc>
          <w:tcPr>
            <w:tcW w:w="386" w:type="pct"/>
            <w:shd w:val="clear" w:color="auto" w:fill="auto"/>
            <w:vAlign w:val="center"/>
          </w:tcPr>
          <w:p w14:paraId="7A2B9F09">
            <w:pPr>
              <w:snapToGrid w:val="0"/>
              <w:spacing w:before="15" w:beforeLines="5" w:after="31" w:afterLines="10"/>
              <w:jc w:val="center"/>
              <w:rPr>
                <w:rFonts w:ascii="楷体_GB2312" w:eastAsia="楷体_GB2312"/>
                <w:b/>
                <w:bCs/>
                <w:sz w:val="24"/>
              </w:rPr>
            </w:pPr>
            <w:r>
              <w:rPr>
                <w:rFonts w:hint="eastAsia" w:ascii="楷体_GB2312" w:eastAsia="楷体_GB2312"/>
                <w:b/>
                <w:bCs/>
                <w:sz w:val="24"/>
              </w:rPr>
              <w:t>类别</w:t>
            </w:r>
          </w:p>
        </w:tc>
        <w:tc>
          <w:tcPr>
            <w:tcW w:w="2096" w:type="pct"/>
            <w:shd w:val="clear" w:color="auto" w:fill="auto"/>
            <w:vAlign w:val="center"/>
          </w:tcPr>
          <w:p w14:paraId="0DD47C72">
            <w:pPr>
              <w:snapToGrid w:val="0"/>
              <w:spacing w:before="15" w:beforeLines="5" w:after="31" w:afterLines="10"/>
              <w:jc w:val="center"/>
              <w:rPr>
                <w:rFonts w:ascii="楷体_GB2312" w:eastAsia="楷体_GB2312"/>
                <w:b/>
                <w:bCs/>
                <w:sz w:val="24"/>
              </w:rPr>
            </w:pPr>
            <w:r>
              <w:rPr>
                <w:rFonts w:hint="eastAsia" w:ascii="楷体_GB2312" w:eastAsia="楷体_GB2312"/>
                <w:b/>
                <w:bCs/>
                <w:sz w:val="24"/>
              </w:rPr>
              <w:t>指标</w:t>
            </w:r>
          </w:p>
        </w:tc>
        <w:tc>
          <w:tcPr>
            <w:tcW w:w="609" w:type="pct"/>
            <w:shd w:val="clear" w:color="auto" w:fill="auto"/>
            <w:vAlign w:val="center"/>
          </w:tcPr>
          <w:p w14:paraId="175F55CF">
            <w:pPr>
              <w:snapToGrid w:val="0"/>
              <w:spacing w:before="15" w:beforeLines="5" w:after="31" w:afterLines="10"/>
              <w:jc w:val="center"/>
              <w:rPr>
                <w:rFonts w:ascii="楷体_GB2312" w:eastAsia="楷体_GB2312"/>
                <w:b/>
                <w:bCs/>
                <w:sz w:val="24"/>
              </w:rPr>
            </w:pPr>
            <w:r>
              <w:rPr>
                <w:rFonts w:hint="eastAsia" w:ascii="楷体_GB2312" w:eastAsia="楷体_GB2312"/>
                <w:b/>
                <w:bCs/>
                <w:sz w:val="24"/>
              </w:rPr>
              <w:t>2025年</w:t>
            </w:r>
          </w:p>
          <w:p w14:paraId="6DC4F167">
            <w:pPr>
              <w:pStyle w:val="2"/>
              <w:snapToGrid w:val="0"/>
              <w:spacing w:before="15" w:beforeLines="5" w:after="31" w:afterLines="10"/>
              <w:ind w:firstLine="0" w:firstLineChars="0"/>
              <w:jc w:val="center"/>
              <w:rPr>
                <w:rFonts w:ascii="楷体_GB2312" w:eastAsia="楷体_GB2312"/>
                <w:b/>
                <w:bCs/>
                <w:sz w:val="24"/>
              </w:rPr>
            </w:pPr>
            <w:r>
              <w:rPr>
                <w:rFonts w:hint="eastAsia" w:ascii="楷体_GB2312" w:eastAsia="楷体_GB2312"/>
                <w:b/>
                <w:bCs/>
                <w:sz w:val="24"/>
              </w:rPr>
              <w:t>预计值</w:t>
            </w:r>
          </w:p>
        </w:tc>
        <w:tc>
          <w:tcPr>
            <w:tcW w:w="647" w:type="pct"/>
            <w:shd w:val="clear" w:color="auto" w:fill="auto"/>
            <w:vAlign w:val="center"/>
          </w:tcPr>
          <w:p w14:paraId="51F4C593">
            <w:pPr>
              <w:snapToGrid w:val="0"/>
              <w:spacing w:before="15" w:beforeLines="5" w:after="31" w:afterLines="10"/>
              <w:jc w:val="center"/>
              <w:rPr>
                <w:rFonts w:ascii="楷体_GB2312" w:eastAsia="楷体_GB2312"/>
                <w:b/>
                <w:bCs/>
                <w:sz w:val="24"/>
              </w:rPr>
            </w:pPr>
            <w:r>
              <w:rPr>
                <w:rFonts w:hint="eastAsia" w:ascii="楷体_GB2312" w:eastAsia="楷体_GB2312"/>
                <w:b/>
                <w:bCs/>
                <w:sz w:val="24"/>
              </w:rPr>
              <w:t>2030年</w:t>
            </w:r>
          </w:p>
          <w:p w14:paraId="6D1C393B">
            <w:pPr>
              <w:pStyle w:val="2"/>
              <w:snapToGrid w:val="0"/>
              <w:spacing w:before="15" w:beforeLines="5" w:after="31" w:afterLines="10"/>
              <w:ind w:firstLine="0" w:firstLineChars="0"/>
              <w:jc w:val="center"/>
              <w:rPr>
                <w:rFonts w:ascii="楷体_GB2312" w:eastAsia="楷体_GB2312"/>
                <w:b/>
                <w:bCs/>
                <w:sz w:val="24"/>
              </w:rPr>
            </w:pPr>
            <w:r>
              <w:rPr>
                <w:rFonts w:hint="eastAsia" w:ascii="楷体_GB2312" w:eastAsia="楷体_GB2312"/>
                <w:b/>
                <w:bCs/>
                <w:sz w:val="24"/>
              </w:rPr>
              <w:t>预期值</w:t>
            </w:r>
          </w:p>
        </w:tc>
        <w:tc>
          <w:tcPr>
            <w:tcW w:w="772" w:type="pct"/>
            <w:shd w:val="clear" w:color="auto" w:fill="auto"/>
            <w:vAlign w:val="center"/>
          </w:tcPr>
          <w:p w14:paraId="69AC07FE">
            <w:pPr>
              <w:snapToGrid w:val="0"/>
              <w:spacing w:before="15" w:beforeLines="5" w:after="31" w:afterLines="10"/>
              <w:jc w:val="center"/>
              <w:rPr>
                <w:rFonts w:ascii="楷体_GB2312" w:eastAsia="楷体_GB2312"/>
                <w:b/>
                <w:bCs/>
                <w:sz w:val="24"/>
              </w:rPr>
            </w:pPr>
            <w:r>
              <w:rPr>
                <w:rFonts w:hint="eastAsia" w:ascii="楷体_GB2312" w:eastAsia="楷体_GB2312"/>
                <w:b/>
                <w:bCs/>
                <w:sz w:val="24"/>
              </w:rPr>
              <w:t>年均增长数或[累计数]</w:t>
            </w:r>
          </w:p>
        </w:tc>
        <w:tc>
          <w:tcPr>
            <w:tcW w:w="486" w:type="pct"/>
            <w:shd w:val="clear" w:color="auto" w:fill="auto"/>
            <w:vAlign w:val="center"/>
          </w:tcPr>
          <w:p w14:paraId="564EB030">
            <w:pPr>
              <w:snapToGrid w:val="0"/>
              <w:spacing w:before="15" w:beforeLines="5" w:after="31" w:afterLines="10"/>
              <w:jc w:val="center"/>
              <w:rPr>
                <w:rFonts w:ascii="楷体_GB2312" w:eastAsia="楷体_GB2312"/>
                <w:b/>
                <w:bCs/>
                <w:sz w:val="24"/>
              </w:rPr>
            </w:pPr>
            <w:r>
              <w:rPr>
                <w:rFonts w:hint="eastAsia" w:ascii="楷体_GB2312" w:eastAsia="楷体_GB2312"/>
                <w:b/>
                <w:bCs/>
                <w:sz w:val="24"/>
              </w:rPr>
              <w:t>属性</w:t>
            </w:r>
          </w:p>
        </w:tc>
      </w:tr>
      <w:tr w14:paraId="7B5C8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2" w:type="dxa"/>
            <w:bottom w:w="0" w:type="dxa"/>
            <w:right w:w="52" w:type="dxa"/>
          </w:tblCellMar>
        </w:tblPrEx>
        <w:trPr>
          <w:jc w:val="center"/>
        </w:trPr>
        <w:tc>
          <w:tcPr>
            <w:tcW w:w="386" w:type="pct"/>
            <w:vMerge w:val="restart"/>
            <w:shd w:val="clear" w:color="auto" w:fill="auto"/>
            <w:vAlign w:val="center"/>
          </w:tcPr>
          <w:p w14:paraId="1AFDA77D">
            <w:pPr>
              <w:snapToGrid w:val="0"/>
              <w:spacing w:before="15" w:beforeLines="5" w:after="31" w:afterLines="10"/>
              <w:jc w:val="center"/>
              <w:rPr>
                <w:rFonts w:ascii="楷体_GB2312" w:eastAsia="楷体_GB2312"/>
                <w:sz w:val="24"/>
              </w:rPr>
            </w:pPr>
            <w:r>
              <w:rPr>
                <w:rFonts w:hint="eastAsia" w:ascii="楷体_GB2312" w:eastAsia="楷体_GB2312"/>
                <w:sz w:val="24"/>
              </w:rPr>
              <w:t>经济</w:t>
            </w:r>
          </w:p>
          <w:p w14:paraId="047512C8">
            <w:pPr>
              <w:snapToGrid w:val="0"/>
              <w:spacing w:before="15" w:beforeLines="5" w:after="31" w:afterLines="10"/>
              <w:jc w:val="center"/>
              <w:rPr>
                <w:rFonts w:ascii="楷体_GB2312" w:eastAsia="楷体_GB2312"/>
                <w:sz w:val="24"/>
              </w:rPr>
            </w:pPr>
            <w:r>
              <w:rPr>
                <w:rFonts w:hint="eastAsia" w:ascii="楷体_GB2312" w:eastAsia="楷体_GB2312"/>
                <w:sz w:val="24"/>
              </w:rPr>
              <w:t>发展</w:t>
            </w:r>
          </w:p>
        </w:tc>
        <w:tc>
          <w:tcPr>
            <w:tcW w:w="2096" w:type="pct"/>
            <w:shd w:val="clear" w:color="auto" w:fill="auto"/>
            <w:vAlign w:val="center"/>
          </w:tcPr>
          <w:p w14:paraId="05A0F073">
            <w:pPr>
              <w:snapToGrid w:val="0"/>
              <w:spacing w:before="15" w:beforeLines="5" w:after="31" w:afterLines="10"/>
              <w:jc w:val="left"/>
              <w:rPr>
                <w:rFonts w:ascii="楷体_GB2312" w:eastAsia="楷体_GB2312"/>
                <w:sz w:val="24"/>
              </w:rPr>
            </w:pPr>
            <w:r>
              <w:rPr>
                <w:rFonts w:hint="eastAsia" w:ascii="楷体_GB2312" w:eastAsia="楷体_GB2312"/>
                <w:sz w:val="24"/>
              </w:rPr>
              <w:t>1.地区生产总值增长（%）</w:t>
            </w:r>
          </w:p>
        </w:tc>
        <w:tc>
          <w:tcPr>
            <w:tcW w:w="609" w:type="pct"/>
            <w:shd w:val="clear" w:color="auto" w:fill="auto"/>
            <w:vAlign w:val="center"/>
          </w:tcPr>
          <w:p w14:paraId="75A3AEE6">
            <w:pPr>
              <w:snapToGrid w:val="0"/>
              <w:spacing w:before="15" w:beforeLines="5" w:after="31" w:afterLines="10"/>
              <w:jc w:val="center"/>
              <w:rPr>
                <w:rFonts w:hint="default" w:ascii="楷体_GB2312" w:eastAsia="楷体_GB2312"/>
                <w:sz w:val="24"/>
                <w:lang w:val="en-US" w:eastAsia="zh-CN"/>
              </w:rPr>
            </w:pPr>
            <w:r>
              <w:rPr>
                <w:rFonts w:hint="eastAsia" w:ascii="楷体_GB2312" w:eastAsia="楷体_GB2312"/>
                <w:sz w:val="24"/>
                <w:lang w:val="en-US" w:eastAsia="zh-CN"/>
              </w:rPr>
              <w:t>4.2</w:t>
            </w:r>
          </w:p>
        </w:tc>
        <w:tc>
          <w:tcPr>
            <w:tcW w:w="647" w:type="pct"/>
            <w:shd w:val="clear" w:color="auto" w:fill="auto"/>
            <w:vAlign w:val="center"/>
          </w:tcPr>
          <w:p w14:paraId="55CDBBB3">
            <w:pPr>
              <w:snapToGrid w:val="0"/>
              <w:spacing w:before="15" w:beforeLines="5" w:after="31" w:afterLines="10"/>
              <w:jc w:val="center"/>
              <w:rPr>
                <w:rFonts w:hint="eastAsia" w:ascii="楷体_GB2312" w:eastAsia="楷体_GB2312"/>
                <w:sz w:val="24"/>
                <w:lang w:eastAsia="zh-CN"/>
              </w:rPr>
            </w:pPr>
            <w:r>
              <w:rPr>
                <w:rFonts w:hint="eastAsia" w:ascii="楷体_GB2312" w:eastAsia="楷体_GB2312"/>
                <w:sz w:val="24"/>
                <w:lang w:val="en-US" w:eastAsia="zh-CN"/>
              </w:rPr>
              <w:t>6</w:t>
            </w:r>
          </w:p>
        </w:tc>
        <w:tc>
          <w:tcPr>
            <w:tcW w:w="772" w:type="pct"/>
            <w:shd w:val="clear" w:color="auto" w:fill="auto"/>
            <w:vAlign w:val="center"/>
          </w:tcPr>
          <w:p w14:paraId="25E3E7DE">
            <w:pPr>
              <w:snapToGrid w:val="0"/>
              <w:spacing w:before="15" w:beforeLines="5" w:after="31" w:afterLines="10"/>
              <w:jc w:val="center"/>
              <w:rPr>
                <w:rFonts w:ascii="楷体_GB2312" w:eastAsia="楷体_GB2312"/>
                <w:sz w:val="24"/>
              </w:rPr>
            </w:pPr>
            <w:r>
              <w:rPr>
                <w:rFonts w:hint="eastAsia" w:ascii="楷体_GB2312" w:eastAsia="楷体_GB2312"/>
                <w:sz w:val="24"/>
              </w:rPr>
              <w:t>6.5</w:t>
            </w:r>
          </w:p>
        </w:tc>
        <w:tc>
          <w:tcPr>
            <w:tcW w:w="486" w:type="pct"/>
            <w:shd w:val="clear" w:color="auto" w:fill="auto"/>
            <w:vAlign w:val="center"/>
          </w:tcPr>
          <w:p w14:paraId="640DAF84">
            <w:pPr>
              <w:snapToGrid w:val="0"/>
              <w:spacing w:before="15" w:beforeLines="5" w:after="31" w:afterLines="10"/>
              <w:jc w:val="center"/>
              <w:rPr>
                <w:rFonts w:ascii="楷体_GB2312" w:eastAsia="楷体_GB2312"/>
                <w:sz w:val="24"/>
              </w:rPr>
            </w:pPr>
            <w:r>
              <w:rPr>
                <w:rFonts w:hint="eastAsia" w:ascii="楷体_GB2312" w:eastAsia="楷体_GB2312"/>
                <w:sz w:val="24"/>
              </w:rPr>
              <w:t>预期性</w:t>
            </w:r>
          </w:p>
        </w:tc>
      </w:tr>
      <w:tr w14:paraId="253F5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2" w:type="dxa"/>
            <w:bottom w:w="0" w:type="dxa"/>
            <w:right w:w="52" w:type="dxa"/>
          </w:tblCellMar>
        </w:tblPrEx>
        <w:trPr>
          <w:jc w:val="center"/>
        </w:trPr>
        <w:tc>
          <w:tcPr>
            <w:tcW w:w="386" w:type="pct"/>
            <w:vMerge w:val="continue"/>
            <w:shd w:val="clear" w:color="auto" w:fill="auto"/>
            <w:vAlign w:val="center"/>
          </w:tcPr>
          <w:p w14:paraId="5645E557">
            <w:pPr>
              <w:snapToGrid w:val="0"/>
              <w:spacing w:before="15" w:beforeLines="5" w:after="31" w:afterLines="10"/>
              <w:ind w:firstLine="482"/>
              <w:jc w:val="center"/>
              <w:rPr>
                <w:rFonts w:ascii="楷体_GB2312" w:eastAsia="楷体_GB2312" w:hAnsiTheme="minorHAnsi"/>
                <w:b/>
                <w:sz w:val="24"/>
              </w:rPr>
            </w:pPr>
          </w:p>
        </w:tc>
        <w:tc>
          <w:tcPr>
            <w:tcW w:w="2096" w:type="pct"/>
            <w:shd w:val="clear" w:color="auto" w:fill="auto"/>
            <w:vAlign w:val="center"/>
          </w:tcPr>
          <w:p w14:paraId="7B7564B4">
            <w:pPr>
              <w:snapToGrid w:val="0"/>
              <w:spacing w:before="15" w:beforeLines="5" w:after="31" w:afterLines="10"/>
              <w:jc w:val="left"/>
              <w:rPr>
                <w:rFonts w:ascii="楷体_GB2312" w:eastAsia="楷体_GB2312"/>
                <w:sz w:val="24"/>
              </w:rPr>
            </w:pPr>
            <w:r>
              <w:rPr>
                <w:rFonts w:hint="eastAsia" w:ascii="楷体_GB2312" w:eastAsia="楷体_GB2312"/>
                <w:sz w:val="24"/>
              </w:rPr>
              <w:t>2.全员劳动生产率增长（</w:t>
            </w:r>
            <w:bookmarkStart w:id="70" w:name="OLE_LINK108"/>
            <w:r>
              <w:rPr>
                <w:rFonts w:hint="eastAsia" w:ascii="楷体_GB2312" w:eastAsia="楷体_GB2312"/>
                <w:sz w:val="24"/>
              </w:rPr>
              <w:t>%</w:t>
            </w:r>
            <w:bookmarkEnd w:id="70"/>
            <w:r>
              <w:rPr>
                <w:rFonts w:hint="eastAsia" w:ascii="楷体_GB2312" w:eastAsia="楷体_GB2312"/>
                <w:sz w:val="24"/>
              </w:rPr>
              <w:t>）</w:t>
            </w:r>
          </w:p>
        </w:tc>
        <w:tc>
          <w:tcPr>
            <w:tcW w:w="609" w:type="pct"/>
            <w:shd w:val="clear" w:color="auto" w:fill="auto"/>
            <w:vAlign w:val="center"/>
          </w:tcPr>
          <w:p w14:paraId="5CA1F352">
            <w:pPr>
              <w:snapToGrid w:val="0"/>
              <w:spacing w:before="15" w:beforeLines="5" w:after="31" w:afterLines="10"/>
              <w:jc w:val="center"/>
              <w:rPr>
                <w:rFonts w:ascii="楷体_GB2312" w:eastAsia="楷体_GB2312"/>
                <w:sz w:val="24"/>
              </w:rPr>
            </w:pPr>
          </w:p>
        </w:tc>
        <w:tc>
          <w:tcPr>
            <w:tcW w:w="647" w:type="pct"/>
            <w:shd w:val="clear" w:color="auto" w:fill="auto"/>
            <w:vAlign w:val="center"/>
          </w:tcPr>
          <w:p w14:paraId="350FE8E5">
            <w:pPr>
              <w:snapToGrid w:val="0"/>
              <w:spacing w:before="15" w:beforeLines="5" w:after="31" w:afterLines="10"/>
              <w:jc w:val="center"/>
              <w:rPr>
                <w:rFonts w:ascii="楷体_GB2312" w:eastAsia="楷体_GB2312"/>
                <w:sz w:val="24"/>
              </w:rPr>
            </w:pPr>
            <w:r>
              <w:rPr>
                <w:rFonts w:hint="eastAsia" w:ascii="楷体_GB2312" w:eastAsia="楷体_GB2312"/>
                <w:sz w:val="24"/>
              </w:rPr>
              <w:t>——</w:t>
            </w:r>
          </w:p>
        </w:tc>
        <w:tc>
          <w:tcPr>
            <w:tcW w:w="772" w:type="pct"/>
            <w:shd w:val="clear" w:color="auto" w:fill="auto"/>
            <w:vAlign w:val="center"/>
          </w:tcPr>
          <w:p w14:paraId="6D855021">
            <w:pPr>
              <w:snapToGrid w:val="0"/>
              <w:spacing w:before="15" w:beforeLines="5" w:after="31" w:afterLines="10"/>
              <w:ind w:firstLine="482"/>
              <w:jc w:val="center"/>
              <w:rPr>
                <w:rFonts w:ascii="楷体_GB2312" w:eastAsia="楷体_GB2312" w:hAnsiTheme="minorHAnsi"/>
                <w:b/>
                <w:sz w:val="24"/>
              </w:rPr>
            </w:pPr>
          </w:p>
        </w:tc>
        <w:tc>
          <w:tcPr>
            <w:tcW w:w="486" w:type="pct"/>
            <w:shd w:val="clear" w:color="auto" w:fill="auto"/>
            <w:vAlign w:val="center"/>
          </w:tcPr>
          <w:p w14:paraId="0EB4F8E7">
            <w:pPr>
              <w:snapToGrid w:val="0"/>
              <w:spacing w:before="15" w:beforeLines="5" w:after="31" w:afterLines="10"/>
              <w:jc w:val="center"/>
              <w:rPr>
                <w:rFonts w:ascii="楷体_GB2312" w:eastAsia="楷体_GB2312"/>
                <w:sz w:val="24"/>
              </w:rPr>
            </w:pPr>
            <w:r>
              <w:rPr>
                <w:rFonts w:hint="eastAsia" w:ascii="楷体_GB2312" w:eastAsia="楷体_GB2312"/>
                <w:sz w:val="24"/>
              </w:rPr>
              <w:t>预期性</w:t>
            </w:r>
          </w:p>
        </w:tc>
      </w:tr>
      <w:tr w14:paraId="1E719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2" w:type="dxa"/>
            <w:bottom w:w="0" w:type="dxa"/>
            <w:right w:w="52" w:type="dxa"/>
          </w:tblCellMar>
        </w:tblPrEx>
        <w:trPr>
          <w:jc w:val="center"/>
        </w:trPr>
        <w:tc>
          <w:tcPr>
            <w:tcW w:w="386" w:type="pct"/>
            <w:vMerge w:val="continue"/>
            <w:shd w:val="clear" w:color="auto" w:fill="auto"/>
            <w:vAlign w:val="center"/>
          </w:tcPr>
          <w:p w14:paraId="0F92E375">
            <w:pPr>
              <w:snapToGrid w:val="0"/>
              <w:spacing w:before="15" w:beforeLines="5" w:after="31" w:afterLines="10"/>
              <w:ind w:firstLine="482"/>
              <w:jc w:val="center"/>
              <w:rPr>
                <w:rFonts w:ascii="楷体_GB2312" w:eastAsia="楷体_GB2312" w:hAnsiTheme="minorHAnsi"/>
                <w:b/>
                <w:sz w:val="24"/>
              </w:rPr>
            </w:pPr>
          </w:p>
        </w:tc>
        <w:tc>
          <w:tcPr>
            <w:tcW w:w="2096" w:type="pct"/>
            <w:shd w:val="clear" w:color="auto" w:fill="auto"/>
            <w:vAlign w:val="center"/>
          </w:tcPr>
          <w:p w14:paraId="6B33D659">
            <w:pPr>
              <w:snapToGrid w:val="0"/>
              <w:spacing w:before="15" w:beforeLines="5" w:after="31" w:afterLines="10"/>
              <w:jc w:val="left"/>
              <w:rPr>
                <w:rFonts w:ascii="楷体_GB2312" w:eastAsia="楷体_GB2312"/>
                <w:sz w:val="24"/>
              </w:rPr>
            </w:pPr>
            <w:r>
              <w:rPr>
                <w:rFonts w:hint="eastAsia" w:ascii="楷体_GB2312" w:eastAsia="楷体_GB2312"/>
                <w:sz w:val="24"/>
              </w:rPr>
              <w:t>3.非农产业增加值占比（%）</w:t>
            </w:r>
          </w:p>
        </w:tc>
        <w:tc>
          <w:tcPr>
            <w:tcW w:w="609" w:type="pct"/>
            <w:shd w:val="clear" w:color="auto" w:fill="auto"/>
            <w:vAlign w:val="center"/>
          </w:tcPr>
          <w:p w14:paraId="7748962A">
            <w:pPr>
              <w:snapToGrid w:val="0"/>
              <w:spacing w:before="15" w:beforeLines="5" w:after="31" w:afterLines="10"/>
              <w:jc w:val="center"/>
              <w:rPr>
                <w:rFonts w:ascii="楷体_GB2312" w:eastAsia="楷体_GB2312"/>
                <w:sz w:val="24"/>
              </w:rPr>
            </w:pPr>
            <w:r>
              <w:rPr>
                <w:rFonts w:hint="eastAsia" w:ascii="楷体_GB2312" w:eastAsia="楷体_GB2312"/>
                <w:sz w:val="24"/>
              </w:rPr>
              <w:t>72.7</w:t>
            </w:r>
          </w:p>
        </w:tc>
        <w:tc>
          <w:tcPr>
            <w:tcW w:w="647" w:type="pct"/>
            <w:shd w:val="clear" w:color="auto" w:fill="auto"/>
            <w:vAlign w:val="center"/>
          </w:tcPr>
          <w:p w14:paraId="17FD2846">
            <w:pPr>
              <w:snapToGrid w:val="0"/>
              <w:spacing w:before="15" w:beforeLines="5" w:after="31" w:afterLines="10"/>
              <w:jc w:val="center"/>
              <w:rPr>
                <w:rFonts w:hint="default" w:ascii="楷体_GB2312" w:eastAsia="楷体_GB2312"/>
                <w:sz w:val="24"/>
                <w:lang w:val="en-US" w:eastAsia="zh-CN"/>
              </w:rPr>
            </w:pPr>
            <w:r>
              <w:rPr>
                <w:rFonts w:hint="eastAsia" w:ascii="楷体_GB2312" w:eastAsia="楷体_GB2312"/>
                <w:sz w:val="24"/>
                <w:lang w:val="en-US" w:eastAsia="zh-CN"/>
              </w:rPr>
              <w:t>78</w:t>
            </w:r>
          </w:p>
        </w:tc>
        <w:tc>
          <w:tcPr>
            <w:tcW w:w="772" w:type="pct"/>
            <w:shd w:val="clear" w:color="auto" w:fill="auto"/>
            <w:vAlign w:val="center"/>
          </w:tcPr>
          <w:p w14:paraId="542D182C">
            <w:pPr>
              <w:snapToGrid w:val="0"/>
              <w:spacing w:before="15" w:beforeLines="5" w:after="31" w:afterLines="10"/>
              <w:ind w:firstLine="482"/>
              <w:jc w:val="both"/>
              <w:rPr>
                <w:rFonts w:hint="default" w:ascii="楷体_GB2312" w:eastAsia="楷体_GB2312" w:hAnsiTheme="minorHAnsi"/>
                <w:b/>
                <w:sz w:val="24"/>
                <w:lang w:val="en-US" w:eastAsia="zh-CN"/>
              </w:rPr>
            </w:pPr>
            <w:r>
              <w:rPr>
                <w:rFonts w:hint="eastAsia" w:ascii="楷体_GB2312" w:eastAsia="楷体_GB2312" w:hAnsiTheme="minorHAnsi"/>
                <w:b/>
                <w:sz w:val="24"/>
                <w:lang w:val="en-US" w:eastAsia="zh-CN"/>
              </w:rPr>
              <w:t>1.2</w:t>
            </w:r>
          </w:p>
        </w:tc>
        <w:tc>
          <w:tcPr>
            <w:tcW w:w="486" w:type="pct"/>
            <w:shd w:val="clear" w:color="auto" w:fill="auto"/>
            <w:vAlign w:val="center"/>
          </w:tcPr>
          <w:p w14:paraId="7285C9AF">
            <w:pPr>
              <w:snapToGrid w:val="0"/>
              <w:spacing w:before="15" w:beforeLines="5" w:after="31" w:afterLines="10"/>
              <w:jc w:val="center"/>
              <w:rPr>
                <w:rFonts w:ascii="楷体_GB2312" w:eastAsia="楷体_GB2312"/>
                <w:sz w:val="24"/>
              </w:rPr>
            </w:pPr>
            <w:r>
              <w:rPr>
                <w:rFonts w:hint="eastAsia" w:ascii="楷体_GB2312" w:eastAsia="楷体_GB2312"/>
                <w:sz w:val="24"/>
              </w:rPr>
              <w:t>预期性</w:t>
            </w:r>
          </w:p>
        </w:tc>
      </w:tr>
      <w:tr w14:paraId="7C39C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2" w:type="dxa"/>
            <w:bottom w:w="0" w:type="dxa"/>
            <w:right w:w="52" w:type="dxa"/>
          </w:tblCellMar>
        </w:tblPrEx>
        <w:trPr>
          <w:jc w:val="center"/>
        </w:trPr>
        <w:tc>
          <w:tcPr>
            <w:tcW w:w="386" w:type="pct"/>
            <w:vMerge w:val="continue"/>
            <w:shd w:val="clear" w:color="auto" w:fill="auto"/>
            <w:vAlign w:val="center"/>
          </w:tcPr>
          <w:p w14:paraId="5BA2870A">
            <w:pPr>
              <w:snapToGrid w:val="0"/>
              <w:spacing w:before="15" w:beforeLines="5" w:after="31" w:afterLines="10"/>
              <w:ind w:firstLine="482"/>
              <w:jc w:val="center"/>
              <w:rPr>
                <w:rFonts w:ascii="楷体_GB2312" w:eastAsia="楷体_GB2312" w:hAnsiTheme="minorHAnsi"/>
                <w:b/>
                <w:sz w:val="24"/>
              </w:rPr>
            </w:pPr>
          </w:p>
        </w:tc>
        <w:tc>
          <w:tcPr>
            <w:tcW w:w="2096" w:type="pct"/>
            <w:shd w:val="clear" w:color="auto" w:fill="auto"/>
            <w:vAlign w:val="center"/>
          </w:tcPr>
          <w:p w14:paraId="59FE79C4">
            <w:pPr>
              <w:snapToGrid w:val="0"/>
              <w:spacing w:before="15" w:beforeLines="5" w:after="31" w:afterLines="10"/>
              <w:jc w:val="left"/>
              <w:rPr>
                <w:rFonts w:ascii="楷体_GB2312" w:eastAsia="楷体_GB2312"/>
                <w:sz w:val="24"/>
              </w:rPr>
            </w:pPr>
            <w:r>
              <w:rPr>
                <w:rFonts w:hint="eastAsia" w:ascii="楷体_GB2312" w:eastAsia="楷体_GB2312"/>
                <w:sz w:val="24"/>
              </w:rPr>
              <w:t>4.地方财政一般公共预算收入增长（%）</w:t>
            </w:r>
          </w:p>
        </w:tc>
        <w:tc>
          <w:tcPr>
            <w:tcW w:w="609" w:type="pct"/>
            <w:shd w:val="clear" w:color="auto" w:fill="auto"/>
            <w:vAlign w:val="center"/>
          </w:tcPr>
          <w:p w14:paraId="51E1B301">
            <w:pPr>
              <w:snapToGrid w:val="0"/>
              <w:spacing w:before="15" w:beforeLines="5" w:after="31" w:afterLines="10"/>
              <w:jc w:val="center"/>
              <w:rPr>
                <w:rFonts w:hint="default" w:ascii="楷体_GB2312" w:eastAsia="楷体_GB2312"/>
                <w:sz w:val="24"/>
                <w:lang w:val="en-US" w:eastAsia="zh-CN"/>
              </w:rPr>
            </w:pPr>
            <w:r>
              <w:rPr>
                <w:rFonts w:hint="eastAsia" w:ascii="楷体_GB2312" w:eastAsia="楷体_GB2312"/>
                <w:sz w:val="24"/>
                <w:lang w:val="en-US" w:eastAsia="zh-CN"/>
              </w:rPr>
              <w:t>32</w:t>
            </w:r>
          </w:p>
        </w:tc>
        <w:tc>
          <w:tcPr>
            <w:tcW w:w="647" w:type="pct"/>
            <w:shd w:val="clear" w:color="auto" w:fill="auto"/>
            <w:vAlign w:val="center"/>
          </w:tcPr>
          <w:p w14:paraId="06E93FBA">
            <w:pPr>
              <w:snapToGrid w:val="0"/>
              <w:spacing w:before="15" w:beforeLines="5" w:after="31" w:afterLines="10"/>
              <w:jc w:val="center"/>
              <w:rPr>
                <w:rFonts w:hint="default" w:ascii="楷体_GB2312" w:eastAsia="楷体_GB2312"/>
                <w:sz w:val="24"/>
                <w:lang w:val="en-US" w:eastAsia="zh-CN"/>
              </w:rPr>
            </w:pPr>
            <w:r>
              <w:rPr>
                <w:rFonts w:hint="eastAsia" w:ascii="楷体_GB2312" w:eastAsia="楷体_GB2312"/>
                <w:sz w:val="24"/>
                <w:lang w:val="en-US" w:eastAsia="zh-CN"/>
              </w:rPr>
              <w:t>120</w:t>
            </w:r>
          </w:p>
        </w:tc>
        <w:tc>
          <w:tcPr>
            <w:tcW w:w="772" w:type="pct"/>
            <w:shd w:val="clear" w:color="auto" w:fill="auto"/>
            <w:vAlign w:val="center"/>
          </w:tcPr>
          <w:p w14:paraId="74BDC45A">
            <w:pPr>
              <w:snapToGrid w:val="0"/>
              <w:spacing w:before="15" w:beforeLines="5" w:after="31" w:afterLines="10"/>
              <w:jc w:val="center"/>
              <w:rPr>
                <w:rFonts w:ascii="楷体_GB2312" w:eastAsia="楷体_GB2312"/>
                <w:sz w:val="24"/>
              </w:rPr>
            </w:pPr>
            <w:r>
              <w:rPr>
                <w:rFonts w:hint="eastAsia" w:ascii="楷体_GB2312" w:eastAsia="楷体_GB2312"/>
                <w:sz w:val="24"/>
              </w:rPr>
              <w:t>6</w:t>
            </w:r>
          </w:p>
        </w:tc>
        <w:tc>
          <w:tcPr>
            <w:tcW w:w="486" w:type="pct"/>
            <w:shd w:val="clear" w:color="auto" w:fill="auto"/>
            <w:vAlign w:val="center"/>
          </w:tcPr>
          <w:p w14:paraId="3E36DF8F">
            <w:pPr>
              <w:snapToGrid w:val="0"/>
              <w:spacing w:before="15" w:beforeLines="5" w:after="31" w:afterLines="10"/>
              <w:jc w:val="left"/>
              <w:rPr>
                <w:rFonts w:ascii="楷体_GB2312" w:eastAsia="楷体_GB2312"/>
                <w:sz w:val="24"/>
              </w:rPr>
            </w:pPr>
            <w:r>
              <w:rPr>
                <w:rFonts w:hint="eastAsia" w:ascii="楷体_GB2312" w:eastAsia="楷体_GB2312"/>
                <w:sz w:val="24"/>
              </w:rPr>
              <w:t>预期性</w:t>
            </w:r>
          </w:p>
        </w:tc>
      </w:tr>
      <w:tr w14:paraId="6AF75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2" w:type="dxa"/>
            <w:bottom w:w="0" w:type="dxa"/>
            <w:right w:w="52" w:type="dxa"/>
          </w:tblCellMar>
        </w:tblPrEx>
        <w:trPr>
          <w:jc w:val="center"/>
        </w:trPr>
        <w:tc>
          <w:tcPr>
            <w:tcW w:w="386" w:type="pct"/>
            <w:vMerge w:val="continue"/>
            <w:shd w:val="clear" w:color="auto" w:fill="auto"/>
            <w:vAlign w:val="center"/>
          </w:tcPr>
          <w:p w14:paraId="72FB6D15">
            <w:pPr>
              <w:snapToGrid w:val="0"/>
              <w:spacing w:before="15" w:beforeLines="5" w:after="31" w:afterLines="10"/>
              <w:ind w:firstLine="482"/>
              <w:jc w:val="center"/>
              <w:rPr>
                <w:rFonts w:ascii="楷体_GB2312" w:eastAsia="楷体_GB2312" w:hAnsiTheme="minorHAnsi"/>
                <w:b/>
                <w:sz w:val="24"/>
              </w:rPr>
            </w:pPr>
          </w:p>
        </w:tc>
        <w:tc>
          <w:tcPr>
            <w:tcW w:w="2096" w:type="pct"/>
            <w:shd w:val="clear" w:color="auto" w:fill="auto"/>
            <w:vAlign w:val="center"/>
          </w:tcPr>
          <w:p w14:paraId="2A3C633B">
            <w:pPr>
              <w:snapToGrid w:val="0"/>
              <w:spacing w:before="15" w:beforeLines="5" w:after="31" w:afterLines="10"/>
              <w:jc w:val="left"/>
              <w:rPr>
                <w:rFonts w:ascii="楷体_GB2312" w:eastAsia="楷体_GB2312"/>
                <w:sz w:val="24"/>
              </w:rPr>
            </w:pPr>
            <w:r>
              <w:rPr>
                <w:rFonts w:hint="eastAsia" w:ascii="楷体_GB2312" w:eastAsia="楷体_GB2312"/>
                <w:sz w:val="24"/>
              </w:rPr>
              <w:t>5.固定资产投资累计（亿元）</w:t>
            </w:r>
          </w:p>
        </w:tc>
        <w:tc>
          <w:tcPr>
            <w:tcW w:w="609" w:type="pct"/>
            <w:shd w:val="clear" w:color="auto" w:fill="auto"/>
            <w:vAlign w:val="center"/>
          </w:tcPr>
          <w:p w14:paraId="4CBD8322">
            <w:pPr>
              <w:snapToGrid w:val="0"/>
              <w:spacing w:before="15" w:beforeLines="5" w:after="31" w:afterLines="10"/>
              <w:jc w:val="center"/>
              <w:rPr>
                <w:rFonts w:hint="default" w:ascii="楷体_GB2312" w:eastAsia="楷体_GB2312"/>
                <w:sz w:val="24"/>
                <w:lang w:val="en-US" w:eastAsia="zh-CN"/>
              </w:rPr>
            </w:pPr>
            <w:r>
              <w:rPr>
                <w:rFonts w:hint="eastAsia" w:ascii="楷体_GB2312" w:eastAsia="楷体_GB2312"/>
                <w:sz w:val="24"/>
                <w:lang w:val="en-US" w:eastAsia="zh-CN"/>
              </w:rPr>
              <w:t>80.14</w:t>
            </w:r>
          </w:p>
        </w:tc>
        <w:tc>
          <w:tcPr>
            <w:tcW w:w="647" w:type="pct"/>
            <w:shd w:val="clear" w:color="auto" w:fill="auto"/>
            <w:vAlign w:val="center"/>
          </w:tcPr>
          <w:p w14:paraId="7EE0CB59">
            <w:pPr>
              <w:snapToGrid w:val="0"/>
              <w:spacing w:before="15" w:beforeLines="5" w:after="31" w:afterLines="10"/>
              <w:jc w:val="center"/>
              <w:rPr>
                <w:rFonts w:ascii="楷体_GB2312" w:eastAsia="楷体_GB2312"/>
                <w:sz w:val="24"/>
              </w:rPr>
            </w:pPr>
            <w:r>
              <w:rPr>
                <w:rFonts w:hint="eastAsia" w:ascii="楷体_GB2312" w:eastAsia="楷体_GB2312"/>
                <w:sz w:val="24"/>
              </w:rPr>
              <w:t>——</w:t>
            </w:r>
          </w:p>
        </w:tc>
        <w:tc>
          <w:tcPr>
            <w:tcW w:w="772" w:type="pct"/>
            <w:shd w:val="clear" w:color="auto" w:fill="auto"/>
            <w:vAlign w:val="center"/>
          </w:tcPr>
          <w:p w14:paraId="3E16B3A1">
            <w:pPr>
              <w:snapToGrid w:val="0"/>
              <w:spacing w:before="15" w:beforeLines="5" w:after="31" w:afterLines="10"/>
              <w:jc w:val="center"/>
              <w:rPr>
                <w:rFonts w:hint="default" w:ascii="楷体_GB2312" w:eastAsia="楷体_GB2312"/>
                <w:sz w:val="24"/>
                <w:lang w:val="en-US" w:eastAsia="zh-CN"/>
              </w:rPr>
            </w:pPr>
            <w:r>
              <w:rPr>
                <w:rFonts w:hint="eastAsia" w:ascii="楷体_GB2312" w:eastAsia="楷体_GB2312"/>
                <w:sz w:val="24"/>
                <w:lang w:val="en-US" w:eastAsia="zh-CN"/>
              </w:rPr>
              <w:t>200</w:t>
            </w:r>
          </w:p>
        </w:tc>
        <w:tc>
          <w:tcPr>
            <w:tcW w:w="486" w:type="pct"/>
            <w:shd w:val="clear" w:color="auto" w:fill="auto"/>
            <w:vAlign w:val="center"/>
          </w:tcPr>
          <w:p w14:paraId="69CD8C4C">
            <w:pPr>
              <w:snapToGrid w:val="0"/>
              <w:spacing w:before="15" w:beforeLines="5" w:after="31" w:afterLines="10"/>
              <w:jc w:val="left"/>
              <w:rPr>
                <w:rFonts w:ascii="楷体_GB2312" w:eastAsia="楷体_GB2312"/>
                <w:sz w:val="24"/>
              </w:rPr>
            </w:pPr>
            <w:r>
              <w:rPr>
                <w:rFonts w:hint="eastAsia" w:ascii="楷体_GB2312" w:eastAsia="楷体_GB2312"/>
                <w:sz w:val="24"/>
              </w:rPr>
              <w:t>预期性</w:t>
            </w:r>
          </w:p>
        </w:tc>
      </w:tr>
      <w:tr w14:paraId="6F876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2" w:type="dxa"/>
            <w:bottom w:w="0" w:type="dxa"/>
            <w:right w:w="52" w:type="dxa"/>
          </w:tblCellMar>
        </w:tblPrEx>
        <w:trPr>
          <w:jc w:val="center"/>
        </w:trPr>
        <w:tc>
          <w:tcPr>
            <w:tcW w:w="386" w:type="pct"/>
            <w:vMerge w:val="continue"/>
            <w:shd w:val="clear" w:color="auto" w:fill="auto"/>
            <w:vAlign w:val="center"/>
          </w:tcPr>
          <w:p w14:paraId="42CD86B2">
            <w:pPr>
              <w:snapToGrid w:val="0"/>
              <w:spacing w:before="15" w:beforeLines="5" w:after="31" w:afterLines="10"/>
              <w:ind w:firstLine="482"/>
              <w:jc w:val="center"/>
              <w:rPr>
                <w:rFonts w:ascii="楷体_GB2312" w:eastAsia="楷体_GB2312" w:hAnsiTheme="minorHAnsi"/>
                <w:b/>
                <w:sz w:val="24"/>
              </w:rPr>
            </w:pPr>
          </w:p>
        </w:tc>
        <w:tc>
          <w:tcPr>
            <w:tcW w:w="2096" w:type="pct"/>
            <w:shd w:val="clear" w:color="auto" w:fill="auto"/>
            <w:vAlign w:val="center"/>
          </w:tcPr>
          <w:p w14:paraId="07785861">
            <w:pPr>
              <w:snapToGrid w:val="0"/>
              <w:spacing w:before="15" w:beforeLines="5" w:after="31" w:afterLines="10"/>
              <w:jc w:val="left"/>
              <w:rPr>
                <w:rFonts w:ascii="楷体_GB2312" w:eastAsia="楷体_GB2312"/>
                <w:sz w:val="24"/>
              </w:rPr>
            </w:pPr>
            <w:r>
              <w:rPr>
                <w:rFonts w:hint="eastAsia" w:ascii="楷体_GB2312" w:eastAsia="楷体_GB2312"/>
                <w:sz w:val="24"/>
              </w:rPr>
              <w:t>6.社会消费品零售总额（亿元）</w:t>
            </w:r>
          </w:p>
        </w:tc>
        <w:tc>
          <w:tcPr>
            <w:tcW w:w="609" w:type="pct"/>
            <w:shd w:val="clear" w:color="auto" w:fill="auto"/>
            <w:vAlign w:val="center"/>
          </w:tcPr>
          <w:p w14:paraId="529FFE55">
            <w:pPr>
              <w:snapToGrid w:val="0"/>
              <w:spacing w:before="15" w:beforeLines="5" w:after="31" w:afterLines="10"/>
              <w:jc w:val="center"/>
              <w:rPr>
                <w:rFonts w:hint="default" w:ascii="楷体_GB2312" w:eastAsia="楷体_GB2312"/>
                <w:sz w:val="24"/>
                <w:lang w:val="en-US" w:eastAsia="zh-CN"/>
              </w:rPr>
            </w:pPr>
            <w:r>
              <w:rPr>
                <w:rFonts w:hint="eastAsia" w:ascii="楷体_GB2312" w:eastAsia="楷体_GB2312"/>
                <w:sz w:val="24"/>
              </w:rPr>
              <w:t>1</w:t>
            </w:r>
            <w:r>
              <w:rPr>
                <w:rFonts w:hint="eastAsia" w:ascii="楷体_GB2312" w:eastAsia="楷体_GB2312"/>
                <w:sz w:val="24"/>
                <w:lang w:val="en-US" w:eastAsia="zh-CN"/>
              </w:rPr>
              <w:t>0.38</w:t>
            </w:r>
          </w:p>
        </w:tc>
        <w:tc>
          <w:tcPr>
            <w:tcW w:w="647" w:type="pct"/>
            <w:shd w:val="clear" w:color="auto" w:fill="auto"/>
            <w:vAlign w:val="center"/>
          </w:tcPr>
          <w:p w14:paraId="116911EB">
            <w:pPr>
              <w:snapToGrid w:val="0"/>
              <w:spacing w:before="15" w:beforeLines="5" w:after="31" w:afterLines="10"/>
              <w:jc w:val="center"/>
              <w:rPr>
                <w:rFonts w:hint="default" w:ascii="楷体_GB2312" w:eastAsia="楷体_GB2312"/>
                <w:sz w:val="24"/>
                <w:lang w:val="en-US" w:eastAsia="zh-CN"/>
              </w:rPr>
            </w:pPr>
            <w:r>
              <w:rPr>
                <w:rFonts w:hint="eastAsia" w:ascii="楷体_GB2312" w:eastAsia="楷体_GB2312"/>
                <w:sz w:val="24"/>
                <w:lang w:val="en-US" w:eastAsia="zh-CN"/>
              </w:rPr>
              <w:t>13.25</w:t>
            </w:r>
          </w:p>
        </w:tc>
        <w:tc>
          <w:tcPr>
            <w:tcW w:w="772" w:type="pct"/>
            <w:shd w:val="clear" w:color="auto" w:fill="auto"/>
            <w:vAlign w:val="center"/>
          </w:tcPr>
          <w:p w14:paraId="031252E8">
            <w:pPr>
              <w:snapToGrid w:val="0"/>
              <w:spacing w:before="15" w:beforeLines="5" w:after="31" w:afterLines="10"/>
              <w:jc w:val="center"/>
              <w:rPr>
                <w:rFonts w:hint="default" w:ascii="楷体_GB2312" w:eastAsia="楷体_GB2312"/>
                <w:sz w:val="24"/>
                <w:lang w:val="en-US" w:eastAsia="zh-CN"/>
              </w:rPr>
            </w:pPr>
            <w:r>
              <w:rPr>
                <w:rFonts w:hint="eastAsia" w:ascii="楷体_GB2312" w:eastAsia="楷体_GB2312"/>
                <w:sz w:val="24"/>
                <w:lang w:val="en-US" w:eastAsia="zh-CN"/>
              </w:rPr>
              <w:t>60</w:t>
            </w:r>
          </w:p>
        </w:tc>
        <w:tc>
          <w:tcPr>
            <w:tcW w:w="486" w:type="pct"/>
            <w:shd w:val="clear" w:color="auto" w:fill="auto"/>
            <w:vAlign w:val="center"/>
          </w:tcPr>
          <w:p w14:paraId="78C30128">
            <w:pPr>
              <w:snapToGrid w:val="0"/>
              <w:spacing w:before="15" w:beforeLines="5" w:after="31" w:afterLines="10"/>
              <w:jc w:val="left"/>
              <w:rPr>
                <w:rFonts w:ascii="楷体_GB2312" w:eastAsia="楷体_GB2312"/>
                <w:sz w:val="24"/>
              </w:rPr>
            </w:pPr>
            <w:r>
              <w:rPr>
                <w:rFonts w:hint="eastAsia" w:ascii="楷体_GB2312" w:eastAsia="楷体_GB2312"/>
                <w:sz w:val="24"/>
              </w:rPr>
              <w:t>预期性</w:t>
            </w:r>
          </w:p>
        </w:tc>
      </w:tr>
      <w:tr w14:paraId="2EABD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2" w:type="dxa"/>
            <w:bottom w:w="0" w:type="dxa"/>
            <w:right w:w="52" w:type="dxa"/>
          </w:tblCellMar>
        </w:tblPrEx>
        <w:trPr>
          <w:jc w:val="center"/>
        </w:trPr>
        <w:tc>
          <w:tcPr>
            <w:tcW w:w="386" w:type="pct"/>
            <w:vMerge w:val="continue"/>
            <w:shd w:val="clear" w:color="auto" w:fill="auto"/>
            <w:vAlign w:val="center"/>
          </w:tcPr>
          <w:p w14:paraId="5BDB635B">
            <w:pPr>
              <w:snapToGrid w:val="0"/>
              <w:spacing w:before="15" w:beforeLines="5" w:after="31" w:afterLines="10"/>
              <w:ind w:firstLine="482"/>
              <w:jc w:val="center"/>
              <w:rPr>
                <w:rFonts w:ascii="楷体_GB2312" w:eastAsia="楷体_GB2312" w:hAnsiTheme="minorHAnsi"/>
                <w:b/>
                <w:sz w:val="24"/>
              </w:rPr>
            </w:pPr>
          </w:p>
        </w:tc>
        <w:tc>
          <w:tcPr>
            <w:tcW w:w="2096" w:type="pct"/>
            <w:shd w:val="clear" w:color="auto" w:fill="auto"/>
            <w:vAlign w:val="center"/>
          </w:tcPr>
          <w:p w14:paraId="362C34D2">
            <w:pPr>
              <w:snapToGrid w:val="0"/>
              <w:spacing w:before="15" w:beforeLines="5" w:after="31" w:afterLines="10"/>
              <w:jc w:val="left"/>
              <w:rPr>
                <w:rFonts w:ascii="楷体_GB2312" w:eastAsia="楷体_GB2312"/>
                <w:sz w:val="24"/>
              </w:rPr>
            </w:pPr>
            <w:r>
              <w:rPr>
                <w:rFonts w:hint="eastAsia" w:ascii="楷体_GB2312" w:eastAsia="楷体_GB2312"/>
                <w:sz w:val="24"/>
              </w:rPr>
              <w:t>7.常住人口城镇化率（%）</w:t>
            </w:r>
          </w:p>
        </w:tc>
        <w:tc>
          <w:tcPr>
            <w:tcW w:w="609" w:type="pct"/>
            <w:shd w:val="clear" w:color="auto" w:fill="auto"/>
            <w:vAlign w:val="center"/>
          </w:tcPr>
          <w:p w14:paraId="7ED94920">
            <w:pPr>
              <w:snapToGrid w:val="0"/>
              <w:spacing w:before="15" w:beforeLines="5" w:after="31" w:afterLines="10"/>
              <w:jc w:val="center"/>
              <w:rPr>
                <w:rFonts w:ascii="楷体_GB2312" w:eastAsia="楷体_GB2312"/>
                <w:sz w:val="24"/>
              </w:rPr>
            </w:pPr>
            <w:r>
              <w:rPr>
                <w:rFonts w:hint="eastAsia" w:ascii="楷体_GB2312" w:eastAsia="楷体_GB2312"/>
                <w:sz w:val="24"/>
              </w:rPr>
              <w:t>41.59</w:t>
            </w:r>
          </w:p>
        </w:tc>
        <w:tc>
          <w:tcPr>
            <w:tcW w:w="647" w:type="pct"/>
            <w:shd w:val="clear" w:color="auto" w:fill="auto"/>
            <w:vAlign w:val="center"/>
          </w:tcPr>
          <w:p w14:paraId="73F4956C">
            <w:pPr>
              <w:snapToGrid w:val="0"/>
              <w:spacing w:before="15" w:beforeLines="5" w:after="31" w:afterLines="10"/>
              <w:jc w:val="center"/>
              <w:rPr>
                <w:rFonts w:hint="default" w:ascii="楷体_GB2312" w:eastAsia="楷体_GB2312"/>
                <w:sz w:val="24"/>
                <w:lang w:val="en-US" w:eastAsia="zh-CN"/>
              </w:rPr>
            </w:pPr>
            <w:r>
              <w:rPr>
                <w:rFonts w:hint="eastAsia" w:ascii="楷体_GB2312" w:eastAsia="楷体_GB2312"/>
                <w:sz w:val="24"/>
                <w:lang w:val="en-US" w:eastAsia="zh-CN"/>
              </w:rPr>
              <w:t>42</w:t>
            </w:r>
          </w:p>
        </w:tc>
        <w:tc>
          <w:tcPr>
            <w:tcW w:w="772" w:type="pct"/>
            <w:shd w:val="clear" w:color="auto" w:fill="auto"/>
            <w:vAlign w:val="center"/>
          </w:tcPr>
          <w:p w14:paraId="5E01B1EF">
            <w:pPr>
              <w:snapToGrid w:val="0"/>
              <w:spacing w:before="15" w:beforeLines="5" w:after="31" w:afterLines="10"/>
              <w:jc w:val="center"/>
              <w:rPr>
                <w:rFonts w:hint="default" w:ascii="楷体_GB2312" w:eastAsia="楷体_GB2312"/>
                <w:sz w:val="24"/>
                <w:lang w:val="en-US" w:eastAsia="zh-CN"/>
              </w:rPr>
            </w:pPr>
            <w:r>
              <w:rPr>
                <w:rFonts w:hint="eastAsia" w:ascii="楷体_GB2312" w:eastAsia="楷体_GB2312"/>
                <w:sz w:val="24"/>
                <w:lang w:val="en-US" w:eastAsia="zh-CN"/>
              </w:rPr>
              <w:t>1.5</w:t>
            </w:r>
          </w:p>
        </w:tc>
        <w:tc>
          <w:tcPr>
            <w:tcW w:w="486" w:type="pct"/>
            <w:shd w:val="clear" w:color="auto" w:fill="auto"/>
            <w:vAlign w:val="center"/>
          </w:tcPr>
          <w:p w14:paraId="285AA642">
            <w:pPr>
              <w:snapToGrid w:val="0"/>
              <w:spacing w:before="15" w:beforeLines="5" w:after="31" w:afterLines="10"/>
              <w:jc w:val="left"/>
              <w:rPr>
                <w:rFonts w:ascii="楷体_GB2312" w:eastAsia="楷体_GB2312"/>
                <w:sz w:val="24"/>
              </w:rPr>
            </w:pPr>
            <w:r>
              <w:rPr>
                <w:rFonts w:hint="eastAsia" w:ascii="楷体_GB2312" w:eastAsia="楷体_GB2312"/>
                <w:sz w:val="24"/>
              </w:rPr>
              <w:t>预期性</w:t>
            </w:r>
          </w:p>
        </w:tc>
      </w:tr>
      <w:tr w14:paraId="1FA71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2" w:type="dxa"/>
            <w:bottom w:w="0" w:type="dxa"/>
            <w:right w:w="52" w:type="dxa"/>
          </w:tblCellMar>
        </w:tblPrEx>
        <w:trPr>
          <w:jc w:val="center"/>
        </w:trPr>
        <w:tc>
          <w:tcPr>
            <w:tcW w:w="386" w:type="pct"/>
            <w:vMerge w:val="restart"/>
            <w:shd w:val="clear" w:color="auto" w:fill="auto"/>
            <w:vAlign w:val="center"/>
          </w:tcPr>
          <w:p w14:paraId="2F325D00">
            <w:pPr>
              <w:snapToGrid w:val="0"/>
              <w:spacing w:before="15" w:beforeLines="5" w:after="31" w:afterLines="10"/>
              <w:jc w:val="center"/>
              <w:rPr>
                <w:rFonts w:ascii="楷体_GB2312" w:eastAsia="楷体_GB2312"/>
                <w:sz w:val="24"/>
              </w:rPr>
            </w:pPr>
            <w:r>
              <w:rPr>
                <w:rFonts w:hint="eastAsia" w:ascii="楷体_GB2312" w:eastAsia="楷体_GB2312"/>
                <w:sz w:val="24"/>
              </w:rPr>
              <w:t>创新</w:t>
            </w:r>
          </w:p>
          <w:p w14:paraId="276A1BB6">
            <w:pPr>
              <w:snapToGrid w:val="0"/>
              <w:spacing w:before="15" w:beforeLines="5" w:after="31" w:afterLines="10"/>
              <w:jc w:val="center"/>
              <w:rPr>
                <w:rFonts w:ascii="楷体_GB2312" w:eastAsia="楷体_GB2312"/>
                <w:sz w:val="24"/>
              </w:rPr>
            </w:pPr>
            <w:r>
              <w:rPr>
                <w:rFonts w:hint="eastAsia" w:ascii="楷体_GB2312" w:eastAsia="楷体_GB2312"/>
                <w:sz w:val="24"/>
              </w:rPr>
              <w:t>驱动</w:t>
            </w:r>
          </w:p>
        </w:tc>
        <w:tc>
          <w:tcPr>
            <w:tcW w:w="2096" w:type="pct"/>
            <w:shd w:val="clear" w:color="auto" w:fill="auto"/>
            <w:vAlign w:val="center"/>
          </w:tcPr>
          <w:p w14:paraId="6750CC0F">
            <w:pPr>
              <w:snapToGrid w:val="0"/>
              <w:spacing w:before="15" w:beforeLines="5" w:after="31" w:afterLines="10"/>
              <w:jc w:val="left"/>
              <w:rPr>
                <w:rFonts w:ascii="楷体_GB2312" w:eastAsia="楷体_GB2312"/>
                <w:sz w:val="24"/>
              </w:rPr>
            </w:pPr>
            <w:r>
              <w:rPr>
                <w:rFonts w:hint="eastAsia" w:ascii="楷体_GB2312" w:eastAsia="楷体_GB2312"/>
                <w:sz w:val="24"/>
              </w:rPr>
              <w:t>8.全社会研发经费投入增长（%）</w:t>
            </w:r>
          </w:p>
        </w:tc>
        <w:tc>
          <w:tcPr>
            <w:tcW w:w="609" w:type="pct"/>
            <w:shd w:val="clear" w:color="auto" w:fill="auto"/>
            <w:vAlign w:val="center"/>
          </w:tcPr>
          <w:p w14:paraId="0DC8974E">
            <w:pPr>
              <w:snapToGrid w:val="0"/>
              <w:spacing w:before="15" w:beforeLines="5" w:after="31" w:afterLines="10"/>
              <w:jc w:val="center"/>
              <w:rPr>
                <w:rFonts w:hint="eastAsia" w:ascii="楷体_GB2312" w:eastAsia="楷体_GB2312"/>
                <w:sz w:val="24"/>
                <w:lang w:val="en-US" w:eastAsia="zh-CN"/>
              </w:rPr>
            </w:pPr>
            <w:r>
              <w:rPr>
                <w:rFonts w:hint="eastAsia" w:ascii="楷体_GB2312" w:eastAsia="楷体_GB2312"/>
                <w:sz w:val="24"/>
              </w:rPr>
              <w:t>——</w:t>
            </w:r>
          </w:p>
        </w:tc>
        <w:tc>
          <w:tcPr>
            <w:tcW w:w="647" w:type="pct"/>
            <w:shd w:val="clear" w:color="auto" w:fill="auto"/>
            <w:vAlign w:val="center"/>
          </w:tcPr>
          <w:p w14:paraId="4A8022C8">
            <w:pPr>
              <w:snapToGrid w:val="0"/>
              <w:spacing w:before="15" w:beforeLines="5" w:after="31" w:afterLines="10"/>
              <w:jc w:val="center"/>
              <w:rPr>
                <w:rFonts w:ascii="楷体_GB2312" w:eastAsia="楷体_GB2312"/>
                <w:sz w:val="24"/>
              </w:rPr>
            </w:pPr>
            <w:r>
              <w:rPr>
                <w:rFonts w:hint="eastAsia" w:ascii="楷体_GB2312" w:eastAsia="楷体_GB2312"/>
                <w:sz w:val="24"/>
              </w:rPr>
              <w:t>——</w:t>
            </w:r>
          </w:p>
        </w:tc>
        <w:tc>
          <w:tcPr>
            <w:tcW w:w="772" w:type="pct"/>
            <w:shd w:val="clear" w:color="auto" w:fill="auto"/>
            <w:vAlign w:val="center"/>
          </w:tcPr>
          <w:p w14:paraId="484F89DD">
            <w:pPr>
              <w:snapToGrid w:val="0"/>
              <w:spacing w:before="15" w:beforeLines="5" w:after="31" w:afterLines="10"/>
              <w:jc w:val="center"/>
              <w:rPr>
                <w:rFonts w:ascii="楷体_GB2312" w:eastAsia="楷体_GB2312"/>
                <w:sz w:val="24"/>
              </w:rPr>
            </w:pPr>
            <w:r>
              <w:rPr>
                <w:rFonts w:hint="eastAsia" w:ascii="楷体_GB2312" w:eastAsia="楷体_GB2312"/>
                <w:sz w:val="24"/>
                <w:lang w:val="en-US" w:eastAsia="zh-CN"/>
              </w:rPr>
              <w:t>与全州平均增速持平</w:t>
            </w:r>
          </w:p>
        </w:tc>
        <w:tc>
          <w:tcPr>
            <w:tcW w:w="486" w:type="pct"/>
            <w:shd w:val="clear" w:color="auto" w:fill="auto"/>
            <w:vAlign w:val="center"/>
          </w:tcPr>
          <w:p w14:paraId="0FAE08BA">
            <w:pPr>
              <w:snapToGrid w:val="0"/>
              <w:spacing w:before="15" w:beforeLines="5" w:after="31" w:afterLines="10"/>
              <w:jc w:val="left"/>
              <w:rPr>
                <w:rFonts w:ascii="楷体_GB2312" w:eastAsia="楷体_GB2312"/>
                <w:sz w:val="24"/>
              </w:rPr>
            </w:pPr>
            <w:r>
              <w:rPr>
                <w:rFonts w:hint="eastAsia" w:ascii="楷体_GB2312" w:eastAsia="楷体_GB2312"/>
                <w:sz w:val="24"/>
              </w:rPr>
              <w:t>预期性</w:t>
            </w:r>
          </w:p>
        </w:tc>
      </w:tr>
      <w:tr w14:paraId="0A315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2" w:type="dxa"/>
            <w:bottom w:w="0" w:type="dxa"/>
            <w:right w:w="52" w:type="dxa"/>
          </w:tblCellMar>
        </w:tblPrEx>
        <w:trPr>
          <w:jc w:val="center"/>
        </w:trPr>
        <w:tc>
          <w:tcPr>
            <w:tcW w:w="386" w:type="pct"/>
            <w:vMerge w:val="continue"/>
            <w:shd w:val="clear" w:color="auto" w:fill="auto"/>
            <w:vAlign w:val="center"/>
          </w:tcPr>
          <w:p w14:paraId="539BD972">
            <w:pPr>
              <w:snapToGrid w:val="0"/>
              <w:spacing w:before="15" w:beforeLines="5" w:after="31" w:afterLines="10"/>
              <w:ind w:firstLine="482"/>
              <w:jc w:val="center"/>
              <w:rPr>
                <w:rFonts w:ascii="楷体_GB2312" w:eastAsia="楷体_GB2312" w:hAnsiTheme="minorHAnsi"/>
                <w:b/>
                <w:sz w:val="24"/>
              </w:rPr>
            </w:pPr>
          </w:p>
        </w:tc>
        <w:tc>
          <w:tcPr>
            <w:tcW w:w="2096" w:type="pct"/>
            <w:shd w:val="clear" w:color="auto" w:fill="auto"/>
            <w:vAlign w:val="center"/>
          </w:tcPr>
          <w:p w14:paraId="6E99BAF3">
            <w:pPr>
              <w:snapToGrid w:val="0"/>
              <w:spacing w:before="15" w:beforeLines="5" w:after="31" w:afterLines="10"/>
              <w:jc w:val="left"/>
              <w:rPr>
                <w:rFonts w:ascii="楷体_GB2312" w:eastAsia="楷体_GB2312"/>
                <w:sz w:val="24"/>
              </w:rPr>
            </w:pPr>
            <w:r>
              <w:rPr>
                <w:rFonts w:hint="eastAsia" w:ascii="楷体_GB2312" w:eastAsia="楷体_GB2312"/>
                <w:sz w:val="24"/>
              </w:rPr>
              <w:t>9.数字经济核心产业增加值占GDP比重（%）</w:t>
            </w:r>
          </w:p>
        </w:tc>
        <w:tc>
          <w:tcPr>
            <w:tcW w:w="609" w:type="pct"/>
            <w:shd w:val="clear" w:color="auto" w:fill="auto"/>
            <w:vAlign w:val="center"/>
          </w:tcPr>
          <w:p w14:paraId="1CF7D939">
            <w:pPr>
              <w:snapToGrid w:val="0"/>
              <w:spacing w:before="15" w:beforeLines="5" w:after="31" w:afterLines="10"/>
              <w:jc w:val="center"/>
              <w:rPr>
                <w:rFonts w:hint="default" w:ascii="楷体_GB2312" w:eastAsia="楷体_GB2312"/>
                <w:sz w:val="24"/>
                <w:lang w:val="en-US" w:eastAsia="zh-CN"/>
              </w:rPr>
            </w:pPr>
            <w:r>
              <w:rPr>
                <w:rFonts w:hint="eastAsia" w:ascii="楷体_GB2312" w:eastAsia="楷体_GB2312"/>
                <w:sz w:val="24"/>
                <w:lang w:val="en-US" w:eastAsia="zh-CN"/>
              </w:rPr>
              <w:t>1.5</w:t>
            </w:r>
          </w:p>
        </w:tc>
        <w:tc>
          <w:tcPr>
            <w:tcW w:w="647" w:type="pct"/>
            <w:shd w:val="clear" w:color="auto" w:fill="auto"/>
            <w:vAlign w:val="center"/>
          </w:tcPr>
          <w:p w14:paraId="4CA09D44">
            <w:pPr>
              <w:snapToGrid w:val="0"/>
              <w:spacing w:before="15" w:beforeLines="5" w:after="31" w:afterLines="10"/>
              <w:jc w:val="center"/>
              <w:rPr>
                <w:rFonts w:hint="eastAsia" w:ascii="楷体_GB2312" w:eastAsia="楷体_GB2312"/>
                <w:sz w:val="24"/>
                <w:lang w:eastAsia="zh-CN"/>
              </w:rPr>
            </w:pPr>
            <w:r>
              <w:rPr>
                <w:rFonts w:hint="eastAsia" w:ascii="楷体_GB2312" w:eastAsia="楷体_GB2312"/>
                <w:sz w:val="24"/>
                <w:lang w:val="en-US" w:eastAsia="zh-CN"/>
              </w:rPr>
              <w:t>4</w:t>
            </w:r>
          </w:p>
        </w:tc>
        <w:tc>
          <w:tcPr>
            <w:tcW w:w="772" w:type="pct"/>
            <w:shd w:val="clear" w:color="auto" w:fill="auto"/>
            <w:vAlign w:val="center"/>
          </w:tcPr>
          <w:p w14:paraId="7BBDE262">
            <w:pPr>
              <w:snapToGrid w:val="0"/>
              <w:spacing w:before="15" w:beforeLines="5" w:after="31" w:afterLines="10"/>
              <w:jc w:val="center"/>
              <w:rPr>
                <w:rFonts w:ascii="楷体_GB2312" w:eastAsia="楷体_GB2312"/>
                <w:sz w:val="24"/>
              </w:rPr>
            </w:pPr>
            <w:r>
              <w:rPr>
                <w:rFonts w:hint="eastAsia" w:ascii="楷体_GB2312" w:eastAsia="楷体_GB2312"/>
                <w:sz w:val="24"/>
                <w:lang w:val="en-US" w:eastAsia="zh-CN"/>
              </w:rPr>
              <w:t>4</w:t>
            </w:r>
          </w:p>
        </w:tc>
        <w:tc>
          <w:tcPr>
            <w:tcW w:w="486" w:type="pct"/>
            <w:shd w:val="clear" w:color="auto" w:fill="auto"/>
            <w:vAlign w:val="center"/>
          </w:tcPr>
          <w:p w14:paraId="44954482">
            <w:pPr>
              <w:snapToGrid w:val="0"/>
              <w:spacing w:before="15" w:beforeLines="5" w:after="31" w:afterLines="10"/>
              <w:jc w:val="left"/>
              <w:rPr>
                <w:rFonts w:ascii="楷体_GB2312" w:eastAsia="楷体_GB2312"/>
                <w:sz w:val="24"/>
              </w:rPr>
            </w:pPr>
            <w:r>
              <w:rPr>
                <w:rFonts w:hint="eastAsia" w:ascii="楷体_GB2312" w:eastAsia="楷体_GB2312"/>
                <w:sz w:val="24"/>
              </w:rPr>
              <w:t>预期性</w:t>
            </w:r>
          </w:p>
        </w:tc>
      </w:tr>
      <w:tr w14:paraId="204EA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2" w:type="dxa"/>
            <w:bottom w:w="0" w:type="dxa"/>
            <w:right w:w="52" w:type="dxa"/>
          </w:tblCellMar>
        </w:tblPrEx>
        <w:trPr>
          <w:jc w:val="center"/>
        </w:trPr>
        <w:tc>
          <w:tcPr>
            <w:tcW w:w="386" w:type="pct"/>
            <w:vMerge w:val="restart"/>
            <w:shd w:val="clear" w:color="auto" w:fill="auto"/>
            <w:vAlign w:val="center"/>
          </w:tcPr>
          <w:p w14:paraId="412DC5B9">
            <w:pPr>
              <w:snapToGrid w:val="0"/>
              <w:spacing w:before="15" w:beforeLines="5" w:after="31" w:afterLines="10"/>
              <w:jc w:val="center"/>
              <w:rPr>
                <w:rFonts w:ascii="楷体_GB2312" w:eastAsia="楷体_GB2312"/>
                <w:sz w:val="24"/>
              </w:rPr>
            </w:pPr>
            <w:r>
              <w:rPr>
                <w:rFonts w:hint="eastAsia" w:ascii="楷体_GB2312" w:eastAsia="楷体_GB2312"/>
                <w:sz w:val="24"/>
              </w:rPr>
              <w:t>民生</w:t>
            </w:r>
          </w:p>
          <w:p w14:paraId="485BA563">
            <w:pPr>
              <w:snapToGrid w:val="0"/>
              <w:spacing w:before="15" w:beforeLines="5" w:after="31" w:afterLines="10"/>
              <w:jc w:val="center"/>
              <w:rPr>
                <w:rFonts w:ascii="楷体_GB2312" w:eastAsia="楷体_GB2312"/>
                <w:sz w:val="24"/>
              </w:rPr>
            </w:pPr>
            <w:r>
              <w:rPr>
                <w:rFonts w:hint="eastAsia" w:ascii="楷体_GB2312" w:eastAsia="楷体_GB2312"/>
                <w:sz w:val="24"/>
              </w:rPr>
              <w:t>福祉</w:t>
            </w:r>
          </w:p>
        </w:tc>
        <w:tc>
          <w:tcPr>
            <w:tcW w:w="2096" w:type="pct"/>
            <w:shd w:val="clear" w:color="auto" w:fill="auto"/>
            <w:vAlign w:val="center"/>
          </w:tcPr>
          <w:p w14:paraId="7C8E101C">
            <w:pPr>
              <w:snapToGrid w:val="0"/>
              <w:spacing w:before="15" w:beforeLines="5" w:after="31" w:afterLines="10"/>
              <w:jc w:val="left"/>
              <w:rPr>
                <w:rFonts w:ascii="楷体_GB2312" w:eastAsia="楷体_GB2312"/>
                <w:sz w:val="24"/>
              </w:rPr>
            </w:pPr>
            <w:r>
              <w:rPr>
                <w:rFonts w:hint="eastAsia" w:ascii="楷体_GB2312" w:eastAsia="楷体_GB2312"/>
                <w:sz w:val="24"/>
              </w:rPr>
              <w:t>10.城镇居民人均可支配收入增长（%）</w:t>
            </w:r>
          </w:p>
        </w:tc>
        <w:tc>
          <w:tcPr>
            <w:tcW w:w="609" w:type="pct"/>
            <w:shd w:val="clear" w:color="auto" w:fill="auto"/>
            <w:vAlign w:val="center"/>
          </w:tcPr>
          <w:p w14:paraId="790199C5">
            <w:pPr>
              <w:snapToGrid w:val="0"/>
              <w:spacing w:before="15" w:beforeLines="5" w:after="31" w:afterLines="10"/>
              <w:jc w:val="center"/>
              <w:rPr>
                <w:rFonts w:hint="default" w:ascii="楷体_GB2312" w:eastAsia="楷体_GB2312"/>
                <w:sz w:val="24"/>
                <w:lang w:val="en-US" w:eastAsia="zh-CN"/>
              </w:rPr>
            </w:pPr>
            <w:r>
              <w:rPr>
                <w:rFonts w:hint="eastAsia" w:ascii="楷体_GB2312" w:eastAsia="楷体_GB2312"/>
                <w:sz w:val="24"/>
                <w:lang w:val="en-US" w:eastAsia="zh-CN"/>
              </w:rPr>
              <w:t>4.4</w:t>
            </w:r>
          </w:p>
        </w:tc>
        <w:tc>
          <w:tcPr>
            <w:tcW w:w="647" w:type="pct"/>
            <w:shd w:val="clear" w:color="auto" w:fill="auto"/>
            <w:vAlign w:val="center"/>
          </w:tcPr>
          <w:p w14:paraId="24DC859D">
            <w:pPr>
              <w:snapToGrid w:val="0"/>
              <w:spacing w:before="15" w:beforeLines="5" w:after="31" w:afterLines="10"/>
              <w:jc w:val="center"/>
              <w:rPr>
                <w:rFonts w:ascii="楷体_GB2312" w:eastAsia="楷体_GB2312"/>
                <w:sz w:val="24"/>
              </w:rPr>
            </w:pPr>
            <w:r>
              <w:rPr>
                <w:rFonts w:hint="eastAsia" w:ascii="楷体_GB2312" w:eastAsia="楷体_GB2312"/>
                <w:sz w:val="24"/>
              </w:rPr>
              <w:t>——</w:t>
            </w:r>
          </w:p>
        </w:tc>
        <w:tc>
          <w:tcPr>
            <w:tcW w:w="772" w:type="pct"/>
            <w:shd w:val="clear" w:color="auto" w:fill="auto"/>
            <w:vAlign w:val="center"/>
          </w:tcPr>
          <w:p w14:paraId="52514EC4">
            <w:pPr>
              <w:snapToGrid w:val="0"/>
              <w:spacing w:before="15" w:beforeLines="5" w:after="31" w:afterLines="10"/>
              <w:jc w:val="center"/>
              <w:rPr>
                <w:rFonts w:ascii="楷体_GB2312" w:eastAsia="楷体_GB2312"/>
                <w:sz w:val="24"/>
              </w:rPr>
            </w:pPr>
            <w:r>
              <w:rPr>
                <w:rFonts w:hint="eastAsia" w:ascii="楷体_GB2312" w:eastAsia="楷体_GB2312"/>
                <w:sz w:val="24"/>
              </w:rPr>
              <w:t>5</w:t>
            </w:r>
          </w:p>
        </w:tc>
        <w:tc>
          <w:tcPr>
            <w:tcW w:w="486" w:type="pct"/>
            <w:shd w:val="clear" w:color="auto" w:fill="auto"/>
            <w:vAlign w:val="center"/>
          </w:tcPr>
          <w:p w14:paraId="09550C4F">
            <w:pPr>
              <w:snapToGrid w:val="0"/>
              <w:spacing w:before="15" w:beforeLines="5" w:after="31" w:afterLines="10"/>
              <w:jc w:val="left"/>
              <w:rPr>
                <w:rFonts w:ascii="楷体_GB2312" w:eastAsia="楷体_GB2312"/>
                <w:sz w:val="24"/>
              </w:rPr>
            </w:pPr>
            <w:r>
              <w:rPr>
                <w:rFonts w:hint="eastAsia" w:ascii="楷体_GB2312" w:eastAsia="楷体_GB2312"/>
                <w:sz w:val="24"/>
              </w:rPr>
              <w:t>预期性</w:t>
            </w:r>
          </w:p>
        </w:tc>
      </w:tr>
      <w:tr w14:paraId="5904D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2" w:type="dxa"/>
            <w:bottom w:w="0" w:type="dxa"/>
            <w:right w:w="52" w:type="dxa"/>
          </w:tblCellMar>
        </w:tblPrEx>
        <w:trPr>
          <w:jc w:val="center"/>
        </w:trPr>
        <w:tc>
          <w:tcPr>
            <w:tcW w:w="386" w:type="pct"/>
            <w:vMerge w:val="continue"/>
            <w:shd w:val="clear" w:color="auto" w:fill="auto"/>
            <w:vAlign w:val="center"/>
          </w:tcPr>
          <w:p w14:paraId="63FA3945">
            <w:pPr>
              <w:snapToGrid w:val="0"/>
              <w:spacing w:before="15" w:beforeLines="5" w:after="31" w:afterLines="10"/>
              <w:ind w:firstLine="482"/>
              <w:jc w:val="center"/>
              <w:rPr>
                <w:rFonts w:ascii="楷体_GB2312" w:eastAsia="楷体_GB2312" w:hAnsiTheme="minorHAnsi"/>
                <w:b/>
                <w:sz w:val="24"/>
              </w:rPr>
            </w:pPr>
          </w:p>
        </w:tc>
        <w:tc>
          <w:tcPr>
            <w:tcW w:w="2096" w:type="pct"/>
            <w:shd w:val="clear" w:color="auto" w:fill="auto"/>
            <w:vAlign w:val="center"/>
          </w:tcPr>
          <w:p w14:paraId="43000993">
            <w:pPr>
              <w:snapToGrid w:val="0"/>
              <w:spacing w:before="15" w:beforeLines="5" w:after="31" w:afterLines="10"/>
              <w:jc w:val="left"/>
              <w:rPr>
                <w:rFonts w:ascii="楷体_GB2312" w:eastAsia="楷体_GB2312"/>
                <w:sz w:val="24"/>
              </w:rPr>
            </w:pPr>
            <w:r>
              <w:rPr>
                <w:rFonts w:hint="eastAsia" w:ascii="楷体_GB2312" w:eastAsia="楷体_GB2312"/>
                <w:sz w:val="24"/>
              </w:rPr>
              <w:t>11.农村居民人均可支配收入增长（%）</w:t>
            </w:r>
          </w:p>
        </w:tc>
        <w:tc>
          <w:tcPr>
            <w:tcW w:w="609" w:type="pct"/>
            <w:shd w:val="clear" w:color="auto" w:fill="auto"/>
            <w:vAlign w:val="center"/>
          </w:tcPr>
          <w:p w14:paraId="0EE15ACF">
            <w:pPr>
              <w:snapToGrid w:val="0"/>
              <w:spacing w:before="15" w:beforeLines="5" w:after="31" w:afterLines="10"/>
              <w:jc w:val="center"/>
              <w:rPr>
                <w:rFonts w:hint="default" w:ascii="楷体_GB2312" w:eastAsia="楷体_GB2312"/>
                <w:sz w:val="24"/>
                <w:lang w:val="en-US" w:eastAsia="zh-CN"/>
              </w:rPr>
            </w:pPr>
            <w:r>
              <w:rPr>
                <w:rFonts w:hint="eastAsia" w:ascii="楷体_GB2312" w:eastAsia="楷体_GB2312"/>
                <w:sz w:val="24"/>
                <w:lang w:val="en-US" w:eastAsia="zh-CN"/>
              </w:rPr>
              <w:t>6.6</w:t>
            </w:r>
          </w:p>
        </w:tc>
        <w:tc>
          <w:tcPr>
            <w:tcW w:w="647" w:type="pct"/>
            <w:shd w:val="clear" w:color="auto" w:fill="auto"/>
            <w:vAlign w:val="center"/>
          </w:tcPr>
          <w:p w14:paraId="088111C9">
            <w:pPr>
              <w:snapToGrid w:val="0"/>
              <w:spacing w:before="15" w:beforeLines="5" w:after="31" w:afterLines="10"/>
              <w:jc w:val="center"/>
              <w:rPr>
                <w:rFonts w:ascii="楷体_GB2312" w:eastAsia="楷体_GB2312"/>
                <w:sz w:val="24"/>
              </w:rPr>
            </w:pPr>
            <w:r>
              <w:rPr>
                <w:rFonts w:hint="eastAsia" w:ascii="楷体_GB2312" w:eastAsia="楷体_GB2312"/>
                <w:sz w:val="24"/>
              </w:rPr>
              <w:t>——</w:t>
            </w:r>
          </w:p>
        </w:tc>
        <w:tc>
          <w:tcPr>
            <w:tcW w:w="772" w:type="pct"/>
            <w:shd w:val="clear" w:color="auto" w:fill="auto"/>
            <w:vAlign w:val="center"/>
          </w:tcPr>
          <w:p w14:paraId="68222E1A">
            <w:pPr>
              <w:snapToGrid w:val="0"/>
              <w:spacing w:before="15" w:beforeLines="5" w:after="31" w:afterLines="10"/>
              <w:jc w:val="center"/>
              <w:rPr>
                <w:rFonts w:ascii="楷体_GB2312" w:eastAsia="楷体_GB2312"/>
                <w:sz w:val="24"/>
              </w:rPr>
            </w:pPr>
            <w:r>
              <w:rPr>
                <w:rFonts w:hint="eastAsia" w:ascii="楷体_GB2312" w:eastAsia="楷体_GB2312"/>
                <w:sz w:val="24"/>
              </w:rPr>
              <w:t>7</w:t>
            </w:r>
          </w:p>
        </w:tc>
        <w:tc>
          <w:tcPr>
            <w:tcW w:w="486" w:type="pct"/>
            <w:shd w:val="clear" w:color="auto" w:fill="auto"/>
            <w:vAlign w:val="center"/>
          </w:tcPr>
          <w:p w14:paraId="12409DFE">
            <w:pPr>
              <w:snapToGrid w:val="0"/>
              <w:spacing w:before="15" w:beforeLines="5" w:after="31" w:afterLines="10"/>
              <w:jc w:val="left"/>
              <w:rPr>
                <w:rFonts w:ascii="楷体_GB2312" w:eastAsia="楷体_GB2312"/>
                <w:sz w:val="24"/>
              </w:rPr>
            </w:pPr>
            <w:r>
              <w:rPr>
                <w:rFonts w:hint="eastAsia" w:ascii="楷体_GB2312" w:eastAsia="楷体_GB2312"/>
                <w:sz w:val="24"/>
              </w:rPr>
              <w:t>预期性</w:t>
            </w:r>
          </w:p>
        </w:tc>
      </w:tr>
      <w:tr w14:paraId="4608C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2" w:type="dxa"/>
            <w:bottom w:w="0" w:type="dxa"/>
            <w:right w:w="52" w:type="dxa"/>
          </w:tblCellMar>
        </w:tblPrEx>
        <w:trPr>
          <w:jc w:val="center"/>
        </w:trPr>
        <w:tc>
          <w:tcPr>
            <w:tcW w:w="386" w:type="pct"/>
            <w:vMerge w:val="continue"/>
            <w:shd w:val="clear" w:color="auto" w:fill="auto"/>
            <w:vAlign w:val="center"/>
          </w:tcPr>
          <w:p w14:paraId="2AEE2158">
            <w:pPr>
              <w:snapToGrid w:val="0"/>
              <w:spacing w:before="15" w:beforeLines="5" w:after="31" w:afterLines="10"/>
              <w:ind w:firstLine="482"/>
              <w:jc w:val="center"/>
              <w:rPr>
                <w:rFonts w:ascii="楷体_GB2312" w:eastAsia="楷体_GB2312" w:hAnsiTheme="minorHAnsi"/>
                <w:b/>
                <w:sz w:val="24"/>
              </w:rPr>
            </w:pPr>
          </w:p>
        </w:tc>
        <w:tc>
          <w:tcPr>
            <w:tcW w:w="2096" w:type="pct"/>
            <w:shd w:val="clear" w:color="auto" w:fill="auto"/>
            <w:vAlign w:val="center"/>
          </w:tcPr>
          <w:p w14:paraId="03F48585">
            <w:pPr>
              <w:snapToGrid w:val="0"/>
              <w:spacing w:before="15" w:beforeLines="5" w:after="31" w:afterLines="10"/>
              <w:jc w:val="left"/>
              <w:rPr>
                <w:rFonts w:ascii="楷体_GB2312" w:eastAsia="楷体_GB2312"/>
                <w:sz w:val="24"/>
              </w:rPr>
            </w:pPr>
            <w:r>
              <w:rPr>
                <w:rFonts w:hint="eastAsia" w:ascii="楷体_GB2312" w:eastAsia="楷体_GB2312"/>
                <w:sz w:val="24"/>
              </w:rPr>
              <w:t>12. 每千人口注册护士（人）</w:t>
            </w:r>
          </w:p>
        </w:tc>
        <w:tc>
          <w:tcPr>
            <w:tcW w:w="609" w:type="pct"/>
            <w:shd w:val="clear" w:color="auto" w:fill="auto"/>
            <w:vAlign w:val="center"/>
          </w:tcPr>
          <w:p w14:paraId="3BFC4DA8">
            <w:pPr>
              <w:snapToGrid w:val="0"/>
              <w:spacing w:before="15" w:beforeLines="5" w:after="31" w:afterLines="10"/>
              <w:jc w:val="center"/>
              <w:rPr>
                <w:rFonts w:hint="default" w:ascii="楷体_GB2312" w:eastAsia="楷体_GB2312"/>
                <w:sz w:val="24"/>
                <w:lang w:val="en-US" w:eastAsia="zh-CN"/>
              </w:rPr>
            </w:pPr>
            <w:r>
              <w:rPr>
                <w:rFonts w:hint="eastAsia" w:ascii="楷体_GB2312" w:eastAsia="楷体_GB2312"/>
                <w:sz w:val="24"/>
                <w:lang w:val="en-US" w:eastAsia="zh-CN"/>
              </w:rPr>
              <w:t>1.22</w:t>
            </w:r>
          </w:p>
        </w:tc>
        <w:tc>
          <w:tcPr>
            <w:tcW w:w="647" w:type="pct"/>
            <w:shd w:val="clear" w:color="auto" w:fill="auto"/>
            <w:vAlign w:val="center"/>
          </w:tcPr>
          <w:p w14:paraId="5FA94562">
            <w:pPr>
              <w:snapToGrid w:val="0"/>
              <w:spacing w:before="15" w:beforeLines="5" w:after="31" w:afterLines="10"/>
              <w:jc w:val="center"/>
              <w:rPr>
                <w:rFonts w:ascii="楷体_GB2312" w:eastAsia="楷体_GB2312"/>
                <w:sz w:val="24"/>
              </w:rPr>
            </w:pPr>
            <w:r>
              <w:rPr>
                <w:rFonts w:hint="eastAsia" w:ascii="楷体_GB2312" w:eastAsia="楷体_GB2312"/>
                <w:sz w:val="24"/>
              </w:rPr>
              <w:t>——</w:t>
            </w:r>
          </w:p>
        </w:tc>
        <w:tc>
          <w:tcPr>
            <w:tcW w:w="772" w:type="pct"/>
            <w:shd w:val="clear" w:color="auto" w:fill="auto"/>
            <w:vAlign w:val="center"/>
          </w:tcPr>
          <w:p w14:paraId="6CAF96A3">
            <w:pPr>
              <w:snapToGrid w:val="0"/>
              <w:spacing w:before="15" w:beforeLines="5" w:after="31" w:afterLines="10"/>
              <w:jc w:val="center"/>
              <w:rPr>
                <w:rFonts w:ascii="楷体_GB2312" w:eastAsia="楷体_GB2312"/>
                <w:sz w:val="24"/>
              </w:rPr>
            </w:pPr>
            <w:r>
              <w:rPr>
                <w:rFonts w:hint="eastAsia" w:ascii="楷体_GB2312" w:eastAsia="楷体_GB2312"/>
                <w:sz w:val="24"/>
                <w:lang w:val="en-US" w:eastAsia="zh-CN"/>
              </w:rPr>
              <w:t>与全州平均增速持平</w:t>
            </w:r>
          </w:p>
        </w:tc>
        <w:tc>
          <w:tcPr>
            <w:tcW w:w="486" w:type="pct"/>
            <w:shd w:val="clear" w:color="auto" w:fill="auto"/>
            <w:vAlign w:val="center"/>
          </w:tcPr>
          <w:p w14:paraId="2A8E4BAC">
            <w:pPr>
              <w:snapToGrid w:val="0"/>
              <w:spacing w:before="15" w:beforeLines="5" w:after="31" w:afterLines="10"/>
              <w:jc w:val="left"/>
              <w:rPr>
                <w:rFonts w:ascii="楷体_GB2312" w:eastAsia="楷体_GB2312"/>
                <w:sz w:val="24"/>
              </w:rPr>
            </w:pPr>
            <w:r>
              <w:rPr>
                <w:rFonts w:hint="eastAsia" w:ascii="楷体_GB2312" w:eastAsia="楷体_GB2312"/>
                <w:sz w:val="24"/>
              </w:rPr>
              <w:t>预期性</w:t>
            </w:r>
          </w:p>
        </w:tc>
      </w:tr>
      <w:tr w14:paraId="58235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2" w:type="dxa"/>
            <w:bottom w:w="0" w:type="dxa"/>
            <w:right w:w="52" w:type="dxa"/>
          </w:tblCellMar>
        </w:tblPrEx>
        <w:trPr>
          <w:jc w:val="center"/>
        </w:trPr>
        <w:tc>
          <w:tcPr>
            <w:tcW w:w="386" w:type="pct"/>
            <w:vMerge w:val="continue"/>
            <w:shd w:val="clear" w:color="auto" w:fill="auto"/>
            <w:vAlign w:val="center"/>
          </w:tcPr>
          <w:p w14:paraId="25499B74">
            <w:pPr>
              <w:snapToGrid w:val="0"/>
              <w:spacing w:before="15" w:beforeLines="5" w:after="31" w:afterLines="10"/>
              <w:ind w:firstLine="482"/>
              <w:jc w:val="center"/>
              <w:rPr>
                <w:rFonts w:ascii="楷体_GB2312" w:eastAsia="楷体_GB2312" w:hAnsiTheme="minorHAnsi"/>
                <w:b/>
                <w:sz w:val="24"/>
              </w:rPr>
            </w:pPr>
          </w:p>
        </w:tc>
        <w:tc>
          <w:tcPr>
            <w:tcW w:w="2096" w:type="pct"/>
            <w:shd w:val="clear" w:color="auto" w:fill="auto"/>
            <w:vAlign w:val="center"/>
          </w:tcPr>
          <w:p w14:paraId="648D7F2A">
            <w:pPr>
              <w:snapToGrid w:val="0"/>
              <w:spacing w:before="15" w:beforeLines="5" w:after="31" w:afterLines="10"/>
              <w:jc w:val="left"/>
              <w:rPr>
                <w:rFonts w:ascii="楷体_GB2312" w:eastAsia="楷体_GB2312"/>
                <w:sz w:val="24"/>
              </w:rPr>
            </w:pPr>
            <w:r>
              <w:rPr>
                <w:rFonts w:hint="eastAsia" w:ascii="楷体_GB2312" w:eastAsia="楷体_GB2312"/>
                <w:sz w:val="24"/>
              </w:rPr>
              <w:t>13.劳动年龄人口平均受教育年限（年）</w:t>
            </w:r>
          </w:p>
        </w:tc>
        <w:tc>
          <w:tcPr>
            <w:tcW w:w="609" w:type="pct"/>
            <w:shd w:val="clear" w:color="auto" w:fill="auto"/>
            <w:vAlign w:val="center"/>
          </w:tcPr>
          <w:p w14:paraId="5EB1B897">
            <w:pPr>
              <w:snapToGrid w:val="0"/>
              <w:spacing w:before="15" w:beforeLines="5" w:after="31" w:afterLines="10"/>
              <w:jc w:val="center"/>
              <w:rPr>
                <w:rFonts w:hint="default" w:ascii="楷体_GB2312" w:eastAsia="楷体_GB2312"/>
                <w:sz w:val="24"/>
                <w:lang w:val="en-US" w:eastAsia="zh-CN"/>
              </w:rPr>
            </w:pPr>
            <w:r>
              <w:rPr>
                <w:rFonts w:hint="eastAsia" w:ascii="楷体_GB2312" w:eastAsia="楷体_GB2312"/>
                <w:sz w:val="24"/>
                <w:lang w:val="en-US" w:eastAsia="zh-CN"/>
              </w:rPr>
              <w:t>9.8</w:t>
            </w:r>
          </w:p>
        </w:tc>
        <w:tc>
          <w:tcPr>
            <w:tcW w:w="647" w:type="pct"/>
            <w:shd w:val="clear" w:color="auto" w:fill="auto"/>
            <w:vAlign w:val="center"/>
          </w:tcPr>
          <w:p w14:paraId="7542ECC6">
            <w:pPr>
              <w:snapToGrid w:val="0"/>
              <w:spacing w:before="15" w:beforeLines="5" w:after="31" w:afterLines="10"/>
              <w:jc w:val="center"/>
              <w:rPr>
                <w:rFonts w:hint="default" w:ascii="楷体_GB2312" w:eastAsia="楷体_GB2312"/>
                <w:sz w:val="24"/>
                <w:lang w:val="en-US" w:eastAsia="zh-CN"/>
              </w:rPr>
            </w:pPr>
            <w:r>
              <w:rPr>
                <w:rFonts w:hint="eastAsia" w:ascii="楷体_GB2312" w:eastAsia="楷体_GB2312"/>
                <w:sz w:val="24"/>
                <w:lang w:val="en-US" w:eastAsia="zh-CN"/>
              </w:rPr>
              <w:t>11</w:t>
            </w:r>
          </w:p>
        </w:tc>
        <w:tc>
          <w:tcPr>
            <w:tcW w:w="772" w:type="pct"/>
            <w:shd w:val="clear" w:color="auto" w:fill="auto"/>
            <w:vAlign w:val="center"/>
          </w:tcPr>
          <w:p w14:paraId="46B3B472">
            <w:pPr>
              <w:snapToGrid w:val="0"/>
              <w:spacing w:before="15" w:beforeLines="5" w:after="31" w:afterLines="10"/>
              <w:jc w:val="center"/>
              <w:rPr>
                <w:rFonts w:hint="default" w:ascii="楷体_GB2312" w:eastAsia="楷体_GB2312"/>
                <w:sz w:val="24"/>
                <w:lang w:val="en-US" w:eastAsia="zh-CN"/>
              </w:rPr>
            </w:pPr>
            <w:r>
              <w:rPr>
                <w:rFonts w:hint="eastAsia" w:ascii="楷体_GB2312" w:eastAsia="楷体_GB2312"/>
                <w:sz w:val="24"/>
                <w:lang w:val="en-US" w:eastAsia="zh-CN"/>
              </w:rPr>
              <w:t>2.3</w:t>
            </w:r>
          </w:p>
        </w:tc>
        <w:tc>
          <w:tcPr>
            <w:tcW w:w="486" w:type="pct"/>
            <w:shd w:val="clear" w:color="auto" w:fill="auto"/>
            <w:vAlign w:val="center"/>
          </w:tcPr>
          <w:p w14:paraId="07F09A13">
            <w:pPr>
              <w:snapToGrid w:val="0"/>
              <w:spacing w:before="15" w:beforeLines="5" w:after="31" w:afterLines="10"/>
              <w:jc w:val="center"/>
              <w:rPr>
                <w:rFonts w:ascii="楷体_GB2312" w:eastAsia="楷体_GB2312"/>
                <w:sz w:val="24"/>
              </w:rPr>
            </w:pPr>
            <w:r>
              <w:rPr>
                <w:rFonts w:hint="eastAsia" w:ascii="楷体_GB2312" w:eastAsia="楷体_GB2312"/>
                <w:sz w:val="24"/>
              </w:rPr>
              <w:t>约束性</w:t>
            </w:r>
          </w:p>
        </w:tc>
      </w:tr>
      <w:tr w14:paraId="5135F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2" w:type="dxa"/>
            <w:bottom w:w="0" w:type="dxa"/>
            <w:right w:w="52" w:type="dxa"/>
          </w:tblCellMar>
        </w:tblPrEx>
        <w:trPr>
          <w:jc w:val="center"/>
        </w:trPr>
        <w:tc>
          <w:tcPr>
            <w:tcW w:w="386" w:type="pct"/>
            <w:vMerge w:val="continue"/>
            <w:shd w:val="clear" w:color="auto" w:fill="auto"/>
            <w:vAlign w:val="center"/>
          </w:tcPr>
          <w:p w14:paraId="19160DD8">
            <w:pPr>
              <w:snapToGrid w:val="0"/>
              <w:spacing w:before="15" w:beforeLines="5" w:after="31" w:afterLines="10"/>
              <w:ind w:firstLine="482"/>
              <w:jc w:val="center"/>
              <w:rPr>
                <w:rFonts w:ascii="楷体_GB2312" w:eastAsia="楷体_GB2312" w:hAnsiTheme="minorHAnsi"/>
                <w:b/>
                <w:sz w:val="24"/>
              </w:rPr>
            </w:pPr>
          </w:p>
        </w:tc>
        <w:tc>
          <w:tcPr>
            <w:tcW w:w="2096" w:type="pct"/>
            <w:shd w:val="clear" w:color="auto" w:fill="auto"/>
            <w:vAlign w:val="center"/>
          </w:tcPr>
          <w:p w14:paraId="7BCBDAEC">
            <w:pPr>
              <w:snapToGrid w:val="0"/>
              <w:spacing w:before="15" w:beforeLines="5" w:after="31" w:afterLines="10"/>
              <w:jc w:val="left"/>
              <w:rPr>
                <w:rFonts w:ascii="楷体_GB2312" w:eastAsia="楷体_GB2312"/>
                <w:sz w:val="24"/>
              </w:rPr>
            </w:pPr>
            <w:r>
              <w:rPr>
                <w:rFonts w:hint="eastAsia" w:ascii="楷体_GB2312" w:eastAsia="楷体_GB2312"/>
                <w:sz w:val="24"/>
              </w:rPr>
              <w:t>14.人均预期寿命（岁）</w:t>
            </w:r>
          </w:p>
        </w:tc>
        <w:tc>
          <w:tcPr>
            <w:tcW w:w="609" w:type="pct"/>
            <w:shd w:val="clear" w:color="auto" w:fill="auto"/>
            <w:vAlign w:val="center"/>
          </w:tcPr>
          <w:p w14:paraId="676ED77A">
            <w:pPr>
              <w:snapToGrid w:val="0"/>
              <w:spacing w:before="15" w:beforeLines="5" w:after="31" w:afterLines="10"/>
              <w:jc w:val="center"/>
              <w:rPr>
                <w:rFonts w:hint="default" w:ascii="楷体_GB2312" w:eastAsia="楷体_GB2312"/>
                <w:sz w:val="24"/>
                <w:lang w:val="en-US" w:eastAsia="zh-CN"/>
              </w:rPr>
            </w:pPr>
            <w:r>
              <w:rPr>
                <w:rFonts w:hint="eastAsia" w:ascii="楷体_GB2312" w:eastAsia="楷体_GB2312"/>
                <w:sz w:val="24"/>
                <w:lang w:val="en-US" w:eastAsia="zh-CN"/>
              </w:rPr>
              <w:t>73.5</w:t>
            </w:r>
          </w:p>
        </w:tc>
        <w:tc>
          <w:tcPr>
            <w:tcW w:w="647" w:type="pct"/>
            <w:shd w:val="clear" w:color="auto" w:fill="auto"/>
            <w:vAlign w:val="center"/>
          </w:tcPr>
          <w:p w14:paraId="6EEB5311">
            <w:pPr>
              <w:snapToGrid w:val="0"/>
              <w:spacing w:before="15" w:beforeLines="5" w:after="31" w:afterLines="10"/>
              <w:jc w:val="center"/>
              <w:rPr>
                <w:rFonts w:hint="default" w:ascii="楷体_GB2312" w:eastAsia="楷体_GB2312"/>
                <w:sz w:val="24"/>
                <w:lang w:val="en-US" w:eastAsia="zh-CN"/>
              </w:rPr>
            </w:pPr>
            <w:r>
              <w:rPr>
                <w:rFonts w:hint="eastAsia" w:ascii="楷体_GB2312" w:eastAsia="楷体_GB2312"/>
                <w:sz w:val="24"/>
                <w:lang w:val="en-US" w:eastAsia="zh-CN"/>
              </w:rPr>
              <w:t>76</w:t>
            </w:r>
          </w:p>
        </w:tc>
        <w:tc>
          <w:tcPr>
            <w:tcW w:w="772" w:type="pct"/>
            <w:shd w:val="clear" w:color="auto" w:fill="auto"/>
            <w:vAlign w:val="center"/>
          </w:tcPr>
          <w:p w14:paraId="2FBBC18A">
            <w:pPr>
              <w:snapToGrid w:val="0"/>
              <w:spacing w:before="15" w:beforeLines="5" w:after="31" w:afterLines="10"/>
              <w:jc w:val="center"/>
              <w:rPr>
                <w:rFonts w:hint="default" w:ascii="楷体_GB2312" w:eastAsia="楷体_GB2312"/>
                <w:sz w:val="24"/>
                <w:lang w:val="en-US" w:eastAsia="zh-CN"/>
              </w:rPr>
            </w:pPr>
            <w:r>
              <w:rPr>
                <w:rFonts w:hint="eastAsia" w:ascii="楷体_GB2312" w:eastAsia="楷体_GB2312"/>
                <w:sz w:val="24"/>
                <w:lang w:val="en-US" w:eastAsia="zh-CN"/>
              </w:rPr>
              <w:t>0.7</w:t>
            </w:r>
          </w:p>
        </w:tc>
        <w:tc>
          <w:tcPr>
            <w:tcW w:w="486" w:type="pct"/>
            <w:shd w:val="clear" w:color="auto" w:fill="auto"/>
            <w:vAlign w:val="center"/>
          </w:tcPr>
          <w:p w14:paraId="46B97015">
            <w:pPr>
              <w:snapToGrid w:val="0"/>
              <w:spacing w:before="15" w:beforeLines="5" w:after="31" w:afterLines="10"/>
              <w:jc w:val="center"/>
              <w:rPr>
                <w:rFonts w:ascii="楷体_GB2312" w:eastAsia="楷体_GB2312"/>
                <w:sz w:val="24"/>
              </w:rPr>
            </w:pPr>
            <w:r>
              <w:rPr>
                <w:rFonts w:hint="eastAsia" w:ascii="楷体_GB2312" w:eastAsia="楷体_GB2312"/>
                <w:sz w:val="24"/>
              </w:rPr>
              <w:t>预期性</w:t>
            </w:r>
          </w:p>
        </w:tc>
      </w:tr>
      <w:tr w14:paraId="09B033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2" w:type="dxa"/>
            <w:bottom w:w="0" w:type="dxa"/>
            <w:right w:w="52" w:type="dxa"/>
          </w:tblCellMar>
        </w:tblPrEx>
        <w:trPr>
          <w:jc w:val="center"/>
        </w:trPr>
        <w:tc>
          <w:tcPr>
            <w:tcW w:w="386" w:type="pct"/>
            <w:vMerge w:val="continue"/>
            <w:shd w:val="clear" w:color="auto" w:fill="auto"/>
            <w:vAlign w:val="center"/>
          </w:tcPr>
          <w:p w14:paraId="2F54DB97">
            <w:pPr>
              <w:snapToGrid w:val="0"/>
              <w:spacing w:before="15" w:beforeLines="5" w:after="31" w:afterLines="10"/>
              <w:ind w:firstLine="482"/>
              <w:jc w:val="center"/>
              <w:rPr>
                <w:rFonts w:ascii="楷体_GB2312" w:eastAsia="楷体_GB2312" w:hAnsiTheme="minorHAnsi"/>
                <w:b/>
                <w:sz w:val="24"/>
              </w:rPr>
            </w:pPr>
          </w:p>
        </w:tc>
        <w:tc>
          <w:tcPr>
            <w:tcW w:w="2096" w:type="pct"/>
            <w:shd w:val="clear" w:color="auto" w:fill="auto"/>
            <w:vAlign w:val="center"/>
          </w:tcPr>
          <w:p w14:paraId="777D7A44">
            <w:pPr>
              <w:snapToGrid w:val="0"/>
              <w:spacing w:before="15" w:beforeLines="5" w:after="31" w:afterLines="10"/>
              <w:jc w:val="left"/>
              <w:rPr>
                <w:rFonts w:ascii="楷体_GB2312" w:eastAsia="楷体_GB2312"/>
                <w:sz w:val="24"/>
              </w:rPr>
            </w:pPr>
            <w:r>
              <w:rPr>
                <w:rFonts w:hint="eastAsia" w:ascii="楷体_GB2312" w:eastAsia="楷体_GB2312"/>
                <w:sz w:val="24"/>
              </w:rPr>
              <w:t>15.</w:t>
            </w:r>
            <w:bookmarkStart w:id="71" w:name="OLE_LINK178"/>
            <w:r>
              <w:rPr>
                <w:rFonts w:hint="eastAsia" w:ascii="楷体_GB2312" w:eastAsia="楷体_GB2312"/>
                <w:sz w:val="24"/>
              </w:rPr>
              <w:t>每千人口拥有执业(助理)医师（人）</w:t>
            </w:r>
            <w:bookmarkEnd w:id="71"/>
          </w:p>
        </w:tc>
        <w:tc>
          <w:tcPr>
            <w:tcW w:w="609" w:type="pct"/>
            <w:shd w:val="clear" w:color="auto" w:fill="auto"/>
            <w:vAlign w:val="center"/>
          </w:tcPr>
          <w:p w14:paraId="0DEDFACC">
            <w:pPr>
              <w:snapToGrid w:val="0"/>
              <w:spacing w:before="15" w:beforeLines="5" w:after="31" w:afterLines="10"/>
              <w:jc w:val="center"/>
              <w:rPr>
                <w:rFonts w:hint="default" w:ascii="楷体_GB2312" w:eastAsia="楷体_GB2312"/>
                <w:sz w:val="24"/>
                <w:lang w:val="en-US" w:eastAsia="zh-CN"/>
              </w:rPr>
            </w:pPr>
            <w:r>
              <w:rPr>
                <w:rFonts w:hint="eastAsia" w:ascii="楷体_GB2312" w:eastAsia="楷体_GB2312"/>
                <w:sz w:val="24"/>
                <w:lang w:val="en-US" w:eastAsia="zh-CN"/>
              </w:rPr>
              <w:t>2.8</w:t>
            </w:r>
          </w:p>
        </w:tc>
        <w:tc>
          <w:tcPr>
            <w:tcW w:w="647" w:type="pct"/>
            <w:shd w:val="clear" w:color="auto" w:fill="auto"/>
            <w:vAlign w:val="center"/>
          </w:tcPr>
          <w:p w14:paraId="603E3CEC">
            <w:pPr>
              <w:snapToGrid w:val="0"/>
              <w:spacing w:before="15" w:beforeLines="5" w:after="31" w:afterLines="10"/>
              <w:jc w:val="center"/>
              <w:rPr>
                <w:rFonts w:hint="eastAsia" w:ascii="楷体_GB2312" w:eastAsia="楷体_GB2312"/>
                <w:sz w:val="24"/>
                <w:lang w:val="en-US" w:eastAsia="zh-CN"/>
              </w:rPr>
            </w:pPr>
            <w:r>
              <w:rPr>
                <w:rFonts w:hint="eastAsia" w:ascii="楷体_GB2312" w:eastAsia="楷体_GB2312"/>
                <w:sz w:val="24"/>
                <w:lang w:val="en-US" w:eastAsia="zh-CN"/>
              </w:rPr>
              <w:t>4</w:t>
            </w:r>
          </w:p>
        </w:tc>
        <w:tc>
          <w:tcPr>
            <w:tcW w:w="772" w:type="pct"/>
            <w:shd w:val="clear" w:color="auto" w:fill="auto"/>
            <w:vAlign w:val="center"/>
          </w:tcPr>
          <w:p w14:paraId="3AE90A67">
            <w:pPr>
              <w:snapToGrid w:val="0"/>
              <w:spacing w:before="15" w:beforeLines="5" w:after="31" w:afterLines="10"/>
              <w:jc w:val="center"/>
              <w:rPr>
                <w:rFonts w:hint="default" w:ascii="楷体_GB2312" w:eastAsia="楷体_GB2312"/>
                <w:sz w:val="24"/>
                <w:lang w:val="en-US" w:eastAsia="zh-CN"/>
              </w:rPr>
            </w:pPr>
            <w:r>
              <w:rPr>
                <w:rFonts w:hint="eastAsia" w:ascii="楷体_GB2312" w:eastAsia="楷体_GB2312"/>
                <w:sz w:val="24"/>
                <w:lang w:val="en-US" w:eastAsia="zh-CN"/>
              </w:rPr>
              <w:t>8.5</w:t>
            </w:r>
          </w:p>
        </w:tc>
        <w:tc>
          <w:tcPr>
            <w:tcW w:w="486" w:type="pct"/>
            <w:shd w:val="clear" w:color="auto" w:fill="auto"/>
            <w:vAlign w:val="center"/>
          </w:tcPr>
          <w:p w14:paraId="449041BB">
            <w:pPr>
              <w:snapToGrid w:val="0"/>
              <w:spacing w:before="15" w:beforeLines="5" w:after="31" w:afterLines="10"/>
              <w:jc w:val="center"/>
              <w:rPr>
                <w:rFonts w:ascii="楷体_GB2312" w:eastAsia="楷体_GB2312"/>
                <w:sz w:val="24"/>
              </w:rPr>
            </w:pPr>
            <w:r>
              <w:rPr>
                <w:rFonts w:hint="eastAsia" w:ascii="楷体_GB2312" w:eastAsia="楷体_GB2312"/>
                <w:sz w:val="24"/>
              </w:rPr>
              <w:t>预期性</w:t>
            </w:r>
          </w:p>
        </w:tc>
      </w:tr>
      <w:tr w14:paraId="0AF40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2" w:type="dxa"/>
            <w:bottom w:w="0" w:type="dxa"/>
            <w:right w:w="52" w:type="dxa"/>
          </w:tblCellMar>
        </w:tblPrEx>
        <w:trPr>
          <w:jc w:val="center"/>
        </w:trPr>
        <w:tc>
          <w:tcPr>
            <w:tcW w:w="386" w:type="pct"/>
            <w:vMerge w:val="continue"/>
            <w:shd w:val="clear" w:color="auto" w:fill="auto"/>
            <w:vAlign w:val="center"/>
          </w:tcPr>
          <w:p w14:paraId="3E4BD7BF">
            <w:pPr>
              <w:snapToGrid w:val="0"/>
              <w:spacing w:before="15" w:beforeLines="5" w:after="31" w:afterLines="10"/>
              <w:ind w:firstLine="482"/>
              <w:jc w:val="center"/>
              <w:rPr>
                <w:rFonts w:ascii="楷体_GB2312" w:eastAsia="楷体_GB2312" w:hAnsiTheme="minorHAnsi"/>
                <w:b/>
                <w:sz w:val="24"/>
              </w:rPr>
            </w:pPr>
          </w:p>
        </w:tc>
        <w:tc>
          <w:tcPr>
            <w:tcW w:w="2096" w:type="pct"/>
            <w:shd w:val="clear" w:color="auto" w:fill="auto"/>
            <w:vAlign w:val="center"/>
          </w:tcPr>
          <w:p w14:paraId="246ACA52">
            <w:pPr>
              <w:snapToGrid w:val="0"/>
              <w:spacing w:before="15" w:beforeLines="5" w:after="31" w:afterLines="10"/>
              <w:jc w:val="left"/>
              <w:rPr>
                <w:rFonts w:ascii="楷体_GB2312" w:eastAsia="楷体_GB2312"/>
                <w:sz w:val="24"/>
              </w:rPr>
            </w:pPr>
            <w:r>
              <w:rPr>
                <w:rFonts w:hint="eastAsia" w:ascii="楷体_GB2312" w:eastAsia="楷体_GB2312"/>
                <w:sz w:val="24"/>
              </w:rPr>
              <w:t>16.养老机构护理型床位占比（床）</w:t>
            </w:r>
          </w:p>
        </w:tc>
        <w:tc>
          <w:tcPr>
            <w:tcW w:w="609" w:type="pct"/>
            <w:shd w:val="clear" w:color="auto" w:fill="auto"/>
            <w:vAlign w:val="center"/>
          </w:tcPr>
          <w:p w14:paraId="374141D2">
            <w:pPr>
              <w:snapToGrid w:val="0"/>
              <w:spacing w:before="15" w:beforeLines="5" w:after="31" w:afterLines="10"/>
              <w:jc w:val="center"/>
              <w:rPr>
                <w:rFonts w:hint="default" w:ascii="楷体_GB2312" w:eastAsia="楷体_GB2312"/>
                <w:sz w:val="24"/>
                <w:lang w:val="en-US" w:eastAsia="zh-CN"/>
              </w:rPr>
            </w:pPr>
            <w:r>
              <w:rPr>
                <w:rFonts w:hint="eastAsia" w:ascii="楷体_GB2312" w:eastAsia="楷体_GB2312"/>
                <w:sz w:val="24"/>
                <w:lang w:val="en-US" w:eastAsia="zh-CN"/>
              </w:rPr>
              <w:t>100</w:t>
            </w:r>
          </w:p>
        </w:tc>
        <w:tc>
          <w:tcPr>
            <w:tcW w:w="647" w:type="pct"/>
            <w:shd w:val="clear" w:color="auto" w:fill="auto"/>
            <w:vAlign w:val="center"/>
          </w:tcPr>
          <w:p w14:paraId="7C4487A0">
            <w:pPr>
              <w:snapToGrid w:val="0"/>
              <w:spacing w:before="15" w:beforeLines="5" w:after="31" w:afterLines="10"/>
              <w:jc w:val="center"/>
              <w:rPr>
                <w:rFonts w:hint="eastAsia" w:ascii="楷体_GB2312" w:eastAsia="楷体_GB2312"/>
                <w:sz w:val="24"/>
                <w:lang w:val="en-US" w:eastAsia="zh-CN"/>
              </w:rPr>
            </w:pPr>
            <w:r>
              <w:rPr>
                <w:rFonts w:hint="eastAsia" w:ascii="楷体_GB2312" w:eastAsia="楷体_GB2312"/>
                <w:sz w:val="24"/>
              </w:rPr>
              <w:t>——</w:t>
            </w:r>
          </w:p>
        </w:tc>
        <w:tc>
          <w:tcPr>
            <w:tcW w:w="772" w:type="pct"/>
            <w:shd w:val="clear" w:color="auto" w:fill="auto"/>
            <w:vAlign w:val="center"/>
          </w:tcPr>
          <w:p w14:paraId="05A3E574">
            <w:pPr>
              <w:snapToGrid w:val="0"/>
              <w:spacing w:before="15" w:beforeLines="5" w:after="31" w:afterLines="10"/>
              <w:jc w:val="center"/>
              <w:rPr>
                <w:rFonts w:hint="eastAsia" w:ascii="楷体_GB2312" w:eastAsia="楷体_GB2312"/>
                <w:sz w:val="24"/>
                <w:lang w:val="en-US" w:eastAsia="zh-CN"/>
              </w:rPr>
            </w:pPr>
            <w:r>
              <w:rPr>
                <w:rFonts w:hint="eastAsia" w:ascii="楷体_GB2312" w:eastAsia="楷体_GB2312"/>
                <w:sz w:val="24"/>
                <w:lang w:val="en-US" w:eastAsia="zh-CN"/>
              </w:rPr>
              <w:t>根据州下达目标</w:t>
            </w:r>
          </w:p>
        </w:tc>
        <w:tc>
          <w:tcPr>
            <w:tcW w:w="486" w:type="pct"/>
            <w:shd w:val="clear" w:color="auto" w:fill="auto"/>
            <w:vAlign w:val="center"/>
          </w:tcPr>
          <w:p w14:paraId="0607D113">
            <w:pPr>
              <w:snapToGrid w:val="0"/>
              <w:spacing w:before="15" w:beforeLines="5" w:after="31" w:afterLines="10"/>
              <w:jc w:val="center"/>
              <w:rPr>
                <w:rFonts w:ascii="楷体_GB2312" w:eastAsia="楷体_GB2312"/>
                <w:sz w:val="24"/>
              </w:rPr>
            </w:pPr>
            <w:r>
              <w:rPr>
                <w:rFonts w:hint="eastAsia" w:ascii="楷体_GB2312" w:eastAsia="楷体_GB2312"/>
                <w:sz w:val="24"/>
              </w:rPr>
              <w:t>预期性</w:t>
            </w:r>
          </w:p>
        </w:tc>
      </w:tr>
      <w:tr w14:paraId="6DE14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2" w:type="dxa"/>
            <w:bottom w:w="0" w:type="dxa"/>
            <w:right w:w="52" w:type="dxa"/>
          </w:tblCellMar>
        </w:tblPrEx>
        <w:trPr>
          <w:jc w:val="center"/>
        </w:trPr>
        <w:tc>
          <w:tcPr>
            <w:tcW w:w="386" w:type="pct"/>
            <w:vMerge w:val="continue"/>
            <w:shd w:val="clear" w:color="auto" w:fill="auto"/>
            <w:vAlign w:val="center"/>
          </w:tcPr>
          <w:p w14:paraId="2A81CBEB">
            <w:pPr>
              <w:snapToGrid w:val="0"/>
              <w:spacing w:before="15" w:beforeLines="5" w:after="31" w:afterLines="10"/>
              <w:ind w:firstLine="482"/>
              <w:jc w:val="center"/>
              <w:rPr>
                <w:rFonts w:ascii="楷体_GB2312" w:eastAsia="楷体_GB2312" w:hAnsiTheme="minorHAnsi"/>
                <w:b/>
                <w:sz w:val="24"/>
              </w:rPr>
            </w:pPr>
          </w:p>
        </w:tc>
        <w:tc>
          <w:tcPr>
            <w:tcW w:w="2096" w:type="pct"/>
            <w:shd w:val="clear" w:color="auto" w:fill="auto"/>
            <w:vAlign w:val="center"/>
          </w:tcPr>
          <w:p w14:paraId="3070755C">
            <w:pPr>
              <w:snapToGrid w:val="0"/>
              <w:spacing w:before="15" w:beforeLines="5" w:after="31" w:afterLines="10"/>
              <w:jc w:val="left"/>
              <w:rPr>
                <w:rFonts w:ascii="楷体_GB2312" w:eastAsia="楷体_GB2312"/>
                <w:sz w:val="24"/>
              </w:rPr>
            </w:pPr>
            <w:r>
              <w:rPr>
                <w:rFonts w:hint="eastAsia" w:ascii="楷体_GB2312" w:eastAsia="楷体_GB2312"/>
                <w:sz w:val="24"/>
              </w:rPr>
              <w:t>17.3岁以下婴幼儿入托率提高（%）</w:t>
            </w:r>
          </w:p>
        </w:tc>
        <w:tc>
          <w:tcPr>
            <w:tcW w:w="609" w:type="pct"/>
            <w:shd w:val="clear" w:color="auto" w:fill="auto"/>
            <w:vAlign w:val="top"/>
          </w:tcPr>
          <w:p w14:paraId="5D8EA50D">
            <w:pPr>
              <w:snapToGrid w:val="0"/>
              <w:spacing w:before="15" w:beforeLines="5" w:after="31" w:afterLines="10"/>
              <w:jc w:val="center"/>
              <w:rPr>
                <w:rFonts w:hint="eastAsia" w:ascii="楷体_GB2312" w:eastAsia="楷体_GB2312"/>
                <w:sz w:val="24"/>
                <w:lang w:val="en-US" w:eastAsia="zh-CN"/>
              </w:rPr>
            </w:pPr>
            <w:r>
              <w:rPr>
                <w:rFonts w:hint="eastAsia" w:ascii="楷体_GB2312" w:eastAsia="楷体_GB2312"/>
                <w:sz w:val="24"/>
                <w:lang w:val="en-US" w:eastAsia="zh-CN"/>
              </w:rPr>
              <w:t>25.0</w:t>
            </w:r>
          </w:p>
        </w:tc>
        <w:tc>
          <w:tcPr>
            <w:tcW w:w="647" w:type="pct"/>
            <w:shd w:val="clear" w:color="auto" w:fill="auto"/>
            <w:vAlign w:val="top"/>
          </w:tcPr>
          <w:p w14:paraId="78284EB9">
            <w:pPr>
              <w:snapToGrid w:val="0"/>
              <w:spacing w:before="15" w:beforeLines="5" w:after="31" w:afterLines="10"/>
              <w:jc w:val="center"/>
              <w:rPr>
                <w:rFonts w:hint="eastAsia" w:ascii="楷体_GB2312" w:eastAsia="楷体_GB2312"/>
                <w:sz w:val="24"/>
                <w:lang w:val="en-US" w:eastAsia="zh-CN"/>
              </w:rPr>
            </w:pPr>
            <w:r>
              <w:rPr>
                <w:rFonts w:hint="eastAsia" w:ascii="楷体_GB2312" w:eastAsia="楷体_GB2312"/>
                <w:sz w:val="24"/>
                <w:lang w:val="en-US" w:eastAsia="zh-CN"/>
              </w:rPr>
              <w:t>40.0</w:t>
            </w:r>
          </w:p>
        </w:tc>
        <w:tc>
          <w:tcPr>
            <w:tcW w:w="772" w:type="pct"/>
            <w:shd w:val="clear" w:color="auto" w:fill="auto"/>
            <w:vAlign w:val="top"/>
          </w:tcPr>
          <w:p w14:paraId="2453B268">
            <w:pPr>
              <w:snapToGrid w:val="0"/>
              <w:spacing w:before="15" w:beforeLines="5" w:after="31" w:afterLines="10"/>
              <w:jc w:val="center"/>
              <w:rPr>
                <w:rFonts w:hint="eastAsia" w:ascii="楷体_GB2312" w:eastAsia="楷体_GB2312"/>
                <w:sz w:val="24"/>
                <w:lang w:val="en-US" w:eastAsia="zh-CN"/>
              </w:rPr>
            </w:pPr>
            <w:r>
              <w:rPr>
                <w:rFonts w:hint="eastAsia" w:ascii="楷体_GB2312" w:eastAsia="楷体_GB2312"/>
                <w:sz w:val="24"/>
                <w:lang w:val="en-US" w:eastAsia="zh-CN"/>
              </w:rPr>
              <w:t>10.0</w:t>
            </w:r>
          </w:p>
        </w:tc>
        <w:tc>
          <w:tcPr>
            <w:tcW w:w="486" w:type="pct"/>
            <w:shd w:val="clear" w:color="auto" w:fill="auto"/>
            <w:vAlign w:val="center"/>
          </w:tcPr>
          <w:p w14:paraId="24B2BABF">
            <w:pPr>
              <w:snapToGrid w:val="0"/>
              <w:spacing w:before="15" w:beforeLines="5" w:after="31" w:afterLines="10"/>
              <w:jc w:val="center"/>
              <w:rPr>
                <w:rFonts w:ascii="楷体_GB2312" w:eastAsia="楷体_GB2312"/>
                <w:sz w:val="24"/>
              </w:rPr>
            </w:pPr>
            <w:r>
              <w:rPr>
                <w:rFonts w:hint="eastAsia" w:ascii="楷体_GB2312" w:eastAsia="楷体_GB2312"/>
                <w:sz w:val="24"/>
              </w:rPr>
              <w:t>预期性</w:t>
            </w:r>
          </w:p>
        </w:tc>
      </w:tr>
      <w:tr w14:paraId="16A312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2" w:type="dxa"/>
            <w:bottom w:w="0" w:type="dxa"/>
            <w:right w:w="52" w:type="dxa"/>
          </w:tblCellMar>
        </w:tblPrEx>
        <w:trPr>
          <w:jc w:val="center"/>
        </w:trPr>
        <w:tc>
          <w:tcPr>
            <w:tcW w:w="386" w:type="pct"/>
            <w:vMerge w:val="restart"/>
            <w:shd w:val="clear" w:color="auto" w:fill="auto"/>
            <w:vAlign w:val="center"/>
          </w:tcPr>
          <w:p w14:paraId="533AB356">
            <w:pPr>
              <w:snapToGrid w:val="0"/>
              <w:spacing w:before="15" w:beforeLines="5" w:after="31" w:afterLines="10"/>
              <w:jc w:val="left"/>
              <w:rPr>
                <w:rFonts w:ascii="楷体_GB2312" w:eastAsia="楷体_GB2312"/>
                <w:sz w:val="24"/>
              </w:rPr>
            </w:pPr>
            <w:r>
              <w:rPr>
                <w:rFonts w:hint="eastAsia" w:ascii="楷体_GB2312" w:eastAsia="楷体_GB2312"/>
                <w:sz w:val="24"/>
              </w:rPr>
              <w:t>绿色</w:t>
            </w:r>
          </w:p>
          <w:p w14:paraId="6C344F3B">
            <w:pPr>
              <w:snapToGrid w:val="0"/>
              <w:spacing w:before="15" w:beforeLines="5" w:after="31" w:afterLines="10"/>
              <w:jc w:val="left"/>
              <w:rPr>
                <w:rFonts w:ascii="楷体_GB2312" w:eastAsia="楷体_GB2312"/>
                <w:sz w:val="24"/>
              </w:rPr>
            </w:pPr>
            <w:r>
              <w:rPr>
                <w:rFonts w:hint="eastAsia" w:ascii="楷体_GB2312" w:eastAsia="楷体_GB2312"/>
                <w:sz w:val="24"/>
              </w:rPr>
              <w:t>生态</w:t>
            </w:r>
          </w:p>
        </w:tc>
        <w:tc>
          <w:tcPr>
            <w:tcW w:w="2096" w:type="pct"/>
            <w:shd w:val="clear" w:color="auto" w:fill="auto"/>
            <w:vAlign w:val="center"/>
          </w:tcPr>
          <w:p w14:paraId="6D906E3D">
            <w:pPr>
              <w:snapToGrid w:val="0"/>
              <w:spacing w:before="15" w:beforeLines="5" w:after="31" w:afterLines="10"/>
              <w:jc w:val="left"/>
              <w:rPr>
                <w:rFonts w:ascii="楷体_GB2312" w:eastAsia="楷体_GB2312"/>
                <w:sz w:val="24"/>
              </w:rPr>
            </w:pPr>
            <w:r>
              <w:rPr>
                <w:rFonts w:hint="eastAsia" w:ascii="楷体_GB2312" w:eastAsia="楷体_GB2312"/>
                <w:sz w:val="24"/>
              </w:rPr>
              <w:t>18.单位GDP二氧化碳排放降低（</w:t>
            </w:r>
            <w:bookmarkStart w:id="72" w:name="OLE_LINK152"/>
            <w:bookmarkStart w:id="73" w:name="OLE_LINK147"/>
            <w:r>
              <w:rPr>
                <w:rFonts w:hint="eastAsia" w:ascii="楷体_GB2312" w:eastAsia="楷体_GB2312"/>
                <w:sz w:val="24"/>
              </w:rPr>
              <w:t>%</w:t>
            </w:r>
            <w:bookmarkEnd w:id="72"/>
            <w:bookmarkEnd w:id="73"/>
            <w:r>
              <w:rPr>
                <w:rFonts w:hint="eastAsia" w:ascii="楷体_GB2312" w:eastAsia="楷体_GB2312"/>
                <w:sz w:val="24"/>
              </w:rPr>
              <w:t>）</w:t>
            </w:r>
          </w:p>
        </w:tc>
        <w:tc>
          <w:tcPr>
            <w:tcW w:w="609" w:type="pct"/>
            <w:shd w:val="clear" w:color="auto" w:fill="auto"/>
            <w:vAlign w:val="center"/>
          </w:tcPr>
          <w:p w14:paraId="13A3A449">
            <w:pPr>
              <w:snapToGrid w:val="0"/>
              <w:spacing w:before="15" w:beforeLines="5" w:after="31" w:afterLines="10"/>
              <w:jc w:val="center"/>
              <w:rPr>
                <w:rFonts w:hint="default" w:ascii="楷体_GB2312" w:eastAsia="楷体_GB2312"/>
                <w:sz w:val="24"/>
                <w:lang w:val="en-US" w:eastAsia="zh-CN"/>
              </w:rPr>
            </w:pPr>
            <w:r>
              <w:rPr>
                <w:rFonts w:hint="eastAsia" w:ascii="楷体_GB2312" w:eastAsia="楷体_GB2312"/>
                <w:sz w:val="24"/>
                <w:lang w:val="en-US" w:eastAsia="zh-CN"/>
              </w:rPr>
              <w:t>12</w:t>
            </w:r>
          </w:p>
        </w:tc>
        <w:tc>
          <w:tcPr>
            <w:tcW w:w="647" w:type="pct"/>
            <w:shd w:val="clear" w:color="auto" w:fill="auto"/>
            <w:vAlign w:val="center"/>
          </w:tcPr>
          <w:p w14:paraId="181067F4">
            <w:pPr>
              <w:snapToGrid w:val="0"/>
              <w:spacing w:before="15" w:beforeLines="5" w:after="31" w:afterLines="10"/>
              <w:jc w:val="center"/>
              <w:rPr>
                <w:rFonts w:ascii="楷体_GB2312" w:eastAsia="楷体_GB2312"/>
                <w:sz w:val="24"/>
              </w:rPr>
            </w:pPr>
            <w:r>
              <w:rPr>
                <w:rFonts w:hint="eastAsia" w:ascii="楷体_GB2312" w:eastAsia="楷体_GB2312"/>
                <w:sz w:val="24"/>
              </w:rPr>
              <w:t>——</w:t>
            </w:r>
          </w:p>
        </w:tc>
        <w:tc>
          <w:tcPr>
            <w:tcW w:w="772" w:type="pct"/>
            <w:shd w:val="clear" w:color="auto" w:fill="auto"/>
            <w:vAlign w:val="center"/>
          </w:tcPr>
          <w:p w14:paraId="16ABF3C8">
            <w:pPr>
              <w:snapToGrid w:val="0"/>
              <w:spacing w:before="15" w:beforeLines="5" w:after="31" w:afterLines="10"/>
              <w:jc w:val="center"/>
              <w:rPr>
                <w:rFonts w:ascii="楷体_GB2312" w:eastAsia="楷体_GB2312"/>
                <w:sz w:val="24"/>
              </w:rPr>
            </w:pPr>
            <w:r>
              <w:rPr>
                <w:rFonts w:hint="eastAsia" w:ascii="楷体_GB2312" w:eastAsia="楷体_GB2312"/>
                <w:sz w:val="24"/>
                <w:lang w:val="en-US" w:eastAsia="zh-CN"/>
              </w:rPr>
              <w:t>根据州下达目标</w:t>
            </w:r>
          </w:p>
        </w:tc>
        <w:tc>
          <w:tcPr>
            <w:tcW w:w="486" w:type="pct"/>
            <w:shd w:val="clear" w:color="auto" w:fill="auto"/>
            <w:vAlign w:val="center"/>
          </w:tcPr>
          <w:p w14:paraId="5D110FA5">
            <w:pPr>
              <w:snapToGrid w:val="0"/>
              <w:spacing w:before="15" w:beforeLines="5" w:after="31" w:afterLines="10"/>
              <w:jc w:val="center"/>
              <w:rPr>
                <w:rFonts w:ascii="楷体_GB2312" w:eastAsia="楷体_GB2312"/>
                <w:sz w:val="24"/>
              </w:rPr>
            </w:pPr>
            <w:r>
              <w:rPr>
                <w:rFonts w:hint="eastAsia" w:ascii="楷体_GB2312" w:eastAsia="楷体_GB2312"/>
                <w:sz w:val="24"/>
              </w:rPr>
              <w:t>约束性</w:t>
            </w:r>
          </w:p>
        </w:tc>
      </w:tr>
      <w:tr w14:paraId="5214E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2" w:type="dxa"/>
            <w:bottom w:w="0" w:type="dxa"/>
            <w:right w:w="52" w:type="dxa"/>
          </w:tblCellMar>
        </w:tblPrEx>
        <w:trPr>
          <w:jc w:val="center"/>
        </w:trPr>
        <w:tc>
          <w:tcPr>
            <w:tcW w:w="386" w:type="pct"/>
            <w:vMerge w:val="continue"/>
            <w:shd w:val="clear" w:color="auto" w:fill="auto"/>
            <w:vAlign w:val="center"/>
          </w:tcPr>
          <w:p w14:paraId="0744E146">
            <w:pPr>
              <w:snapToGrid w:val="0"/>
              <w:spacing w:before="15" w:beforeLines="5" w:after="31" w:afterLines="10"/>
              <w:ind w:firstLine="480"/>
              <w:jc w:val="left"/>
              <w:rPr>
                <w:rFonts w:ascii="楷体_GB2312" w:eastAsia="楷体_GB2312"/>
                <w:sz w:val="24"/>
              </w:rPr>
            </w:pPr>
          </w:p>
        </w:tc>
        <w:tc>
          <w:tcPr>
            <w:tcW w:w="2096" w:type="pct"/>
            <w:shd w:val="clear" w:color="auto" w:fill="auto"/>
            <w:vAlign w:val="center"/>
          </w:tcPr>
          <w:p w14:paraId="43A130AD">
            <w:pPr>
              <w:snapToGrid w:val="0"/>
              <w:spacing w:before="15" w:beforeLines="5" w:after="31" w:afterLines="10"/>
              <w:jc w:val="left"/>
              <w:rPr>
                <w:rFonts w:ascii="楷体_GB2312" w:eastAsia="楷体_GB2312"/>
                <w:sz w:val="24"/>
              </w:rPr>
            </w:pPr>
            <w:r>
              <w:rPr>
                <w:rFonts w:hint="eastAsia" w:ascii="楷体_GB2312" w:eastAsia="楷体_GB2312"/>
                <w:sz w:val="24"/>
              </w:rPr>
              <w:t>19.非化石能源占能源消费总量比重（</w:t>
            </w:r>
            <w:bookmarkStart w:id="74" w:name="OLE_LINK139"/>
            <w:r>
              <w:rPr>
                <w:rFonts w:hint="eastAsia" w:ascii="楷体_GB2312" w:eastAsia="楷体_GB2312"/>
                <w:sz w:val="24"/>
              </w:rPr>
              <w:t>%</w:t>
            </w:r>
            <w:bookmarkEnd w:id="74"/>
            <w:r>
              <w:rPr>
                <w:rFonts w:hint="eastAsia" w:ascii="楷体_GB2312" w:eastAsia="楷体_GB2312"/>
                <w:sz w:val="24"/>
              </w:rPr>
              <w:t>）</w:t>
            </w:r>
          </w:p>
        </w:tc>
        <w:tc>
          <w:tcPr>
            <w:tcW w:w="609" w:type="pct"/>
            <w:shd w:val="clear" w:color="auto" w:fill="auto"/>
            <w:vAlign w:val="center"/>
          </w:tcPr>
          <w:p w14:paraId="0EB53A9F">
            <w:pPr>
              <w:snapToGrid w:val="0"/>
              <w:spacing w:before="15" w:beforeLines="5" w:after="31" w:afterLines="10"/>
              <w:jc w:val="center"/>
              <w:rPr>
                <w:rFonts w:ascii="楷体_GB2312" w:eastAsia="楷体_GB2312"/>
                <w:sz w:val="24"/>
              </w:rPr>
            </w:pPr>
            <w:r>
              <w:rPr>
                <w:rFonts w:hint="eastAsia" w:ascii="楷体_GB2312" w:eastAsia="楷体_GB2312"/>
                <w:sz w:val="24"/>
              </w:rPr>
              <w:t>——</w:t>
            </w:r>
          </w:p>
        </w:tc>
        <w:tc>
          <w:tcPr>
            <w:tcW w:w="647" w:type="pct"/>
            <w:shd w:val="clear" w:color="auto" w:fill="auto"/>
            <w:vAlign w:val="center"/>
          </w:tcPr>
          <w:p w14:paraId="7AD26982">
            <w:pPr>
              <w:snapToGrid w:val="0"/>
              <w:spacing w:before="15" w:beforeLines="5" w:after="31" w:afterLines="10"/>
              <w:jc w:val="center"/>
              <w:rPr>
                <w:rFonts w:ascii="楷体_GB2312" w:eastAsia="楷体_GB2312"/>
                <w:sz w:val="24"/>
              </w:rPr>
            </w:pPr>
            <w:r>
              <w:rPr>
                <w:rFonts w:hint="eastAsia" w:ascii="楷体_GB2312" w:eastAsia="楷体_GB2312"/>
                <w:sz w:val="24"/>
              </w:rPr>
              <w:t>——</w:t>
            </w:r>
          </w:p>
        </w:tc>
        <w:tc>
          <w:tcPr>
            <w:tcW w:w="772" w:type="pct"/>
            <w:shd w:val="clear" w:color="auto" w:fill="auto"/>
            <w:vAlign w:val="center"/>
          </w:tcPr>
          <w:p w14:paraId="123E1AE3">
            <w:pPr>
              <w:snapToGrid w:val="0"/>
              <w:spacing w:before="15" w:beforeLines="5" w:after="31" w:afterLines="10"/>
              <w:jc w:val="center"/>
              <w:rPr>
                <w:rFonts w:ascii="楷体_GB2312" w:eastAsia="楷体_GB2312"/>
                <w:sz w:val="24"/>
              </w:rPr>
            </w:pPr>
            <w:r>
              <w:rPr>
                <w:rFonts w:hint="eastAsia" w:ascii="楷体_GB2312" w:eastAsia="楷体_GB2312"/>
                <w:sz w:val="24"/>
                <w:lang w:val="en-US" w:eastAsia="zh-CN"/>
              </w:rPr>
              <w:t>根据州下达目标</w:t>
            </w:r>
          </w:p>
        </w:tc>
        <w:tc>
          <w:tcPr>
            <w:tcW w:w="486" w:type="pct"/>
            <w:shd w:val="clear" w:color="auto" w:fill="auto"/>
            <w:vAlign w:val="center"/>
          </w:tcPr>
          <w:p w14:paraId="512DAF0E">
            <w:pPr>
              <w:snapToGrid w:val="0"/>
              <w:spacing w:before="15" w:beforeLines="5" w:after="31" w:afterLines="10"/>
              <w:jc w:val="center"/>
              <w:rPr>
                <w:rFonts w:ascii="楷体_GB2312" w:eastAsia="楷体_GB2312"/>
                <w:sz w:val="24"/>
              </w:rPr>
            </w:pPr>
            <w:r>
              <w:rPr>
                <w:rFonts w:hint="eastAsia" w:ascii="楷体_GB2312" w:eastAsia="楷体_GB2312"/>
                <w:sz w:val="24"/>
              </w:rPr>
              <w:t>预期性</w:t>
            </w:r>
          </w:p>
        </w:tc>
      </w:tr>
      <w:tr w14:paraId="292DF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2" w:type="dxa"/>
            <w:bottom w:w="0" w:type="dxa"/>
            <w:right w:w="52" w:type="dxa"/>
          </w:tblCellMar>
        </w:tblPrEx>
        <w:trPr>
          <w:jc w:val="center"/>
        </w:trPr>
        <w:tc>
          <w:tcPr>
            <w:tcW w:w="386" w:type="pct"/>
            <w:vMerge w:val="continue"/>
            <w:shd w:val="clear" w:color="auto" w:fill="auto"/>
            <w:vAlign w:val="center"/>
          </w:tcPr>
          <w:p w14:paraId="7DD8E3FA">
            <w:pPr>
              <w:snapToGrid w:val="0"/>
              <w:spacing w:before="15" w:beforeLines="5" w:after="31" w:afterLines="10"/>
              <w:ind w:firstLine="480"/>
              <w:jc w:val="left"/>
              <w:rPr>
                <w:rFonts w:ascii="楷体_GB2312" w:eastAsia="楷体_GB2312"/>
                <w:sz w:val="24"/>
              </w:rPr>
            </w:pPr>
          </w:p>
        </w:tc>
        <w:tc>
          <w:tcPr>
            <w:tcW w:w="2096" w:type="pct"/>
            <w:shd w:val="clear" w:color="auto" w:fill="auto"/>
            <w:vAlign w:val="center"/>
          </w:tcPr>
          <w:p w14:paraId="7BF8908B">
            <w:pPr>
              <w:snapToGrid w:val="0"/>
              <w:spacing w:before="15" w:beforeLines="5" w:after="31" w:afterLines="10"/>
              <w:jc w:val="left"/>
              <w:rPr>
                <w:rFonts w:ascii="楷体_GB2312" w:eastAsia="楷体_GB2312"/>
                <w:sz w:val="24"/>
              </w:rPr>
            </w:pPr>
            <w:r>
              <w:rPr>
                <w:rFonts w:hint="eastAsia" w:ascii="楷体_GB2312" w:eastAsia="楷体_GB2312"/>
                <w:sz w:val="24"/>
              </w:rPr>
              <w:t>20.优良水体比例（%）</w:t>
            </w:r>
          </w:p>
        </w:tc>
        <w:tc>
          <w:tcPr>
            <w:tcW w:w="609" w:type="pct"/>
            <w:shd w:val="clear" w:color="auto" w:fill="auto"/>
            <w:vAlign w:val="center"/>
          </w:tcPr>
          <w:p w14:paraId="5B9AED15">
            <w:pPr>
              <w:snapToGrid w:val="0"/>
              <w:spacing w:before="15" w:beforeLines="5" w:after="31" w:afterLines="10"/>
              <w:jc w:val="center"/>
              <w:rPr>
                <w:rFonts w:hint="default" w:ascii="楷体_GB2312" w:eastAsia="楷体_GB2312"/>
                <w:sz w:val="24"/>
                <w:lang w:val="en-US" w:eastAsia="zh-CN"/>
              </w:rPr>
            </w:pPr>
            <w:r>
              <w:rPr>
                <w:rFonts w:hint="eastAsia" w:ascii="楷体_GB2312" w:eastAsia="楷体_GB2312"/>
                <w:sz w:val="24"/>
                <w:lang w:val="en-US" w:eastAsia="zh-CN"/>
              </w:rPr>
              <w:t>100</w:t>
            </w:r>
          </w:p>
        </w:tc>
        <w:tc>
          <w:tcPr>
            <w:tcW w:w="647" w:type="pct"/>
            <w:shd w:val="clear" w:color="auto" w:fill="auto"/>
            <w:vAlign w:val="center"/>
          </w:tcPr>
          <w:p w14:paraId="54E65BB6">
            <w:pPr>
              <w:snapToGrid w:val="0"/>
              <w:spacing w:before="15" w:beforeLines="5" w:after="31" w:afterLines="10"/>
              <w:jc w:val="center"/>
              <w:rPr>
                <w:rFonts w:ascii="楷体_GB2312" w:eastAsia="楷体_GB2312"/>
                <w:sz w:val="24"/>
              </w:rPr>
            </w:pPr>
            <w:r>
              <w:rPr>
                <w:rFonts w:hint="eastAsia" w:ascii="楷体_GB2312" w:eastAsia="楷体_GB2312"/>
                <w:sz w:val="24"/>
              </w:rPr>
              <w:t>——</w:t>
            </w:r>
          </w:p>
        </w:tc>
        <w:tc>
          <w:tcPr>
            <w:tcW w:w="772" w:type="pct"/>
            <w:shd w:val="clear" w:color="auto" w:fill="auto"/>
            <w:vAlign w:val="center"/>
          </w:tcPr>
          <w:p w14:paraId="64B7FF11">
            <w:pPr>
              <w:snapToGrid w:val="0"/>
              <w:spacing w:before="15" w:beforeLines="5" w:after="31" w:afterLines="10"/>
              <w:jc w:val="center"/>
              <w:rPr>
                <w:rFonts w:ascii="楷体_GB2312" w:eastAsia="楷体_GB2312"/>
                <w:sz w:val="24"/>
              </w:rPr>
            </w:pPr>
            <w:r>
              <w:rPr>
                <w:rFonts w:hint="eastAsia" w:ascii="楷体_GB2312" w:eastAsia="楷体_GB2312"/>
                <w:sz w:val="24"/>
                <w:lang w:val="en-US" w:eastAsia="zh-CN"/>
              </w:rPr>
              <w:t>根据州下达目标</w:t>
            </w:r>
          </w:p>
        </w:tc>
        <w:tc>
          <w:tcPr>
            <w:tcW w:w="486" w:type="pct"/>
            <w:shd w:val="clear" w:color="auto" w:fill="auto"/>
            <w:vAlign w:val="center"/>
          </w:tcPr>
          <w:p w14:paraId="55121967">
            <w:pPr>
              <w:snapToGrid w:val="0"/>
              <w:spacing w:before="15" w:beforeLines="5" w:after="31" w:afterLines="10"/>
              <w:jc w:val="center"/>
              <w:rPr>
                <w:rFonts w:ascii="楷体_GB2312" w:eastAsia="楷体_GB2312"/>
                <w:sz w:val="24"/>
              </w:rPr>
            </w:pPr>
            <w:r>
              <w:rPr>
                <w:rFonts w:hint="eastAsia" w:ascii="楷体_GB2312" w:eastAsia="楷体_GB2312"/>
                <w:sz w:val="24"/>
              </w:rPr>
              <w:t>约束性</w:t>
            </w:r>
          </w:p>
        </w:tc>
      </w:tr>
      <w:tr w14:paraId="0874D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2" w:type="dxa"/>
            <w:bottom w:w="0" w:type="dxa"/>
            <w:right w:w="52" w:type="dxa"/>
          </w:tblCellMar>
        </w:tblPrEx>
        <w:trPr>
          <w:jc w:val="center"/>
        </w:trPr>
        <w:tc>
          <w:tcPr>
            <w:tcW w:w="386" w:type="pct"/>
            <w:vMerge w:val="continue"/>
            <w:shd w:val="clear" w:color="auto" w:fill="auto"/>
            <w:vAlign w:val="center"/>
          </w:tcPr>
          <w:p w14:paraId="3038ED2D">
            <w:pPr>
              <w:snapToGrid w:val="0"/>
              <w:spacing w:before="15" w:beforeLines="5" w:after="31" w:afterLines="10"/>
              <w:ind w:firstLine="480"/>
              <w:jc w:val="left"/>
              <w:rPr>
                <w:rFonts w:ascii="楷体_GB2312" w:eastAsia="楷体_GB2312"/>
                <w:sz w:val="24"/>
              </w:rPr>
            </w:pPr>
          </w:p>
        </w:tc>
        <w:tc>
          <w:tcPr>
            <w:tcW w:w="2096" w:type="pct"/>
            <w:shd w:val="clear" w:color="auto" w:fill="auto"/>
            <w:vAlign w:val="center"/>
          </w:tcPr>
          <w:p w14:paraId="6D62599F">
            <w:pPr>
              <w:snapToGrid w:val="0"/>
              <w:spacing w:before="15" w:beforeLines="5" w:after="31" w:afterLines="10"/>
              <w:jc w:val="left"/>
              <w:rPr>
                <w:rFonts w:ascii="楷体_GB2312" w:eastAsia="楷体_GB2312"/>
                <w:sz w:val="24"/>
              </w:rPr>
            </w:pPr>
            <w:r>
              <w:rPr>
                <w:rFonts w:hint="eastAsia" w:ascii="楷体_GB2312" w:eastAsia="楷体_GB2312"/>
                <w:sz w:val="24"/>
              </w:rPr>
              <w:t>21.森林覆盖率（%）</w:t>
            </w:r>
          </w:p>
        </w:tc>
        <w:tc>
          <w:tcPr>
            <w:tcW w:w="609" w:type="pct"/>
            <w:shd w:val="clear" w:color="auto" w:fill="auto"/>
            <w:vAlign w:val="center"/>
          </w:tcPr>
          <w:p w14:paraId="32F10CAE">
            <w:pPr>
              <w:snapToGrid w:val="0"/>
              <w:spacing w:before="15" w:beforeLines="5" w:after="31" w:afterLines="10"/>
              <w:jc w:val="center"/>
              <w:rPr>
                <w:rFonts w:hint="default" w:ascii="楷体_GB2312" w:eastAsia="楷体_GB2312"/>
                <w:sz w:val="24"/>
                <w:lang w:val="en-US" w:eastAsia="zh-CN"/>
              </w:rPr>
            </w:pPr>
            <w:r>
              <w:rPr>
                <w:rFonts w:hint="eastAsia" w:ascii="楷体_GB2312" w:eastAsia="楷体_GB2312"/>
                <w:sz w:val="24"/>
                <w:lang w:val="en-US" w:eastAsia="zh-CN"/>
              </w:rPr>
              <w:t>46.8</w:t>
            </w:r>
          </w:p>
        </w:tc>
        <w:tc>
          <w:tcPr>
            <w:tcW w:w="647" w:type="pct"/>
            <w:shd w:val="clear" w:color="auto" w:fill="auto"/>
            <w:vAlign w:val="center"/>
          </w:tcPr>
          <w:p w14:paraId="55E98398">
            <w:pPr>
              <w:snapToGrid w:val="0"/>
              <w:spacing w:before="15" w:beforeLines="5" w:after="31" w:afterLines="10"/>
              <w:jc w:val="center"/>
              <w:rPr>
                <w:rFonts w:ascii="楷体_GB2312" w:eastAsia="楷体_GB2312"/>
                <w:sz w:val="24"/>
              </w:rPr>
            </w:pPr>
            <w:r>
              <w:rPr>
                <w:rFonts w:hint="eastAsia" w:ascii="楷体_GB2312" w:eastAsia="楷体_GB2312"/>
                <w:sz w:val="24"/>
              </w:rPr>
              <w:t>——</w:t>
            </w:r>
          </w:p>
        </w:tc>
        <w:tc>
          <w:tcPr>
            <w:tcW w:w="772" w:type="pct"/>
            <w:shd w:val="clear" w:color="auto" w:fill="auto"/>
            <w:vAlign w:val="center"/>
          </w:tcPr>
          <w:p w14:paraId="245DE20E">
            <w:pPr>
              <w:snapToGrid w:val="0"/>
              <w:spacing w:before="15" w:beforeLines="5" w:after="31" w:afterLines="10"/>
              <w:jc w:val="center"/>
              <w:rPr>
                <w:rFonts w:ascii="楷体_GB2312" w:eastAsia="楷体_GB2312"/>
                <w:sz w:val="24"/>
              </w:rPr>
            </w:pPr>
            <w:r>
              <w:rPr>
                <w:rFonts w:hint="eastAsia" w:ascii="楷体_GB2312" w:eastAsia="楷体_GB2312"/>
                <w:sz w:val="24"/>
                <w:lang w:val="en-US" w:eastAsia="zh-CN"/>
              </w:rPr>
              <w:t>根据州下达目标</w:t>
            </w:r>
          </w:p>
        </w:tc>
        <w:tc>
          <w:tcPr>
            <w:tcW w:w="486" w:type="pct"/>
            <w:shd w:val="clear" w:color="auto" w:fill="auto"/>
            <w:vAlign w:val="center"/>
          </w:tcPr>
          <w:p w14:paraId="6F90F485">
            <w:pPr>
              <w:snapToGrid w:val="0"/>
              <w:spacing w:before="15" w:beforeLines="5" w:after="31" w:afterLines="10"/>
              <w:jc w:val="center"/>
              <w:rPr>
                <w:rFonts w:ascii="楷体_GB2312" w:eastAsia="楷体_GB2312"/>
                <w:sz w:val="24"/>
              </w:rPr>
            </w:pPr>
            <w:r>
              <w:rPr>
                <w:rFonts w:hint="eastAsia" w:ascii="楷体_GB2312" w:eastAsia="楷体_GB2312"/>
                <w:sz w:val="24"/>
              </w:rPr>
              <w:t>约束性</w:t>
            </w:r>
          </w:p>
        </w:tc>
      </w:tr>
      <w:tr w14:paraId="63766F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2" w:type="dxa"/>
            <w:bottom w:w="0" w:type="dxa"/>
            <w:right w:w="52" w:type="dxa"/>
          </w:tblCellMar>
        </w:tblPrEx>
        <w:trPr>
          <w:jc w:val="center"/>
        </w:trPr>
        <w:tc>
          <w:tcPr>
            <w:tcW w:w="386" w:type="pct"/>
            <w:vMerge w:val="continue"/>
            <w:shd w:val="clear" w:color="auto" w:fill="auto"/>
            <w:vAlign w:val="center"/>
          </w:tcPr>
          <w:p w14:paraId="016F935B">
            <w:pPr>
              <w:snapToGrid w:val="0"/>
              <w:spacing w:before="15" w:beforeLines="5" w:after="31" w:afterLines="10"/>
              <w:ind w:firstLine="480"/>
              <w:jc w:val="left"/>
              <w:rPr>
                <w:rFonts w:ascii="楷体_GB2312" w:eastAsia="楷体_GB2312"/>
                <w:sz w:val="24"/>
              </w:rPr>
            </w:pPr>
          </w:p>
        </w:tc>
        <w:tc>
          <w:tcPr>
            <w:tcW w:w="2096" w:type="pct"/>
            <w:shd w:val="clear" w:color="auto" w:fill="auto"/>
            <w:vAlign w:val="center"/>
          </w:tcPr>
          <w:p w14:paraId="592CD6F9">
            <w:pPr>
              <w:snapToGrid w:val="0"/>
              <w:spacing w:before="15" w:beforeLines="5" w:after="31" w:afterLines="10"/>
              <w:jc w:val="left"/>
              <w:rPr>
                <w:rFonts w:ascii="楷体_GB2312" w:eastAsia="楷体_GB2312"/>
                <w:sz w:val="24"/>
              </w:rPr>
            </w:pPr>
            <w:r>
              <w:rPr>
                <w:rFonts w:hint="eastAsia" w:ascii="楷体_GB2312" w:eastAsia="楷体_GB2312"/>
                <w:sz w:val="24"/>
              </w:rPr>
              <w:t>22.草原综合植被盖度（%）</w:t>
            </w:r>
          </w:p>
        </w:tc>
        <w:tc>
          <w:tcPr>
            <w:tcW w:w="609" w:type="pct"/>
            <w:shd w:val="clear" w:color="auto" w:fill="auto"/>
            <w:vAlign w:val="center"/>
          </w:tcPr>
          <w:p w14:paraId="4F072440">
            <w:pPr>
              <w:snapToGrid w:val="0"/>
              <w:spacing w:before="15" w:beforeLines="5" w:after="31" w:afterLines="10"/>
              <w:jc w:val="center"/>
              <w:rPr>
                <w:rFonts w:hint="default" w:ascii="楷体_GB2312" w:eastAsia="楷体_GB2312"/>
                <w:sz w:val="24"/>
                <w:lang w:val="en-US" w:eastAsia="zh-CN"/>
              </w:rPr>
            </w:pPr>
            <w:r>
              <w:rPr>
                <w:rFonts w:hint="eastAsia" w:ascii="楷体_GB2312" w:eastAsia="楷体_GB2312"/>
                <w:sz w:val="24"/>
                <w:lang w:val="en-US" w:eastAsia="zh-CN"/>
              </w:rPr>
              <w:t>81</w:t>
            </w:r>
          </w:p>
        </w:tc>
        <w:tc>
          <w:tcPr>
            <w:tcW w:w="647" w:type="pct"/>
            <w:shd w:val="clear" w:color="auto" w:fill="auto"/>
            <w:vAlign w:val="center"/>
          </w:tcPr>
          <w:p w14:paraId="00E7F830">
            <w:pPr>
              <w:snapToGrid w:val="0"/>
              <w:spacing w:before="15" w:beforeLines="5" w:after="31" w:afterLines="10"/>
              <w:jc w:val="center"/>
              <w:rPr>
                <w:rFonts w:ascii="楷体_GB2312" w:eastAsia="楷体_GB2312"/>
                <w:sz w:val="24"/>
              </w:rPr>
            </w:pPr>
            <w:r>
              <w:rPr>
                <w:rFonts w:hint="eastAsia" w:ascii="楷体_GB2312" w:eastAsia="楷体_GB2312"/>
                <w:sz w:val="24"/>
              </w:rPr>
              <w:t>——</w:t>
            </w:r>
          </w:p>
        </w:tc>
        <w:tc>
          <w:tcPr>
            <w:tcW w:w="772" w:type="pct"/>
            <w:shd w:val="clear" w:color="auto" w:fill="auto"/>
            <w:vAlign w:val="center"/>
          </w:tcPr>
          <w:p w14:paraId="3F075DFF">
            <w:pPr>
              <w:snapToGrid w:val="0"/>
              <w:spacing w:before="15" w:beforeLines="5" w:after="31" w:afterLines="10"/>
              <w:jc w:val="center"/>
              <w:rPr>
                <w:rFonts w:ascii="楷体_GB2312" w:eastAsia="楷体_GB2312"/>
                <w:sz w:val="24"/>
              </w:rPr>
            </w:pPr>
            <w:r>
              <w:rPr>
                <w:rFonts w:hint="eastAsia" w:ascii="楷体_GB2312" w:eastAsia="楷体_GB2312"/>
                <w:sz w:val="24"/>
                <w:lang w:val="en-US" w:eastAsia="zh-CN"/>
              </w:rPr>
              <w:t>根据州下达目标</w:t>
            </w:r>
          </w:p>
        </w:tc>
        <w:tc>
          <w:tcPr>
            <w:tcW w:w="486" w:type="pct"/>
            <w:shd w:val="clear" w:color="auto" w:fill="auto"/>
            <w:vAlign w:val="center"/>
          </w:tcPr>
          <w:p w14:paraId="718CCFAD">
            <w:pPr>
              <w:snapToGrid w:val="0"/>
              <w:spacing w:before="15" w:beforeLines="5" w:after="31" w:afterLines="10"/>
              <w:jc w:val="center"/>
              <w:rPr>
                <w:rFonts w:ascii="楷体_GB2312" w:eastAsia="楷体_GB2312"/>
                <w:sz w:val="24"/>
              </w:rPr>
            </w:pPr>
            <w:r>
              <w:rPr>
                <w:rFonts w:hint="eastAsia" w:ascii="楷体_GB2312" w:eastAsia="楷体_GB2312"/>
                <w:sz w:val="24"/>
              </w:rPr>
              <w:t>约束性</w:t>
            </w:r>
          </w:p>
        </w:tc>
      </w:tr>
      <w:tr w14:paraId="588A5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2" w:type="dxa"/>
            <w:bottom w:w="0" w:type="dxa"/>
            <w:right w:w="52" w:type="dxa"/>
          </w:tblCellMar>
        </w:tblPrEx>
        <w:trPr>
          <w:jc w:val="center"/>
        </w:trPr>
        <w:tc>
          <w:tcPr>
            <w:tcW w:w="386" w:type="pct"/>
            <w:vMerge w:val="continue"/>
            <w:shd w:val="clear" w:color="auto" w:fill="auto"/>
            <w:vAlign w:val="center"/>
          </w:tcPr>
          <w:p w14:paraId="766A0440">
            <w:pPr>
              <w:snapToGrid w:val="0"/>
              <w:spacing w:before="15" w:beforeLines="5" w:after="31" w:afterLines="10"/>
              <w:jc w:val="left"/>
              <w:rPr>
                <w:rFonts w:ascii="楷体_GB2312" w:eastAsia="楷体_GB2312"/>
                <w:sz w:val="24"/>
              </w:rPr>
            </w:pPr>
          </w:p>
        </w:tc>
        <w:tc>
          <w:tcPr>
            <w:tcW w:w="2096" w:type="pct"/>
            <w:shd w:val="clear" w:color="auto" w:fill="auto"/>
            <w:vAlign w:val="center"/>
          </w:tcPr>
          <w:p w14:paraId="038FBFCB">
            <w:pPr>
              <w:snapToGrid w:val="0"/>
              <w:spacing w:before="15" w:beforeLines="5" w:after="31" w:afterLines="10"/>
              <w:jc w:val="left"/>
              <w:rPr>
                <w:rFonts w:ascii="楷体_GB2312" w:eastAsia="楷体_GB2312"/>
                <w:sz w:val="24"/>
              </w:rPr>
            </w:pPr>
            <w:r>
              <w:rPr>
                <w:rFonts w:hint="eastAsia" w:ascii="楷体_GB2312" w:eastAsia="楷体_GB2312"/>
                <w:sz w:val="24"/>
              </w:rPr>
              <w:t>23.</w:t>
            </w:r>
            <w:r>
              <w:rPr>
                <w:rFonts w:ascii="楷体_GB2312" w:eastAsia="楷体_GB2312"/>
                <w:sz w:val="24"/>
              </w:rPr>
              <w:t>县城细微颗粒物（PM2.5）浓度（微克/立方米）</w:t>
            </w:r>
          </w:p>
        </w:tc>
        <w:tc>
          <w:tcPr>
            <w:tcW w:w="609" w:type="pct"/>
            <w:shd w:val="clear" w:color="auto" w:fill="auto"/>
            <w:vAlign w:val="center"/>
          </w:tcPr>
          <w:p w14:paraId="5B6CCE25">
            <w:pPr>
              <w:snapToGrid w:val="0"/>
              <w:spacing w:before="15" w:beforeLines="5" w:after="31" w:afterLines="10"/>
              <w:jc w:val="center"/>
              <w:rPr>
                <w:rFonts w:hint="eastAsia" w:ascii="楷体_GB2312" w:eastAsia="楷体_GB2312"/>
                <w:sz w:val="24"/>
                <w:lang w:val="en-US" w:eastAsia="zh-CN"/>
              </w:rPr>
            </w:pPr>
            <w:r>
              <w:rPr>
                <w:rFonts w:hint="eastAsia" w:ascii="楷体_GB2312" w:eastAsia="楷体_GB2312"/>
                <w:sz w:val="24"/>
                <w:lang w:val="en-US" w:eastAsia="zh-CN"/>
              </w:rPr>
              <w:t>8</w:t>
            </w:r>
          </w:p>
        </w:tc>
        <w:tc>
          <w:tcPr>
            <w:tcW w:w="647" w:type="pct"/>
            <w:shd w:val="clear" w:color="auto" w:fill="auto"/>
            <w:vAlign w:val="center"/>
          </w:tcPr>
          <w:p w14:paraId="05E0C3FA">
            <w:pPr>
              <w:snapToGrid w:val="0"/>
              <w:spacing w:before="15" w:beforeLines="5" w:after="31" w:afterLines="10"/>
              <w:jc w:val="center"/>
              <w:rPr>
                <w:rFonts w:ascii="楷体_GB2312" w:eastAsia="楷体_GB2312"/>
                <w:sz w:val="24"/>
              </w:rPr>
            </w:pPr>
            <w:r>
              <w:rPr>
                <w:rFonts w:hint="eastAsia" w:ascii="楷体_GB2312" w:eastAsia="楷体_GB2312"/>
                <w:sz w:val="24"/>
              </w:rPr>
              <w:t>——</w:t>
            </w:r>
          </w:p>
        </w:tc>
        <w:tc>
          <w:tcPr>
            <w:tcW w:w="772" w:type="pct"/>
            <w:shd w:val="clear" w:color="auto" w:fill="auto"/>
            <w:vAlign w:val="center"/>
          </w:tcPr>
          <w:p w14:paraId="578F6AB3">
            <w:pPr>
              <w:snapToGrid w:val="0"/>
              <w:spacing w:before="15" w:beforeLines="5" w:after="31" w:afterLines="10"/>
              <w:jc w:val="center"/>
              <w:rPr>
                <w:rFonts w:ascii="楷体_GB2312" w:eastAsia="楷体_GB2312"/>
                <w:sz w:val="24"/>
              </w:rPr>
            </w:pPr>
            <w:r>
              <w:rPr>
                <w:rFonts w:hint="eastAsia" w:ascii="楷体_GB2312" w:eastAsia="楷体_GB2312"/>
                <w:sz w:val="24"/>
                <w:lang w:val="en-US" w:eastAsia="zh-CN"/>
              </w:rPr>
              <w:t>根据州下达目标</w:t>
            </w:r>
          </w:p>
        </w:tc>
        <w:tc>
          <w:tcPr>
            <w:tcW w:w="486" w:type="pct"/>
            <w:shd w:val="clear" w:color="auto" w:fill="auto"/>
            <w:vAlign w:val="center"/>
          </w:tcPr>
          <w:p w14:paraId="63E1E172">
            <w:pPr>
              <w:snapToGrid w:val="0"/>
              <w:spacing w:before="15" w:beforeLines="5" w:after="31" w:afterLines="10"/>
              <w:jc w:val="center"/>
              <w:rPr>
                <w:rFonts w:ascii="楷体_GB2312" w:eastAsia="楷体_GB2312"/>
                <w:sz w:val="24"/>
              </w:rPr>
            </w:pPr>
            <w:r>
              <w:rPr>
                <w:rFonts w:hint="eastAsia" w:ascii="楷体_GB2312" w:eastAsia="楷体_GB2312"/>
                <w:sz w:val="24"/>
              </w:rPr>
              <w:t>约束性</w:t>
            </w:r>
          </w:p>
        </w:tc>
      </w:tr>
      <w:tr w14:paraId="6B1BD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2" w:type="dxa"/>
            <w:bottom w:w="0" w:type="dxa"/>
            <w:right w:w="52" w:type="dxa"/>
          </w:tblCellMar>
        </w:tblPrEx>
        <w:trPr>
          <w:jc w:val="center"/>
        </w:trPr>
        <w:tc>
          <w:tcPr>
            <w:tcW w:w="386" w:type="pct"/>
            <w:vMerge w:val="restart"/>
            <w:shd w:val="clear" w:color="auto" w:fill="auto"/>
            <w:vAlign w:val="center"/>
          </w:tcPr>
          <w:p w14:paraId="28A4615B">
            <w:pPr>
              <w:snapToGrid w:val="0"/>
              <w:spacing w:before="15" w:beforeLines="5" w:after="31" w:afterLines="10"/>
              <w:jc w:val="center"/>
              <w:rPr>
                <w:rFonts w:ascii="楷体_GB2312" w:eastAsia="楷体_GB2312"/>
                <w:sz w:val="24"/>
              </w:rPr>
            </w:pPr>
            <w:r>
              <w:rPr>
                <w:rFonts w:hint="eastAsia" w:ascii="楷体_GB2312" w:eastAsia="楷体_GB2312"/>
                <w:sz w:val="24"/>
              </w:rPr>
              <w:t>安全</w:t>
            </w:r>
          </w:p>
          <w:p w14:paraId="75F03294">
            <w:pPr>
              <w:snapToGrid w:val="0"/>
              <w:spacing w:before="15" w:beforeLines="5" w:after="31" w:afterLines="10"/>
              <w:jc w:val="center"/>
              <w:rPr>
                <w:rFonts w:ascii="楷体_GB2312" w:eastAsia="楷体_GB2312"/>
                <w:sz w:val="24"/>
              </w:rPr>
            </w:pPr>
            <w:r>
              <w:rPr>
                <w:rFonts w:hint="eastAsia" w:ascii="楷体_GB2312" w:eastAsia="楷体_GB2312"/>
                <w:sz w:val="24"/>
              </w:rPr>
              <w:t>保障</w:t>
            </w:r>
          </w:p>
        </w:tc>
        <w:tc>
          <w:tcPr>
            <w:tcW w:w="2096" w:type="pct"/>
            <w:shd w:val="clear" w:color="auto" w:fill="auto"/>
            <w:vAlign w:val="center"/>
          </w:tcPr>
          <w:p w14:paraId="46B8B691">
            <w:pPr>
              <w:snapToGrid w:val="0"/>
              <w:spacing w:before="15" w:beforeLines="5" w:after="31" w:afterLines="10"/>
              <w:jc w:val="left"/>
              <w:rPr>
                <w:rFonts w:ascii="楷体_GB2312" w:eastAsia="楷体_GB2312"/>
                <w:sz w:val="24"/>
              </w:rPr>
            </w:pPr>
            <w:r>
              <w:rPr>
                <w:rFonts w:hint="eastAsia" w:ascii="楷体_GB2312" w:eastAsia="楷体_GB2312"/>
                <w:sz w:val="24"/>
              </w:rPr>
              <w:t>24.粮食综合生产能力（万吨）</w:t>
            </w:r>
          </w:p>
        </w:tc>
        <w:tc>
          <w:tcPr>
            <w:tcW w:w="609" w:type="pct"/>
            <w:shd w:val="clear" w:color="auto" w:fill="auto"/>
            <w:vAlign w:val="center"/>
          </w:tcPr>
          <w:p w14:paraId="019B53C7">
            <w:pPr>
              <w:snapToGrid w:val="0"/>
              <w:spacing w:before="15" w:beforeLines="5" w:after="31" w:afterLines="10"/>
              <w:jc w:val="center"/>
              <w:rPr>
                <w:rFonts w:hint="default" w:ascii="楷体_GB2312" w:eastAsia="楷体_GB2312"/>
                <w:sz w:val="24"/>
                <w:lang w:val="en-US" w:eastAsia="zh-CN"/>
              </w:rPr>
            </w:pPr>
            <w:r>
              <w:rPr>
                <w:rFonts w:hint="eastAsia" w:ascii="楷体_GB2312" w:eastAsia="楷体_GB2312"/>
                <w:sz w:val="24"/>
                <w:lang w:val="en-US" w:eastAsia="zh-CN"/>
              </w:rPr>
              <w:t>1.3</w:t>
            </w:r>
          </w:p>
        </w:tc>
        <w:tc>
          <w:tcPr>
            <w:tcW w:w="647" w:type="pct"/>
            <w:shd w:val="clear" w:color="auto" w:fill="auto"/>
            <w:vAlign w:val="center"/>
          </w:tcPr>
          <w:p w14:paraId="095DC96C">
            <w:pPr>
              <w:snapToGrid w:val="0"/>
              <w:spacing w:before="15" w:beforeLines="5" w:after="31" w:afterLines="10"/>
              <w:jc w:val="center"/>
              <w:rPr>
                <w:rFonts w:hint="default" w:ascii="楷体_GB2312" w:eastAsia="楷体_GB2312"/>
                <w:sz w:val="24"/>
                <w:lang w:val="en-US" w:eastAsia="zh-CN"/>
              </w:rPr>
            </w:pPr>
            <w:r>
              <w:rPr>
                <w:rFonts w:hint="eastAsia" w:ascii="楷体_GB2312" w:eastAsia="楷体_GB2312"/>
                <w:sz w:val="24"/>
                <w:lang w:val="en-US" w:eastAsia="zh-CN"/>
              </w:rPr>
              <w:t>1.33</w:t>
            </w:r>
          </w:p>
        </w:tc>
        <w:tc>
          <w:tcPr>
            <w:tcW w:w="772" w:type="pct"/>
            <w:shd w:val="clear" w:color="auto" w:fill="auto"/>
            <w:vAlign w:val="center"/>
          </w:tcPr>
          <w:p w14:paraId="1B40190B">
            <w:pPr>
              <w:snapToGrid w:val="0"/>
              <w:spacing w:before="15" w:beforeLines="5" w:after="31" w:afterLines="10"/>
              <w:jc w:val="center"/>
              <w:rPr>
                <w:rFonts w:ascii="楷体_GB2312" w:eastAsia="楷体_GB2312"/>
                <w:sz w:val="24"/>
              </w:rPr>
            </w:pPr>
            <w:r>
              <w:rPr>
                <w:rFonts w:hint="eastAsia" w:ascii="楷体_GB2312" w:eastAsia="楷体_GB2312"/>
                <w:sz w:val="24"/>
              </w:rPr>
              <w:t>——</w:t>
            </w:r>
          </w:p>
        </w:tc>
        <w:tc>
          <w:tcPr>
            <w:tcW w:w="486" w:type="pct"/>
            <w:shd w:val="clear" w:color="auto" w:fill="auto"/>
            <w:vAlign w:val="center"/>
          </w:tcPr>
          <w:p w14:paraId="07D11A85">
            <w:pPr>
              <w:snapToGrid w:val="0"/>
              <w:spacing w:before="15" w:beforeLines="5" w:after="31" w:afterLines="10"/>
              <w:jc w:val="center"/>
              <w:rPr>
                <w:rFonts w:ascii="楷体_GB2312" w:eastAsia="楷体_GB2312"/>
                <w:sz w:val="24"/>
              </w:rPr>
            </w:pPr>
            <w:r>
              <w:rPr>
                <w:rFonts w:hint="eastAsia" w:ascii="楷体_GB2312" w:eastAsia="楷体_GB2312"/>
                <w:sz w:val="24"/>
              </w:rPr>
              <w:t>约束性</w:t>
            </w:r>
          </w:p>
        </w:tc>
      </w:tr>
      <w:tr w14:paraId="7F05D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2" w:type="dxa"/>
            <w:bottom w:w="0" w:type="dxa"/>
            <w:right w:w="52" w:type="dxa"/>
          </w:tblCellMar>
        </w:tblPrEx>
        <w:trPr>
          <w:jc w:val="center"/>
        </w:trPr>
        <w:tc>
          <w:tcPr>
            <w:tcW w:w="386" w:type="pct"/>
            <w:vMerge w:val="continue"/>
            <w:shd w:val="clear" w:color="auto" w:fill="auto"/>
            <w:vAlign w:val="center"/>
          </w:tcPr>
          <w:p w14:paraId="7C83048B">
            <w:pPr>
              <w:snapToGrid w:val="0"/>
              <w:spacing w:before="15" w:beforeLines="5" w:after="31" w:afterLines="10"/>
              <w:ind w:firstLine="482"/>
              <w:jc w:val="center"/>
              <w:rPr>
                <w:rFonts w:ascii="楷体_GB2312" w:eastAsia="楷体_GB2312" w:hAnsiTheme="minorHAnsi"/>
                <w:b/>
                <w:sz w:val="24"/>
              </w:rPr>
            </w:pPr>
          </w:p>
        </w:tc>
        <w:tc>
          <w:tcPr>
            <w:tcW w:w="2096" w:type="pct"/>
            <w:shd w:val="clear" w:color="auto" w:fill="auto"/>
            <w:vAlign w:val="center"/>
          </w:tcPr>
          <w:p w14:paraId="5FC6DD76">
            <w:pPr>
              <w:snapToGrid w:val="0"/>
              <w:spacing w:before="15" w:beforeLines="5" w:after="31" w:afterLines="10"/>
              <w:jc w:val="left"/>
              <w:rPr>
                <w:rFonts w:ascii="楷体_GB2312" w:eastAsia="楷体_GB2312"/>
                <w:sz w:val="24"/>
              </w:rPr>
            </w:pPr>
            <w:r>
              <w:rPr>
                <w:rFonts w:hint="eastAsia" w:ascii="楷体_GB2312" w:eastAsia="楷体_GB2312"/>
                <w:sz w:val="24"/>
              </w:rPr>
              <w:t>25.发电装机（万千瓦）</w:t>
            </w:r>
          </w:p>
        </w:tc>
        <w:tc>
          <w:tcPr>
            <w:tcW w:w="609" w:type="pct"/>
            <w:shd w:val="clear" w:color="auto" w:fill="auto"/>
            <w:vAlign w:val="center"/>
          </w:tcPr>
          <w:p w14:paraId="1FB474D7">
            <w:pPr>
              <w:snapToGrid w:val="0"/>
              <w:spacing w:before="15" w:beforeLines="5" w:after="31" w:afterLines="10"/>
              <w:jc w:val="center"/>
              <w:rPr>
                <w:rFonts w:hint="default" w:ascii="楷体_GB2312" w:eastAsia="楷体_GB2312"/>
                <w:sz w:val="24"/>
                <w:lang w:val="en-US" w:eastAsia="zh-CN"/>
              </w:rPr>
            </w:pPr>
            <w:r>
              <w:rPr>
                <w:rFonts w:hint="eastAsia" w:ascii="楷体_GB2312" w:eastAsia="楷体_GB2312"/>
                <w:sz w:val="24"/>
                <w:lang w:val="en-US" w:eastAsia="zh-CN"/>
              </w:rPr>
              <w:t>102.55</w:t>
            </w:r>
          </w:p>
        </w:tc>
        <w:tc>
          <w:tcPr>
            <w:tcW w:w="647" w:type="pct"/>
            <w:shd w:val="clear" w:color="auto" w:fill="auto"/>
            <w:vAlign w:val="top"/>
          </w:tcPr>
          <w:p w14:paraId="1A15A531">
            <w:pPr>
              <w:snapToGrid w:val="0"/>
              <w:spacing w:before="15" w:beforeLines="5" w:after="31" w:afterLines="10"/>
              <w:jc w:val="center"/>
              <w:rPr>
                <w:rFonts w:hint="eastAsia" w:ascii="楷体_GB2312" w:eastAsia="楷体_GB2312"/>
                <w:sz w:val="24"/>
                <w:lang w:val="en-US" w:eastAsia="zh-CN"/>
              </w:rPr>
            </w:pPr>
            <w:r>
              <w:rPr>
                <w:rFonts w:hint="eastAsia" w:ascii="楷体_GB2312" w:eastAsia="楷体_GB2312"/>
                <w:sz w:val="24"/>
                <w:lang w:val="en-US" w:eastAsia="zh-CN"/>
              </w:rPr>
              <w:t>300.0</w:t>
            </w:r>
          </w:p>
        </w:tc>
        <w:tc>
          <w:tcPr>
            <w:tcW w:w="772" w:type="pct"/>
            <w:shd w:val="clear" w:color="auto" w:fill="auto"/>
            <w:vAlign w:val="top"/>
          </w:tcPr>
          <w:p w14:paraId="37C173E7">
            <w:pPr>
              <w:snapToGrid w:val="0"/>
              <w:spacing w:before="15" w:beforeLines="5" w:after="31" w:afterLines="10"/>
              <w:jc w:val="center"/>
              <w:rPr>
                <w:rFonts w:hint="eastAsia" w:ascii="楷体_GB2312" w:eastAsia="楷体_GB2312"/>
                <w:sz w:val="24"/>
                <w:lang w:val="en-US" w:eastAsia="zh-CN"/>
              </w:rPr>
            </w:pPr>
            <w:r>
              <w:rPr>
                <w:rFonts w:hint="eastAsia" w:ascii="楷体_GB2312" w:eastAsia="楷体_GB2312"/>
                <w:sz w:val="24"/>
                <w:lang w:val="en-US" w:eastAsia="zh-CN"/>
              </w:rPr>
              <w:t>14.9</w:t>
            </w:r>
          </w:p>
        </w:tc>
        <w:tc>
          <w:tcPr>
            <w:tcW w:w="486" w:type="pct"/>
            <w:shd w:val="clear" w:color="auto" w:fill="auto"/>
            <w:vAlign w:val="center"/>
          </w:tcPr>
          <w:p w14:paraId="655D4372">
            <w:pPr>
              <w:snapToGrid w:val="0"/>
              <w:spacing w:before="15" w:beforeLines="5" w:after="31" w:afterLines="10"/>
              <w:jc w:val="center"/>
              <w:rPr>
                <w:rFonts w:ascii="楷体_GB2312" w:eastAsia="楷体_GB2312"/>
                <w:sz w:val="24"/>
              </w:rPr>
            </w:pPr>
            <w:r>
              <w:rPr>
                <w:rFonts w:hint="eastAsia" w:ascii="楷体_GB2312" w:eastAsia="楷体_GB2312"/>
                <w:sz w:val="24"/>
              </w:rPr>
              <w:t>预期性</w:t>
            </w:r>
          </w:p>
        </w:tc>
      </w:tr>
    </w:tbl>
    <w:p w14:paraId="23EBBAAA">
      <w:pPr>
        <w:pStyle w:val="2"/>
        <w:numPr>
          <w:ilvl w:val="0"/>
          <w:numId w:val="1"/>
        </w:numPr>
        <w:spacing w:before="156" w:beforeLines="50" w:after="156" w:afterLines="50"/>
        <w:ind w:left="1080" w:hanging="1080" w:firstLineChars="0"/>
        <w:jc w:val="center"/>
        <w:outlineLvl w:val="0"/>
        <w:rPr>
          <w:rFonts w:eastAsia="方正大标宋简体"/>
          <w:sz w:val="32"/>
          <w:szCs w:val="32"/>
        </w:rPr>
      </w:pPr>
      <w:bookmarkStart w:id="75" w:name="_Toc218241024"/>
      <w:bookmarkEnd w:id="75"/>
      <w:bookmarkStart w:id="76" w:name="_Toc1522"/>
      <w:bookmarkStart w:id="77" w:name="_Toc3290"/>
      <w:bookmarkStart w:id="78" w:name="_Toc218241025"/>
      <w:bookmarkStart w:id="79" w:name="_Toc212814818"/>
      <w:bookmarkStart w:id="80" w:name="_Toc214372622"/>
      <w:bookmarkStart w:id="81" w:name="OLE_LINK1"/>
      <w:bookmarkStart w:id="82" w:name="OLE_LINK2"/>
      <w:r>
        <w:rPr>
          <w:rFonts w:hint="eastAsia" w:eastAsia="方正大标宋简体"/>
          <w:sz w:val="32"/>
          <w:szCs w:val="32"/>
        </w:rPr>
        <w:t>做强优势  培育壮大“</w:t>
      </w:r>
      <w:r>
        <w:rPr>
          <w:rFonts w:eastAsia="方正大标宋简体"/>
          <w:sz w:val="32"/>
          <w:szCs w:val="32"/>
        </w:rPr>
        <w:t>4</w:t>
      </w:r>
      <w:r>
        <w:rPr>
          <w:rFonts w:hint="eastAsia" w:eastAsia="方正大标宋简体"/>
          <w:sz w:val="32"/>
          <w:szCs w:val="32"/>
        </w:rPr>
        <w:t>大”绿色产业</w:t>
      </w:r>
      <w:bookmarkEnd w:id="76"/>
      <w:bookmarkEnd w:id="77"/>
      <w:bookmarkEnd w:id="78"/>
      <w:bookmarkEnd w:id="79"/>
      <w:bookmarkEnd w:id="80"/>
    </w:p>
    <w:p w14:paraId="6C940630">
      <w:pPr>
        <w:spacing w:line="580" w:lineRule="exact"/>
        <w:ind w:firstLine="640" w:firstLineChars="200"/>
        <w:jc w:val="left"/>
        <w:rPr>
          <w:rFonts w:eastAsia="仿宋_GB2312"/>
          <w:bCs/>
          <w:sz w:val="32"/>
          <w:szCs w:val="32"/>
        </w:rPr>
      </w:pPr>
      <w:r>
        <w:rPr>
          <w:rFonts w:hint="eastAsia" w:eastAsia="仿宋_GB2312"/>
          <w:bCs/>
          <w:sz w:val="32"/>
          <w:szCs w:val="32"/>
        </w:rPr>
        <w:t>坚持“生态产业化，产业生态化”的发展思路，不断壮大特色鲜明、优势明显的“4大”绿色产业，推动产业链、价值链、创新链深度融合，全面提升产业发展的质量和效益。</w:t>
      </w:r>
    </w:p>
    <w:bookmarkEnd w:id="81"/>
    <w:bookmarkEnd w:id="82"/>
    <w:p w14:paraId="778D986D">
      <w:pPr>
        <w:pStyle w:val="15"/>
        <w:numPr>
          <w:ilvl w:val="0"/>
          <w:numId w:val="2"/>
        </w:numPr>
        <w:spacing w:before="156" w:beforeLines="50" w:after="156" w:afterLines="50" w:line="580" w:lineRule="exact"/>
        <w:ind w:left="1080" w:hanging="1080" w:firstLineChars="0"/>
        <w:jc w:val="center"/>
        <w:outlineLvl w:val="1"/>
        <w:rPr>
          <w:rFonts w:eastAsia="黑体"/>
          <w:sz w:val="32"/>
          <w:szCs w:val="32"/>
        </w:rPr>
      </w:pPr>
      <w:bookmarkStart w:id="83" w:name="_Toc212814819"/>
      <w:bookmarkStart w:id="84" w:name="_Toc22278"/>
      <w:bookmarkStart w:id="85" w:name="OLE_LINK33"/>
      <w:bookmarkStart w:id="86" w:name="_Toc23998"/>
      <w:bookmarkStart w:id="87" w:name="_Toc214372623"/>
      <w:bookmarkStart w:id="88" w:name="OLE_LINK64"/>
      <w:r>
        <w:rPr>
          <w:rFonts w:hint="eastAsia" w:eastAsia="黑体"/>
          <w:sz w:val="32"/>
          <w:szCs w:val="32"/>
        </w:rPr>
        <w:t xml:space="preserve"> </w:t>
      </w:r>
      <w:bookmarkStart w:id="89" w:name="_Toc218241026"/>
      <w:r>
        <w:rPr>
          <w:rFonts w:hint="eastAsia" w:eastAsia="黑体"/>
          <w:sz w:val="32"/>
          <w:szCs w:val="32"/>
        </w:rPr>
        <w:t>加快建设国际生态文化旅游目的地</w:t>
      </w:r>
      <w:bookmarkEnd w:id="83"/>
      <w:bookmarkEnd w:id="84"/>
      <w:bookmarkEnd w:id="85"/>
      <w:bookmarkEnd w:id="86"/>
      <w:bookmarkEnd w:id="87"/>
      <w:bookmarkEnd w:id="88"/>
      <w:bookmarkEnd w:id="89"/>
    </w:p>
    <w:p w14:paraId="76860CBF">
      <w:pPr>
        <w:pStyle w:val="15"/>
        <w:numPr>
          <w:ilvl w:val="0"/>
          <w:numId w:val="4"/>
        </w:numPr>
        <w:spacing w:before="156" w:beforeLines="50" w:after="156" w:afterLines="50" w:line="580" w:lineRule="exact"/>
        <w:ind w:left="1080" w:hanging="1080" w:firstLineChars="0"/>
        <w:jc w:val="center"/>
        <w:outlineLvl w:val="2"/>
        <w:rPr>
          <w:rFonts w:eastAsia="楷体_GB2312"/>
          <w:b/>
          <w:color w:val="000000"/>
          <w:kern w:val="0"/>
          <w:sz w:val="32"/>
          <w:szCs w:val="32"/>
        </w:rPr>
      </w:pPr>
      <w:bookmarkStart w:id="90" w:name="_Toc13747"/>
      <w:r>
        <w:rPr>
          <w:rFonts w:hint="eastAsia" w:eastAsia="楷体_GB2312"/>
          <w:b/>
          <w:color w:val="000000"/>
          <w:kern w:val="0"/>
          <w:sz w:val="32"/>
          <w:szCs w:val="32"/>
        </w:rPr>
        <w:t xml:space="preserve"> </w:t>
      </w:r>
      <w:bookmarkStart w:id="91" w:name="_Toc218241027"/>
      <w:r>
        <w:rPr>
          <w:rFonts w:hint="eastAsia" w:eastAsia="楷体_GB2312"/>
          <w:b/>
          <w:color w:val="000000"/>
          <w:kern w:val="0"/>
          <w:sz w:val="32"/>
          <w:szCs w:val="32"/>
        </w:rPr>
        <w:t>构建“一心两廊三区”空间格局</w:t>
      </w:r>
      <w:bookmarkEnd w:id="90"/>
      <w:bookmarkEnd w:id="91"/>
    </w:p>
    <w:p w14:paraId="291C4D6D">
      <w:pPr>
        <w:spacing w:line="580" w:lineRule="exact"/>
        <w:ind w:firstLine="640" w:firstLineChars="200"/>
        <w:jc w:val="left"/>
        <w:rPr>
          <w:rFonts w:eastAsia="仿宋_GB2312"/>
          <w:bCs/>
          <w:sz w:val="32"/>
          <w:szCs w:val="32"/>
        </w:rPr>
      </w:pPr>
      <w:r>
        <w:rPr>
          <w:rFonts w:hint="eastAsia" w:eastAsia="仿宋_GB2312"/>
          <w:bCs/>
          <w:sz w:val="32"/>
          <w:szCs w:val="32"/>
        </w:rPr>
        <w:t>大力实施理塘文旅二次创业行动，整合优质文旅资源，着力“挖潜、提速、盘活”。立足旅游资源禀赋和分布特色，深化“文旅+百业”“百业+文旅”，全力推进</w:t>
      </w:r>
      <w:r>
        <w:rPr>
          <w:rFonts w:eastAsia="仿宋_GB2312"/>
          <w:bCs/>
          <w:sz w:val="32"/>
          <w:szCs w:val="32"/>
        </w:rPr>
        <w:t>“全要素、全过程、全时空、全人文”的全域文化旅游发展</w:t>
      </w:r>
      <w:r>
        <w:rPr>
          <w:rFonts w:hint="eastAsia" w:eastAsia="仿宋_GB2312"/>
          <w:bCs/>
          <w:sz w:val="32"/>
          <w:szCs w:val="32"/>
        </w:rPr>
        <w:t>，持续擦亮天府旅游名县招牌。以主要景区为支撑、特色景点为节点，依托国省干线“串珠成链”。加快构建“一心两廊三区”立体式旅游布局。坚持以文塑旅、以旅彰文，</w:t>
      </w:r>
      <w:r>
        <w:rPr>
          <w:rFonts w:eastAsia="仿宋_GB2312"/>
          <w:bCs/>
          <w:sz w:val="32"/>
          <w:szCs w:val="32"/>
        </w:rPr>
        <w:t>加快文旅、农旅、牧旅、林旅和商旅融合发展</w:t>
      </w:r>
      <w:r>
        <w:rPr>
          <w:rFonts w:hint="eastAsia" w:eastAsia="仿宋_GB2312"/>
          <w:bCs/>
          <w:sz w:val="32"/>
          <w:szCs w:val="32"/>
        </w:rPr>
        <w:t>，实现“处处是景点、全域皆旅游”目标，促进理塘从文</w:t>
      </w:r>
      <w:bookmarkStart w:id="92" w:name="OLE_LINK24"/>
      <w:r>
        <w:rPr>
          <w:rFonts w:hint="eastAsia" w:eastAsia="仿宋_GB2312"/>
          <w:bCs/>
          <w:sz w:val="32"/>
          <w:szCs w:val="32"/>
        </w:rPr>
        <w:t>旅“通道经济”向“枢纽经济”转变、“过境地”向“目的地”转变，打造川藏旅游集散地、康巴游牧文化体验区及生态旅游发展典范</w:t>
      </w:r>
      <w:bookmarkEnd w:id="92"/>
      <w:r>
        <w:rPr>
          <w:rFonts w:hint="eastAsia" w:eastAsia="仿宋_GB2312"/>
          <w:bCs/>
          <w:sz w:val="32"/>
          <w:szCs w:val="32"/>
        </w:rPr>
        <w:t>。</w:t>
      </w:r>
      <w:bookmarkStart w:id="93" w:name="OLE_LINK28"/>
      <w:bookmarkStart w:id="94" w:name="OLE_LINK25"/>
    </w:p>
    <w:p w14:paraId="218FC0B1">
      <w:pPr>
        <w:pStyle w:val="10"/>
        <w:snapToGrid w:val="0"/>
        <w:spacing w:before="156" w:beforeLines="50" w:after="156" w:afterLines="50"/>
        <w:ind w:left="0" w:leftChars="0" w:firstLine="0" w:firstLineChars="0"/>
        <w:rPr>
          <w:rFonts w:ascii="Times New Roman" w:hAnsi="Times New Roman" w:eastAsia="楷体_GB2312" w:cs="Times New Roman"/>
          <w:b/>
          <w:sz w:val="28"/>
          <w:szCs w:val="28"/>
        </w:rPr>
      </w:pPr>
    </w:p>
    <w:tbl>
      <w:tblPr>
        <w:tblStyle w:val="11"/>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74F18D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tcBorders>
              <w:top w:val="single" w:color="auto" w:sz="4" w:space="0"/>
              <w:left w:val="single" w:color="auto" w:sz="4" w:space="0"/>
              <w:bottom w:val="single" w:color="auto" w:sz="4" w:space="0"/>
              <w:right w:val="single" w:color="auto" w:sz="4" w:space="0"/>
            </w:tcBorders>
            <w:shd w:val="clear" w:color="auto" w:fill="auto"/>
          </w:tcPr>
          <w:p w14:paraId="49133DA3">
            <w:pPr>
              <w:pStyle w:val="10"/>
              <w:snapToGrid w:val="0"/>
              <w:spacing w:before="156" w:beforeLines="50" w:after="156" w:afterLines="50" w:line="440" w:lineRule="exact"/>
              <w:ind w:left="0" w:leftChars="0" w:firstLine="643" w:firstLineChars="0"/>
              <w:jc w:val="center"/>
              <w:rPr>
                <w:rFonts w:ascii="Times New Roman" w:hAnsi="Times New Roman" w:cs="Times New Roman"/>
                <w:b/>
                <w:bCs/>
                <w:kern w:val="0"/>
                <w:sz w:val="28"/>
                <w:szCs w:val="28"/>
              </w:rPr>
            </w:pPr>
            <w:r>
              <w:rPr>
                <w:rFonts w:hint="eastAsia" w:ascii="Times New Roman" w:hAnsi="Times New Roman" w:eastAsia="楷体_GB2312" w:cs="Times New Roman"/>
                <w:b/>
                <w:sz w:val="28"/>
                <w:szCs w:val="28"/>
              </w:rPr>
              <w:t>专栏3  “十五五”时期文旅产业布局</w:t>
            </w:r>
          </w:p>
        </w:tc>
      </w:tr>
      <w:tr w14:paraId="69B45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tcBorders>
              <w:top w:val="single" w:color="auto" w:sz="4" w:space="0"/>
              <w:left w:val="single" w:color="auto" w:sz="4" w:space="0"/>
              <w:bottom w:val="single" w:color="auto" w:sz="4" w:space="0"/>
              <w:right w:val="single" w:color="auto" w:sz="4" w:space="0"/>
            </w:tcBorders>
            <w:shd w:val="clear" w:color="auto" w:fill="auto"/>
          </w:tcPr>
          <w:p w14:paraId="2A59A5C0">
            <w:pPr>
              <w:pStyle w:val="10"/>
              <w:snapToGrid w:val="0"/>
              <w:spacing w:after="0" w:line="440" w:lineRule="exact"/>
              <w:ind w:left="0" w:leftChars="0" w:firstLine="562"/>
              <w:jc w:val="left"/>
              <w:rPr>
                <w:rFonts w:ascii="Times New Roman" w:hAnsi="Times New Roman" w:eastAsia="楷体_GB2312" w:cs="Times New Roman"/>
                <w:kern w:val="0"/>
                <w:sz w:val="28"/>
                <w:szCs w:val="28"/>
              </w:rPr>
            </w:pPr>
            <w:r>
              <w:rPr>
                <w:rFonts w:ascii="Times New Roman" w:hAnsi="Times New Roman" w:eastAsia="楷体_GB2312" w:cs="Times New Roman"/>
                <w:b/>
                <w:color w:val="000000"/>
                <w:kern w:val="0"/>
                <w:sz w:val="28"/>
                <w:szCs w:val="28"/>
              </w:rPr>
              <w:t>1.</w:t>
            </w:r>
            <w:r>
              <w:rPr>
                <w:rFonts w:hint="eastAsia" w:ascii="Times New Roman" w:hAnsi="Times New Roman" w:eastAsia="楷体_GB2312" w:cs="Times New Roman"/>
                <w:b/>
                <w:color w:val="000000"/>
                <w:kern w:val="0"/>
                <w:sz w:val="28"/>
                <w:szCs w:val="28"/>
              </w:rPr>
              <w:t>“一心</w:t>
            </w:r>
            <w:r>
              <w:rPr>
                <w:rFonts w:hint="eastAsia" w:ascii="Times New Roman" w:hAnsi="Times New Roman" w:eastAsia="楷体_GB2312" w:cs="Times New Roman"/>
                <w:color w:val="000000"/>
                <w:kern w:val="0"/>
                <w:sz w:val="28"/>
                <w:szCs w:val="28"/>
              </w:rPr>
              <w:t>”。以县城高城镇为核心，辐射奔戈、村戈，</w:t>
            </w:r>
            <w:r>
              <w:rPr>
                <w:rFonts w:ascii="Times New Roman" w:hAnsi="Times New Roman" w:eastAsia="楷体_GB2312" w:cs="Times New Roman"/>
                <w:color w:val="000000"/>
                <w:kern w:val="0"/>
                <w:sz w:val="28"/>
                <w:szCs w:val="28"/>
              </w:rPr>
              <w:t>着力完善旅游基础设施，</w:t>
            </w:r>
            <w:r>
              <w:rPr>
                <w:rFonts w:hint="eastAsia" w:ascii="Times New Roman" w:hAnsi="Times New Roman" w:eastAsia="楷体_GB2312" w:cs="Times New Roman"/>
                <w:color w:val="000000"/>
                <w:kern w:val="0"/>
                <w:sz w:val="28"/>
                <w:szCs w:val="28"/>
              </w:rPr>
              <w:t>提升游客集散、住宿餐饮、文化体验等方面的核心服务功能，优化城镇景观风貌，打造民族特色鲜明、文旅消费活跃、主客共享的现代高品质旅游服务支撑中心。</w:t>
            </w:r>
          </w:p>
          <w:p w14:paraId="3A53EF1D">
            <w:pPr>
              <w:pStyle w:val="10"/>
              <w:snapToGrid w:val="0"/>
              <w:spacing w:after="0" w:line="440" w:lineRule="exact"/>
              <w:ind w:left="0" w:leftChars="0" w:firstLine="562"/>
              <w:jc w:val="left"/>
              <w:rPr>
                <w:rFonts w:ascii="Times New Roman" w:hAnsi="Times New Roman" w:eastAsia="楷体_GB2312" w:cs="Times New Roman"/>
                <w:color w:val="000000"/>
                <w:kern w:val="0"/>
                <w:sz w:val="28"/>
                <w:szCs w:val="28"/>
              </w:rPr>
            </w:pPr>
            <w:r>
              <w:rPr>
                <w:rFonts w:ascii="Times New Roman" w:hAnsi="Times New Roman" w:eastAsia="楷体_GB2312" w:cs="Times New Roman"/>
                <w:b/>
                <w:color w:val="000000"/>
                <w:kern w:val="0"/>
                <w:sz w:val="28"/>
                <w:szCs w:val="28"/>
              </w:rPr>
              <w:t>2.</w:t>
            </w:r>
            <w:r>
              <w:rPr>
                <w:rFonts w:hint="eastAsia" w:ascii="Times New Roman" w:hAnsi="Times New Roman" w:eastAsia="楷体_GB2312" w:cs="Times New Roman"/>
                <w:b/>
                <w:color w:val="000000"/>
                <w:kern w:val="0"/>
                <w:sz w:val="28"/>
                <w:szCs w:val="28"/>
              </w:rPr>
              <w:t>“两廊”</w:t>
            </w:r>
            <w:r>
              <w:rPr>
                <w:rFonts w:hint="eastAsia" w:ascii="Times New Roman" w:hAnsi="Times New Roman" w:eastAsia="楷体_GB2312" w:cs="Times New Roman"/>
                <w:color w:val="000000"/>
                <w:kern w:val="0"/>
                <w:sz w:val="28"/>
                <w:szCs w:val="28"/>
              </w:rPr>
              <w:t>。建设</w:t>
            </w:r>
            <w:r>
              <w:rPr>
                <w:rFonts w:ascii="Times New Roman" w:hAnsi="Times New Roman" w:eastAsia="楷体_GB2312" w:cs="Times New Roman"/>
                <w:color w:val="000000"/>
                <w:kern w:val="0"/>
                <w:sz w:val="28"/>
                <w:szCs w:val="28"/>
              </w:rPr>
              <w:t>G318</w:t>
            </w:r>
            <w:r>
              <w:rPr>
                <w:rFonts w:hint="eastAsia" w:ascii="Times New Roman" w:hAnsi="Times New Roman" w:eastAsia="楷体_GB2312" w:cs="Times New Roman"/>
                <w:color w:val="000000"/>
                <w:kern w:val="0"/>
                <w:sz w:val="28"/>
                <w:szCs w:val="28"/>
              </w:rPr>
              <w:t>最美风景旅游廊和</w:t>
            </w:r>
            <w:r>
              <w:rPr>
                <w:rFonts w:ascii="Times New Roman" w:hAnsi="Times New Roman" w:eastAsia="楷体_GB2312" w:cs="Times New Roman"/>
                <w:color w:val="000000"/>
                <w:kern w:val="0"/>
                <w:sz w:val="28"/>
                <w:szCs w:val="28"/>
              </w:rPr>
              <w:t>G227</w:t>
            </w:r>
            <w:r>
              <w:rPr>
                <w:rFonts w:hint="eastAsia" w:ascii="Times New Roman" w:hAnsi="Times New Roman" w:eastAsia="楷体_GB2312" w:cs="Times New Roman"/>
                <w:color w:val="000000"/>
                <w:kern w:val="0"/>
                <w:sz w:val="28"/>
                <w:szCs w:val="28"/>
              </w:rPr>
              <w:t>香格里拉景观廊，依托</w:t>
            </w:r>
            <w:r>
              <w:rPr>
                <w:rFonts w:ascii="Times New Roman" w:hAnsi="Times New Roman" w:eastAsia="楷体_GB2312" w:cs="Times New Roman"/>
                <w:color w:val="000000"/>
                <w:kern w:val="0"/>
                <w:sz w:val="28"/>
                <w:szCs w:val="28"/>
              </w:rPr>
              <w:t>G318</w:t>
            </w:r>
            <w:r>
              <w:rPr>
                <w:rFonts w:hint="eastAsia" w:ascii="Times New Roman" w:hAnsi="Times New Roman" w:eastAsia="楷体_GB2312" w:cs="Times New Roman"/>
                <w:color w:val="000000"/>
                <w:kern w:val="0"/>
                <w:sz w:val="28"/>
                <w:szCs w:val="28"/>
              </w:rPr>
              <w:t>旅游风景道、</w:t>
            </w:r>
            <w:r>
              <w:rPr>
                <w:rFonts w:ascii="Times New Roman" w:hAnsi="Times New Roman" w:eastAsia="楷体_GB2312" w:cs="Times New Roman"/>
                <w:color w:val="000000"/>
                <w:kern w:val="0"/>
                <w:sz w:val="28"/>
                <w:szCs w:val="28"/>
              </w:rPr>
              <w:t>CZTL</w:t>
            </w:r>
            <w:r>
              <w:rPr>
                <w:rFonts w:hint="eastAsia" w:ascii="Times New Roman" w:hAnsi="Times New Roman" w:eastAsia="楷体_GB2312" w:cs="Times New Roman"/>
                <w:color w:val="000000"/>
                <w:kern w:val="0"/>
                <w:sz w:val="28"/>
                <w:szCs w:val="28"/>
              </w:rPr>
              <w:t>旅游黄金走廊和大香格里拉、雅砻秘境旅游风景道，优化山水景观格局，推动全域优质景区、特色城镇“串珠成链”，充分发挥辐射带动作用，促进区域协同发展和乡村全面振兴。</w:t>
            </w:r>
          </w:p>
          <w:p w14:paraId="5AC3091C">
            <w:pPr>
              <w:pStyle w:val="3"/>
              <w:spacing w:line="440" w:lineRule="exact"/>
              <w:ind w:firstLine="562" w:firstLineChars="200"/>
              <w:rPr>
                <w:rFonts w:eastAsia="楷体_GB2312"/>
                <w:b/>
                <w:bCs/>
                <w:kern w:val="0"/>
                <w:sz w:val="28"/>
                <w:szCs w:val="28"/>
              </w:rPr>
            </w:pPr>
            <w:r>
              <w:rPr>
                <w:rFonts w:hint="eastAsia" w:eastAsia="楷体_GB2312"/>
                <w:b/>
                <w:bCs/>
                <w:kern w:val="0"/>
                <w:sz w:val="28"/>
                <w:szCs w:val="28"/>
              </w:rPr>
              <w:t>3.“三区”。</w:t>
            </w:r>
            <w:r>
              <w:rPr>
                <w:rFonts w:hint="eastAsia" w:eastAsia="楷体_GB2312"/>
                <w:b/>
                <w:color w:val="000000"/>
                <w:kern w:val="0"/>
                <w:sz w:val="28"/>
                <w:szCs w:val="28"/>
              </w:rPr>
              <w:t>格聂山高高原山地生态旅游区。</w:t>
            </w:r>
            <w:r>
              <w:rPr>
                <w:rFonts w:hint="eastAsia" w:eastAsia="楷体_GB2312"/>
                <w:color w:val="000000"/>
                <w:kern w:val="0"/>
                <w:sz w:val="28"/>
                <w:szCs w:val="28"/>
              </w:rPr>
              <w:t>重点开发生态观光、高山徒步、野生动物观测等高端生态旅游产品，打造国家级生态旅游示范区。</w:t>
            </w:r>
            <w:r>
              <w:rPr>
                <w:rFonts w:hint="eastAsia" w:eastAsia="楷体_GB2312"/>
                <w:b/>
                <w:color w:val="000000"/>
                <w:kern w:val="0"/>
                <w:sz w:val="28"/>
                <w:szCs w:val="28"/>
              </w:rPr>
              <w:t>濯桑—海子山</w:t>
            </w:r>
            <w:bookmarkStart w:id="95" w:name="OLE_LINK32"/>
            <w:bookmarkStart w:id="96" w:name="OLE_LINK31"/>
            <w:r>
              <w:rPr>
                <w:rFonts w:hint="eastAsia" w:eastAsia="楷体_GB2312"/>
                <w:b/>
                <w:color w:val="000000"/>
                <w:kern w:val="0"/>
                <w:sz w:val="28"/>
                <w:szCs w:val="28"/>
              </w:rPr>
              <w:t>康巴游牧文化体验区</w:t>
            </w:r>
            <w:r>
              <w:rPr>
                <w:rFonts w:hint="eastAsia" w:eastAsia="楷体_GB2312"/>
                <w:color w:val="FF0000"/>
                <w:kern w:val="0"/>
                <w:sz w:val="28"/>
                <w:szCs w:val="28"/>
              </w:rPr>
              <w:t>。</w:t>
            </w:r>
            <w:bookmarkEnd w:id="95"/>
            <w:bookmarkEnd w:id="96"/>
            <w:r>
              <w:rPr>
                <w:rFonts w:hint="eastAsia" w:eastAsia="楷体_GB2312"/>
                <w:color w:val="000000"/>
                <w:kern w:val="0"/>
                <w:sz w:val="28"/>
                <w:szCs w:val="28"/>
              </w:rPr>
              <w:t>重点发展农牧体验、草原露营、民俗文化节庆活动，打造具有藏族风情的牧旅产业链</w:t>
            </w:r>
            <w:r>
              <w:rPr>
                <w:rFonts w:hint="eastAsia" w:eastAsia="楷体_GB2312"/>
                <w:color w:val="FF0000"/>
                <w:kern w:val="0"/>
                <w:sz w:val="28"/>
                <w:szCs w:val="28"/>
              </w:rPr>
              <w:t>。</w:t>
            </w:r>
            <w:bookmarkStart w:id="97" w:name="OLE_LINK48"/>
            <w:r>
              <w:rPr>
                <w:rFonts w:hint="eastAsia" w:eastAsia="楷体_GB2312"/>
                <w:b/>
                <w:color w:val="000000"/>
                <w:kern w:val="0"/>
                <w:sz w:val="28"/>
                <w:szCs w:val="28"/>
              </w:rPr>
              <w:t>无量河生态旅游区</w:t>
            </w:r>
            <w:bookmarkEnd w:id="97"/>
            <w:r>
              <w:rPr>
                <w:rFonts w:hint="eastAsia" w:eastAsia="楷体_GB2312"/>
                <w:b/>
                <w:color w:val="000000"/>
                <w:kern w:val="0"/>
                <w:sz w:val="28"/>
                <w:szCs w:val="28"/>
              </w:rPr>
              <w:t>。</w:t>
            </w:r>
            <w:r>
              <w:rPr>
                <w:rFonts w:hint="eastAsia" w:eastAsia="楷体_GB2312"/>
                <w:color w:val="000000"/>
                <w:kern w:val="0"/>
                <w:sz w:val="28"/>
                <w:szCs w:val="28"/>
              </w:rPr>
              <w:t>重点开展湿地文化体验、生态研学、草原露营、游牧体验等项目，打造国内外知名的户外运动与研学目的地。</w:t>
            </w:r>
          </w:p>
        </w:tc>
      </w:tr>
      <w:bookmarkEnd w:id="93"/>
      <w:bookmarkEnd w:id="94"/>
    </w:tbl>
    <w:p w14:paraId="7BB5298A">
      <w:pPr>
        <w:pStyle w:val="15"/>
        <w:numPr>
          <w:ilvl w:val="0"/>
          <w:numId w:val="4"/>
        </w:numPr>
        <w:spacing w:before="156" w:beforeLines="50" w:after="156" w:afterLines="50" w:line="580" w:lineRule="exact"/>
        <w:ind w:left="1080" w:hanging="1080" w:firstLineChars="0"/>
        <w:jc w:val="center"/>
        <w:outlineLvl w:val="2"/>
        <w:rPr>
          <w:rFonts w:eastAsia="楷体_GB2312"/>
          <w:b/>
          <w:color w:val="000000"/>
          <w:kern w:val="0"/>
          <w:sz w:val="32"/>
          <w:szCs w:val="32"/>
        </w:rPr>
      </w:pPr>
      <w:bookmarkStart w:id="98" w:name="_Toc32635"/>
      <w:r>
        <w:rPr>
          <w:rFonts w:hint="eastAsia" w:eastAsia="楷体_GB2312"/>
          <w:b/>
          <w:color w:val="000000"/>
          <w:kern w:val="0"/>
          <w:sz w:val="32"/>
          <w:szCs w:val="32"/>
        </w:rPr>
        <w:t xml:space="preserve"> </w:t>
      </w:r>
      <w:bookmarkStart w:id="99" w:name="_Toc218241028"/>
      <w:r>
        <w:rPr>
          <w:rFonts w:hint="eastAsia" w:eastAsia="楷体_GB2312"/>
          <w:b/>
          <w:color w:val="000000"/>
          <w:kern w:val="0"/>
          <w:sz w:val="32"/>
          <w:szCs w:val="32"/>
        </w:rPr>
        <w:t>丰富多元特色旅游精品业态</w:t>
      </w:r>
      <w:bookmarkEnd w:id="98"/>
      <w:bookmarkEnd w:id="99"/>
    </w:p>
    <w:p w14:paraId="74C1A34B">
      <w:pPr>
        <w:snapToGrid w:val="0"/>
        <w:spacing w:line="312" w:lineRule="auto"/>
        <w:ind w:firstLine="640" w:firstLineChars="200"/>
        <w:jc w:val="left"/>
        <w:rPr>
          <w:rFonts w:eastAsia="仿宋_GB2312"/>
          <w:bCs/>
          <w:sz w:val="32"/>
          <w:szCs w:val="32"/>
        </w:rPr>
      </w:pPr>
      <w:r>
        <w:rPr>
          <w:rFonts w:hint="eastAsia" w:eastAsia="仿宋_GB2312"/>
          <w:bCs/>
          <w:sz w:val="32"/>
          <w:szCs w:val="32"/>
        </w:rPr>
        <w:t>持续推进“农商文旅体教康”融合发展，做强做长文旅“圈”、文旅“链”，出台跟着赛事、演出、美食、影视游等理塘等方案，打破业态壁垒，发挥融合叠加的“乘数效应”。立足“天空之城”生态本底与康巴文化核心区优势，高质量建设</w:t>
      </w:r>
      <w:bookmarkStart w:id="100" w:name="OLE_LINK72"/>
      <w:bookmarkStart w:id="101" w:name="OLE_LINK51"/>
      <w:r>
        <w:rPr>
          <w:rFonts w:hint="eastAsia" w:eastAsia="仿宋_GB2312"/>
          <w:bCs/>
          <w:sz w:val="32"/>
          <w:szCs w:val="32"/>
        </w:rPr>
        <w:t>格聂山旅游景区、无量河湿地公园、康巴游牧文化体验区等重点旅游景区</w:t>
      </w:r>
      <w:bookmarkEnd w:id="100"/>
      <w:bookmarkEnd w:id="101"/>
      <w:r>
        <w:rPr>
          <w:rFonts w:hint="eastAsia" w:eastAsia="仿宋_GB2312"/>
          <w:bCs/>
          <w:sz w:val="32"/>
          <w:szCs w:val="32"/>
        </w:rPr>
        <w:t>，推动传统观光游向“生态天堂”体验游转型。</w:t>
      </w:r>
      <w:bookmarkStart w:id="102" w:name="OLE_LINK43"/>
      <w:bookmarkStart w:id="103" w:name="OLE_LINK42"/>
      <w:r>
        <w:rPr>
          <w:rFonts w:hint="eastAsia" w:eastAsia="仿宋_GB2312"/>
          <w:bCs/>
          <w:sz w:val="32"/>
          <w:szCs w:val="32"/>
        </w:rPr>
        <w:t>丰富“勒通藏韵”文化旅游产品，开展非遗活态</w:t>
      </w:r>
      <w:r>
        <w:rPr>
          <w:rFonts w:hint="eastAsia" w:eastAsia="仿宋_GB2312"/>
          <w:color w:val="000000"/>
          <w:kern w:val="0"/>
          <w:sz w:val="32"/>
          <w:szCs w:val="32"/>
        </w:rPr>
        <w:t>展呈、非遗技艺体验、民俗文化研</w:t>
      </w:r>
      <w:r>
        <w:rPr>
          <w:rFonts w:hint="eastAsia" w:eastAsia="仿宋_GB2312"/>
          <w:bCs/>
          <w:sz w:val="32"/>
          <w:szCs w:val="32"/>
        </w:rPr>
        <w:t>习等旅游活动</w:t>
      </w:r>
      <w:bookmarkEnd w:id="102"/>
      <w:bookmarkEnd w:id="103"/>
      <w:r>
        <w:rPr>
          <w:rFonts w:hint="eastAsia" w:eastAsia="仿宋_GB2312"/>
          <w:bCs/>
          <w:sz w:val="32"/>
          <w:szCs w:val="32"/>
        </w:rPr>
        <w:t>。升级“自由畅游”自驾旅游产品，完善旅游驿站、观景设施、公共营地、标识系统等交旅融合设施。</w:t>
      </w:r>
      <w:r>
        <w:rPr>
          <w:rFonts w:hint="eastAsia" w:eastAsia="仿宋_GB2312"/>
          <w:kern w:val="0"/>
          <w:sz w:val="32"/>
          <w:szCs w:val="32"/>
        </w:rPr>
        <w:t>整合重点景区与特色镇村，</w:t>
      </w:r>
      <w:r>
        <w:rPr>
          <w:rFonts w:hint="eastAsia" w:ascii="仿宋_GB2312" w:eastAsia="仿宋_GB2312"/>
          <w:kern w:val="0"/>
          <w:sz w:val="32"/>
          <w:szCs w:val="32"/>
        </w:rPr>
        <w:t>推出生态风光之旅、红色文化之旅、民族风情之旅、欢乐冰雪之旅、科普研学之旅等一批主题精品旅游线路</w:t>
      </w:r>
      <w:r>
        <w:rPr>
          <w:rFonts w:hint="eastAsia" w:eastAsia="仿宋_GB2312"/>
          <w:bCs/>
          <w:sz w:val="32"/>
          <w:szCs w:val="32"/>
        </w:rPr>
        <w:t>。联动</w:t>
      </w:r>
      <w:r>
        <w:rPr>
          <w:rFonts w:eastAsia="仿宋_GB2312"/>
          <w:bCs/>
          <w:sz w:val="32"/>
          <w:szCs w:val="32"/>
        </w:rPr>
        <w:t>G318</w:t>
      </w:r>
      <w:r>
        <w:rPr>
          <w:rFonts w:hint="eastAsia" w:eastAsia="仿宋_GB2312"/>
          <w:bCs/>
          <w:sz w:val="32"/>
          <w:szCs w:val="32"/>
        </w:rPr>
        <w:t>、大香格里拉、雅砻秘境等旅游风景道，推出跨区域旅游线路。</w:t>
      </w: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96"/>
      </w:tblGrid>
      <w:tr w14:paraId="62707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6" w:type="dxa"/>
            <w:tcBorders>
              <w:top w:val="single" w:color="auto" w:sz="4" w:space="0"/>
              <w:left w:val="single" w:color="auto" w:sz="4" w:space="0"/>
              <w:bottom w:val="single" w:color="auto" w:sz="4" w:space="0"/>
              <w:right w:val="single" w:color="auto" w:sz="4" w:space="0"/>
            </w:tcBorders>
            <w:shd w:val="clear" w:color="auto" w:fill="auto"/>
          </w:tcPr>
          <w:p w14:paraId="48B78220">
            <w:pPr>
              <w:pStyle w:val="10"/>
              <w:snapToGrid w:val="0"/>
              <w:spacing w:before="156" w:beforeLines="50" w:after="156" w:afterLines="50" w:line="440" w:lineRule="exact"/>
              <w:ind w:left="0" w:leftChars="0" w:firstLine="562" w:firstLineChars="0"/>
              <w:jc w:val="center"/>
              <w:rPr>
                <w:rFonts w:eastAsia="仿宋_GB2312"/>
                <w:color w:val="000000"/>
                <w:kern w:val="0"/>
                <w:sz w:val="28"/>
                <w:szCs w:val="28"/>
              </w:rPr>
            </w:pPr>
            <w:bookmarkStart w:id="104" w:name="OLE_LINK17"/>
            <w:bookmarkStart w:id="105" w:name="OLE_LINK16"/>
            <w:r>
              <w:rPr>
                <w:rFonts w:hint="eastAsia" w:ascii="Times New Roman" w:hAnsi="Times New Roman" w:eastAsia="楷体_GB2312" w:cs="Times New Roman"/>
                <w:b/>
                <w:sz w:val="28"/>
                <w:szCs w:val="28"/>
              </w:rPr>
              <w:t>专栏4  “十五五”时期文旅精品旅游路线</w:t>
            </w:r>
          </w:p>
        </w:tc>
      </w:tr>
      <w:tr w14:paraId="4CE55E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6" w:type="dxa"/>
            <w:tcBorders>
              <w:top w:val="single" w:color="auto" w:sz="4" w:space="0"/>
              <w:left w:val="single" w:color="auto" w:sz="4" w:space="0"/>
              <w:bottom w:val="single" w:color="auto" w:sz="4" w:space="0"/>
              <w:right w:val="single" w:color="auto" w:sz="4" w:space="0"/>
            </w:tcBorders>
            <w:shd w:val="clear" w:color="auto" w:fill="auto"/>
          </w:tcPr>
          <w:p w14:paraId="79DEF053">
            <w:pPr>
              <w:snapToGrid w:val="0"/>
              <w:spacing w:line="440" w:lineRule="exact"/>
              <w:ind w:firstLine="562" w:firstLineChars="200"/>
              <w:jc w:val="left"/>
              <w:rPr>
                <w:rFonts w:eastAsia="楷体_GB2312"/>
                <w:b/>
                <w:color w:val="000000"/>
                <w:kern w:val="0"/>
                <w:sz w:val="28"/>
                <w:szCs w:val="28"/>
              </w:rPr>
            </w:pPr>
            <w:bookmarkStart w:id="106" w:name="OLE_LINK50"/>
            <w:bookmarkStart w:id="107" w:name="OLE_LINK49"/>
            <w:r>
              <w:rPr>
                <w:rFonts w:hint="eastAsia" w:eastAsia="楷体_GB2312"/>
                <w:b/>
                <w:color w:val="000000"/>
                <w:kern w:val="0"/>
                <w:sz w:val="28"/>
                <w:szCs w:val="28"/>
              </w:rPr>
              <w:t>1.境内精品游线</w:t>
            </w:r>
          </w:p>
          <w:p w14:paraId="2AFAD526">
            <w:pPr>
              <w:snapToGrid w:val="0"/>
              <w:spacing w:line="440" w:lineRule="exact"/>
              <w:ind w:firstLine="562" w:firstLineChars="200"/>
              <w:jc w:val="left"/>
              <w:rPr>
                <w:rFonts w:eastAsia="楷体_GB2312"/>
                <w:color w:val="000000"/>
                <w:kern w:val="0"/>
                <w:sz w:val="28"/>
                <w:szCs w:val="28"/>
              </w:rPr>
            </w:pPr>
            <w:r>
              <w:rPr>
                <w:rFonts w:hint="eastAsia" w:eastAsia="楷体_GB2312"/>
                <w:b/>
                <w:color w:val="000000"/>
                <w:kern w:val="0"/>
                <w:sz w:val="28"/>
                <w:szCs w:val="28"/>
              </w:rPr>
              <w:t>生态风光之旅</w:t>
            </w:r>
            <w:r>
              <w:rPr>
                <w:rFonts w:hint="eastAsia" w:eastAsia="楷体_GB2312"/>
                <w:color w:val="000000"/>
                <w:kern w:val="0"/>
                <w:sz w:val="28"/>
                <w:szCs w:val="28"/>
              </w:rPr>
              <w:t>。理塘县城—西城门打卡点—沙鲁里景区——毛垭大草原—然日卡村—则巴村—格聂之眼—格聂神山——扎嘎圣山—擦若溪风景名胜区—木拉河谷—兔儿山。</w:t>
            </w:r>
          </w:p>
          <w:p w14:paraId="30ADEA25">
            <w:pPr>
              <w:snapToGrid w:val="0"/>
              <w:spacing w:line="440" w:lineRule="exact"/>
              <w:ind w:firstLine="562" w:firstLineChars="200"/>
              <w:jc w:val="left"/>
              <w:rPr>
                <w:rFonts w:eastAsia="楷体_GB2312"/>
                <w:color w:val="000000"/>
                <w:kern w:val="0"/>
                <w:sz w:val="28"/>
                <w:szCs w:val="28"/>
              </w:rPr>
            </w:pPr>
            <w:r>
              <w:rPr>
                <w:rFonts w:hint="eastAsia" w:eastAsia="楷体_GB2312"/>
                <w:b/>
                <w:color w:val="000000"/>
                <w:kern w:val="0"/>
                <w:sz w:val="28"/>
                <w:szCs w:val="28"/>
              </w:rPr>
              <w:t>红色文化之旅</w:t>
            </w:r>
            <w:r>
              <w:rPr>
                <w:rFonts w:hint="eastAsia" w:eastAsia="楷体_GB2312"/>
                <w:color w:val="000000"/>
                <w:kern w:val="0"/>
                <w:sz w:val="28"/>
                <w:szCs w:val="28"/>
              </w:rPr>
              <w:t>。理塘县城—黄正清将军故居—革命烈士纪念馆—甲洼红军小镇—向阳寺红色陈列馆—俄曲村阿觉故居—郭东古碉—藏坝乡爱国主义教育示范基地。</w:t>
            </w:r>
          </w:p>
          <w:p w14:paraId="77C4D9A6">
            <w:pPr>
              <w:snapToGrid w:val="0"/>
              <w:spacing w:line="440" w:lineRule="exact"/>
              <w:ind w:firstLine="562" w:firstLineChars="200"/>
              <w:jc w:val="left"/>
              <w:rPr>
                <w:rFonts w:eastAsia="楷体_GB2312"/>
                <w:color w:val="000000"/>
                <w:kern w:val="0"/>
                <w:sz w:val="28"/>
                <w:szCs w:val="28"/>
              </w:rPr>
            </w:pPr>
            <w:r>
              <w:rPr>
                <w:rFonts w:hint="eastAsia" w:eastAsia="楷体_GB2312"/>
                <w:b/>
                <w:color w:val="000000"/>
                <w:kern w:val="0"/>
                <w:sz w:val="28"/>
                <w:szCs w:val="28"/>
              </w:rPr>
              <w:t>民族风情之旅</w:t>
            </w:r>
            <w:r>
              <w:rPr>
                <w:rFonts w:hint="eastAsia" w:eastAsia="楷体_GB2312"/>
                <w:color w:val="000000"/>
                <w:kern w:val="0"/>
                <w:sz w:val="28"/>
                <w:szCs w:val="28"/>
              </w:rPr>
              <w:t>。理塘县城—千户藏寨—仁康古街—仁康古屋—长青村科尔寺（国家文保单位）—东山顶打卡点—哒野赛马场—荏苒马术俱乐部—村戈温泉—康巴游牧文化体验区—格木石刻文化园。</w:t>
            </w:r>
          </w:p>
          <w:p w14:paraId="2D5B1EF5">
            <w:pPr>
              <w:snapToGrid w:val="0"/>
              <w:spacing w:line="440" w:lineRule="exact"/>
              <w:ind w:firstLine="562" w:firstLineChars="200"/>
              <w:jc w:val="left"/>
              <w:rPr>
                <w:rFonts w:eastAsia="楷体_GB2312"/>
                <w:color w:val="000000"/>
                <w:kern w:val="0"/>
                <w:sz w:val="28"/>
                <w:szCs w:val="28"/>
              </w:rPr>
            </w:pPr>
            <w:r>
              <w:rPr>
                <w:rFonts w:hint="eastAsia" w:eastAsia="楷体_GB2312"/>
                <w:b/>
                <w:color w:val="000000"/>
                <w:kern w:val="0"/>
                <w:sz w:val="28"/>
                <w:szCs w:val="28"/>
              </w:rPr>
              <w:t>欢乐冰雪之旅</w:t>
            </w:r>
            <w:r>
              <w:rPr>
                <w:rFonts w:hint="eastAsia" w:eastAsia="楷体_GB2312"/>
                <w:color w:val="000000"/>
                <w:kern w:val="0"/>
                <w:sz w:val="28"/>
                <w:szCs w:val="28"/>
              </w:rPr>
              <w:t>。理塘县城—格聂东入口游客中心—铁匠山—嘎日措登—克日则洼—纳海—格聂镇—伊拉卡群峰观景台—然日卡温泉—然日卡村—格聂群峰观景栈道—格聂之眼—乃干多村—冷达—虎皮坝—冷谷寺。</w:t>
            </w:r>
          </w:p>
          <w:p w14:paraId="286AC492">
            <w:pPr>
              <w:snapToGrid w:val="0"/>
              <w:spacing w:line="440" w:lineRule="exact"/>
              <w:ind w:firstLine="562" w:firstLineChars="200"/>
              <w:jc w:val="left"/>
              <w:rPr>
                <w:rFonts w:eastAsia="楷体_GB2312"/>
                <w:color w:val="000000"/>
                <w:kern w:val="0"/>
                <w:sz w:val="28"/>
                <w:szCs w:val="28"/>
              </w:rPr>
            </w:pPr>
            <w:r>
              <w:rPr>
                <w:rFonts w:hint="eastAsia" w:eastAsia="楷体_GB2312"/>
                <w:b/>
                <w:color w:val="000000"/>
                <w:kern w:val="0"/>
                <w:sz w:val="28"/>
                <w:szCs w:val="28"/>
              </w:rPr>
              <w:t>科普研学之旅</w:t>
            </w:r>
            <w:r>
              <w:rPr>
                <w:rFonts w:hint="eastAsia" w:eastAsia="楷体_GB2312"/>
                <w:color w:val="000000"/>
                <w:kern w:val="0"/>
                <w:sz w:val="28"/>
                <w:szCs w:val="28"/>
              </w:rPr>
              <w:t>。理塘县城—霍曲现代牧场—星空公园—千户藏寨（微博物馆群）—哒野赛马场—玛吉阿米花园农庄—喇嘛垭茶马古道遗迹—格聂岩画群—冷古寺（省级文保单位）。</w:t>
            </w:r>
          </w:p>
          <w:p w14:paraId="13FD601D">
            <w:pPr>
              <w:snapToGrid w:val="0"/>
              <w:spacing w:line="440" w:lineRule="exact"/>
              <w:ind w:firstLine="562" w:firstLineChars="200"/>
              <w:jc w:val="left"/>
              <w:rPr>
                <w:rFonts w:eastAsia="楷体_GB2312"/>
                <w:b/>
                <w:color w:val="000000"/>
                <w:kern w:val="0"/>
                <w:sz w:val="28"/>
                <w:szCs w:val="28"/>
              </w:rPr>
            </w:pPr>
            <w:r>
              <w:rPr>
                <w:rFonts w:hint="eastAsia" w:eastAsia="楷体_GB2312"/>
                <w:b/>
                <w:color w:val="000000"/>
                <w:kern w:val="0"/>
                <w:sz w:val="28"/>
                <w:szCs w:val="28"/>
              </w:rPr>
              <w:t>2.跨区域精品游线</w:t>
            </w:r>
          </w:p>
          <w:p w14:paraId="4FA059E8">
            <w:pPr>
              <w:snapToGrid w:val="0"/>
              <w:spacing w:line="440" w:lineRule="exact"/>
              <w:ind w:firstLine="562" w:firstLineChars="200"/>
              <w:jc w:val="left"/>
              <w:rPr>
                <w:rFonts w:eastAsia="楷体_GB2312"/>
                <w:color w:val="000000"/>
                <w:kern w:val="0"/>
                <w:sz w:val="28"/>
                <w:szCs w:val="28"/>
              </w:rPr>
            </w:pPr>
            <w:r>
              <w:rPr>
                <w:rFonts w:hint="eastAsia" w:eastAsia="楷体_GB2312"/>
                <w:b/>
                <w:color w:val="000000"/>
                <w:kern w:val="0"/>
                <w:sz w:val="28"/>
                <w:szCs w:val="28"/>
              </w:rPr>
              <w:t>G318国家最美旅游线</w:t>
            </w:r>
            <w:r>
              <w:rPr>
                <w:rFonts w:hint="eastAsia" w:eastAsia="楷体_GB2312"/>
                <w:color w:val="000000"/>
                <w:kern w:val="0"/>
                <w:sz w:val="28"/>
                <w:szCs w:val="28"/>
              </w:rPr>
              <w:t>。成都—崇州—-大邑—邛崃—-雅安—泸定—康定—雅江—理塘（星空公园星空营地、千户藏寨等）—巴塘—西藏。</w:t>
            </w:r>
          </w:p>
          <w:p w14:paraId="79030619">
            <w:pPr>
              <w:snapToGrid w:val="0"/>
              <w:spacing w:line="440" w:lineRule="exact"/>
              <w:ind w:firstLine="562" w:firstLineChars="200"/>
              <w:jc w:val="left"/>
              <w:rPr>
                <w:rFonts w:eastAsia="楷体_GB2312"/>
                <w:color w:val="000000"/>
                <w:kern w:val="0"/>
                <w:sz w:val="28"/>
                <w:szCs w:val="28"/>
              </w:rPr>
            </w:pPr>
            <w:r>
              <w:rPr>
                <w:rFonts w:hint="eastAsia" w:eastAsia="楷体_GB2312"/>
                <w:b/>
                <w:color w:val="000000"/>
                <w:kern w:val="0"/>
                <w:sz w:val="28"/>
                <w:szCs w:val="28"/>
              </w:rPr>
              <w:t>大香格里拉旅游线</w:t>
            </w:r>
            <w:r>
              <w:rPr>
                <w:rFonts w:hint="eastAsia" w:eastAsia="楷体_GB2312"/>
                <w:color w:val="000000"/>
                <w:kern w:val="0"/>
                <w:sz w:val="28"/>
                <w:szCs w:val="28"/>
              </w:rPr>
              <w:t>。理塘（康巴游牧文化旅游体验区、格木石刻文化产业园等）—桑堆—稻城—香格里拉镇—泸沽湖—盐源—西昌。</w:t>
            </w:r>
          </w:p>
          <w:p w14:paraId="009CF562">
            <w:pPr>
              <w:snapToGrid w:val="0"/>
              <w:spacing w:line="440" w:lineRule="exact"/>
              <w:ind w:firstLine="562" w:firstLineChars="200"/>
              <w:jc w:val="left"/>
              <w:rPr>
                <w:rFonts w:eastAsia="楷体_GB2312"/>
                <w:color w:val="000000"/>
                <w:kern w:val="0"/>
                <w:sz w:val="28"/>
                <w:szCs w:val="28"/>
              </w:rPr>
            </w:pPr>
            <w:r>
              <w:rPr>
                <w:rFonts w:hint="eastAsia" w:eastAsia="楷体_GB2312"/>
                <w:b/>
                <w:color w:val="000000"/>
                <w:kern w:val="0"/>
                <w:sz w:val="28"/>
                <w:szCs w:val="28"/>
              </w:rPr>
              <w:t>雅砻秘境旅游线</w:t>
            </w:r>
            <w:r>
              <w:rPr>
                <w:rFonts w:hint="eastAsia" w:eastAsia="楷体_GB2312"/>
                <w:color w:val="000000"/>
                <w:kern w:val="0"/>
                <w:sz w:val="28"/>
                <w:szCs w:val="28"/>
              </w:rPr>
              <w:t>。色须—石渠—甘孜—新龙—理塘—雅江—木里—盐源—攀枝花。</w:t>
            </w:r>
          </w:p>
          <w:p w14:paraId="50787343">
            <w:pPr>
              <w:snapToGrid w:val="0"/>
              <w:spacing w:line="440" w:lineRule="exact"/>
              <w:ind w:firstLine="562" w:firstLineChars="200"/>
              <w:jc w:val="left"/>
              <w:rPr>
                <w:rFonts w:eastAsia="楷体_GB2312"/>
                <w:color w:val="000000"/>
                <w:kern w:val="0"/>
                <w:sz w:val="28"/>
                <w:szCs w:val="28"/>
              </w:rPr>
            </w:pPr>
            <w:r>
              <w:rPr>
                <w:rFonts w:hint="eastAsia" w:eastAsia="楷体_GB2312"/>
                <w:b/>
                <w:color w:val="000000"/>
                <w:kern w:val="0"/>
                <w:sz w:val="28"/>
                <w:szCs w:val="28"/>
              </w:rPr>
              <w:t>“大格聂”旅游环线</w:t>
            </w:r>
            <w:r>
              <w:rPr>
                <w:rFonts w:hint="eastAsia" w:eastAsia="楷体_GB2312"/>
                <w:color w:val="000000"/>
                <w:kern w:val="0"/>
                <w:sz w:val="28"/>
                <w:szCs w:val="28"/>
              </w:rPr>
              <w:t>。理塘—格聂镇—格聂之眼—冷古寺—则巴村—格木村—巴塘—措普沟—姊妹湖—毛垭大草原—禾尼乡—理塘。</w:t>
            </w:r>
          </w:p>
          <w:bookmarkEnd w:id="106"/>
          <w:bookmarkEnd w:id="107"/>
          <w:p w14:paraId="79CA554C">
            <w:pPr>
              <w:snapToGrid w:val="0"/>
              <w:spacing w:line="440" w:lineRule="exact"/>
              <w:ind w:firstLine="562" w:firstLineChars="200"/>
              <w:jc w:val="left"/>
            </w:pPr>
            <w:r>
              <w:rPr>
                <w:rFonts w:hint="eastAsia" w:eastAsia="楷体_GB2312"/>
                <w:b/>
                <w:color w:val="000000"/>
                <w:kern w:val="0"/>
                <w:sz w:val="28"/>
                <w:szCs w:val="28"/>
              </w:rPr>
              <w:t>3</w:t>
            </w:r>
            <w:r>
              <w:rPr>
                <w:rFonts w:eastAsia="楷体_GB2312"/>
                <w:b/>
                <w:color w:val="000000"/>
                <w:kern w:val="0"/>
                <w:sz w:val="28"/>
                <w:szCs w:val="28"/>
              </w:rPr>
              <w:t>.</w:t>
            </w:r>
            <w:r>
              <w:rPr>
                <w:rFonts w:hint="eastAsia" w:eastAsia="楷体_GB2312"/>
                <w:b/>
                <w:color w:val="000000"/>
                <w:kern w:val="0"/>
                <w:sz w:val="28"/>
                <w:szCs w:val="28"/>
              </w:rPr>
              <w:t>精品旅游景区建设</w:t>
            </w:r>
            <w:r>
              <w:rPr>
                <w:rFonts w:hint="eastAsia" w:eastAsia="楷体_GB2312"/>
                <w:color w:val="000000"/>
                <w:kern w:val="0"/>
                <w:sz w:val="28"/>
                <w:szCs w:val="28"/>
              </w:rPr>
              <w:t>。着力建设格聂山旅游景区、无量河湿地公园、康巴游牧文化体验区等重点旅游景区，推进索绒温泉打造</w:t>
            </w:r>
            <w:r>
              <w:rPr>
                <w:rFonts w:eastAsia="楷体_GB2312"/>
                <w:color w:val="000000"/>
                <w:kern w:val="0"/>
                <w:sz w:val="28"/>
                <w:szCs w:val="28"/>
              </w:rPr>
              <w:t>AAA</w:t>
            </w:r>
            <w:r>
              <w:rPr>
                <w:rFonts w:hint="eastAsia" w:eastAsia="楷体_GB2312"/>
                <w:color w:val="000000"/>
                <w:kern w:val="0"/>
                <w:sz w:val="28"/>
                <w:szCs w:val="28"/>
              </w:rPr>
              <w:t>景区等。</w:t>
            </w:r>
          </w:p>
        </w:tc>
      </w:tr>
      <w:bookmarkEnd w:id="104"/>
      <w:bookmarkEnd w:id="105"/>
    </w:tbl>
    <w:p w14:paraId="243AED9B">
      <w:pPr>
        <w:spacing w:before="156" w:after="156" w:line="580" w:lineRule="exact"/>
        <w:jc w:val="left"/>
        <w:rPr>
          <w:rFonts w:eastAsia="仿宋_GB2312"/>
          <w:color w:val="0F1115"/>
          <w:sz w:val="32"/>
          <w:szCs w:val="32"/>
          <w:shd w:val="clear" w:color="auto" w:fill="FFFFFF"/>
        </w:rPr>
      </w:pPr>
      <w:bookmarkStart w:id="108" w:name="_Toc7707"/>
    </w:p>
    <w:p w14:paraId="3E285ECA">
      <w:pPr>
        <w:pStyle w:val="15"/>
        <w:widowControl/>
        <w:numPr>
          <w:ilvl w:val="0"/>
          <w:numId w:val="4"/>
        </w:numPr>
        <w:spacing w:before="156" w:beforeLines="50" w:after="156" w:afterLines="50" w:line="580" w:lineRule="exact"/>
        <w:ind w:left="1080" w:hanging="1080" w:firstLineChars="0"/>
        <w:jc w:val="center"/>
        <w:outlineLvl w:val="2"/>
        <w:rPr>
          <w:rFonts w:eastAsia="楷体_GB2312"/>
          <w:b/>
          <w:color w:val="000000"/>
          <w:kern w:val="0"/>
          <w:sz w:val="32"/>
          <w:szCs w:val="32"/>
        </w:rPr>
      </w:pPr>
      <w:r>
        <w:rPr>
          <w:rFonts w:hint="eastAsia" w:eastAsia="楷体_GB2312"/>
          <w:b/>
          <w:color w:val="000000"/>
          <w:kern w:val="0"/>
          <w:sz w:val="32"/>
          <w:szCs w:val="32"/>
        </w:rPr>
        <w:t xml:space="preserve"> </w:t>
      </w:r>
      <w:bookmarkStart w:id="109" w:name="_Toc218241029"/>
      <w:r>
        <w:rPr>
          <w:rFonts w:hint="eastAsia" w:eastAsia="楷体_GB2312"/>
          <w:b/>
          <w:color w:val="000000"/>
          <w:kern w:val="0"/>
          <w:sz w:val="32"/>
          <w:szCs w:val="32"/>
        </w:rPr>
        <w:t>壮大“马背经济”文旅发展新引擎</w:t>
      </w:r>
      <w:bookmarkEnd w:id="109"/>
    </w:p>
    <w:p w14:paraId="74B1645E">
      <w:pPr>
        <w:ind w:firstLine="640" w:firstLineChars="200"/>
      </w:pPr>
      <w:r>
        <w:rPr>
          <w:rFonts w:hint="eastAsia" w:eastAsia="仿宋_GB2312"/>
          <w:sz w:val="32"/>
          <w:szCs w:val="32"/>
        </w:rPr>
        <w:t>实施</w:t>
      </w:r>
      <w:r>
        <w:rPr>
          <w:rFonts w:eastAsia="仿宋_GB2312"/>
          <w:sz w:val="32"/>
          <w:szCs w:val="32"/>
        </w:rPr>
        <w:t>“</w:t>
      </w:r>
      <w:r>
        <w:rPr>
          <w:rFonts w:hint="eastAsia" w:eastAsia="仿宋_GB2312"/>
          <w:sz w:val="32"/>
          <w:szCs w:val="32"/>
        </w:rPr>
        <w:t>马背经济行动计划</w:t>
      </w:r>
      <w:r>
        <w:rPr>
          <w:rFonts w:eastAsia="仿宋_GB2312"/>
          <w:sz w:val="32"/>
          <w:szCs w:val="32"/>
        </w:rPr>
        <w:t>”</w:t>
      </w:r>
      <w:r>
        <w:rPr>
          <w:rFonts w:hint="eastAsia" w:eastAsia="仿宋_GB2312"/>
          <w:sz w:val="32"/>
          <w:szCs w:val="32"/>
        </w:rPr>
        <w:t>，</w:t>
      </w:r>
      <w:r>
        <w:rPr>
          <w:rFonts w:eastAsia="仿宋_GB2312"/>
          <w:sz w:val="32"/>
          <w:szCs w:val="32"/>
        </w:rPr>
        <w:t>推动马背旅游从传统的观光骑乘</w:t>
      </w:r>
      <w:r>
        <w:rPr>
          <w:rFonts w:hint="eastAsia" w:eastAsia="仿宋_GB2312"/>
          <w:sz w:val="32"/>
          <w:szCs w:val="32"/>
        </w:rPr>
        <w:t>向集马文化体验、马匹驯养研学</w:t>
      </w:r>
      <w:r>
        <w:rPr>
          <w:rFonts w:eastAsia="仿宋_GB2312"/>
          <w:sz w:val="32"/>
          <w:szCs w:val="32"/>
        </w:rPr>
        <w:t>、体育赛事</w:t>
      </w:r>
      <w:r>
        <w:rPr>
          <w:rFonts w:hint="eastAsia" w:eastAsia="仿宋_GB2312"/>
          <w:sz w:val="32"/>
          <w:szCs w:val="32"/>
        </w:rPr>
        <w:t>等</w:t>
      </w:r>
      <w:r>
        <w:rPr>
          <w:rFonts w:eastAsia="仿宋_GB2312"/>
          <w:sz w:val="32"/>
          <w:szCs w:val="32"/>
        </w:rPr>
        <w:t>于一体的综合业态转型升级，</w:t>
      </w:r>
      <w:r>
        <w:rPr>
          <w:rFonts w:hint="eastAsia" w:eastAsia="仿宋_GB2312"/>
          <w:sz w:val="32"/>
          <w:szCs w:val="32"/>
        </w:rPr>
        <w:t>打造四川“马背经济”核心区，全方位展示游牧文化魅力。深挖赛马文化产业根脉，</w:t>
      </w:r>
      <w:r>
        <w:rPr>
          <w:rFonts w:eastAsia="仿宋_GB2312"/>
          <w:sz w:val="32"/>
          <w:szCs w:val="32"/>
        </w:rPr>
        <w:t>扎实做好马背文化的保护传承与开发利用</w:t>
      </w:r>
      <w:r>
        <w:rPr>
          <w:rFonts w:hint="eastAsia" w:eastAsia="仿宋_GB2312"/>
          <w:sz w:val="32"/>
          <w:szCs w:val="32"/>
        </w:rPr>
        <w:t>，全力推动</w:t>
      </w:r>
      <w:r>
        <w:rPr>
          <w:rFonts w:eastAsia="仿宋_GB2312"/>
          <w:sz w:val="32"/>
          <w:szCs w:val="32"/>
        </w:rPr>
        <w:t>“</w:t>
      </w:r>
      <w:r>
        <w:rPr>
          <w:rFonts w:hint="eastAsia" w:eastAsia="仿宋_GB2312"/>
          <w:sz w:val="32"/>
          <w:szCs w:val="32"/>
        </w:rPr>
        <w:t>八一赛马会</w:t>
      </w:r>
      <w:r>
        <w:rPr>
          <w:rFonts w:eastAsia="仿宋_GB2312"/>
          <w:sz w:val="32"/>
          <w:szCs w:val="32"/>
        </w:rPr>
        <w:t>”</w:t>
      </w:r>
      <w:r>
        <w:rPr>
          <w:rFonts w:hint="eastAsia" w:eastAsia="仿宋_GB2312"/>
          <w:sz w:val="32"/>
          <w:szCs w:val="32"/>
        </w:rPr>
        <w:t>申报国家级非物质文化遗产。做强赛马文化产业链条，加快马匹育种创新、开发具有马背文化特色的文创产品，打造集马</w:t>
      </w:r>
      <w:r>
        <w:rPr>
          <w:rFonts w:eastAsia="仿宋_GB2312"/>
          <w:sz w:val="32"/>
          <w:szCs w:val="32"/>
        </w:rPr>
        <w:t>文化</w:t>
      </w:r>
      <w:r>
        <w:rPr>
          <w:rFonts w:hint="eastAsia" w:eastAsia="仿宋_GB2312"/>
          <w:sz w:val="32"/>
          <w:szCs w:val="32"/>
        </w:rPr>
        <w:t>展示、传统马术演艺及马术培训、马匹认证</w:t>
      </w:r>
      <w:r>
        <w:rPr>
          <w:rFonts w:eastAsia="仿宋_GB2312"/>
          <w:sz w:val="32"/>
          <w:szCs w:val="32"/>
        </w:rPr>
        <w:t>于一体</w:t>
      </w:r>
      <w:r>
        <w:rPr>
          <w:rFonts w:hint="eastAsia" w:eastAsia="仿宋_GB2312"/>
          <w:sz w:val="32"/>
          <w:szCs w:val="32"/>
        </w:rPr>
        <w:t>的马产业综合中心，</w:t>
      </w:r>
      <w:bookmarkStart w:id="110" w:name="OLE_LINK232"/>
      <w:bookmarkStart w:id="111" w:name="OLE_LINK233"/>
      <w:r>
        <w:rPr>
          <w:rFonts w:hint="eastAsia" w:eastAsia="仿宋_GB2312"/>
          <w:sz w:val="32"/>
          <w:szCs w:val="32"/>
        </w:rPr>
        <w:t>巩固提升</w:t>
      </w:r>
      <w:r>
        <w:rPr>
          <w:rFonts w:eastAsia="仿宋_GB2312"/>
          <w:sz w:val="32"/>
          <w:szCs w:val="32"/>
        </w:rPr>
        <w:t>“</w:t>
      </w:r>
      <w:r>
        <w:rPr>
          <w:rFonts w:hint="eastAsia" w:eastAsia="仿宋_GB2312"/>
          <w:sz w:val="32"/>
          <w:szCs w:val="32"/>
        </w:rPr>
        <w:t>八一赛马会</w:t>
      </w:r>
      <w:r>
        <w:rPr>
          <w:rFonts w:eastAsia="仿宋_GB2312"/>
          <w:sz w:val="32"/>
          <w:szCs w:val="32"/>
        </w:rPr>
        <w:t>”</w:t>
      </w:r>
      <w:r>
        <w:rPr>
          <w:rFonts w:hint="eastAsia" w:eastAsia="仿宋_GB2312"/>
          <w:sz w:val="32"/>
          <w:szCs w:val="32"/>
        </w:rPr>
        <w:t>等传统品牌赛事的专业水准与观赏性</w:t>
      </w:r>
      <w:bookmarkEnd w:id="110"/>
      <w:bookmarkEnd w:id="111"/>
      <w:r>
        <w:rPr>
          <w:rFonts w:hint="eastAsia" w:eastAsia="仿宋_GB2312"/>
          <w:sz w:val="32"/>
          <w:szCs w:val="32"/>
        </w:rPr>
        <w:t>。推动赛马文化与</w:t>
      </w:r>
      <w:r>
        <w:rPr>
          <w:rFonts w:eastAsia="仿宋_GB2312"/>
          <w:sz w:val="32"/>
          <w:szCs w:val="32"/>
        </w:rPr>
        <w:t>本地非遗展示、民俗节庆、特色民宿、高原特产销售等多元业态进行有机链接与深度融合</w:t>
      </w:r>
      <w:r>
        <w:rPr>
          <w:rFonts w:hint="eastAsia" w:eastAsia="仿宋_GB2312"/>
          <w:sz w:val="32"/>
          <w:szCs w:val="32"/>
        </w:rPr>
        <w:t>，打造</w:t>
      </w:r>
      <w:r>
        <w:rPr>
          <w:rFonts w:eastAsia="仿宋_GB2312"/>
          <w:sz w:val="32"/>
          <w:szCs w:val="32"/>
        </w:rPr>
        <w:t>“</w:t>
      </w:r>
      <w:r>
        <w:rPr>
          <w:rFonts w:hint="eastAsia" w:eastAsia="仿宋_GB2312"/>
          <w:sz w:val="32"/>
          <w:szCs w:val="32"/>
        </w:rPr>
        <w:t>赛马</w:t>
      </w:r>
      <w:r>
        <w:rPr>
          <w:rFonts w:eastAsia="仿宋_GB2312"/>
          <w:sz w:val="32"/>
          <w:szCs w:val="32"/>
        </w:rPr>
        <w:t>+</w:t>
      </w:r>
      <w:r>
        <w:rPr>
          <w:rFonts w:hint="eastAsia" w:eastAsia="仿宋_GB2312"/>
          <w:sz w:val="32"/>
          <w:szCs w:val="32"/>
        </w:rPr>
        <w:t>文旅</w:t>
      </w:r>
      <w:r>
        <w:rPr>
          <w:rFonts w:eastAsia="仿宋_GB2312"/>
          <w:sz w:val="32"/>
          <w:szCs w:val="32"/>
        </w:rPr>
        <w:t>+</w:t>
      </w:r>
      <w:r>
        <w:rPr>
          <w:rFonts w:hint="eastAsia" w:eastAsia="仿宋_GB2312"/>
          <w:sz w:val="32"/>
          <w:szCs w:val="32"/>
        </w:rPr>
        <w:t>商业</w:t>
      </w:r>
      <w:r>
        <w:rPr>
          <w:rFonts w:eastAsia="仿宋_GB2312"/>
          <w:sz w:val="32"/>
          <w:szCs w:val="32"/>
        </w:rPr>
        <w:t>”</w:t>
      </w:r>
      <w:r>
        <w:rPr>
          <w:rFonts w:hint="eastAsia" w:eastAsia="仿宋_GB2312"/>
          <w:sz w:val="32"/>
          <w:szCs w:val="32"/>
        </w:rPr>
        <w:t>一体化发展模式，推动“</w:t>
      </w:r>
      <w:r>
        <w:rPr>
          <w:rFonts w:eastAsia="仿宋_GB2312"/>
          <w:sz w:val="32"/>
          <w:szCs w:val="32"/>
        </w:rPr>
        <w:t>马背经济</w:t>
      </w:r>
      <w:r>
        <w:rPr>
          <w:rFonts w:hint="eastAsia" w:eastAsia="仿宋_GB2312"/>
          <w:sz w:val="32"/>
          <w:szCs w:val="32"/>
        </w:rPr>
        <w:t>”</w:t>
      </w:r>
      <w:r>
        <w:rPr>
          <w:rFonts w:eastAsia="仿宋_GB2312"/>
          <w:sz w:val="32"/>
          <w:szCs w:val="32"/>
        </w:rPr>
        <w:t>真正成为带动</w:t>
      </w:r>
      <w:r>
        <w:rPr>
          <w:rFonts w:hint="eastAsia" w:eastAsia="仿宋_GB2312"/>
          <w:sz w:val="32"/>
          <w:szCs w:val="32"/>
        </w:rPr>
        <w:t>理塘</w:t>
      </w:r>
      <w:r>
        <w:rPr>
          <w:rFonts w:eastAsia="仿宋_GB2312"/>
          <w:sz w:val="32"/>
          <w:szCs w:val="32"/>
        </w:rPr>
        <w:t>文旅高质量发展的强劲引擎。</w:t>
      </w:r>
    </w:p>
    <w:tbl>
      <w:tblPr>
        <w:tblStyle w:val="11"/>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1D5BD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42" w:hRule="atLeast"/>
          <w:jc w:val="center"/>
        </w:trPr>
        <w:tc>
          <w:tcPr>
            <w:tcW w:w="5000" w:type="pct"/>
            <w:tcBorders>
              <w:top w:val="single" w:color="auto" w:sz="4" w:space="0"/>
              <w:left w:val="single" w:color="auto" w:sz="4" w:space="0"/>
              <w:bottom w:val="single" w:color="auto" w:sz="4" w:space="0"/>
              <w:right w:val="single" w:color="auto" w:sz="4" w:space="0"/>
            </w:tcBorders>
          </w:tcPr>
          <w:p w14:paraId="5D6BB5D7">
            <w:pPr>
              <w:pStyle w:val="10"/>
              <w:snapToGrid w:val="0"/>
              <w:spacing w:before="156" w:beforeLines="50" w:after="156" w:afterLines="50" w:line="440" w:lineRule="exact"/>
              <w:ind w:left="0" w:leftChars="0" w:firstLine="0" w:firstLineChars="0"/>
              <w:jc w:val="center"/>
              <w:rPr>
                <w:rFonts w:eastAsia="楷体_GB2312"/>
                <w:b/>
                <w:sz w:val="32"/>
                <w:szCs w:val="32"/>
              </w:rPr>
            </w:pPr>
            <w:r>
              <w:rPr>
                <w:rFonts w:hint="eastAsia" w:ascii="Times New Roman" w:hAnsi="Times New Roman" w:eastAsia="楷体_GB2312" w:cs="Times New Roman"/>
                <w:b/>
                <w:sz w:val="28"/>
                <w:szCs w:val="28"/>
              </w:rPr>
              <w:t>专栏5  “十五五”时期“马背经济”推进重点</w:t>
            </w:r>
          </w:p>
        </w:tc>
      </w:tr>
      <w:tr w14:paraId="71B5B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tcBorders>
              <w:top w:val="single" w:color="auto" w:sz="4" w:space="0"/>
              <w:left w:val="single" w:color="auto" w:sz="4" w:space="0"/>
              <w:bottom w:val="single" w:color="auto" w:sz="4" w:space="0"/>
              <w:right w:val="single" w:color="auto" w:sz="4" w:space="0"/>
            </w:tcBorders>
          </w:tcPr>
          <w:p w14:paraId="4D921493">
            <w:pPr>
              <w:pStyle w:val="16"/>
              <w:snapToGrid w:val="0"/>
              <w:spacing w:line="440" w:lineRule="exact"/>
              <w:ind w:firstLine="562"/>
              <w:jc w:val="left"/>
              <w:rPr>
                <w:rFonts w:eastAsia="楷体_GB2312" w:cs="Times New Roman"/>
                <w:sz w:val="28"/>
                <w:szCs w:val="28"/>
              </w:rPr>
            </w:pPr>
            <w:r>
              <w:rPr>
                <w:rFonts w:hint="eastAsia" w:eastAsia="楷体_GB2312" w:cs="Times New Roman"/>
                <w:b/>
                <w:sz w:val="28"/>
                <w:szCs w:val="28"/>
              </w:rPr>
              <w:t>1.赛马文化产业链提升工程</w:t>
            </w:r>
            <w:r>
              <w:rPr>
                <w:rFonts w:hint="eastAsia" w:eastAsia="楷体_GB2312" w:cs="Times New Roman"/>
                <w:sz w:val="28"/>
                <w:szCs w:val="28"/>
              </w:rPr>
              <w:t>。打造</w:t>
            </w:r>
            <w:r>
              <w:rPr>
                <w:rFonts w:eastAsia="楷体_GB2312" w:cs="Times New Roman"/>
                <w:sz w:val="28"/>
                <w:szCs w:val="28"/>
              </w:rPr>
              <w:t>“</w:t>
            </w:r>
            <w:r>
              <w:rPr>
                <w:rFonts w:hint="eastAsia" w:eastAsia="楷体_GB2312" w:cs="Times New Roman"/>
                <w:sz w:val="28"/>
                <w:szCs w:val="28"/>
              </w:rPr>
              <w:t>3基地</w:t>
            </w:r>
            <w:r>
              <w:rPr>
                <w:rFonts w:eastAsia="楷体_GB2312" w:cs="Times New Roman"/>
                <w:sz w:val="28"/>
                <w:szCs w:val="28"/>
              </w:rPr>
              <w:t>3</w:t>
            </w:r>
            <w:r>
              <w:rPr>
                <w:rFonts w:hint="eastAsia" w:eastAsia="楷体_GB2312" w:cs="Times New Roman"/>
                <w:sz w:val="28"/>
                <w:szCs w:val="28"/>
              </w:rPr>
              <w:t>场地</w:t>
            </w:r>
            <w:r>
              <w:rPr>
                <w:rFonts w:eastAsia="楷体_GB2312" w:cs="Times New Roman"/>
                <w:sz w:val="28"/>
                <w:szCs w:val="28"/>
              </w:rPr>
              <w:t>”</w:t>
            </w:r>
            <w:r>
              <w:rPr>
                <w:rFonts w:hint="eastAsia" w:eastAsia="楷体_GB2312" w:cs="Times New Roman"/>
                <w:sz w:val="28"/>
                <w:szCs w:val="28"/>
              </w:rPr>
              <w:t>：中国藏马保种繁育基地（高城镇）、国家甘孜马保种改良基地（格木乡）、甘孜骏马培育基地（曲登乡）、休闲马</w:t>
            </w:r>
            <w:r>
              <w:rPr>
                <w:rFonts w:eastAsia="楷体_GB2312" w:cs="Times New Roman"/>
                <w:sz w:val="28"/>
                <w:szCs w:val="28"/>
              </w:rPr>
              <w:t>+</w:t>
            </w:r>
            <w:r>
              <w:rPr>
                <w:rFonts w:hint="eastAsia" w:eastAsia="楷体_GB2312" w:cs="Times New Roman"/>
                <w:sz w:val="28"/>
                <w:szCs w:val="28"/>
              </w:rPr>
              <w:t>白牦牛养殖保护场（禾尼乡）、藏马饲草温泉种植场（奔戈乡）。加强理塘赛马场基础设施建设，推动现代化马制品产业园建设。加强牧区道路、马道设施建设，推动马疫病防治、骑手培训等公共服务覆盖。</w:t>
            </w:r>
          </w:p>
          <w:p w14:paraId="46CE3F68">
            <w:pPr>
              <w:pStyle w:val="16"/>
              <w:snapToGrid w:val="0"/>
              <w:spacing w:line="440" w:lineRule="exact"/>
              <w:ind w:firstLine="562"/>
              <w:jc w:val="left"/>
              <w:rPr>
                <w:rFonts w:eastAsia="楷体_GB2312" w:cs="Times New Roman"/>
                <w:sz w:val="28"/>
                <w:szCs w:val="28"/>
              </w:rPr>
            </w:pPr>
            <w:r>
              <w:rPr>
                <w:rFonts w:hint="eastAsia" w:eastAsia="楷体_GB2312" w:cs="Times New Roman"/>
                <w:b/>
                <w:sz w:val="28"/>
                <w:szCs w:val="28"/>
              </w:rPr>
              <w:t>2.赛马文化融合创新工程</w:t>
            </w:r>
            <w:r>
              <w:rPr>
                <w:rFonts w:hint="eastAsia" w:eastAsia="楷体_GB2312" w:cs="Times New Roman"/>
                <w:sz w:val="28"/>
                <w:szCs w:val="28"/>
              </w:rPr>
              <w:t>。建设</w:t>
            </w:r>
            <w:r>
              <w:rPr>
                <w:rFonts w:eastAsia="楷体_GB2312" w:cs="Times New Roman"/>
                <w:sz w:val="28"/>
                <w:szCs w:val="28"/>
              </w:rPr>
              <w:t>318</w:t>
            </w:r>
            <w:r>
              <w:rPr>
                <w:rFonts w:hint="eastAsia" w:eastAsia="楷体_GB2312" w:cs="Times New Roman"/>
                <w:sz w:val="28"/>
                <w:szCs w:val="28"/>
              </w:rPr>
              <w:t>藏马文化博物馆、村戈乡民族藏马体验园、奔戈乡藏马风情演艺园。发展马具手工非遗产业，建设藏马文创非遗加工工坊，打造具有理塘特色的藏马文创产品。建设理塘多旺塘中华民族大赛马场、八一民族赛马场，推动</w:t>
            </w:r>
            <w:r>
              <w:rPr>
                <w:rFonts w:eastAsia="楷体_GB2312" w:cs="Times New Roman"/>
                <w:sz w:val="28"/>
                <w:szCs w:val="28"/>
              </w:rPr>
              <w:t>“</w:t>
            </w:r>
            <w:r>
              <w:rPr>
                <w:rFonts w:hint="eastAsia" w:eastAsia="楷体_GB2312" w:cs="Times New Roman"/>
                <w:sz w:val="28"/>
                <w:szCs w:val="28"/>
              </w:rPr>
              <w:t>哒野</w:t>
            </w:r>
            <w:r>
              <w:rPr>
                <w:rFonts w:eastAsia="楷体_GB2312" w:cs="Times New Roman"/>
                <w:sz w:val="28"/>
                <w:szCs w:val="28"/>
              </w:rPr>
              <w:t>”</w:t>
            </w:r>
            <w:r>
              <w:rPr>
                <w:rFonts w:hint="eastAsia" w:eastAsia="楷体_GB2312" w:cs="Times New Roman"/>
                <w:sz w:val="28"/>
                <w:szCs w:val="28"/>
              </w:rPr>
              <w:t>赛马文化旅游季马术文化传承和产业融合，做优马背旅游观光，开发</w:t>
            </w:r>
            <w:r>
              <w:rPr>
                <w:rFonts w:eastAsia="楷体_GB2312" w:cs="Times New Roman"/>
                <w:sz w:val="28"/>
                <w:szCs w:val="28"/>
              </w:rPr>
              <w:t>“</w:t>
            </w:r>
            <w:r>
              <w:rPr>
                <w:rFonts w:hint="eastAsia" w:eastAsia="楷体_GB2312" w:cs="Times New Roman"/>
                <w:sz w:val="28"/>
                <w:szCs w:val="28"/>
              </w:rPr>
              <w:t>马背上的非遗</w:t>
            </w:r>
            <w:r>
              <w:rPr>
                <w:rFonts w:eastAsia="楷体_GB2312" w:cs="Times New Roman"/>
                <w:sz w:val="28"/>
                <w:szCs w:val="28"/>
              </w:rPr>
              <w:t>”</w:t>
            </w:r>
            <w:r>
              <w:rPr>
                <w:rFonts w:hint="eastAsia" w:eastAsia="楷体_GB2312" w:cs="Times New Roman"/>
                <w:sz w:val="28"/>
                <w:szCs w:val="28"/>
              </w:rPr>
              <w:t>体验线路，打造沙鲁里赛马文化主题民宿。</w:t>
            </w:r>
          </w:p>
          <w:p w14:paraId="5FFA1CBE">
            <w:pPr>
              <w:pStyle w:val="16"/>
              <w:snapToGrid w:val="0"/>
              <w:spacing w:line="440" w:lineRule="exact"/>
              <w:ind w:firstLine="562"/>
              <w:jc w:val="left"/>
              <w:rPr>
                <w:rFonts w:eastAsia="楷体_GB2312" w:cs="Times New Roman"/>
                <w:sz w:val="28"/>
                <w:szCs w:val="28"/>
              </w:rPr>
            </w:pPr>
            <w:r>
              <w:rPr>
                <w:rFonts w:hint="eastAsia" w:eastAsia="楷体_GB2312" w:cs="Times New Roman"/>
                <w:b/>
                <w:sz w:val="28"/>
                <w:szCs w:val="28"/>
              </w:rPr>
              <w:t>3.赛马文化品牌建设工程</w:t>
            </w:r>
            <w:r>
              <w:rPr>
                <w:rFonts w:hint="eastAsia" w:eastAsia="楷体_GB2312" w:cs="Times New Roman"/>
                <w:sz w:val="28"/>
                <w:szCs w:val="28"/>
              </w:rPr>
              <w:t>。提档升级八一国际赛马场，打造民族马术培训教育学院，开展专业人才培训。持续办好</w:t>
            </w:r>
            <w:r>
              <w:rPr>
                <w:rFonts w:eastAsia="楷体_GB2312" w:cs="Times New Roman"/>
                <w:sz w:val="28"/>
                <w:szCs w:val="28"/>
              </w:rPr>
              <w:t>“</w:t>
            </w:r>
            <w:r>
              <w:rPr>
                <w:rFonts w:hint="eastAsia" w:eastAsia="楷体_GB2312" w:cs="Times New Roman"/>
                <w:sz w:val="28"/>
                <w:szCs w:val="28"/>
              </w:rPr>
              <w:t>八一赛马会</w:t>
            </w:r>
            <w:r>
              <w:rPr>
                <w:rFonts w:eastAsia="楷体_GB2312" w:cs="Times New Roman"/>
                <w:sz w:val="28"/>
                <w:szCs w:val="28"/>
              </w:rPr>
              <w:t>”</w:t>
            </w:r>
            <w:r>
              <w:rPr>
                <w:rFonts w:hint="eastAsia" w:eastAsia="楷体_GB2312" w:cs="Times New Roman"/>
                <w:sz w:val="28"/>
                <w:szCs w:val="28"/>
              </w:rPr>
              <w:t>、高原越野赛、耐力达标赛等传统赛事。打响“哒野”赛马文化旅游季品牌，打造理塘藏马品牌孵化中心。创办马业博览会、藏马交易大会、藏马文化论坛等。</w:t>
            </w:r>
          </w:p>
          <w:p w14:paraId="4950F134">
            <w:pPr>
              <w:pStyle w:val="16"/>
              <w:snapToGrid w:val="0"/>
              <w:spacing w:line="440" w:lineRule="exact"/>
              <w:ind w:firstLine="562"/>
              <w:jc w:val="left"/>
              <w:rPr>
                <w:rFonts w:eastAsia="楷体_GB2312" w:cs="Times New Roman"/>
                <w:sz w:val="28"/>
                <w:szCs w:val="28"/>
              </w:rPr>
            </w:pPr>
            <w:r>
              <w:rPr>
                <w:rFonts w:hint="eastAsia" w:eastAsia="楷体_GB2312" w:cs="Times New Roman"/>
                <w:b/>
                <w:sz w:val="28"/>
                <w:szCs w:val="28"/>
              </w:rPr>
              <w:t>4.赛马文化人才、技术支撑</w:t>
            </w:r>
            <w:r>
              <w:rPr>
                <w:rFonts w:hint="eastAsia" w:eastAsia="楷体_GB2312" w:cs="Times New Roman"/>
                <w:sz w:val="28"/>
                <w:szCs w:val="28"/>
              </w:rPr>
              <w:t>。大力发展马产业中职、高职教育，推进院校联合、校企合作，着力培养繁育技术员、驯马师、骑师、兽医等专业技术人员。加快培养马产业市场经营、旅游开发、赛事组织等管理人才。开展马匹良种繁育、饲养管理、疾病防控等关键技术攻关，建设马产业技术服务中心。</w:t>
            </w:r>
          </w:p>
          <w:p w14:paraId="4D8559E4">
            <w:pPr>
              <w:pStyle w:val="16"/>
              <w:snapToGrid w:val="0"/>
              <w:spacing w:line="440" w:lineRule="exact"/>
              <w:ind w:firstLine="562"/>
              <w:jc w:val="left"/>
              <w:rPr>
                <w:rFonts w:eastAsia="楷体_GB2312" w:cs="Times New Roman"/>
                <w:sz w:val="28"/>
                <w:szCs w:val="28"/>
              </w:rPr>
            </w:pPr>
            <w:r>
              <w:rPr>
                <w:rFonts w:hint="eastAsia" w:eastAsia="楷体_GB2312" w:cs="Times New Roman"/>
                <w:b/>
                <w:sz w:val="28"/>
                <w:szCs w:val="28"/>
              </w:rPr>
              <w:t>5.健全赛马文化推进机制</w:t>
            </w:r>
            <w:r>
              <w:rPr>
                <w:rFonts w:hint="eastAsia" w:eastAsia="楷体_GB2312" w:cs="Times New Roman"/>
                <w:sz w:val="28"/>
                <w:szCs w:val="28"/>
              </w:rPr>
              <w:t>。完善组织领导体系，设立专家咨询委员会，构建县乡村三级联动工作格局。创新政策支持体系，制定产业发展专项政策，构建</w:t>
            </w:r>
            <w:r>
              <w:rPr>
                <w:rFonts w:eastAsia="楷体_GB2312" w:cs="Times New Roman"/>
                <w:sz w:val="28"/>
                <w:szCs w:val="28"/>
              </w:rPr>
              <w:t>“</w:t>
            </w:r>
            <w:r>
              <w:rPr>
                <w:rFonts w:hint="eastAsia" w:eastAsia="楷体_GB2312" w:cs="Times New Roman"/>
                <w:sz w:val="28"/>
                <w:szCs w:val="28"/>
              </w:rPr>
              <w:t>财政引导</w:t>
            </w:r>
            <w:r>
              <w:rPr>
                <w:rFonts w:eastAsia="楷体_GB2312" w:cs="Times New Roman"/>
                <w:sz w:val="28"/>
                <w:szCs w:val="28"/>
              </w:rPr>
              <w:t>+</w:t>
            </w:r>
            <w:r>
              <w:rPr>
                <w:rFonts w:hint="eastAsia" w:eastAsia="楷体_GB2312" w:cs="Times New Roman"/>
                <w:sz w:val="28"/>
                <w:szCs w:val="28"/>
              </w:rPr>
              <w:t>社会参与</w:t>
            </w:r>
            <w:r>
              <w:rPr>
                <w:rFonts w:eastAsia="楷体_GB2312" w:cs="Times New Roman"/>
                <w:sz w:val="28"/>
                <w:szCs w:val="28"/>
              </w:rPr>
              <w:t>+</w:t>
            </w:r>
            <w:r>
              <w:rPr>
                <w:rFonts w:hint="eastAsia" w:eastAsia="楷体_GB2312" w:cs="Times New Roman"/>
                <w:sz w:val="28"/>
                <w:szCs w:val="28"/>
              </w:rPr>
              <w:t>金融支持</w:t>
            </w:r>
            <w:r>
              <w:rPr>
                <w:rFonts w:eastAsia="楷体_GB2312" w:cs="Times New Roman"/>
                <w:sz w:val="28"/>
                <w:szCs w:val="28"/>
              </w:rPr>
              <w:t>”</w:t>
            </w:r>
            <w:r>
              <w:rPr>
                <w:rFonts w:hint="eastAsia" w:eastAsia="楷体_GB2312" w:cs="Times New Roman"/>
                <w:sz w:val="28"/>
                <w:szCs w:val="28"/>
              </w:rPr>
              <w:t>的多元投入机制。强化部门协同联动，建立多部门联席会议制度。加强与周边县的合作，构建马文化旅游联动发展格局。鼓励企业、社会组织参与，发挥行业协会桥梁作用。</w:t>
            </w:r>
          </w:p>
        </w:tc>
      </w:tr>
    </w:tbl>
    <w:p w14:paraId="3D216793">
      <w:pPr>
        <w:spacing w:before="156" w:beforeLines="50" w:after="156" w:afterLines="50" w:line="580" w:lineRule="exact"/>
        <w:jc w:val="center"/>
        <w:outlineLvl w:val="2"/>
        <w:rPr>
          <w:rFonts w:eastAsia="楷体_GB2312"/>
          <w:b/>
          <w:color w:val="000000"/>
          <w:kern w:val="0"/>
          <w:sz w:val="32"/>
          <w:szCs w:val="32"/>
        </w:rPr>
      </w:pPr>
    </w:p>
    <w:p w14:paraId="1804844A">
      <w:pPr>
        <w:pStyle w:val="15"/>
        <w:numPr>
          <w:ilvl w:val="0"/>
          <w:numId w:val="4"/>
        </w:numPr>
        <w:spacing w:before="156" w:beforeLines="50" w:after="156" w:afterLines="50" w:line="580" w:lineRule="exact"/>
        <w:ind w:left="1080" w:hanging="1080" w:firstLineChars="0"/>
        <w:jc w:val="center"/>
        <w:outlineLvl w:val="2"/>
        <w:rPr>
          <w:rFonts w:eastAsia="楷体_GB2312"/>
          <w:b/>
          <w:color w:val="000000"/>
          <w:kern w:val="0"/>
          <w:sz w:val="32"/>
          <w:szCs w:val="32"/>
        </w:rPr>
      </w:pPr>
      <w:bookmarkStart w:id="112" w:name="OLE_LINK6"/>
      <w:bookmarkStart w:id="113" w:name="OLE_LINK5"/>
      <w:r>
        <w:rPr>
          <w:rFonts w:hint="eastAsia" w:eastAsia="楷体_GB2312"/>
          <w:b/>
          <w:color w:val="000000"/>
          <w:kern w:val="0"/>
          <w:sz w:val="32"/>
          <w:szCs w:val="32"/>
        </w:rPr>
        <w:t xml:space="preserve"> </w:t>
      </w:r>
      <w:bookmarkStart w:id="114" w:name="_Toc218241030"/>
      <w:r>
        <w:rPr>
          <w:rFonts w:hint="eastAsia" w:eastAsia="楷体_GB2312"/>
          <w:b/>
          <w:color w:val="000000"/>
          <w:kern w:val="0"/>
          <w:sz w:val="32"/>
          <w:szCs w:val="32"/>
        </w:rPr>
        <w:t>构建品质化标准化旅游</w:t>
      </w:r>
      <w:bookmarkEnd w:id="112"/>
      <w:bookmarkEnd w:id="113"/>
      <w:r>
        <w:rPr>
          <w:rFonts w:hint="eastAsia" w:eastAsia="楷体_GB2312"/>
          <w:b/>
          <w:color w:val="000000"/>
          <w:kern w:val="0"/>
          <w:sz w:val="32"/>
          <w:szCs w:val="32"/>
        </w:rPr>
        <w:t>服务体系</w:t>
      </w:r>
      <w:bookmarkEnd w:id="108"/>
      <w:bookmarkEnd w:id="114"/>
    </w:p>
    <w:p w14:paraId="19F9673F">
      <w:pPr>
        <w:snapToGrid w:val="0"/>
        <w:spacing w:before="72" w:after="72" w:line="580" w:lineRule="exact"/>
        <w:ind w:firstLine="640" w:firstLineChars="200"/>
        <w:jc w:val="left"/>
        <w:rPr>
          <w:rFonts w:eastAsia="楷体_GB2312"/>
          <w:b/>
          <w:sz w:val="32"/>
          <w:szCs w:val="32"/>
        </w:rPr>
      </w:pPr>
      <w:r>
        <w:rPr>
          <w:rFonts w:hint="eastAsia" w:eastAsia="仿宋_GB2312"/>
          <w:bCs/>
          <w:sz w:val="32"/>
          <w:szCs w:val="32"/>
        </w:rPr>
        <w:t>聚焦全域旅游发展痛点、游客期盼堵点、旅游市场难点，大力实施理塘旅游服务标准化行动，认真贯彻执行国家标准、行业标准，科学制定和完善理塘旅游服务标准，规范旅游市场管理，提高旅游服务质量，提升旅游安全保障水平。着力完善“快进慢游”交通体系，解决高原地区“高寒、高海拔、缺水、缺电”等旅游痛点，针对亲子家庭、年轻群体等重点客群，提供差异化产品设计与精细化服务，为游客提供全方位、高品质的高原旅游体验。</w:t>
      </w:r>
      <w:bookmarkStart w:id="115" w:name="OLE_LINK117"/>
      <w:bookmarkStart w:id="116" w:name="OLE_LINK68"/>
      <w:bookmarkStart w:id="117" w:name="OLE_LINK67"/>
    </w:p>
    <w:tbl>
      <w:tblPr>
        <w:tblStyle w:val="11"/>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12CA7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tcBorders>
              <w:top w:val="single" w:color="auto" w:sz="4" w:space="0"/>
              <w:left w:val="single" w:color="auto" w:sz="4" w:space="0"/>
              <w:bottom w:val="single" w:color="auto" w:sz="4" w:space="0"/>
              <w:right w:val="single" w:color="auto" w:sz="4" w:space="0"/>
            </w:tcBorders>
            <w:shd w:val="clear" w:color="auto" w:fill="auto"/>
          </w:tcPr>
          <w:p w14:paraId="4B0E2E5F">
            <w:pPr>
              <w:pStyle w:val="10"/>
              <w:snapToGrid w:val="0"/>
              <w:spacing w:before="156" w:beforeLines="50" w:after="156" w:afterLines="50" w:line="440" w:lineRule="exact"/>
              <w:ind w:left="0" w:leftChars="0" w:firstLine="643" w:firstLineChars="0"/>
              <w:jc w:val="center"/>
              <w:rPr>
                <w:rFonts w:eastAsia="仿宋_GB2312"/>
                <w:b/>
                <w:color w:val="000000"/>
                <w:kern w:val="0"/>
                <w:sz w:val="28"/>
                <w:szCs w:val="28"/>
              </w:rPr>
            </w:pPr>
            <w:r>
              <w:rPr>
                <w:rFonts w:hint="eastAsia" w:ascii="Times New Roman" w:hAnsi="Times New Roman" w:eastAsia="楷体_GB2312" w:cs="Times New Roman"/>
                <w:b/>
                <w:sz w:val="28"/>
                <w:szCs w:val="28"/>
              </w:rPr>
              <w:t>专栏6  “十五五”时期文旅服务体系建设</w:t>
            </w:r>
          </w:p>
        </w:tc>
      </w:tr>
      <w:tr w14:paraId="2F048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tcBorders>
              <w:top w:val="single" w:color="auto" w:sz="4" w:space="0"/>
              <w:left w:val="single" w:color="auto" w:sz="4" w:space="0"/>
              <w:bottom w:val="single" w:color="auto" w:sz="4" w:space="0"/>
              <w:right w:val="single" w:color="auto" w:sz="4" w:space="0"/>
            </w:tcBorders>
            <w:shd w:val="clear" w:color="auto" w:fill="auto"/>
          </w:tcPr>
          <w:p w14:paraId="754E8609">
            <w:pPr>
              <w:snapToGrid w:val="0"/>
              <w:spacing w:line="440" w:lineRule="exact"/>
              <w:ind w:firstLine="562" w:firstLineChars="200"/>
              <w:jc w:val="left"/>
              <w:rPr>
                <w:rFonts w:eastAsia="楷体_GB2312"/>
                <w:b/>
                <w:color w:val="000000"/>
                <w:kern w:val="0"/>
                <w:sz w:val="28"/>
                <w:szCs w:val="28"/>
              </w:rPr>
            </w:pPr>
            <w:r>
              <w:rPr>
                <w:rFonts w:hint="eastAsia" w:eastAsia="楷体_GB2312"/>
                <w:b/>
                <w:color w:val="000000"/>
                <w:kern w:val="0"/>
                <w:sz w:val="28"/>
                <w:szCs w:val="28"/>
              </w:rPr>
              <w:t>1.快进慢游交通设施。</w:t>
            </w:r>
            <w:r>
              <w:rPr>
                <w:rFonts w:hint="eastAsia" w:eastAsia="楷体_GB2312"/>
                <w:color w:val="000000"/>
                <w:kern w:val="0"/>
                <w:sz w:val="28"/>
                <w:szCs w:val="28"/>
              </w:rPr>
              <w:t>推进格聂山等主要景区交通体系建设，完善旅游交通标识和景区“最后一公里”改善提升，建设铁路地接交通系统和自驾服务体系。完善接驳接送、联程联运、旅游包车、异地租赁等便捷交通服务，推进低空旅游相关设施建设。</w:t>
            </w:r>
          </w:p>
          <w:p w14:paraId="17F90C43">
            <w:pPr>
              <w:snapToGrid w:val="0"/>
              <w:spacing w:line="440" w:lineRule="exact"/>
              <w:ind w:firstLine="562" w:firstLineChars="200"/>
              <w:jc w:val="left"/>
              <w:rPr>
                <w:rFonts w:eastAsia="楷体_GB2312"/>
                <w:color w:val="000000"/>
                <w:kern w:val="0"/>
                <w:sz w:val="28"/>
                <w:szCs w:val="28"/>
              </w:rPr>
            </w:pPr>
            <w:r>
              <w:rPr>
                <w:rFonts w:hint="eastAsia" w:eastAsia="楷体_GB2312"/>
                <w:b/>
                <w:color w:val="000000"/>
                <w:kern w:val="0"/>
                <w:sz w:val="28"/>
                <w:szCs w:val="28"/>
              </w:rPr>
              <w:t>2.旅游要素保障体系。</w:t>
            </w:r>
            <w:r>
              <w:rPr>
                <w:rFonts w:hint="eastAsia" w:eastAsia="楷体_GB2312"/>
                <w:color w:val="000000"/>
                <w:kern w:val="0"/>
                <w:sz w:val="28"/>
                <w:szCs w:val="28"/>
              </w:rPr>
              <w:t>搭建全域供氧服务网络，规划建设理塘高原制氧产业园，优化全县供氧设施布局，游客中心、驿站等旅游服务设施配备充足的便携式吸氧设备。深化高原“厕所革命”，完善旅游景区厕所配套，推广泡沫微生物厕所。拓展服务交通干线氢能交通的应用场景。建设以藏家文化酒店、主题乡村酒店等精品民宿集群，进一步提升旅游餐饮、住宿等标准化、品质化、品牌化水平。建设旅游公共服务保障设施项目，新建综合游客服务中心、旅游展区、旅游服务驿站、旅游标识标牌等基础配套设施。</w:t>
            </w:r>
          </w:p>
          <w:p w14:paraId="529086C6">
            <w:pPr>
              <w:snapToGrid w:val="0"/>
              <w:spacing w:line="440" w:lineRule="exact"/>
              <w:ind w:firstLine="562" w:firstLineChars="200"/>
              <w:jc w:val="left"/>
              <w:rPr>
                <w:rFonts w:eastAsia="楷体_GB2312"/>
                <w:color w:val="000000"/>
                <w:kern w:val="0"/>
                <w:sz w:val="28"/>
                <w:szCs w:val="28"/>
              </w:rPr>
            </w:pPr>
            <w:r>
              <w:rPr>
                <w:rFonts w:eastAsia="楷体_GB2312"/>
                <w:b/>
                <w:color w:val="000000"/>
                <w:kern w:val="0"/>
                <w:sz w:val="28"/>
                <w:szCs w:val="28"/>
              </w:rPr>
              <w:t>3.</w:t>
            </w:r>
            <w:r>
              <w:rPr>
                <w:rFonts w:hint="eastAsia" w:eastAsia="楷体_GB2312"/>
                <w:b/>
                <w:color w:val="000000"/>
                <w:kern w:val="0"/>
                <w:sz w:val="28"/>
                <w:szCs w:val="28"/>
              </w:rPr>
              <w:t>智慧旅游建设</w:t>
            </w:r>
            <w:r>
              <w:rPr>
                <w:rFonts w:hint="eastAsia" w:eastAsia="楷体_GB2312"/>
                <w:color w:val="000000"/>
                <w:kern w:val="0"/>
                <w:sz w:val="28"/>
                <w:szCs w:val="28"/>
              </w:rPr>
              <w:t>。全面推进数字文旅建设，升级“智慧文旅平台”，整合导航、实时信息、电子导游等功能，开发格聂山</w:t>
            </w:r>
            <w:r>
              <w:rPr>
                <w:rFonts w:eastAsia="楷体_GB2312"/>
                <w:color w:val="000000"/>
                <w:kern w:val="0"/>
                <w:sz w:val="28"/>
                <w:szCs w:val="28"/>
              </w:rPr>
              <w:t>APP</w:t>
            </w:r>
            <w:r>
              <w:rPr>
                <w:rFonts w:hint="eastAsia" w:eastAsia="楷体_GB2312"/>
                <w:color w:val="000000"/>
                <w:kern w:val="0"/>
                <w:sz w:val="28"/>
                <w:szCs w:val="28"/>
              </w:rPr>
              <w:t>，提供高原评估、智能手环监测及电子围栏防护。</w:t>
            </w:r>
          </w:p>
          <w:p w14:paraId="46620676">
            <w:pPr>
              <w:snapToGrid w:val="0"/>
              <w:spacing w:line="440" w:lineRule="exact"/>
              <w:ind w:firstLine="562" w:firstLineChars="200"/>
              <w:jc w:val="left"/>
              <w:rPr>
                <w:rFonts w:eastAsia="楷体_GB2312"/>
                <w:color w:val="000000"/>
                <w:kern w:val="0"/>
                <w:sz w:val="28"/>
                <w:szCs w:val="28"/>
              </w:rPr>
            </w:pPr>
            <w:r>
              <w:rPr>
                <w:rFonts w:eastAsia="楷体_GB2312"/>
                <w:b/>
                <w:color w:val="000000"/>
                <w:kern w:val="0"/>
                <w:sz w:val="28"/>
                <w:szCs w:val="28"/>
              </w:rPr>
              <w:t>4.</w:t>
            </w:r>
            <w:r>
              <w:rPr>
                <w:rFonts w:hint="eastAsia" w:eastAsia="楷体_GB2312"/>
                <w:b/>
                <w:color w:val="000000"/>
                <w:kern w:val="0"/>
                <w:sz w:val="28"/>
                <w:szCs w:val="28"/>
              </w:rPr>
              <w:t>山地旅游救援体系建设</w:t>
            </w:r>
            <w:r>
              <w:rPr>
                <w:rFonts w:hint="eastAsia" w:eastAsia="楷体_GB2312"/>
                <w:color w:val="000000"/>
                <w:kern w:val="0"/>
                <w:sz w:val="28"/>
                <w:szCs w:val="28"/>
              </w:rPr>
              <w:t>。建立高高原山地应急安全体系，组建专业化救援队伍，推广保险救援模式，布局一键救援系统、无人机氧疗站及三级救援网络。</w:t>
            </w:r>
          </w:p>
          <w:p w14:paraId="10391674">
            <w:pPr>
              <w:snapToGrid w:val="0"/>
              <w:spacing w:line="440" w:lineRule="exact"/>
              <w:ind w:firstLine="562" w:firstLineChars="200"/>
              <w:jc w:val="left"/>
              <w:rPr>
                <w:rFonts w:eastAsia="楷体_GB2312"/>
                <w:color w:val="000000"/>
                <w:kern w:val="0"/>
                <w:sz w:val="28"/>
                <w:szCs w:val="28"/>
              </w:rPr>
            </w:pPr>
            <w:r>
              <w:rPr>
                <w:rFonts w:eastAsia="楷体_GB2312"/>
                <w:b/>
                <w:color w:val="000000"/>
                <w:kern w:val="0"/>
                <w:sz w:val="28"/>
                <w:szCs w:val="28"/>
              </w:rPr>
              <w:t>5.</w:t>
            </w:r>
            <w:r>
              <w:rPr>
                <w:rFonts w:hint="eastAsia" w:eastAsia="楷体_GB2312"/>
                <w:b/>
                <w:color w:val="000000"/>
                <w:kern w:val="0"/>
                <w:sz w:val="28"/>
                <w:szCs w:val="28"/>
              </w:rPr>
              <w:t>旅游市场环境优化</w:t>
            </w:r>
            <w:r>
              <w:rPr>
                <w:rFonts w:hint="eastAsia" w:eastAsia="楷体_GB2312"/>
                <w:color w:val="000000"/>
                <w:kern w:val="0"/>
                <w:sz w:val="28"/>
                <w:szCs w:val="28"/>
              </w:rPr>
              <w:t>。加强旅游市场综合治理，引导和促进行业诚信自律，大力倡导文明旅游。规范旅游市场环境，加强旅行社、导游、演艺团体、购物市场等重点领域管理。</w:t>
            </w:r>
          </w:p>
        </w:tc>
      </w:tr>
      <w:bookmarkEnd w:id="115"/>
      <w:bookmarkEnd w:id="116"/>
      <w:bookmarkEnd w:id="117"/>
    </w:tbl>
    <w:p w14:paraId="1963F8DA">
      <w:pPr>
        <w:pStyle w:val="15"/>
        <w:numPr>
          <w:ilvl w:val="0"/>
          <w:numId w:val="4"/>
        </w:numPr>
        <w:spacing w:before="156" w:beforeLines="50" w:after="156" w:afterLines="50" w:line="580" w:lineRule="exact"/>
        <w:ind w:left="1080" w:hanging="1080" w:firstLineChars="0"/>
        <w:jc w:val="center"/>
        <w:outlineLvl w:val="2"/>
        <w:rPr>
          <w:rFonts w:eastAsia="楷体_GB2312"/>
          <w:b/>
          <w:color w:val="000000"/>
          <w:kern w:val="0"/>
          <w:sz w:val="32"/>
          <w:szCs w:val="32"/>
        </w:rPr>
      </w:pPr>
      <w:bookmarkStart w:id="118" w:name="_Toc15232"/>
      <w:r>
        <w:rPr>
          <w:rFonts w:hint="eastAsia" w:eastAsia="楷体_GB2312"/>
          <w:b/>
          <w:color w:val="000000"/>
          <w:kern w:val="0"/>
          <w:sz w:val="32"/>
          <w:szCs w:val="32"/>
        </w:rPr>
        <w:t xml:space="preserve"> </w:t>
      </w:r>
      <w:bookmarkStart w:id="119" w:name="_Toc218241031"/>
      <w:r>
        <w:rPr>
          <w:rFonts w:hint="eastAsia" w:eastAsia="楷体_GB2312"/>
          <w:b/>
          <w:color w:val="000000"/>
          <w:kern w:val="0"/>
          <w:sz w:val="32"/>
          <w:szCs w:val="32"/>
        </w:rPr>
        <w:t>唱响擦亮“天空之城”世界级旅游品牌</w:t>
      </w:r>
      <w:bookmarkEnd w:id="118"/>
      <w:bookmarkEnd w:id="119"/>
    </w:p>
    <w:p w14:paraId="35E02BA6">
      <w:pPr>
        <w:snapToGrid w:val="0"/>
        <w:spacing w:before="72" w:after="72" w:line="580" w:lineRule="exact"/>
        <w:ind w:firstLine="640" w:firstLineChars="200"/>
        <w:jc w:val="left"/>
        <w:rPr>
          <w:rFonts w:eastAsia="仿宋_GB2312"/>
          <w:bCs/>
          <w:sz w:val="32"/>
          <w:szCs w:val="32"/>
        </w:rPr>
      </w:pPr>
      <w:r>
        <w:rPr>
          <w:rFonts w:hint="eastAsia" w:eastAsia="仿宋_GB2312"/>
          <w:bCs/>
          <w:sz w:val="32"/>
          <w:szCs w:val="32"/>
        </w:rPr>
        <w:t>围绕“天空之城”品牌形象，锚定‘国际生态文化旅游目的地’建设新坐标，重点打造</w:t>
      </w:r>
      <w:bookmarkStart w:id="120" w:name="OLE_LINK212"/>
      <w:bookmarkStart w:id="121" w:name="OLE_LINK211"/>
      <w:r>
        <w:rPr>
          <w:rFonts w:hint="eastAsia" w:eastAsia="仿宋_GB2312"/>
          <w:bCs/>
          <w:sz w:val="32"/>
          <w:szCs w:val="32"/>
        </w:rPr>
        <w:t>‘</w:t>
      </w:r>
      <w:bookmarkEnd w:id="120"/>
      <w:bookmarkEnd w:id="121"/>
      <w:r>
        <w:rPr>
          <w:rFonts w:hint="eastAsia" w:eastAsia="仿宋_GB2312"/>
          <w:bCs/>
          <w:sz w:val="32"/>
          <w:szCs w:val="32"/>
        </w:rPr>
        <w:t>格聂・生态天堂</w:t>
      </w:r>
      <w:bookmarkStart w:id="122" w:name="OLE_LINK207"/>
      <w:bookmarkStart w:id="123" w:name="OLE_LINK208"/>
      <w:r>
        <w:rPr>
          <w:rFonts w:hint="eastAsia" w:eastAsia="仿宋_GB2312"/>
          <w:bCs/>
          <w:sz w:val="32"/>
          <w:szCs w:val="32"/>
        </w:rPr>
        <w:t>’</w:t>
      </w:r>
      <w:bookmarkEnd w:id="122"/>
      <w:bookmarkEnd w:id="123"/>
      <w:bookmarkStart w:id="124" w:name="OLE_LINK198"/>
      <w:bookmarkStart w:id="125" w:name="OLE_LINK199"/>
      <w:r>
        <w:rPr>
          <w:rFonts w:hint="eastAsia" w:eastAsia="仿宋_GB2312"/>
          <w:bCs/>
          <w:sz w:val="32"/>
          <w:szCs w:val="32"/>
        </w:rPr>
        <w:t>‘</w:t>
      </w:r>
      <w:bookmarkEnd w:id="124"/>
      <w:bookmarkEnd w:id="125"/>
      <w:r>
        <w:rPr>
          <w:rFonts w:hint="eastAsia" w:eastAsia="仿宋_GB2312"/>
          <w:bCs/>
          <w:sz w:val="32"/>
          <w:szCs w:val="32"/>
        </w:rPr>
        <w:t>勒通古镇・文化百科’‘无量河谷・康巴牧歌’三大文旅品牌</w:t>
      </w:r>
      <w:bookmarkStart w:id="126" w:name="OLE_LINK197"/>
      <w:bookmarkStart w:id="127" w:name="OLE_LINK194"/>
      <w:r>
        <w:rPr>
          <w:rFonts w:hint="eastAsia" w:eastAsia="仿宋_GB2312"/>
          <w:bCs/>
          <w:sz w:val="32"/>
          <w:szCs w:val="32"/>
        </w:rPr>
        <w:t>，</w:t>
      </w:r>
      <w:bookmarkEnd w:id="126"/>
      <w:bookmarkEnd w:id="127"/>
      <w:r>
        <w:rPr>
          <w:rFonts w:hint="eastAsia" w:eastAsia="仿宋_GB2312"/>
          <w:bCs/>
          <w:sz w:val="32"/>
          <w:szCs w:val="32"/>
        </w:rPr>
        <w:t>系统构建多层次、立体化品牌推广体系，积极参与“锦绣天府・安逸四川”文旅融合主题展活动。依托“大香格里拉”文旅联盟和“浙川”文旅协作机制，积极参与国际旅游交易会、四川文旅海外推广等活动，加强对外交流合作与市场营销。采用新媒体、自媒体、短视频等载体，构建“线上+线下”营销体系，推进“百万视频创作者计划”，持续打造传播热点。用好用活“四川文化旅游宣传推广大使——丁真的家乡”等名片，联合主流平台扩大理塘文旅传播力，营造活力不断、热点频现、贯穿全年的消费氛围。</w:t>
      </w:r>
    </w:p>
    <w:p w14:paraId="531F0DED">
      <w:pPr>
        <w:pStyle w:val="15"/>
        <w:numPr>
          <w:ilvl w:val="0"/>
          <w:numId w:val="4"/>
        </w:numPr>
        <w:spacing w:before="156" w:beforeLines="50" w:after="156" w:afterLines="50" w:line="580" w:lineRule="exact"/>
        <w:ind w:left="1080" w:hanging="1080" w:firstLineChars="0"/>
        <w:jc w:val="center"/>
        <w:outlineLvl w:val="2"/>
        <w:rPr>
          <w:rFonts w:eastAsia="楷体_GB2312"/>
          <w:b/>
          <w:color w:val="000000"/>
          <w:kern w:val="0"/>
          <w:sz w:val="32"/>
          <w:szCs w:val="32"/>
        </w:rPr>
      </w:pPr>
      <w:bookmarkStart w:id="128" w:name="_Toc28662"/>
      <w:r>
        <w:rPr>
          <w:rFonts w:hint="eastAsia" w:eastAsia="楷体_GB2312"/>
          <w:b/>
          <w:color w:val="000000"/>
          <w:kern w:val="0"/>
          <w:sz w:val="32"/>
          <w:szCs w:val="32"/>
        </w:rPr>
        <w:t xml:space="preserve"> </w:t>
      </w:r>
      <w:bookmarkStart w:id="129" w:name="_Toc218241032"/>
      <w:r>
        <w:rPr>
          <w:rFonts w:hint="eastAsia" w:eastAsia="楷体_GB2312"/>
          <w:b/>
          <w:color w:val="000000"/>
          <w:kern w:val="0"/>
          <w:sz w:val="32"/>
          <w:szCs w:val="32"/>
        </w:rPr>
        <w:t>健全文旅深度融合发展体制机制</w:t>
      </w:r>
      <w:bookmarkEnd w:id="128"/>
      <w:bookmarkEnd w:id="129"/>
    </w:p>
    <w:p w14:paraId="46D25DF5">
      <w:pPr>
        <w:snapToGrid w:val="0"/>
        <w:spacing w:before="72" w:after="72" w:line="580" w:lineRule="exact"/>
        <w:ind w:firstLine="640" w:firstLineChars="200"/>
        <w:jc w:val="left"/>
        <w:rPr>
          <w:rFonts w:eastAsia="仿宋_GB2312"/>
          <w:bCs/>
          <w:sz w:val="32"/>
          <w:szCs w:val="32"/>
        </w:rPr>
      </w:pPr>
      <w:r>
        <w:rPr>
          <w:rFonts w:hint="eastAsia" w:eastAsia="仿宋_GB2312"/>
          <w:bCs/>
          <w:sz w:val="32"/>
          <w:szCs w:val="32"/>
        </w:rPr>
        <w:t>着力</w:t>
      </w:r>
      <w:r>
        <w:rPr>
          <w:rFonts w:eastAsia="仿宋_GB2312"/>
          <w:bCs/>
          <w:sz w:val="32"/>
          <w:szCs w:val="32"/>
        </w:rPr>
        <w:t>激发旅游发展新动能，真正将文旅产业打造成为支柱产业、民生产业、幸福产业。</w:t>
      </w:r>
      <w:r>
        <w:rPr>
          <w:rFonts w:hint="eastAsia" w:eastAsia="仿宋_GB2312"/>
          <w:bCs/>
          <w:sz w:val="32"/>
          <w:szCs w:val="32"/>
        </w:rPr>
        <w:t>持续推进市场化运作，搭建社会资金参与旅游开发的平台，鼓励社会资金进入旅游相关产业，为旅游业发展输入资金“血液”。</w:t>
      </w:r>
      <w:r>
        <w:rPr>
          <w:rFonts w:eastAsia="仿宋_GB2312"/>
          <w:bCs/>
          <w:sz w:val="32"/>
          <w:szCs w:val="32"/>
        </w:rPr>
        <w:t>实施“链主”培育计划，</w:t>
      </w:r>
      <w:r>
        <w:rPr>
          <w:rFonts w:hint="eastAsia" w:eastAsia="仿宋_GB2312"/>
          <w:bCs/>
          <w:sz w:val="32"/>
          <w:szCs w:val="32"/>
        </w:rPr>
        <w:t>鼓励支持涉旅企业兼并重组，通过市场化</w:t>
      </w:r>
      <w:r>
        <w:rPr>
          <w:rFonts w:eastAsia="仿宋_GB2312"/>
          <w:bCs/>
          <w:sz w:val="32"/>
          <w:szCs w:val="32"/>
        </w:rPr>
        <w:t>并购、资产证券化等方式整合</w:t>
      </w:r>
      <w:r>
        <w:rPr>
          <w:rFonts w:hint="eastAsia" w:eastAsia="仿宋_GB2312"/>
          <w:bCs/>
          <w:sz w:val="32"/>
          <w:szCs w:val="32"/>
        </w:rPr>
        <w:t>破解资源碎片化问题。加大政策支持力度，统筹专项债券与文旅基金，</w:t>
      </w:r>
      <w:r>
        <w:rPr>
          <w:rFonts w:eastAsia="仿宋_GB2312"/>
          <w:bCs/>
          <w:sz w:val="32"/>
          <w:szCs w:val="32"/>
        </w:rPr>
        <w:t>优化文旅项目土地供给</w:t>
      </w:r>
      <w:r>
        <w:rPr>
          <w:rFonts w:hint="eastAsia" w:eastAsia="仿宋_GB2312"/>
          <w:bCs/>
          <w:sz w:val="32"/>
          <w:szCs w:val="32"/>
        </w:rPr>
        <w:t>，实施从业人员培训计划，强化文旅产业发展资源要素保障。</w:t>
      </w:r>
      <w:r>
        <w:rPr>
          <w:rFonts w:eastAsia="仿宋_GB2312"/>
          <w:bCs/>
          <w:sz w:val="32"/>
          <w:szCs w:val="32"/>
        </w:rPr>
        <w:t>建立跨部门协同机制，实现多部门联合调研、共同决策，统筹协调</w:t>
      </w:r>
      <w:r>
        <w:rPr>
          <w:rFonts w:hint="eastAsia" w:eastAsia="仿宋_GB2312"/>
          <w:bCs/>
          <w:sz w:val="32"/>
          <w:szCs w:val="32"/>
        </w:rPr>
        <w:t>解决文旅融合中的重大问题</w:t>
      </w:r>
      <w:r>
        <w:rPr>
          <w:rFonts w:eastAsia="仿宋_GB2312"/>
          <w:bCs/>
          <w:sz w:val="32"/>
          <w:szCs w:val="32"/>
        </w:rPr>
        <w:t>。</w:t>
      </w:r>
    </w:p>
    <w:p w14:paraId="3965D24F">
      <w:pPr>
        <w:pStyle w:val="15"/>
        <w:numPr>
          <w:ilvl w:val="0"/>
          <w:numId w:val="2"/>
        </w:numPr>
        <w:spacing w:before="156" w:beforeLines="50" w:after="156" w:afterLines="50" w:line="580" w:lineRule="exact"/>
        <w:ind w:left="1080" w:hanging="1080" w:firstLineChars="0"/>
        <w:jc w:val="center"/>
        <w:outlineLvl w:val="1"/>
        <w:rPr>
          <w:rFonts w:eastAsia="黑体"/>
          <w:sz w:val="32"/>
          <w:szCs w:val="32"/>
        </w:rPr>
      </w:pPr>
      <w:bookmarkStart w:id="130" w:name="_Toc26903"/>
      <w:bookmarkStart w:id="131" w:name="_Toc212814820"/>
      <w:bookmarkStart w:id="132" w:name="_Toc214372624"/>
      <w:bookmarkStart w:id="133" w:name="_Toc850"/>
      <w:r>
        <w:rPr>
          <w:rFonts w:hint="eastAsia" w:eastAsia="黑体"/>
          <w:sz w:val="32"/>
          <w:szCs w:val="32"/>
        </w:rPr>
        <w:t xml:space="preserve"> </w:t>
      </w:r>
      <w:bookmarkStart w:id="134" w:name="_Toc218241033"/>
      <w:r>
        <w:rPr>
          <w:rFonts w:eastAsia="黑体"/>
          <w:sz w:val="32"/>
          <w:szCs w:val="32"/>
        </w:rPr>
        <w:t>加快建设有机农牧业集中发展区</w:t>
      </w:r>
      <w:bookmarkEnd w:id="130"/>
      <w:bookmarkEnd w:id="131"/>
      <w:bookmarkEnd w:id="132"/>
      <w:bookmarkEnd w:id="133"/>
      <w:bookmarkEnd w:id="134"/>
    </w:p>
    <w:p w14:paraId="4CE52ED5">
      <w:pPr>
        <w:spacing w:before="156" w:beforeLines="50" w:after="156" w:afterLines="50" w:line="580" w:lineRule="exact"/>
        <w:ind w:firstLine="1430" w:firstLineChars="445"/>
        <w:outlineLvl w:val="2"/>
        <w:rPr>
          <w:rFonts w:eastAsia="楷体_GB2312"/>
          <w:b/>
          <w:color w:val="000000"/>
          <w:kern w:val="0"/>
          <w:sz w:val="32"/>
          <w:szCs w:val="32"/>
        </w:rPr>
      </w:pPr>
      <w:bookmarkStart w:id="135" w:name="_Toc29429"/>
      <w:bookmarkStart w:id="136" w:name="_Toc218241034"/>
      <w:bookmarkStart w:id="137" w:name="OLE_LINK9"/>
      <w:bookmarkStart w:id="138" w:name="OLE_LINK10"/>
      <w:r>
        <w:rPr>
          <w:rFonts w:hint="eastAsia" w:eastAsia="楷体_GB2312"/>
          <w:b/>
          <w:color w:val="000000"/>
          <w:kern w:val="0"/>
          <w:sz w:val="32"/>
          <w:szCs w:val="32"/>
        </w:rPr>
        <w:t>第一节  加快农牧业结构调整</w:t>
      </w:r>
      <w:bookmarkEnd w:id="135"/>
      <w:bookmarkEnd w:id="136"/>
    </w:p>
    <w:p w14:paraId="43292F7D">
      <w:pPr>
        <w:ind w:firstLine="640" w:firstLineChars="200"/>
        <w:rPr>
          <w:rFonts w:eastAsia="仿宋_GB2312"/>
          <w:bCs/>
          <w:sz w:val="32"/>
          <w:szCs w:val="32"/>
        </w:rPr>
      </w:pPr>
      <w:r>
        <w:rPr>
          <w:rFonts w:hint="eastAsia" w:eastAsia="仿宋_GB2312"/>
          <w:bCs/>
          <w:sz w:val="32"/>
          <w:szCs w:val="32"/>
        </w:rPr>
        <w:t>突出高高原农牧业有机生态优势，</w:t>
      </w:r>
      <w:r>
        <w:rPr>
          <w:rFonts w:eastAsia="仿宋_GB2312"/>
          <w:bCs/>
          <w:sz w:val="32"/>
          <w:szCs w:val="32"/>
        </w:rPr>
        <w:t>着力优化产品结构、生产结构和产业结构，</w:t>
      </w:r>
      <w:r>
        <w:rPr>
          <w:rFonts w:hint="eastAsia" w:eastAsia="仿宋_GB2312"/>
          <w:bCs/>
          <w:sz w:val="32"/>
          <w:szCs w:val="32"/>
        </w:rPr>
        <w:t>培育区域主导产业和拳头产品，</w:t>
      </w:r>
      <w:r>
        <w:rPr>
          <w:rFonts w:eastAsia="仿宋_GB2312"/>
          <w:bCs/>
          <w:sz w:val="32"/>
          <w:szCs w:val="32"/>
        </w:rPr>
        <w:t>增强质量效益和竞争力</w:t>
      </w:r>
      <w:r>
        <w:rPr>
          <w:rFonts w:hint="eastAsia" w:eastAsia="仿宋_GB2312"/>
          <w:bCs/>
          <w:sz w:val="32"/>
          <w:szCs w:val="32"/>
        </w:rPr>
        <w:t>。围绕市场品质生活需求，提高绿色有机农业比重。优化草畜结构，加强饲草基地建设，促进草畜平衡。</w:t>
      </w:r>
      <w:r>
        <w:rPr>
          <w:rFonts w:eastAsia="仿宋_GB2312"/>
          <w:bCs/>
          <w:sz w:val="32"/>
          <w:szCs w:val="32"/>
        </w:rPr>
        <w:t>拓展农业多样性功能</w:t>
      </w:r>
      <w:r>
        <w:rPr>
          <w:rFonts w:hint="eastAsia" w:eastAsia="仿宋_GB2312"/>
          <w:bCs/>
          <w:sz w:val="32"/>
          <w:szCs w:val="32"/>
        </w:rPr>
        <w:t>，</w:t>
      </w:r>
      <w:r>
        <w:rPr>
          <w:rFonts w:eastAsia="仿宋_GB2312"/>
          <w:bCs/>
          <w:sz w:val="32"/>
          <w:szCs w:val="32"/>
        </w:rPr>
        <w:t>促进农业单一生产功能向经济、生态、旅游、健康、教育和文化等复合功能转变，提高农业产业的综合效益。</w:t>
      </w:r>
      <w:r>
        <w:rPr>
          <w:rFonts w:hint="eastAsia" w:eastAsia="仿宋_GB2312"/>
          <w:bCs/>
          <w:sz w:val="32"/>
          <w:szCs w:val="32"/>
        </w:rPr>
        <w:t>按照“特色引领、做大规模”发展思路，引导乡镇农牧业结构调整。</w:t>
      </w: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96"/>
      </w:tblGrid>
      <w:tr w14:paraId="405820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6" w:type="dxa"/>
            <w:tcBorders>
              <w:top w:val="single" w:color="auto" w:sz="4" w:space="0"/>
              <w:left w:val="single" w:color="auto" w:sz="4" w:space="0"/>
              <w:bottom w:val="single" w:color="auto" w:sz="4" w:space="0"/>
              <w:right w:val="single" w:color="auto" w:sz="4" w:space="0"/>
            </w:tcBorders>
            <w:shd w:val="clear" w:color="auto" w:fill="auto"/>
          </w:tcPr>
          <w:p w14:paraId="22D3D223">
            <w:pPr>
              <w:pStyle w:val="10"/>
              <w:snapToGrid w:val="0"/>
              <w:spacing w:before="156" w:beforeLines="50" w:after="156" w:afterLines="50" w:line="440" w:lineRule="exact"/>
              <w:ind w:left="0" w:leftChars="0" w:firstLine="643" w:firstLineChars="0"/>
              <w:jc w:val="center"/>
              <w:rPr>
                <w:rFonts w:eastAsia="仿宋_GB2312"/>
                <w:b/>
                <w:color w:val="000000"/>
                <w:kern w:val="0"/>
                <w:sz w:val="28"/>
                <w:szCs w:val="28"/>
              </w:rPr>
            </w:pPr>
            <w:r>
              <w:rPr>
                <w:rFonts w:hint="eastAsia" w:ascii="Times New Roman" w:hAnsi="Times New Roman" w:eastAsia="楷体_GB2312" w:cs="Times New Roman"/>
                <w:b/>
                <w:sz w:val="28"/>
                <w:szCs w:val="28"/>
              </w:rPr>
              <w:t>专栏7  “十五五”时期农牧业结构调整方向</w:t>
            </w:r>
          </w:p>
        </w:tc>
      </w:tr>
      <w:tr w14:paraId="4E6B5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6" w:type="dxa"/>
            <w:tcBorders>
              <w:top w:val="single" w:color="auto" w:sz="4" w:space="0"/>
              <w:left w:val="single" w:color="auto" w:sz="4" w:space="0"/>
              <w:bottom w:val="single" w:color="auto" w:sz="4" w:space="0"/>
              <w:right w:val="single" w:color="auto" w:sz="4" w:space="0"/>
            </w:tcBorders>
            <w:shd w:val="clear" w:color="auto" w:fill="auto"/>
          </w:tcPr>
          <w:p w14:paraId="67DCCA9F">
            <w:pPr>
              <w:snapToGrid w:val="0"/>
              <w:spacing w:line="440" w:lineRule="exact"/>
              <w:ind w:firstLine="562" w:firstLineChars="200"/>
              <w:rPr>
                <w:rFonts w:eastAsia="楷体_GB2312"/>
                <w:color w:val="000000"/>
                <w:kern w:val="0"/>
                <w:sz w:val="28"/>
                <w:szCs w:val="28"/>
              </w:rPr>
            </w:pPr>
            <w:r>
              <w:rPr>
                <w:rFonts w:eastAsia="楷体_GB2312"/>
                <w:b/>
                <w:sz w:val="28"/>
                <w:szCs w:val="28"/>
              </w:rPr>
              <w:t>1.</w:t>
            </w:r>
            <w:r>
              <w:rPr>
                <w:rFonts w:hint="eastAsia" w:eastAsia="楷体_GB2312"/>
                <w:b/>
                <w:sz w:val="28"/>
                <w:szCs w:val="28"/>
              </w:rPr>
              <w:t>粮油业</w:t>
            </w:r>
            <w:r>
              <w:rPr>
                <w:rFonts w:hint="eastAsia" w:eastAsia="楷体_GB2312"/>
                <w:color w:val="000000"/>
                <w:kern w:val="0"/>
                <w:sz w:val="28"/>
                <w:szCs w:val="28"/>
              </w:rPr>
              <w:t>。在稳定青稞、马铃薯生产基础上，适度扩大油菜、豌豆、胡豆等适宜作物生产，适度推广粮饲兼用作物种植，支持粮改饲、耕地轮作试点。</w:t>
            </w:r>
          </w:p>
          <w:p w14:paraId="099A5159">
            <w:pPr>
              <w:snapToGrid w:val="0"/>
              <w:spacing w:line="440" w:lineRule="exact"/>
              <w:ind w:firstLine="562" w:firstLineChars="200"/>
              <w:rPr>
                <w:rFonts w:eastAsia="楷体_GB2312"/>
                <w:color w:val="000000"/>
                <w:kern w:val="0"/>
                <w:sz w:val="28"/>
                <w:szCs w:val="28"/>
              </w:rPr>
            </w:pPr>
            <w:r>
              <w:rPr>
                <w:rFonts w:eastAsia="楷体_GB2312"/>
                <w:b/>
                <w:color w:val="000000"/>
                <w:kern w:val="0"/>
                <w:sz w:val="28"/>
                <w:szCs w:val="28"/>
              </w:rPr>
              <w:t>2.</w:t>
            </w:r>
            <w:r>
              <w:rPr>
                <w:rFonts w:hint="eastAsia" w:eastAsia="楷体_GB2312"/>
                <w:b/>
                <w:color w:val="000000"/>
                <w:kern w:val="0"/>
                <w:sz w:val="28"/>
                <w:szCs w:val="28"/>
              </w:rPr>
              <w:t>蔬果业</w:t>
            </w:r>
            <w:r>
              <w:rPr>
                <w:rFonts w:hint="eastAsia" w:eastAsia="楷体_GB2312"/>
                <w:color w:val="000000"/>
                <w:kern w:val="0"/>
                <w:sz w:val="28"/>
                <w:szCs w:val="28"/>
              </w:rPr>
              <w:t>。围绕“有机、错季、高端”，统筹推进萝卜、羽衣甘蓝、水果等适宜品种种植。推进食用菌标准化种植，适度开发野生食用菌产业。</w:t>
            </w:r>
          </w:p>
          <w:p w14:paraId="10EE8983">
            <w:pPr>
              <w:snapToGrid w:val="0"/>
              <w:spacing w:line="440" w:lineRule="exact"/>
              <w:ind w:firstLine="562" w:firstLineChars="200"/>
              <w:rPr>
                <w:rFonts w:eastAsia="楷体_GB2312"/>
                <w:color w:val="000000"/>
                <w:kern w:val="0"/>
                <w:sz w:val="28"/>
                <w:szCs w:val="28"/>
              </w:rPr>
            </w:pPr>
            <w:r>
              <w:rPr>
                <w:rFonts w:eastAsia="楷体_GB2312"/>
                <w:b/>
                <w:color w:val="000000"/>
                <w:kern w:val="0"/>
                <w:sz w:val="28"/>
                <w:szCs w:val="28"/>
              </w:rPr>
              <w:t>3.</w:t>
            </w:r>
            <w:r>
              <w:rPr>
                <w:rFonts w:hint="eastAsia" w:eastAsia="楷体_GB2312"/>
                <w:b/>
                <w:color w:val="000000"/>
                <w:kern w:val="0"/>
                <w:sz w:val="28"/>
                <w:szCs w:val="28"/>
              </w:rPr>
              <w:t>中药材</w:t>
            </w:r>
            <w:r>
              <w:rPr>
                <w:rFonts w:hint="eastAsia" w:eastAsia="楷体_GB2312"/>
                <w:color w:val="000000"/>
                <w:kern w:val="0"/>
                <w:sz w:val="28"/>
                <w:szCs w:val="28"/>
              </w:rPr>
              <w:t>。推动中藏药种植、高原药蜜示范、中藏药仿野生栽培、野生中藏药保育协同发展，推动道地中药材品牌建设，适度发展食药同源产业。</w:t>
            </w:r>
          </w:p>
          <w:p w14:paraId="4EB2D3C5">
            <w:pPr>
              <w:snapToGrid w:val="0"/>
              <w:spacing w:line="440" w:lineRule="exact"/>
              <w:ind w:firstLine="562" w:firstLineChars="200"/>
              <w:rPr>
                <w:rFonts w:eastAsia="楷体_GB2312"/>
                <w:color w:val="000000"/>
                <w:kern w:val="0"/>
                <w:sz w:val="28"/>
                <w:szCs w:val="28"/>
              </w:rPr>
            </w:pPr>
            <w:r>
              <w:rPr>
                <w:rFonts w:hint="eastAsia" w:eastAsia="楷体_GB2312"/>
                <w:b/>
                <w:color w:val="000000"/>
                <w:kern w:val="0"/>
                <w:sz w:val="28"/>
                <w:szCs w:val="28"/>
              </w:rPr>
              <w:t>4.养殖业。</w:t>
            </w:r>
            <w:r>
              <w:rPr>
                <w:rFonts w:hint="eastAsia" w:eastAsia="楷体_GB2312"/>
                <w:color w:val="000000"/>
                <w:kern w:val="0"/>
                <w:sz w:val="28"/>
                <w:szCs w:val="28"/>
              </w:rPr>
              <w:t>以牦牛产业为核心引擎，统筹推进绵羊保种增效、马产业跨界融合、特色畜禽扩量，构建“牦牛引领、多畜协同、文旅赋能”的现代牧业体系。支持现代化牧场建设，做好“勒通绵羊”国家遗传资源保种扩繁，推进产业特色多样。</w:t>
            </w:r>
          </w:p>
          <w:p w14:paraId="37F37479">
            <w:pPr>
              <w:snapToGrid w:val="0"/>
              <w:spacing w:line="440" w:lineRule="exact"/>
              <w:ind w:firstLine="562" w:firstLineChars="200"/>
              <w:rPr>
                <w:rFonts w:eastAsia="楷体_GB2312"/>
                <w:color w:val="000000"/>
                <w:kern w:val="0"/>
                <w:sz w:val="28"/>
                <w:szCs w:val="28"/>
              </w:rPr>
            </w:pPr>
            <w:r>
              <w:rPr>
                <w:rFonts w:eastAsia="楷体_GB2312"/>
                <w:b/>
                <w:color w:val="000000"/>
                <w:kern w:val="0"/>
                <w:sz w:val="28"/>
                <w:szCs w:val="28"/>
              </w:rPr>
              <w:t>5.</w:t>
            </w:r>
            <w:r>
              <w:rPr>
                <w:rFonts w:hint="eastAsia" w:eastAsia="楷体_GB2312"/>
                <w:b/>
                <w:color w:val="000000"/>
                <w:kern w:val="0"/>
                <w:sz w:val="28"/>
                <w:szCs w:val="28"/>
              </w:rPr>
              <w:t>主要乡镇农业产业发展导向</w:t>
            </w:r>
            <w:r>
              <w:rPr>
                <w:rFonts w:hint="eastAsia" w:eastAsia="楷体_GB2312"/>
                <w:color w:val="000000"/>
                <w:kern w:val="0"/>
                <w:sz w:val="28"/>
                <w:szCs w:val="28"/>
              </w:rPr>
              <w:t>。粮食产业半农半牧区覆盖，油菜产业布局在拉波片区。蔬果产业沿无量河流域集中在甲洼镇、濯桑乡。草原畜牧业全覆盖，特色畜禽集中布局于木拉镇、绒坝乡、拉波镇。中药材主要集中</w:t>
            </w:r>
            <w:bookmarkStart w:id="139" w:name="OLE_LINK75"/>
            <w:bookmarkStart w:id="140" w:name="OLE_LINK84"/>
            <w:r>
              <w:rPr>
                <w:rFonts w:hint="eastAsia" w:eastAsia="楷体_GB2312"/>
                <w:color w:val="000000"/>
                <w:kern w:val="0"/>
                <w:sz w:val="28"/>
                <w:szCs w:val="28"/>
              </w:rPr>
              <w:t>濯桑、君坝、拉波、下坝片区。</w:t>
            </w:r>
            <w:bookmarkEnd w:id="139"/>
            <w:bookmarkEnd w:id="140"/>
          </w:p>
        </w:tc>
      </w:tr>
    </w:tbl>
    <w:p w14:paraId="010B2C05">
      <w:pPr>
        <w:spacing w:before="156" w:beforeLines="50" w:after="156" w:afterLines="50" w:line="580" w:lineRule="exact"/>
        <w:ind w:left="643"/>
        <w:jc w:val="center"/>
        <w:outlineLvl w:val="2"/>
        <w:rPr>
          <w:rFonts w:eastAsia="仿宋_GB2312"/>
          <w:color w:val="000000"/>
          <w:kern w:val="0"/>
          <w:sz w:val="32"/>
          <w:szCs w:val="32"/>
        </w:rPr>
      </w:pPr>
      <w:bookmarkStart w:id="141" w:name="_Toc13084"/>
      <w:r>
        <w:rPr>
          <w:rFonts w:hint="eastAsia" w:eastAsia="楷体_GB2312"/>
          <w:b/>
          <w:color w:val="000000"/>
          <w:kern w:val="0"/>
          <w:sz w:val="32"/>
          <w:szCs w:val="32"/>
        </w:rPr>
        <w:t xml:space="preserve"> </w:t>
      </w:r>
      <w:bookmarkStart w:id="142" w:name="_Toc218241035"/>
      <w:r>
        <w:rPr>
          <w:rFonts w:hint="eastAsia" w:eastAsia="楷体_GB2312"/>
          <w:b/>
          <w:color w:val="000000"/>
          <w:kern w:val="0"/>
          <w:sz w:val="32"/>
          <w:szCs w:val="32"/>
        </w:rPr>
        <w:t>第二节  优化农牧业生产布局</w:t>
      </w:r>
      <w:bookmarkEnd w:id="141"/>
      <w:bookmarkEnd w:id="142"/>
    </w:p>
    <w:p w14:paraId="022A7266">
      <w:pPr>
        <w:snapToGrid w:val="0"/>
        <w:spacing w:before="72" w:after="72" w:line="580" w:lineRule="exact"/>
        <w:ind w:firstLine="640" w:firstLineChars="200"/>
        <w:jc w:val="left"/>
        <w:rPr>
          <w:rFonts w:eastAsia="仿宋_GB2312"/>
          <w:color w:val="000000"/>
          <w:kern w:val="0"/>
          <w:sz w:val="32"/>
          <w:szCs w:val="32"/>
        </w:rPr>
      </w:pPr>
      <w:r>
        <w:rPr>
          <w:rFonts w:hint="eastAsia" w:eastAsia="仿宋_GB2312"/>
          <w:color w:val="000000"/>
          <w:kern w:val="0"/>
          <w:sz w:val="32"/>
          <w:szCs w:val="32"/>
        </w:rPr>
        <w:t>根据理塘丘状高原和山原地貌形成的独特生态气候特点，结合土地资源分布差异和农业生产结构思路，按照“强牧、稳粮、精蔬、兴药、优畜”集约高效原则，统筹区域空间布局，着力形成“一核两翼五组团”农牧业发展总体空间架构，全面推进农牧业产业组团式、规模化发展。</w:t>
      </w:r>
      <w:bookmarkStart w:id="143" w:name="OLE_LINK71"/>
      <w:bookmarkStart w:id="144" w:name="OLE_LINK70"/>
    </w:p>
    <w:p w14:paraId="3FADBA37">
      <w:pPr>
        <w:pStyle w:val="2"/>
      </w:pP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96"/>
      </w:tblGrid>
      <w:tr w14:paraId="638B4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6" w:type="dxa"/>
            <w:tcBorders>
              <w:top w:val="single" w:color="auto" w:sz="4" w:space="0"/>
              <w:left w:val="single" w:color="auto" w:sz="4" w:space="0"/>
              <w:bottom w:val="single" w:color="auto" w:sz="4" w:space="0"/>
              <w:right w:val="single" w:color="auto" w:sz="4" w:space="0"/>
            </w:tcBorders>
            <w:shd w:val="clear" w:color="auto" w:fill="auto"/>
          </w:tcPr>
          <w:p w14:paraId="00E1F66F">
            <w:pPr>
              <w:pStyle w:val="10"/>
              <w:snapToGrid w:val="0"/>
              <w:spacing w:before="156" w:beforeLines="50" w:after="156" w:afterLines="50" w:line="440" w:lineRule="exact"/>
              <w:ind w:left="0" w:leftChars="0" w:firstLine="643" w:firstLineChars="0"/>
              <w:jc w:val="center"/>
              <w:rPr>
                <w:rFonts w:eastAsia="仿宋_GB2312"/>
                <w:b/>
                <w:bCs/>
                <w:color w:val="000000"/>
                <w:kern w:val="0"/>
                <w:sz w:val="28"/>
                <w:szCs w:val="28"/>
              </w:rPr>
            </w:pPr>
            <w:r>
              <w:rPr>
                <w:rFonts w:hint="eastAsia" w:ascii="Times New Roman" w:hAnsi="Times New Roman" w:eastAsia="楷体_GB2312" w:cs="Times New Roman"/>
                <w:b/>
                <w:sz w:val="28"/>
                <w:szCs w:val="28"/>
              </w:rPr>
              <w:t>专栏8  “十五五”时期农牧业生产总体布局</w:t>
            </w:r>
          </w:p>
        </w:tc>
      </w:tr>
      <w:tr w14:paraId="615465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6" w:type="dxa"/>
            <w:tcBorders>
              <w:top w:val="single" w:color="auto" w:sz="4" w:space="0"/>
              <w:left w:val="single" w:color="auto" w:sz="4" w:space="0"/>
              <w:bottom w:val="single" w:color="auto" w:sz="4" w:space="0"/>
              <w:right w:val="single" w:color="auto" w:sz="4" w:space="0"/>
            </w:tcBorders>
            <w:shd w:val="clear" w:color="auto" w:fill="auto"/>
          </w:tcPr>
          <w:p w14:paraId="6E96BBA1">
            <w:pPr>
              <w:snapToGrid w:val="0"/>
              <w:spacing w:line="440" w:lineRule="exact"/>
              <w:ind w:firstLine="562" w:firstLineChars="200"/>
              <w:rPr>
                <w:rFonts w:eastAsia="楷体_GB2312"/>
                <w:color w:val="000000"/>
                <w:kern w:val="0"/>
                <w:sz w:val="28"/>
                <w:szCs w:val="28"/>
              </w:rPr>
            </w:pPr>
            <w:r>
              <w:rPr>
                <w:rFonts w:eastAsia="楷体_GB2312"/>
                <w:b/>
                <w:color w:val="000000"/>
                <w:kern w:val="0"/>
                <w:sz w:val="28"/>
                <w:szCs w:val="28"/>
              </w:rPr>
              <w:t>1</w:t>
            </w:r>
            <w:r>
              <w:rPr>
                <w:rFonts w:hint="eastAsia" w:eastAsia="楷体_GB2312"/>
                <w:b/>
                <w:color w:val="000000"/>
                <w:kern w:val="0"/>
                <w:sz w:val="28"/>
                <w:szCs w:val="28"/>
              </w:rPr>
              <w:t>.一核</w:t>
            </w:r>
            <w:r>
              <w:rPr>
                <w:rFonts w:hint="eastAsia" w:eastAsia="楷体_GB2312"/>
                <w:color w:val="000000"/>
                <w:kern w:val="0"/>
                <w:sz w:val="28"/>
                <w:szCs w:val="28"/>
              </w:rPr>
              <w:t>。紧抓建设州域副中心（康南中心）和创建国家级现代农业产业园契机，依托康藏现代农牧产业加工贸易园区，打造集加工、冷链、物流、商贸于一体的“农牧业现代化发展核”。</w:t>
            </w:r>
          </w:p>
          <w:p w14:paraId="4CFB0107">
            <w:pPr>
              <w:snapToGrid w:val="0"/>
              <w:spacing w:line="440" w:lineRule="exact"/>
              <w:ind w:firstLine="562" w:firstLineChars="200"/>
              <w:rPr>
                <w:rFonts w:eastAsia="楷体_GB2312"/>
                <w:color w:val="000000"/>
                <w:kern w:val="0"/>
                <w:sz w:val="28"/>
                <w:szCs w:val="28"/>
              </w:rPr>
            </w:pPr>
            <w:r>
              <w:rPr>
                <w:rFonts w:eastAsia="楷体_GB2312"/>
                <w:b/>
                <w:color w:val="000000"/>
                <w:kern w:val="0"/>
                <w:sz w:val="28"/>
                <w:szCs w:val="28"/>
              </w:rPr>
              <w:t>2.</w:t>
            </w:r>
            <w:r>
              <w:rPr>
                <w:rFonts w:hint="eastAsia" w:eastAsia="楷体_GB2312"/>
                <w:b/>
                <w:color w:val="000000"/>
                <w:kern w:val="0"/>
                <w:sz w:val="28"/>
                <w:szCs w:val="28"/>
              </w:rPr>
              <w:t>两翼</w:t>
            </w:r>
            <w:r>
              <w:rPr>
                <w:rFonts w:hint="eastAsia" w:eastAsia="楷体_GB2312"/>
                <w:color w:val="000000"/>
                <w:kern w:val="0"/>
                <w:sz w:val="28"/>
                <w:szCs w:val="28"/>
              </w:rPr>
              <w:t>。实施濯桑片区现代农业园区、林下中藏药材种植、加工等项目，打造沿无量河从北向南的“有机粮蔬发展翼”；依托草原畜牧业转型升级、勒通牦牛产业集群、现代化牧场建设等项目，打造沿国道</w:t>
            </w:r>
            <w:r>
              <w:rPr>
                <w:rFonts w:eastAsia="楷体_GB2312"/>
                <w:color w:val="000000"/>
                <w:kern w:val="0"/>
                <w:sz w:val="28"/>
                <w:szCs w:val="28"/>
              </w:rPr>
              <w:t xml:space="preserve">318 </w:t>
            </w:r>
            <w:r>
              <w:rPr>
                <w:rFonts w:hint="eastAsia" w:eastAsia="楷体_GB2312"/>
                <w:color w:val="000000"/>
                <w:kern w:val="0"/>
                <w:sz w:val="28"/>
                <w:szCs w:val="28"/>
              </w:rPr>
              <w:t>自东向西的“现代生态畜牧发展翼”。</w:t>
            </w:r>
          </w:p>
          <w:p w14:paraId="361E44E2">
            <w:pPr>
              <w:snapToGrid w:val="0"/>
              <w:spacing w:line="440" w:lineRule="exact"/>
              <w:ind w:firstLine="562" w:firstLineChars="200"/>
              <w:rPr>
                <w:rFonts w:eastAsia="楷体_GB2312"/>
                <w:color w:val="000000"/>
                <w:kern w:val="0"/>
                <w:sz w:val="28"/>
                <w:szCs w:val="28"/>
              </w:rPr>
            </w:pPr>
            <w:r>
              <w:rPr>
                <w:rFonts w:eastAsia="楷体_GB2312"/>
                <w:b/>
                <w:color w:val="000000"/>
                <w:kern w:val="0"/>
                <w:sz w:val="28"/>
                <w:szCs w:val="28"/>
              </w:rPr>
              <w:t>3.</w:t>
            </w:r>
            <w:r>
              <w:rPr>
                <w:rFonts w:hint="eastAsia" w:eastAsia="楷体_GB2312"/>
                <w:b/>
                <w:color w:val="000000"/>
                <w:kern w:val="0"/>
                <w:sz w:val="28"/>
                <w:szCs w:val="28"/>
              </w:rPr>
              <w:t>五组团</w:t>
            </w:r>
            <w:r>
              <w:rPr>
                <w:rFonts w:hint="eastAsia" w:eastAsia="楷体_GB2312"/>
                <w:color w:val="000000"/>
                <w:kern w:val="0"/>
                <w:sz w:val="28"/>
                <w:szCs w:val="28"/>
              </w:rPr>
              <w:t>。围绕全县种养结构调整思路与乡镇产业结构调整导向，着力打造“草原牧业、</w:t>
            </w:r>
            <w:bookmarkStart w:id="145" w:name="OLE_LINK255"/>
            <w:bookmarkStart w:id="146" w:name="OLE_LINK254"/>
            <w:r>
              <w:rPr>
                <w:rFonts w:hint="eastAsia" w:eastAsia="楷体_GB2312"/>
                <w:color w:val="000000"/>
                <w:kern w:val="0"/>
                <w:sz w:val="28"/>
                <w:szCs w:val="28"/>
              </w:rPr>
              <w:t>高原粮油</w:t>
            </w:r>
            <w:bookmarkEnd w:id="145"/>
            <w:bookmarkEnd w:id="146"/>
            <w:r>
              <w:rPr>
                <w:rFonts w:hint="eastAsia" w:eastAsia="楷体_GB2312"/>
                <w:color w:val="000000"/>
                <w:kern w:val="0"/>
                <w:sz w:val="28"/>
                <w:szCs w:val="28"/>
              </w:rPr>
              <w:t>、</w:t>
            </w:r>
            <w:bookmarkStart w:id="147" w:name="OLE_LINK259"/>
            <w:bookmarkStart w:id="148" w:name="OLE_LINK258"/>
            <w:r>
              <w:rPr>
                <w:rFonts w:hint="eastAsia" w:eastAsia="楷体_GB2312"/>
                <w:color w:val="000000"/>
                <w:kern w:val="0"/>
                <w:sz w:val="28"/>
                <w:szCs w:val="28"/>
              </w:rPr>
              <w:t>极地果蔬</w:t>
            </w:r>
            <w:bookmarkEnd w:id="147"/>
            <w:bookmarkEnd w:id="148"/>
            <w:r>
              <w:rPr>
                <w:rFonts w:hint="eastAsia" w:eastAsia="楷体_GB2312"/>
                <w:color w:val="000000"/>
                <w:kern w:val="0"/>
                <w:sz w:val="28"/>
                <w:szCs w:val="28"/>
              </w:rPr>
              <w:t>、</w:t>
            </w:r>
            <w:bookmarkStart w:id="149" w:name="OLE_LINK262"/>
            <w:bookmarkStart w:id="150" w:name="OLE_LINK263"/>
            <w:r>
              <w:rPr>
                <w:rFonts w:hint="eastAsia" w:eastAsia="楷体_GB2312"/>
                <w:color w:val="000000"/>
                <w:kern w:val="0"/>
                <w:sz w:val="28"/>
                <w:szCs w:val="28"/>
              </w:rPr>
              <w:t>中藏药材</w:t>
            </w:r>
            <w:bookmarkEnd w:id="149"/>
            <w:bookmarkEnd w:id="150"/>
            <w:r>
              <w:rPr>
                <w:rFonts w:hint="eastAsia" w:eastAsia="楷体_GB2312"/>
                <w:color w:val="000000"/>
                <w:kern w:val="0"/>
                <w:sz w:val="28"/>
                <w:szCs w:val="28"/>
              </w:rPr>
              <w:t>、</w:t>
            </w:r>
            <w:bookmarkStart w:id="151" w:name="OLE_LINK265"/>
            <w:bookmarkStart w:id="152" w:name="OLE_LINK264"/>
            <w:r>
              <w:rPr>
                <w:rFonts w:hint="eastAsia" w:eastAsia="楷体_GB2312"/>
                <w:color w:val="000000"/>
                <w:kern w:val="0"/>
                <w:sz w:val="28"/>
                <w:szCs w:val="28"/>
              </w:rPr>
              <w:t>特色畜禽</w:t>
            </w:r>
            <w:bookmarkEnd w:id="151"/>
            <w:bookmarkEnd w:id="152"/>
            <w:r>
              <w:rPr>
                <w:rFonts w:hint="eastAsia" w:eastAsia="楷体_GB2312"/>
                <w:color w:val="000000"/>
                <w:kern w:val="0"/>
                <w:sz w:val="28"/>
                <w:szCs w:val="28"/>
              </w:rPr>
              <w:t>”五个产业组团，推动产业集群集聚发展。</w:t>
            </w:r>
          </w:p>
          <w:p w14:paraId="0D03D044">
            <w:pPr>
              <w:snapToGrid w:val="0"/>
              <w:spacing w:line="440" w:lineRule="exact"/>
              <w:ind w:firstLine="562" w:firstLineChars="200"/>
              <w:rPr>
                <w:rFonts w:eastAsia="楷体_GB2312"/>
                <w:color w:val="000000"/>
                <w:kern w:val="0"/>
                <w:sz w:val="28"/>
                <w:szCs w:val="28"/>
              </w:rPr>
            </w:pPr>
            <w:r>
              <w:rPr>
                <w:rFonts w:hint="eastAsia" w:eastAsia="楷体_GB2312"/>
                <w:b/>
                <w:color w:val="000000"/>
                <w:kern w:val="0"/>
                <w:sz w:val="28"/>
                <w:szCs w:val="28"/>
              </w:rPr>
              <w:t>草原牧业组团</w:t>
            </w:r>
            <w:r>
              <w:rPr>
                <w:rFonts w:hint="eastAsia" w:eastAsia="楷体_GB2312"/>
                <w:color w:val="000000"/>
                <w:kern w:val="0"/>
                <w:sz w:val="28"/>
                <w:szCs w:val="28"/>
              </w:rPr>
              <w:t>。依托勒通牦牛产业园（全产业链资源整合，建成川西高原牦牛产业集群），以牦牛标准化养殖示范区、甘孜（理塘）马产业养殖示范区、勒通绵羊标准化养殖区、优质人工饲草种植区为基础构建。</w:t>
            </w:r>
          </w:p>
          <w:p w14:paraId="50824F57">
            <w:pPr>
              <w:snapToGrid w:val="0"/>
              <w:spacing w:line="440" w:lineRule="exact"/>
              <w:ind w:firstLine="562" w:firstLineChars="200"/>
              <w:rPr>
                <w:rFonts w:eastAsia="楷体_GB2312"/>
                <w:color w:val="000000"/>
                <w:kern w:val="0"/>
                <w:sz w:val="28"/>
                <w:szCs w:val="28"/>
              </w:rPr>
            </w:pPr>
            <w:r>
              <w:rPr>
                <w:rFonts w:hint="eastAsia" w:eastAsia="楷体_GB2312"/>
                <w:b/>
                <w:color w:val="000000"/>
                <w:kern w:val="0"/>
                <w:sz w:val="28"/>
                <w:szCs w:val="28"/>
              </w:rPr>
              <w:t>高原粮油组团</w:t>
            </w:r>
            <w:r>
              <w:rPr>
                <w:rFonts w:hint="eastAsia" w:eastAsia="楷体_GB2312"/>
                <w:color w:val="000000"/>
                <w:kern w:val="0"/>
                <w:sz w:val="28"/>
                <w:szCs w:val="28"/>
              </w:rPr>
              <w:t>。依托无量河有机粮油种植带（集成生态种植、加工、营销全链条），以万亩青稞产业基地（以下坝片区和木拉镇为主，辐射带动濯桑乡、上木拉乡、藏坝乡等）、万亩马铃薯产业基地（上木拉乡、木拉镇）、万亩油菜产业基地（拉波片区）、万亩萝卜产业基地为基础构建。</w:t>
            </w:r>
          </w:p>
          <w:p w14:paraId="4BE6C312">
            <w:pPr>
              <w:snapToGrid w:val="0"/>
              <w:spacing w:line="440" w:lineRule="exact"/>
              <w:ind w:firstLine="562" w:firstLineChars="200"/>
              <w:rPr>
                <w:rFonts w:eastAsia="楷体_GB2312"/>
                <w:color w:val="000000"/>
                <w:kern w:val="0"/>
                <w:sz w:val="28"/>
                <w:szCs w:val="28"/>
              </w:rPr>
            </w:pPr>
            <w:r>
              <w:rPr>
                <w:rFonts w:hint="eastAsia" w:eastAsia="楷体_GB2312"/>
                <w:b/>
                <w:color w:val="000000"/>
                <w:kern w:val="0"/>
                <w:sz w:val="28"/>
                <w:szCs w:val="28"/>
              </w:rPr>
              <w:t>极地果蔬组团</w:t>
            </w:r>
            <w:r>
              <w:rPr>
                <w:rFonts w:hint="eastAsia" w:eastAsia="楷体_GB2312"/>
                <w:color w:val="000000"/>
                <w:kern w:val="0"/>
                <w:sz w:val="28"/>
                <w:szCs w:val="28"/>
              </w:rPr>
              <w:t>。依托濯桑现代农业园区（集成科技、品牌、冷链等资源），以圣女果、草莓、水果、黄芪、羽衣甘蓝、高原香菇等极地果蔬种植、生产加工全产业链基地为基础构建。</w:t>
            </w:r>
          </w:p>
          <w:p w14:paraId="7A95EA21">
            <w:pPr>
              <w:snapToGrid w:val="0"/>
              <w:spacing w:line="440" w:lineRule="exact"/>
              <w:ind w:firstLine="562" w:firstLineChars="200"/>
              <w:rPr>
                <w:rFonts w:eastAsia="楷体_GB2312"/>
                <w:color w:val="000000"/>
                <w:kern w:val="0"/>
                <w:sz w:val="28"/>
                <w:szCs w:val="28"/>
              </w:rPr>
            </w:pPr>
            <w:r>
              <w:rPr>
                <w:rFonts w:hint="eastAsia" w:eastAsia="楷体_GB2312"/>
                <w:b/>
                <w:color w:val="000000"/>
                <w:kern w:val="0"/>
                <w:sz w:val="28"/>
                <w:szCs w:val="28"/>
              </w:rPr>
              <w:t>中藏药材组团</w:t>
            </w:r>
            <w:r>
              <w:rPr>
                <w:rFonts w:hint="eastAsia" w:eastAsia="楷体_GB2312"/>
                <w:color w:val="000000"/>
                <w:kern w:val="0"/>
                <w:sz w:val="28"/>
                <w:szCs w:val="28"/>
              </w:rPr>
              <w:t>。以</w:t>
            </w:r>
            <w:bookmarkStart w:id="153" w:name="OLE_LINK46"/>
            <w:bookmarkStart w:id="154" w:name="OLE_LINK47"/>
            <w:r>
              <w:rPr>
                <w:rFonts w:hint="eastAsia" w:eastAsia="楷体_GB2312"/>
                <w:color w:val="000000"/>
                <w:kern w:val="0"/>
                <w:sz w:val="28"/>
                <w:szCs w:val="28"/>
              </w:rPr>
              <w:t>呷洼、甲洼、君坝等乡（镇）高原药蜜标准化养殖、生产加工示</w:t>
            </w:r>
            <w:bookmarkEnd w:id="153"/>
            <w:bookmarkEnd w:id="154"/>
            <w:r>
              <w:rPr>
                <w:rFonts w:hint="eastAsia" w:eastAsia="楷体_GB2312"/>
                <w:color w:val="000000"/>
                <w:kern w:val="0"/>
                <w:sz w:val="28"/>
                <w:szCs w:val="28"/>
              </w:rPr>
              <w:t>范点，</w:t>
            </w:r>
            <w:bookmarkStart w:id="155" w:name="OLE_LINK85"/>
            <w:r>
              <w:rPr>
                <w:rFonts w:hint="eastAsia" w:eastAsia="楷体_GB2312"/>
                <w:color w:val="000000"/>
                <w:kern w:val="0"/>
                <w:sz w:val="28"/>
                <w:szCs w:val="28"/>
              </w:rPr>
              <w:t>濯桑、君坝、拉波、下坝片区中藏药仿野生栽培</w:t>
            </w:r>
            <w:bookmarkEnd w:id="155"/>
            <w:r>
              <w:rPr>
                <w:rFonts w:hint="eastAsia" w:eastAsia="楷体_GB2312"/>
                <w:color w:val="000000"/>
                <w:kern w:val="0"/>
                <w:sz w:val="28"/>
                <w:szCs w:val="28"/>
              </w:rPr>
              <w:t>及抚育示范点为基础构建。</w:t>
            </w:r>
          </w:p>
          <w:p w14:paraId="1E2C4A75">
            <w:pPr>
              <w:snapToGrid w:val="0"/>
              <w:spacing w:line="440" w:lineRule="exact"/>
              <w:ind w:firstLine="562" w:firstLineChars="200"/>
              <w:rPr>
                <w:rFonts w:eastAsia="楷体_GB2312"/>
                <w:b/>
                <w:bCs/>
                <w:color w:val="FF0000"/>
                <w:kern w:val="0"/>
                <w:sz w:val="28"/>
                <w:szCs w:val="28"/>
              </w:rPr>
            </w:pPr>
            <w:r>
              <w:rPr>
                <w:rFonts w:hint="eastAsia" w:eastAsia="楷体_GB2312"/>
                <w:b/>
                <w:color w:val="000000"/>
                <w:kern w:val="0"/>
                <w:sz w:val="28"/>
                <w:szCs w:val="28"/>
              </w:rPr>
              <w:t>特色畜禽组团</w:t>
            </w:r>
            <w:r>
              <w:rPr>
                <w:rFonts w:hint="eastAsia" w:eastAsia="楷体_GB2312"/>
                <w:color w:val="000000"/>
                <w:kern w:val="0"/>
                <w:sz w:val="28"/>
                <w:szCs w:val="28"/>
              </w:rPr>
              <w:t>。依托木拉藏猪藏鸡养殖示范场（争创国家级示范场），以藏香猪保种繁育、生态养殖、蛋鸡标准化、藏鸡林下散养等五大特色养殖基地为基础构建。</w:t>
            </w:r>
          </w:p>
        </w:tc>
      </w:tr>
      <w:bookmarkEnd w:id="143"/>
      <w:bookmarkEnd w:id="144"/>
    </w:tbl>
    <w:p w14:paraId="3096B927">
      <w:pPr>
        <w:pStyle w:val="15"/>
        <w:spacing w:before="156" w:beforeLines="50" w:after="156" w:afterLines="50" w:line="580" w:lineRule="exact"/>
        <w:ind w:left="1723" w:firstLine="0" w:firstLineChars="0"/>
        <w:outlineLvl w:val="2"/>
        <w:rPr>
          <w:rFonts w:eastAsia="楷体_GB2312"/>
          <w:b/>
          <w:color w:val="000000"/>
          <w:kern w:val="0"/>
          <w:sz w:val="32"/>
          <w:szCs w:val="32"/>
        </w:rPr>
      </w:pPr>
      <w:bookmarkStart w:id="156" w:name="_Toc24806"/>
      <w:bookmarkStart w:id="157" w:name="_Toc218241036"/>
      <w:r>
        <w:rPr>
          <w:rFonts w:hint="eastAsia" w:eastAsia="楷体_GB2312"/>
          <w:b/>
          <w:color w:val="000000"/>
          <w:kern w:val="0"/>
          <w:sz w:val="32"/>
          <w:szCs w:val="32"/>
        </w:rPr>
        <w:t>第三节  建强特色农牧业基地</w:t>
      </w:r>
      <w:bookmarkEnd w:id="156"/>
      <w:bookmarkEnd w:id="157"/>
    </w:p>
    <w:p w14:paraId="3108A5E7">
      <w:pPr>
        <w:snapToGrid w:val="0"/>
        <w:spacing w:before="72" w:after="72" w:line="580" w:lineRule="exact"/>
        <w:ind w:firstLine="640" w:firstLineChars="200"/>
        <w:jc w:val="left"/>
        <w:rPr>
          <w:rFonts w:eastAsia="楷体_GB2312"/>
          <w:b/>
          <w:sz w:val="32"/>
          <w:szCs w:val="32"/>
        </w:rPr>
      </w:pPr>
      <w:r>
        <w:rPr>
          <w:rFonts w:eastAsia="仿宋_GB2312"/>
          <w:color w:val="000000"/>
          <w:kern w:val="0"/>
          <w:sz w:val="32"/>
          <w:szCs w:val="32"/>
        </w:rPr>
        <w:t>整合现有各类农业园区和特色农业生产基地，打造以国家级现代农业产业园为龙头、以省级园区为骨干、以州级园区为基础的全域覆盖、梯次推进的理塘农</w:t>
      </w:r>
      <w:r>
        <w:rPr>
          <w:rFonts w:hint="eastAsia" w:eastAsia="仿宋_GB2312"/>
          <w:color w:val="000000"/>
          <w:kern w:val="0"/>
          <w:sz w:val="32"/>
          <w:szCs w:val="32"/>
        </w:rPr>
        <w:t>牧</w:t>
      </w:r>
      <w:r>
        <w:rPr>
          <w:rFonts w:eastAsia="仿宋_GB2312"/>
          <w:color w:val="000000"/>
          <w:kern w:val="0"/>
          <w:sz w:val="32"/>
          <w:szCs w:val="32"/>
        </w:rPr>
        <w:t>业“1+2+4”园区矩阵，系统构建“核心园区引领、特色基地支撑、辐射全域联动”的产业融合载体体系，推动</w:t>
      </w:r>
      <w:r>
        <w:rPr>
          <w:rFonts w:hint="eastAsia" w:eastAsia="仿宋_GB2312"/>
          <w:color w:val="000000"/>
          <w:kern w:val="0"/>
          <w:sz w:val="32"/>
          <w:szCs w:val="32"/>
        </w:rPr>
        <w:t>极地果蔬</w:t>
      </w:r>
      <w:r>
        <w:rPr>
          <w:rFonts w:eastAsia="仿宋_GB2312"/>
          <w:color w:val="000000"/>
          <w:kern w:val="0"/>
          <w:sz w:val="32"/>
          <w:szCs w:val="32"/>
        </w:rPr>
        <w:t>、</w:t>
      </w:r>
      <w:r>
        <w:rPr>
          <w:rFonts w:hint="eastAsia" w:eastAsia="仿宋_GB2312"/>
          <w:color w:val="000000"/>
          <w:kern w:val="0"/>
          <w:sz w:val="32"/>
          <w:szCs w:val="32"/>
        </w:rPr>
        <w:t>勒通</w:t>
      </w:r>
      <w:r>
        <w:rPr>
          <w:rFonts w:eastAsia="仿宋_GB2312"/>
          <w:color w:val="000000"/>
          <w:kern w:val="0"/>
          <w:sz w:val="32"/>
          <w:szCs w:val="32"/>
        </w:rPr>
        <w:t>牦牛省星级现代农业园区“两园合一”，创建“1”个国家级现代农业产业园，培育木拉青稞、拉波油菜“2”个省星级现代农业园区，争创君坝药材、呷洼中蜂、木拉藏猪藏鸡、甲洼食用菌“4”个州级现代农业园区。因地制宜、精准布局“种、养、加、销、旅”多支点。</w:t>
      </w:r>
      <w:bookmarkStart w:id="158" w:name="OLE_LINK120"/>
      <w:bookmarkStart w:id="159" w:name="OLE_LINK121"/>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96"/>
      </w:tblGrid>
      <w:tr w14:paraId="633E0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296" w:type="dxa"/>
            <w:tcBorders>
              <w:top w:val="single" w:color="auto" w:sz="4" w:space="0"/>
              <w:left w:val="single" w:color="auto" w:sz="4" w:space="0"/>
              <w:bottom w:val="single" w:color="auto" w:sz="4" w:space="0"/>
              <w:right w:val="single" w:color="auto" w:sz="4" w:space="0"/>
            </w:tcBorders>
            <w:shd w:val="clear" w:color="auto" w:fill="auto"/>
          </w:tcPr>
          <w:p w14:paraId="1DF55EB9">
            <w:pPr>
              <w:pStyle w:val="10"/>
              <w:snapToGrid w:val="0"/>
              <w:spacing w:before="156" w:beforeLines="50" w:after="156" w:afterLines="50" w:line="440" w:lineRule="exact"/>
              <w:ind w:left="0" w:leftChars="0" w:firstLine="643" w:firstLineChars="0"/>
              <w:jc w:val="center"/>
              <w:rPr>
                <w:rFonts w:eastAsia="仿宋_GB2312"/>
                <w:b/>
                <w:bCs/>
                <w:color w:val="000000"/>
                <w:kern w:val="0"/>
                <w:sz w:val="28"/>
                <w:szCs w:val="28"/>
              </w:rPr>
            </w:pPr>
            <w:bookmarkStart w:id="160" w:name="OLE_LINK45"/>
            <w:bookmarkStart w:id="161" w:name="OLE_LINK44"/>
            <w:r>
              <w:rPr>
                <w:rFonts w:hint="eastAsia" w:ascii="Times New Roman" w:hAnsi="Times New Roman" w:eastAsia="楷体_GB2312" w:cs="Times New Roman"/>
                <w:b/>
                <w:sz w:val="28"/>
                <w:szCs w:val="28"/>
              </w:rPr>
              <w:t>专栏9  “十五五”时期“1+2+4”现代农业园区体系</w:t>
            </w:r>
          </w:p>
        </w:tc>
      </w:tr>
      <w:tr w14:paraId="61CA1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6" w:type="dxa"/>
            <w:tcBorders>
              <w:top w:val="single" w:color="auto" w:sz="4" w:space="0"/>
              <w:left w:val="single" w:color="auto" w:sz="4" w:space="0"/>
              <w:bottom w:val="single" w:color="auto" w:sz="4" w:space="0"/>
              <w:right w:val="single" w:color="auto" w:sz="4" w:space="0"/>
            </w:tcBorders>
            <w:shd w:val="clear" w:color="auto" w:fill="auto"/>
          </w:tcPr>
          <w:p w14:paraId="57A02BAC">
            <w:pPr>
              <w:snapToGrid w:val="0"/>
              <w:spacing w:line="440" w:lineRule="exact"/>
              <w:ind w:firstLine="562" w:firstLineChars="200"/>
              <w:jc w:val="left"/>
              <w:rPr>
                <w:rFonts w:eastAsia="楷体_GB2312"/>
                <w:sz w:val="28"/>
                <w:szCs w:val="28"/>
              </w:rPr>
            </w:pPr>
            <w:r>
              <w:rPr>
                <w:rFonts w:hint="eastAsia" w:eastAsia="楷体_GB2312"/>
                <w:b/>
                <w:bCs/>
                <w:sz w:val="28"/>
                <w:szCs w:val="28"/>
              </w:rPr>
              <w:t>1.一个国家级现代农业园区。</w:t>
            </w:r>
            <w:r>
              <w:rPr>
                <w:rFonts w:hint="eastAsia" w:eastAsia="楷体_GB2312"/>
                <w:sz w:val="28"/>
                <w:szCs w:val="28"/>
              </w:rPr>
              <w:t>以种养循环为特色，集成科技研发、精深加工、冷链物流、数字管理、品牌营销全链条的高原现代农业全产业链融合发展的国家级标杆。</w:t>
            </w:r>
          </w:p>
          <w:p w14:paraId="64BA2A0F">
            <w:pPr>
              <w:snapToGrid w:val="0"/>
              <w:spacing w:line="440" w:lineRule="exact"/>
              <w:ind w:firstLine="538" w:firstLineChars="200"/>
              <w:jc w:val="left"/>
              <w:rPr>
                <w:rFonts w:eastAsia="楷体_GB2312"/>
                <w:sz w:val="28"/>
                <w:szCs w:val="28"/>
              </w:rPr>
            </w:pPr>
            <w:r>
              <w:rPr>
                <w:rFonts w:hint="eastAsia" w:eastAsia="楷体_GB2312"/>
                <w:b/>
                <w:bCs/>
                <w:spacing w:val="-6"/>
                <w:sz w:val="28"/>
                <w:szCs w:val="28"/>
              </w:rPr>
              <w:t>2.二个省级现代农业园区。</w:t>
            </w:r>
            <w:r>
              <w:rPr>
                <w:rFonts w:hint="eastAsia" w:eastAsia="楷体_GB2312"/>
                <w:spacing w:val="-6"/>
                <w:sz w:val="28"/>
                <w:szCs w:val="28"/>
              </w:rPr>
              <w:t>木拉青稞园区主攻青稞基地建设、科技植入与规模生产，拉波油菜园区突出油菜规模化生产与多功能开</w:t>
            </w:r>
            <w:r>
              <w:rPr>
                <w:rFonts w:hint="eastAsia" w:eastAsia="楷体_GB2312"/>
                <w:sz w:val="28"/>
                <w:szCs w:val="28"/>
              </w:rPr>
              <w:t>发。</w:t>
            </w:r>
          </w:p>
          <w:p w14:paraId="0A98B3C1">
            <w:pPr>
              <w:snapToGrid w:val="0"/>
              <w:spacing w:line="440" w:lineRule="exact"/>
              <w:ind w:firstLine="562" w:firstLineChars="200"/>
              <w:jc w:val="left"/>
              <w:rPr>
                <w:rFonts w:eastAsia="楷体_GB2312"/>
                <w:color w:val="000000"/>
                <w:kern w:val="0"/>
                <w:sz w:val="24"/>
              </w:rPr>
            </w:pPr>
            <w:r>
              <w:rPr>
                <w:rFonts w:hint="eastAsia" w:eastAsia="楷体_GB2312"/>
                <w:b/>
                <w:bCs/>
                <w:sz w:val="28"/>
                <w:szCs w:val="28"/>
              </w:rPr>
              <w:t>3.四个州级现代农业园区。</w:t>
            </w:r>
            <w:r>
              <w:rPr>
                <w:rFonts w:hint="eastAsia" w:eastAsia="楷体_GB2312"/>
                <w:sz w:val="28"/>
                <w:szCs w:val="28"/>
              </w:rPr>
              <w:t>濯桑、君坝、拉波、下坝片区中藏药仿野生栽培园区，呷洼、甲洼、君坝等乡（镇）高原药蜜标准化养殖示范园区，木拉藏猪藏鸡生态养殖园区，甲洼食用菌园区。</w:t>
            </w:r>
          </w:p>
        </w:tc>
      </w:tr>
      <w:bookmarkEnd w:id="158"/>
      <w:bookmarkEnd w:id="159"/>
      <w:bookmarkEnd w:id="160"/>
      <w:bookmarkEnd w:id="161"/>
    </w:tbl>
    <w:p w14:paraId="3399DFDC">
      <w:pPr>
        <w:spacing w:before="156" w:beforeLines="50" w:after="156" w:afterLines="50" w:line="580" w:lineRule="exact"/>
        <w:ind w:left="2127"/>
        <w:outlineLvl w:val="2"/>
        <w:rPr>
          <w:rFonts w:eastAsia="楷体_GB2312"/>
          <w:b/>
          <w:color w:val="000000"/>
          <w:kern w:val="0"/>
          <w:sz w:val="32"/>
          <w:szCs w:val="32"/>
        </w:rPr>
      </w:pPr>
      <w:bookmarkStart w:id="162" w:name="_Toc31354"/>
      <w:bookmarkStart w:id="163" w:name="_Toc218241037"/>
      <w:r>
        <w:rPr>
          <w:rFonts w:hint="eastAsia" w:eastAsia="楷体_GB2312"/>
          <w:b/>
          <w:color w:val="000000"/>
          <w:kern w:val="0"/>
          <w:sz w:val="32"/>
          <w:szCs w:val="32"/>
        </w:rPr>
        <w:t>第四节  提高农牧业综合生产能力</w:t>
      </w:r>
      <w:bookmarkEnd w:id="162"/>
      <w:bookmarkEnd w:id="163"/>
    </w:p>
    <w:p w14:paraId="3458DAEA">
      <w:pPr>
        <w:spacing w:line="580" w:lineRule="exact"/>
        <w:ind w:firstLine="640" w:firstLineChars="200"/>
        <w:jc w:val="left"/>
        <w:rPr>
          <w:rFonts w:eastAsia="仿宋_GB2312"/>
          <w:color w:val="000000"/>
          <w:kern w:val="0"/>
          <w:sz w:val="32"/>
          <w:szCs w:val="32"/>
        </w:rPr>
      </w:pPr>
      <w:r>
        <w:rPr>
          <w:rFonts w:eastAsia="仿宋_GB2312"/>
          <w:color w:val="000000"/>
          <w:kern w:val="0"/>
          <w:sz w:val="32"/>
          <w:szCs w:val="32"/>
        </w:rPr>
        <w:t>严守耕地保护红线，系统推进高标准农田、农田水利设施建设，2030年全县高标准农田比重达到57%以上，耕地质量等级提升0.5个</w:t>
      </w:r>
      <w:r>
        <w:rPr>
          <w:rFonts w:hint="eastAsia" w:eastAsia="仿宋_GB2312"/>
          <w:color w:val="000000"/>
          <w:kern w:val="0"/>
          <w:sz w:val="32"/>
          <w:szCs w:val="32"/>
        </w:rPr>
        <w:t>等级</w:t>
      </w:r>
      <w:r>
        <w:rPr>
          <w:rFonts w:eastAsia="仿宋_GB2312"/>
          <w:color w:val="000000"/>
          <w:kern w:val="0"/>
          <w:sz w:val="32"/>
          <w:szCs w:val="32"/>
        </w:rPr>
        <w:t>以上，灌溉水利用效率提高20%。</w:t>
      </w:r>
      <w:r>
        <w:rPr>
          <w:rFonts w:hint="eastAsia" w:eastAsia="仿宋_GB2312"/>
          <w:color w:val="000000"/>
          <w:kern w:val="0"/>
          <w:sz w:val="32"/>
          <w:szCs w:val="32"/>
        </w:rPr>
        <w:t>围绕牦牛、青稞、牧草、中藏医、蔬果等特色产业，</w:t>
      </w:r>
      <w:r>
        <w:rPr>
          <w:rFonts w:eastAsia="仿宋_GB2312"/>
          <w:color w:val="000000"/>
          <w:kern w:val="0"/>
          <w:sz w:val="32"/>
          <w:szCs w:val="32"/>
        </w:rPr>
        <w:t>加强与科研院所合作，</w:t>
      </w:r>
      <w:r>
        <w:rPr>
          <w:rFonts w:hint="eastAsia" w:eastAsia="仿宋_GB2312"/>
          <w:color w:val="000000"/>
          <w:kern w:val="0"/>
          <w:sz w:val="32"/>
          <w:szCs w:val="32"/>
        </w:rPr>
        <w:t>深入开展育种联合攻关</w:t>
      </w:r>
      <w:bookmarkStart w:id="164" w:name="OLE_LINK37"/>
      <w:bookmarkStart w:id="165" w:name="OLE_LINK41"/>
      <w:r>
        <w:rPr>
          <w:rFonts w:eastAsia="仿宋_GB2312"/>
          <w:color w:val="000000"/>
          <w:kern w:val="0"/>
          <w:sz w:val="32"/>
          <w:szCs w:val="32"/>
        </w:rPr>
        <w:t>。</w:t>
      </w:r>
      <w:bookmarkEnd w:id="164"/>
      <w:bookmarkEnd w:id="165"/>
      <w:r>
        <w:rPr>
          <w:rFonts w:eastAsia="仿宋_GB2312"/>
          <w:color w:val="000000"/>
          <w:kern w:val="0"/>
          <w:sz w:val="32"/>
          <w:szCs w:val="32"/>
        </w:rPr>
        <w:t>积极培育农业科技型企业和创新团队，推动产学研用深度融合，促进科技成果转化。以动物疫病防控、植物病虫害防治、气象地质灾害防御为重点，提升</w:t>
      </w:r>
      <w:r>
        <w:rPr>
          <w:rFonts w:hint="eastAsia" w:eastAsia="仿宋_GB2312"/>
          <w:color w:val="000000"/>
          <w:kern w:val="0"/>
          <w:sz w:val="32"/>
          <w:szCs w:val="32"/>
        </w:rPr>
        <w:t>农牧业</w:t>
      </w:r>
      <w:r>
        <w:rPr>
          <w:rFonts w:eastAsia="仿宋_GB2312"/>
          <w:color w:val="000000"/>
          <w:kern w:val="0"/>
          <w:sz w:val="32"/>
          <w:szCs w:val="32"/>
        </w:rPr>
        <w:t>抗风险能力。强化良种推广、机械作业、智能管理等现代要素应用，集成良种、机械化及社会化服务，打造机械化、精准化、智能化生产核心保障区，力争2030年全县农业综合机械化率达到80%。</w:t>
      </w:r>
    </w:p>
    <w:p w14:paraId="373883C1">
      <w:pPr>
        <w:pStyle w:val="2"/>
      </w:pP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96"/>
      </w:tblGrid>
      <w:tr w14:paraId="08BFD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296" w:type="dxa"/>
            <w:tcBorders>
              <w:top w:val="single" w:color="auto" w:sz="4" w:space="0"/>
              <w:left w:val="single" w:color="auto" w:sz="4" w:space="0"/>
              <w:bottom w:val="single" w:color="auto" w:sz="4" w:space="0"/>
              <w:right w:val="single" w:color="auto" w:sz="4" w:space="0"/>
            </w:tcBorders>
            <w:shd w:val="clear" w:color="auto" w:fill="auto"/>
          </w:tcPr>
          <w:p w14:paraId="7CC750A0">
            <w:pPr>
              <w:pStyle w:val="10"/>
              <w:spacing w:before="156" w:beforeLines="50" w:after="156" w:afterLines="50" w:line="440" w:lineRule="exact"/>
              <w:ind w:left="0" w:leftChars="0" w:firstLine="643" w:firstLineChars="0"/>
              <w:jc w:val="center"/>
              <w:rPr>
                <w:rFonts w:eastAsia="仿宋_GB2312"/>
                <w:b/>
                <w:bCs/>
                <w:color w:val="FF0000"/>
                <w:kern w:val="0"/>
                <w:sz w:val="28"/>
                <w:szCs w:val="28"/>
              </w:rPr>
            </w:pPr>
            <w:r>
              <w:rPr>
                <w:rFonts w:hint="eastAsia" w:ascii="Times New Roman" w:hAnsi="Times New Roman" w:eastAsia="楷体_GB2312" w:cs="Times New Roman"/>
                <w:b/>
                <w:sz w:val="28"/>
                <w:szCs w:val="28"/>
              </w:rPr>
              <w:t>专栏10</w:t>
            </w:r>
            <w:r>
              <w:rPr>
                <w:rFonts w:ascii="Times New Roman" w:hAnsi="Times New Roman" w:eastAsia="楷体_GB2312" w:cs="Times New Roman"/>
                <w:b/>
                <w:sz w:val="28"/>
                <w:szCs w:val="28"/>
              </w:rPr>
              <w:t xml:space="preserve">  </w:t>
            </w:r>
            <w:r>
              <w:rPr>
                <w:rFonts w:hint="eastAsia" w:ascii="Times New Roman" w:hAnsi="Times New Roman" w:eastAsia="楷体_GB2312" w:cs="Times New Roman"/>
                <w:b/>
                <w:sz w:val="28"/>
                <w:szCs w:val="28"/>
              </w:rPr>
              <w:t>“十五五”时期种业振兴重点</w:t>
            </w:r>
          </w:p>
        </w:tc>
      </w:tr>
      <w:tr w14:paraId="36625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6" w:type="dxa"/>
            <w:tcBorders>
              <w:top w:val="single" w:color="auto" w:sz="4" w:space="0"/>
              <w:left w:val="single" w:color="auto" w:sz="4" w:space="0"/>
              <w:bottom w:val="single" w:color="auto" w:sz="4" w:space="0"/>
              <w:right w:val="single" w:color="auto" w:sz="4" w:space="0"/>
            </w:tcBorders>
            <w:shd w:val="clear" w:color="auto" w:fill="auto"/>
          </w:tcPr>
          <w:p w14:paraId="43A8D4C6">
            <w:pPr>
              <w:spacing w:line="440" w:lineRule="exact"/>
              <w:ind w:firstLine="538" w:firstLineChars="200"/>
              <w:jc w:val="left"/>
              <w:rPr>
                <w:rFonts w:eastAsia="楷体_GB2312"/>
                <w:spacing w:val="-6"/>
                <w:sz w:val="28"/>
                <w:szCs w:val="28"/>
              </w:rPr>
            </w:pPr>
            <w:r>
              <w:rPr>
                <w:rFonts w:eastAsia="楷体_GB2312"/>
                <w:b/>
                <w:spacing w:val="-6"/>
                <w:sz w:val="28"/>
                <w:szCs w:val="28"/>
              </w:rPr>
              <w:t>1.</w:t>
            </w:r>
            <w:r>
              <w:rPr>
                <w:rFonts w:hint="eastAsia" w:eastAsia="楷体_GB2312"/>
                <w:b/>
                <w:spacing w:val="-6"/>
                <w:sz w:val="28"/>
                <w:szCs w:val="28"/>
              </w:rPr>
              <w:t>开展牦牛种业创新计划</w:t>
            </w:r>
            <w:r>
              <w:rPr>
                <w:rFonts w:hint="eastAsia" w:eastAsia="楷体_GB2312"/>
                <w:spacing w:val="-6"/>
                <w:sz w:val="28"/>
                <w:szCs w:val="28"/>
              </w:rPr>
              <w:t>。对牦牛进行品种改良，重点选育肉乳兼用型牦牛新品系，缩短出栏周期约至</w:t>
            </w:r>
            <w:r>
              <w:rPr>
                <w:rFonts w:eastAsia="楷体_GB2312"/>
                <w:spacing w:val="-6"/>
                <w:sz w:val="28"/>
                <w:szCs w:val="28"/>
              </w:rPr>
              <w:t>4</w:t>
            </w:r>
            <w:r>
              <w:rPr>
                <w:rFonts w:hint="eastAsia" w:eastAsia="楷体_GB2312"/>
                <w:spacing w:val="-6"/>
                <w:sz w:val="28"/>
                <w:szCs w:val="28"/>
              </w:rPr>
              <w:t>年。</w:t>
            </w:r>
          </w:p>
          <w:p w14:paraId="6820E685">
            <w:pPr>
              <w:spacing w:line="440" w:lineRule="exact"/>
              <w:ind w:firstLine="538" w:firstLineChars="200"/>
              <w:jc w:val="left"/>
              <w:rPr>
                <w:rFonts w:eastAsia="楷体_GB2312"/>
                <w:spacing w:val="-6"/>
                <w:sz w:val="28"/>
                <w:szCs w:val="28"/>
              </w:rPr>
            </w:pPr>
            <w:r>
              <w:rPr>
                <w:rFonts w:eastAsia="楷体_GB2312"/>
                <w:b/>
                <w:spacing w:val="-6"/>
                <w:sz w:val="28"/>
                <w:szCs w:val="28"/>
              </w:rPr>
              <w:t>2.</w:t>
            </w:r>
            <w:r>
              <w:rPr>
                <w:rFonts w:hint="eastAsia" w:eastAsia="楷体_GB2312"/>
                <w:b/>
                <w:spacing w:val="-6"/>
                <w:sz w:val="28"/>
                <w:szCs w:val="28"/>
              </w:rPr>
              <w:t>实施饲草强基计划</w:t>
            </w:r>
            <w:r>
              <w:rPr>
                <w:rFonts w:hint="eastAsia" w:eastAsia="楷体_GB2312"/>
                <w:spacing w:val="-6"/>
                <w:sz w:val="28"/>
                <w:szCs w:val="28"/>
              </w:rPr>
              <w:t>。加快选育、引进并推广耐阴、低光高效转化型牧草品种（粗蛋白≥</w:t>
            </w:r>
            <w:r>
              <w:rPr>
                <w:rFonts w:eastAsia="楷体_GB2312"/>
                <w:spacing w:val="-6"/>
                <w:sz w:val="28"/>
                <w:szCs w:val="28"/>
              </w:rPr>
              <w:t>18%</w:t>
            </w:r>
            <w:r>
              <w:rPr>
                <w:rFonts w:hint="eastAsia" w:eastAsia="楷体_GB2312"/>
                <w:spacing w:val="-6"/>
                <w:sz w:val="28"/>
                <w:szCs w:val="28"/>
              </w:rPr>
              <w:t>），适配光伏板下种植场景。</w:t>
            </w:r>
          </w:p>
          <w:p w14:paraId="6921DDB4">
            <w:pPr>
              <w:spacing w:line="440" w:lineRule="exact"/>
              <w:ind w:firstLine="538" w:firstLineChars="200"/>
              <w:jc w:val="left"/>
              <w:rPr>
                <w:rFonts w:eastAsia="楷体_GB2312"/>
                <w:spacing w:val="-6"/>
                <w:sz w:val="28"/>
                <w:szCs w:val="28"/>
              </w:rPr>
            </w:pPr>
            <w:r>
              <w:rPr>
                <w:rFonts w:eastAsia="楷体_GB2312"/>
                <w:b/>
                <w:spacing w:val="-6"/>
                <w:sz w:val="28"/>
                <w:szCs w:val="28"/>
              </w:rPr>
              <w:t>3.</w:t>
            </w:r>
            <w:r>
              <w:rPr>
                <w:rFonts w:hint="eastAsia" w:eastAsia="楷体_GB2312"/>
                <w:b/>
                <w:spacing w:val="-6"/>
                <w:sz w:val="28"/>
                <w:szCs w:val="28"/>
              </w:rPr>
              <w:t>实施青稞早熟高产计划</w:t>
            </w:r>
            <w:r>
              <w:rPr>
                <w:rFonts w:hint="eastAsia" w:eastAsia="楷体_GB2312"/>
                <w:spacing w:val="-6"/>
                <w:sz w:val="28"/>
                <w:szCs w:val="28"/>
              </w:rPr>
              <w:t>。培育生育期≤</w:t>
            </w:r>
            <w:r>
              <w:rPr>
                <w:rFonts w:eastAsia="楷体_GB2312"/>
                <w:spacing w:val="-6"/>
                <w:sz w:val="28"/>
                <w:szCs w:val="28"/>
              </w:rPr>
              <w:t>120</w:t>
            </w:r>
            <w:r>
              <w:rPr>
                <w:rFonts w:hint="eastAsia" w:eastAsia="楷体_GB2312"/>
                <w:spacing w:val="-6"/>
                <w:sz w:val="28"/>
                <w:szCs w:val="28"/>
              </w:rPr>
              <w:t>天、亩产</w:t>
            </w:r>
            <w:r>
              <w:rPr>
                <w:rFonts w:eastAsia="楷体_GB2312"/>
                <w:spacing w:val="-6"/>
                <w:sz w:val="28"/>
                <w:szCs w:val="28"/>
              </w:rPr>
              <w:t>300</w:t>
            </w:r>
            <w:r>
              <w:rPr>
                <w:rFonts w:hint="eastAsia" w:eastAsia="楷体_GB2312"/>
                <w:spacing w:val="-6"/>
                <w:sz w:val="28"/>
                <w:szCs w:val="28"/>
              </w:rPr>
              <w:t>公斤以上的早熟抗旱青稞品种，保障海拔</w:t>
            </w:r>
            <w:r>
              <w:rPr>
                <w:rFonts w:eastAsia="楷体_GB2312"/>
                <w:spacing w:val="-6"/>
                <w:sz w:val="28"/>
                <w:szCs w:val="28"/>
              </w:rPr>
              <w:t>3800</w:t>
            </w:r>
            <w:r>
              <w:rPr>
                <w:rFonts w:hint="eastAsia" w:eastAsia="楷体_GB2312"/>
                <w:spacing w:val="-6"/>
                <w:sz w:val="28"/>
                <w:szCs w:val="28"/>
              </w:rPr>
              <w:t>米以上区域粮食安全。</w:t>
            </w:r>
          </w:p>
          <w:p w14:paraId="363F2FF2">
            <w:pPr>
              <w:spacing w:line="440" w:lineRule="exact"/>
              <w:ind w:firstLine="538" w:firstLineChars="200"/>
              <w:jc w:val="left"/>
              <w:rPr>
                <w:rFonts w:eastAsia="楷体_GB2312"/>
                <w:spacing w:val="-6"/>
                <w:sz w:val="28"/>
                <w:szCs w:val="28"/>
              </w:rPr>
            </w:pPr>
            <w:r>
              <w:rPr>
                <w:rFonts w:eastAsia="楷体_GB2312"/>
                <w:b/>
                <w:spacing w:val="-6"/>
                <w:sz w:val="28"/>
                <w:szCs w:val="28"/>
              </w:rPr>
              <w:t>4.</w:t>
            </w:r>
            <w:r>
              <w:rPr>
                <w:rFonts w:hint="eastAsia" w:eastAsia="楷体_GB2312"/>
                <w:b/>
                <w:spacing w:val="-6"/>
                <w:sz w:val="28"/>
                <w:szCs w:val="28"/>
              </w:rPr>
              <w:t>实施极地蔬果品种丰富计划</w:t>
            </w:r>
            <w:r>
              <w:rPr>
                <w:rFonts w:hint="eastAsia" w:eastAsia="楷体_GB2312"/>
                <w:spacing w:val="-6"/>
                <w:sz w:val="28"/>
                <w:szCs w:val="28"/>
              </w:rPr>
              <w:t>。选育低温耐受型草莓品种、培育糖度≥</w:t>
            </w:r>
            <w:r>
              <w:rPr>
                <w:rFonts w:eastAsia="楷体_GB2312"/>
                <w:spacing w:val="-6"/>
                <w:sz w:val="28"/>
                <w:szCs w:val="28"/>
              </w:rPr>
              <w:t>15%</w:t>
            </w:r>
            <w:r>
              <w:rPr>
                <w:rFonts w:hint="eastAsia" w:eastAsia="楷体_GB2312"/>
                <w:spacing w:val="-6"/>
                <w:sz w:val="28"/>
                <w:szCs w:val="28"/>
              </w:rPr>
              <w:t>的番茄、松茸等野生菌类驯化计划。</w:t>
            </w:r>
          </w:p>
          <w:p w14:paraId="320CD614">
            <w:pPr>
              <w:spacing w:line="440" w:lineRule="exact"/>
              <w:ind w:firstLine="538" w:firstLineChars="200"/>
              <w:jc w:val="left"/>
              <w:rPr>
                <w:rFonts w:eastAsia="楷体_GB2312"/>
                <w:color w:val="FF0000"/>
                <w:sz w:val="28"/>
                <w:szCs w:val="28"/>
              </w:rPr>
            </w:pPr>
            <w:r>
              <w:rPr>
                <w:rFonts w:eastAsia="楷体_GB2312"/>
                <w:b/>
                <w:spacing w:val="-6"/>
                <w:sz w:val="28"/>
                <w:szCs w:val="28"/>
              </w:rPr>
              <w:t>5.</w:t>
            </w:r>
            <w:r>
              <w:rPr>
                <w:rFonts w:hint="eastAsia" w:eastAsia="楷体_GB2312"/>
                <w:b/>
                <w:spacing w:val="-6"/>
                <w:sz w:val="28"/>
                <w:szCs w:val="28"/>
              </w:rPr>
              <w:t>开展藏药生态栽培计划</w:t>
            </w:r>
            <w:r>
              <w:rPr>
                <w:rFonts w:hint="eastAsia" w:eastAsia="楷体_GB2312"/>
                <w:spacing w:val="-6"/>
                <w:sz w:val="28"/>
                <w:szCs w:val="28"/>
              </w:rPr>
              <w:t>。研发高海拔适生秦艽、雪莲等标准化种源。</w:t>
            </w:r>
          </w:p>
        </w:tc>
      </w:tr>
    </w:tbl>
    <w:p w14:paraId="05F9551C">
      <w:pPr>
        <w:pStyle w:val="2"/>
      </w:pPr>
    </w:p>
    <w:p w14:paraId="409BE0E8">
      <w:pPr>
        <w:spacing w:before="156" w:beforeLines="50" w:after="156" w:afterLines="50" w:line="580" w:lineRule="exact"/>
        <w:ind w:left="643"/>
        <w:jc w:val="center"/>
        <w:outlineLvl w:val="2"/>
      </w:pPr>
      <w:bookmarkStart w:id="166" w:name="_Toc15323"/>
      <w:r>
        <w:rPr>
          <w:rFonts w:hint="eastAsia" w:eastAsia="楷体_GB2312"/>
          <w:b/>
          <w:color w:val="000000"/>
          <w:kern w:val="0"/>
          <w:sz w:val="32"/>
          <w:szCs w:val="32"/>
        </w:rPr>
        <w:t xml:space="preserve"> </w:t>
      </w:r>
      <w:bookmarkStart w:id="167" w:name="_Toc218241038"/>
      <w:r>
        <w:rPr>
          <w:rFonts w:hint="eastAsia" w:eastAsia="楷体_GB2312"/>
          <w:b/>
          <w:color w:val="000000"/>
          <w:kern w:val="0"/>
          <w:sz w:val="32"/>
          <w:szCs w:val="32"/>
        </w:rPr>
        <w:t>第五节  提升农牧业生产经营效益</w:t>
      </w:r>
      <w:bookmarkEnd w:id="166"/>
      <w:bookmarkEnd w:id="167"/>
    </w:p>
    <w:p w14:paraId="6D304526">
      <w:pPr>
        <w:spacing w:line="580" w:lineRule="exact"/>
        <w:ind w:firstLine="640" w:firstLineChars="200"/>
        <w:jc w:val="left"/>
        <w:rPr>
          <w:rFonts w:eastAsia="仿宋_GB2312"/>
          <w:color w:val="000000"/>
          <w:kern w:val="0"/>
          <w:sz w:val="32"/>
          <w:szCs w:val="32"/>
        </w:rPr>
      </w:pPr>
      <w:r>
        <w:rPr>
          <w:rFonts w:hint="eastAsia" w:eastAsia="仿宋_GB2312"/>
          <w:color w:val="000000"/>
          <w:kern w:val="0"/>
          <w:sz w:val="32"/>
          <w:szCs w:val="32"/>
        </w:rPr>
        <w:t>加强农产品冷链物流骨干网络建设，实施农产品仓储保鲜冷链设施建设工程，在主要果蔬产区、藏猪藏鸡养殖基地及园区配套建设产地预冷库、移动冷藏车等设施，保障鲜活、高价值农产品品质。建立牦牛、果蔬等主导产业标准化运行机制，构建农产品质量安全追溯体系，夯实“天空之城・云上有机”品牌根基，做强“极地果蔬”“理塘牦牛”两大核心产品品牌，培育“理塘青稞、理塘马铃薯、理塘黄芪”等</w:t>
      </w:r>
      <w:r>
        <w:rPr>
          <w:rFonts w:eastAsia="仿宋_GB2312"/>
          <w:color w:val="000000"/>
          <w:kern w:val="0"/>
          <w:sz w:val="32"/>
          <w:szCs w:val="32"/>
        </w:rPr>
        <w:t>3</w:t>
      </w:r>
      <w:r>
        <w:rPr>
          <w:rFonts w:hint="eastAsia" w:eastAsia="仿宋_GB2312"/>
          <w:color w:val="000000"/>
          <w:kern w:val="0"/>
          <w:sz w:val="32"/>
          <w:szCs w:val="32"/>
        </w:rPr>
        <w:t>个有机品牌，</w:t>
      </w:r>
      <w:r>
        <w:rPr>
          <w:rFonts w:eastAsia="仿宋_GB2312"/>
          <w:color w:val="000000"/>
          <w:kern w:val="0"/>
          <w:sz w:val="32"/>
          <w:szCs w:val="32"/>
        </w:rPr>
        <w:t>2030</w:t>
      </w:r>
      <w:r>
        <w:rPr>
          <w:rFonts w:hint="eastAsia" w:eastAsia="仿宋_GB2312"/>
          <w:color w:val="000000"/>
          <w:kern w:val="0"/>
          <w:sz w:val="32"/>
          <w:szCs w:val="32"/>
        </w:rPr>
        <w:t>年有机认证产品数量达到</w:t>
      </w:r>
      <w:r>
        <w:rPr>
          <w:rFonts w:eastAsia="仿宋_GB2312"/>
          <w:color w:val="000000"/>
          <w:kern w:val="0"/>
          <w:sz w:val="32"/>
          <w:szCs w:val="32"/>
        </w:rPr>
        <w:t>30</w:t>
      </w:r>
      <w:r>
        <w:rPr>
          <w:rFonts w:hint="eastAsia" w:eastAsia="仿宋_GB2312"/>
          <w:color w:val="000000"/>
          <w:kern w:val="0"/>
          <w:sz w:val="32"/>
          <w:szCs w:val="32"/>
        </w:rPr>
        <w:t>个以上，累计新增“两品一标”农产品</w:t>
      </w:r>
      <w:r>
        <w:rPr>
          <w:rFonts w:eastAsia="仿宋_GB2312"/>
          <w:color w:val="000000"/>
          <w:kern w:val="0"/>
          <w:sz w:val="32"/>
          <w:szCs w:val="32"/>
        </w:rPr>
        <w:t>30</w:t>
      </w:r>
      <w:r>
        <w:rPr>
          <w:rFonts w:hint="eastAsia" w:eastAsia="仿宋_GB2312"/>
          <w:color w:val="000000"/>
          <w:kern w:val="0"/>
          <w:sz w:val="32"/>
          <w:szCs w:val="32"/>
        </w:rPr>
        <w:t>个。</w:t>
      </w:r>
    </w:p>
    <w:p w14:paraId="0D5DEEF6">
      <w:pPr>
        <w:spacing w:before="156" w:beforeLines="50" w:after="156" w:afterLines="50" w:line="580" w:lineRule="exact"/>
        <w:jc w:val="center"/>
        <w:outlineLvl w:val="2"/>
        <w:rPr>
          <w:rFonts w:eastAsia="仿宋_GB2312"/>
          <w:color w:val="000000"/>
          <w:kern w:val="0"/>
          <w:sz w:val="32"/>
          <w:szCs w:val="32"/>
        </w:rPr>
      </w:pPr>
      <w:bookmarkStart w:id="168" w:name="_Toc10384"/>
      <w:bookmarkStart w:id="169" w:name="_Toc218241039"/>
      <w:r>
        <w:rPr>
          <w:rFonts w:hint="eastAsia" w:eastAsia="楷体_GB2312"/>
          <w:b/>
          <w:color w:val="000000"/>
          <w:kern w:val="0"/>
          <w:sz w:val="32"/>
          <w:szCs w:val="32"/>
        </w:rPr>
        <w:t>第六节  健全现代农牧业经营体系</w:t>
      </w:r>
      <w:bookmarkEnd w:id="168"/>
      <w:bookmarkEnd w:id="169"/>
    </w:p>
    <w:p w14:paraId="09A4B87B">
      <w:pPr>
        <w:spacing w:line="580" w:lineRule="exact"/>
        <w:ind w:firstLine="640" w:firstLineChars="200"/>
        <w:jc w:val="left"/>
        <w:rPr>
          <w:rFonts w:eastAsia="仿宋_GB2312"/>
          <w:color w:val="000000"/>
          <w:kern w:val="0"/>
          <w:sz w:val="32"/>
          <w:szCs w:val="32"/>
        </w:rPr>
      </w:pPr>
      <w:r>
        <w:rPr>
          <w:rFonts w:hint="eastAsia" w:eastAsia="仿宋_GB2312"/>
          <w:color w:val="000000"/>
          <w:kern w:val="0"/>
          <w:sz w:val="32"/>
          <w:szCs w:val="32"/>
        </w:rPr>
        <w:t>以“链主引领、链属联动、农户参与”为核心，加快构建现代农牧业经营体系。大力培育新型经营主体，重点扶持</w:t>
      </w:r>
      <w:r>
        <w:rPr>
          <w:rFonts w:hint="eastAsia" w:eastAsia="仿宋_GB2312"/>
          <w:color w:val="000000"/>
          <w:spacing w:val="6"/>
          <w:kern w:val="0"/>
          <w:sz w:val="32"/>
          <w:szCs w:val="32"/>
        </w:rPr>
        <w:t>牦牛、青稞等特色产业的链主企业，提升其全链整合力、标准制定权和市场辐射力，支持链主企业牵头组建农牧业产业化联合体，联合上下游配套企业和服务主体，带动合作社、家庭农场及农户发展。创新发展“保底分红+二次分配”的利益共享机制，构建风险共担、利益联结的长效发展模式。强化公益性服务供给，依托县乡农技推广体系组建专业服务团队，实现全县80%以上草场和耕地技术服务全覆盖。培育专业化市场服务主体，推广“全程托管+关键环节托管”服务模式。深化供销社改革，探索村集体、合作社、供销社“三社融合”模式，建设生产性为农服务中心。</w:t>
      </w:r>
    </w:p>
    <w:p w14:paraId="641AFC33">
      <w:pPr>
        <w:pStyle w:val="15"/>
        <w:numPr>
          <w:ilvl w:val="0"/>
          <w:numId w:val="4"/>
        </w:numPr>
        <w:spacing w:before="156" w:beforeLines="50" w:after="156" w:afterLines="50" w:line="580" w:lineRule="exact"/>
        <w:ind w:left="1080" w:hanging="1080" w:firstLineChars="0"/>
        <w:jc w:val="center"/>
        <w:outlineLvl w:val="2"/>
        <w:rPr>
          <w:rFonts w:eastAsia="楷体_GB2312"/>
          <w:b/>
          <w:color w:val="000000"/>
          <w:kern w:val="0"/>
          <w:sz w:val="32"/>
          <w:szCs w:val="32"/>
        </w:rPr>
      </w:pPr>
      <w:bookmarkStart w:id="170" w:name="_Toc32342"/>
      <w:r>
        <w:rPr>
          <w:rFonts w:hint="eastAsia" w:eastAsia="楷体_GB2312"/>
          <w:b/>
          <w:color w:val="000000"/>
          <w:kern w:val="0"/>
          <w:sz w:val="32"/>
          <w:szCs w:val="32"/>
        </w:rPr>
        <w:t xml:space="preserve"> </w:t>
      </w:r>
      <w:bookmarkStart w:id="171" w:name="_Toc218241040"/>
      <w:r>
        <w:rPr>
          <w:rFonts w:hint="eastAsia" w:eastAsia="楷体_GB2312"/>
          <w:b/>
          <w:color w:val="000000"/>
          <w:kern w:val="0"/>
          <w:sz w:val="32"/>
          <w:szCs w:val="32"/>
        </w:rPr>
        <w:t>完善</w:t>
      </w:r>
      <w:r>
        <w:rPr>
          <w:rFonts w:hint="eastAsia" w:eastAsia="楷体_GB2312"/>
          <w:b/>
          <w:bCs/>
          <w:sz w:val="32"/>
          <w:szCs w:val="32"/>
        </w:rPr>
        <w:t>农牧业</w:t>
      </w:r>
      <w:r>
        <w:rPr>
          <w:rFonts w:hint="eastAsia" w:eastAsia="楷体_GB2312"/>
          <w:b/>
          <w:color w:val="000000"/>
          <w:kern w:val="0"/>
          <w:sz w:val="32"/>
          <w:szCs w:val="32"/>
        </w:rPr>
        <w:t>发展机制</w:t>
      </w:r>
      <w:bookmarkEnd w:id="170"/>
      <w:bookmarkEnd w:id="171"/>
    </w:p>
    <w:p w14:paraId="5B0E1717">
      <w:pPr>
        <w:spacing w:line="580" w:lineRule="exact"/>
        <w:ind w:firstLine="640"/>
        <w:jc w:val="left"/>
      </w:pPr>
      <w:r>
        <w:rPr>
          <w:rFonts w:hint="eastAsia" w:eastAsia="仿宋_GB2312"/>
          <w:color w:val="000000"/>
          <w:kern w:val="0"/>
          <w:sz w:val="32"/>
          <w:szCs w:val="32"/>
        </w:rPr>
        <w:t>农区稳慎开展第二轮土地承包到期后再延长三十年试点，牧区持续推进草场确权登记，探索耕地“确权不确地、联户经营”模式破解碎片化问题。建立全县统一的农村土地承包信息管理平台，落实“三权”分置改革，优先保障牦牛标准化养殖、有机青稞种植等特色产业用地需求。实施“普惠金融下乡工程”，开发活体抵押贷、产业链信用贷等产品，对新型经营主体给予贷款贴息和担保费补贴。扩大牦牛、青稞等特色险种覆盖面，创新“保险信贷联动”产品。整合涉农资金、发行专项债券及搭建监管平台，发挥财政撬动效应吸引社会资本参与农牧业生产经营。</w:t>
      </w:r>
    </w:p>
    <w:bookmarkEnd w:id="137"/>
    <w:bookmarkEnd w:id="138"/>
    <w:p w14:paraId="36086F2F">
      <w:pPr>
        <w:pStyle w:val="15"/>
        <w:numPr>
          <w:ilvl w:val="0"/>
          <w:numId w:val="2"/>
        </w:numPr>
        <w:spacing w:before="156" w:beforeLines="50" w:after="156" w:afterLines="50" w:line="580" w:lineRule="exact"/>
        <w:ind w:left="1080" w:hanging="1080" w:firstLineChars="0"/>
        <w:jc w:val="center"/>
        <w:outlineLvl w:val="1"/>
        <w:rPr>
          <w:rFonts w:eastAsia="黑体"/>
          <w:sz w:val="32"/>
          <w:szCs w:val="32"/>
        </w:rPr>
      </w:pPr>
      <w:bookmarkStart w:id="172" w:name="_Toc24067"/>
      <w:bookmarkStart w:id="173" w:name="_Toc214372625"/>
      <w:bookmarkStart w:id="174" w:name="_Toc11227"/>
      <w:bookmarkStart w:id="175" w:name="_Toc212814821"/>
      <w:r>
        <w:rPr>
          <w:rFonts w:hint="eastAsia" w:eastAsia="黑体"/>
          <w:sz w:val="32"/>
          <w:szCs w:val="32"/>
        </w:rPr>
        <w:t xml:space="preserve"> </w:t>
      </w:r>
      <w:bookmarkStart w:id="176" w:name="_Toc218241041"/>
      <w:r>
        <w:rPr>
          <w:rFonts w:hint="eastAsia" w:eastAsia="黑体"/>
          <w:sz w:val="32"/>
          <w:szCs w:val="32"/>
        </w:rPr>
        <w:t>加快建设康南现代商贸物流基地</w:t>
      </w:r>
      <w:bookmarkEnd w:id="172"/>
      <w:bookmarkEnd w:id="173"/>
      <w:bookmarkEnd w:id="174"/>
      <w:bookmarkEnd w:id="175"/>
      <w:bookmarkEnd w:id="176"/>
    </w:p>
    <w:p w14:paraId="2351F815">
      <w:pPr>
        <w:pStyle w:val="15"/>
        <w:numPr>
          <w:ilvl w:val="0"/>
          <w:numId w:val="5"/>
        </w:numPr>
        <w:spacing w:before="156" w:beforeLines="50" w:after="156" w:afterLines="50" w:line="580" w:lineRule="exact"/>
        <w:ind w:left="1080" w:hanging="1080" w:firstLineChars="0"/>
        <w:jc w:val="center"/>
        <w:outlineLvl w:val="2"/>
        <w:rPr>
          <w:rFonts w:eastAsia="楷体_GB2312"/>
          <w:b/>
          <w:bCs/>
          <w:sz w:val="32"/>
          <w:szCs w:val="32"/>
        </w:rPr>
      </w:pPr>
      <w:bookmarkStart w:id="177" w:name="_Toc15854"/>
      <w:bookmarkStart w:id="178" w:name="OLE_LINK12"/>
      <w:r>
        <w:rPr>
          <w:rFonts w:hint="eastAsia" w:eastAsia="楷体_GB2312"/>
          <w:b/>
          <w:bCs/>
          <w:sz w:val="32"/>
          <w:szCs w:val="32"/>
        </w:rPr>
        <w:t xml:space="preserve"> </w:t>
      </w:r>
      <w:bookmarkStart w:id="179" w:name="_Toc218241042"/>
      <w:r>
        <w:rPr>
          <w:rFonts w:hint="eastAsia" w:eastAsia="楷体_GB2312"/>
          <w:b/>
          <w:bCs/>
          <w:sz w:val="32"/>
          <w:szCs w:val="32"/>
        </w:rPr>
        <w:t>实施大商贸</w:t>
      </w:r>
      <w:r>
        <w:rPr>
          <w:rFonts w:hint="eastAsia" w:eastAsia="楷体_GB2312"/>
          <w:b/>
          <w:color w:val="000000"/>
          <w:kern w:val="0"/>
          <w:sz w:val="32"/>
          <w:szCs w:val="32"/>
        </w:rPr>
        <w:t>战略</w:t>
      </w:r>
      <w:bookmarkEnd w:id="177"/>
      <w:bookmarkEnd w:id="179"/>
    </w:p>
    <w:p w14:paraId="3FAAEC0B">
      <w:pPr>
        <w:widowControl/>
        <w:ind w:firstLine="640" w:firstLineChars="200"/>
        <w:jc w:val="left"/>
        <w:rPr>
          <w:rFonts w:eastAsia="仿宋_GB2312"/>
          <w:color w:val="000000"/>
          <w:kern w:val="0"/>
          <w:sz w:val="32"/>
          <w:szCs w:val="32"/>
        </w:rPr>
      </w:pPr>
      <w:r>
        <w:rPr>
          <w:rFonts w:hint="eastAsia" w:eastAsia="仿宋_GB2312"/>
          <w:color w:val="000000"/>
          <w:kern w:val="0"/>
          <w:sz w:val="32"/>
          <w:szCs w:val="32"/>
        </w:rPr>
        <w:t>抢抓川藏铁路、滇藏铁路等大通道建设历史契机，按照提升中心、优化网络、覆盖全域、创新业态、辐射周边思路，打造康南商贸中心。强化县城及片区中心镇引领作用，推进商业集聚区、特色商业街区改造提升，打造一批区域性批发市场、商贸分拨中心，完善区域和城乡商贸流通网络，支持建设集交易、结算、金融服务于一体的商贸服务平台，大力提升商贸集聚、集散配置、辐射服务功能。积极参加西博会等展销活动，持续推进“万村千乡”市场工程，加快产贸融合发展，打造</w:t>
      </w:r>
      <w:r>
        <w:rPr>
          <w:rFonts w:eastAsia="仿宋_GB2312"/>
          <w:color w:val="000000"/>
          <w:kern w:val="0"/>
          <w:sz w:val="32"/>
          <w:szCs w:val="32"/>
        </w:rPr>
        <w:t>特色农牧产品交易中心和跨境商贸合作节点。</w:t>
      </w:r>
    </w:p>
    <w:p w14:paraId="032B8C80">
      <w:pPr>
        <w:widowControl/>
        <w:jc w:val="left"/>
        <w:rPr>
          <w:rFonts w:eastAsia="仿宋_GB2312"/>
          <w:color w:val="000000"/>
          <w:kern w:val="0"/>
          <w:sz w:val="32"/>
          <w:szCs w:val="32"/>
        </w:rPr>
      </w:pPr>
      <w:r>
        <w:rPr>
          <w:rFonts w:hint="eastAsia" w:eastAsia="仿宋_GB2312"/>
          <w:color w:val="000000"/>
          <w:kern w:val="0"/>
          <w:sz w:val="32"/>
          <w:szCs w:val="32"/>
        </w:rPr>
        <w:t>推动康南商贸展销中心、电商双创孵化园建设，通过线上线下平台和节会展销扩大市场辐射力。</w:t>
      </w:r>
    </w:p>
    <w:p w14:paraId="339ED955">
      <w:pPr>
        <w:pStyle w:val="15"/>
        <w:numPr>
          <w:ilvl w:val="0"/>
          <w:numId w:val="5"/>
        </w:numPr>
        <w:spacing w:before="156" w:beforeLines="50" w:after="156" w:afterLines="50" w:line="580" w:lineRule="exact"/>
        <w:ind w:left="1080" w:hanging="1080" w:firstLineChars="0"/>
        <w:jc w:val="center"/>
        <w:outlineLvl w:val="2"/>
        <w:rPr>
          <w:rFonts w:eastAsia="楷体_GB2312"/>
          <w:b/>
          <w:bCs/>
          <w:sz w:val="32"/>
          <w:szCs w:val="32"/>
        </w:rPr>
      </w:pPr>
      <w:bookmarkStart w:id="180" w:name="OLE_LINK140"/>
      <w:bookmarkStart w:id="181" w:name="OLE_LINK141"/>
      <w:bookmarkStart w:id="182" w:name="_Toc31626"/>
      <w:r>
        <w:rPr>
          <w:rFonts w:hint="eastAsia" w:eastAsia="楷体_GB2312"/>
          <w:b/>
          <w:bCs/>
          <w:sz w:val="32"/>
          <w:szCs w:val="32"/>
        </w:rPr>
        <w:t xml:space="preserve"> </w:t>
      </w:r>
      <w:bookmarkStart w:id="183" w:name="_Toc218241043"/>
      <w:r>
        <w:rPr>
          <w:rFonts w:hint="eastAsia" w:eastAsia="楷体_GB2312"/>
          <w:b/>
          <w:bCs/>
          <w:sz w:val="32"/>
          <w:szCs w:val="32"/>
        </w:rPr>
        <w:t>探索文旅体农商一体发展模式</w:t>
      </w:r>
      <w:bookmarkEnd w:id="180"/>
      <w:bookmarkEnd w:id="181"/>
      <w:bookmarkEnd w:id="182"/>
      <w:bookmarkEnd w:id="183"/>
    </w:p>
    <w:p w14:paraId="54FDEEE5">
      <w:pPr>
        <w:pStyle w:val="15"/>
        <w:spacing w:before="156" w:beforeLines="50" w:after="156" w:afterLines="50" w:line="580" w:lineRule="exact"/>
        <w:ind w:firstLine="640"/>
        <w:jc w:val="left"/>
        <w:rPr>
          <w:rFonts w:eastAsia="楷体_GB2312"/>
          <w:b/>
          <w:sz w:val="32"/>
          <w:szCs w:val="32"/>
        </w:rPr>
      </w:pPr>
      <w:r>
        <w:rPr>
          <w:rFonts w:eastAsia="仿宋_GB2312"/>
          <w:color w:val="000000"/>
          <w:kern w:val="0"/>
          <w:sz w:val="32"/>
          <w:szCs w:val="32"/>
        </w:rPr>
        <w:t>释放文旅体</w:t>
      </w:r>
      <w:r>
        <w:rPr>
          <w:rFonts w:hint="eastAsia" w:eastAsia="仿宋_GB2312"/>
          <w:color w:val="000000"/>
          <w:kern w:val="0"/>
          <w:sz w:val="32"/>
          <w:szCs w:val="32"/>
        </w:rPr>
        <w:t>农</w:t>
      </w:r>
      <w:r>
        <w:rPr>
          <w:rFonts w:eastAsia="仿宋_GB2312"/>
          <w:color w:val="000000"/>
          <w:kern w:val="0"/>
          <w:sz w:val="32"/>
          <w:szCs w:val="32"/>
        </w:rPr>
        <w:t>商融合</w:t>
      </w:r>
      <w:r>
        <w:rPr>
          <w:rFonts w:hint="eastAsia" w:eastAsia="仿宋_GB2312"/>
          <w:color w:val="000000"/>
          <w:kern w:val="0"/>
          <w:sz w:val="32"/>
          <w:szCs w:val="32"/>
        </w:rPr>
        <w:t>发展</w:t>
      </w:r>
      <w:r>
        <w:rPr>
          <w:rFonts w:eastAsia="仿宋_GB2312"/>
          <w:color w:val="000000"/>
          <w:kern w:val="0"/>
          <w:sz w:val="32"/>
          <w:szCs w:val="32"/>
        </w:rPr>
        <w:t>“一业兴、百业旺”的“乘数效应”</w:t>
      </w:r>
      <w:r>
        <w:rPr>
          <w:rFonts w:hint="eastAsia" w:eastAsia="仿宋_GB2312"/>
          <w:color w:val="000000"/>
          <w:kern w:val="0"/>
          <w:sz w:val="32"/>
          <w:szCs w:val="32"/>
        </w:rPr>
        <w:t>，推动</w:t>
      </w:r>
      <w:r>
        <w:rPr>
          <w:rFonts w:eastAsia="仿宋_GB2312"/>
          <w:color w:val="000000"/>
          <w:kern w:val="0"/>
          <w:sz w:val="32"/>
          <w:szCs w:val="32"/>
        </w:rPr>
        <w:t>“文</w:t>
      </w:r>
      <w:r>
        <w:rPr>
          <w:rFonts w:hint="eastAsia" w:eastAsia="仿宋_GB2312"/>
          <w:color w:val="000000"/>
          <w:kern w:val="0"/>
          <w:sz w:val="32"/>
          <w:szCs w:val="32"/>
        </w:rPr>
        <w:t>旅</w:t>
      </w:r>
      <w:r>
        <w:rPr>
          <w:rFonts w:eastAsia="仿宋_GB2312"/>
          <w:color w:val="000000"/>
          <w:kern w:val="0"/>
          <w:sz w:val="32"/>
          <w:szCs w:val="32"/>
        </w:rPr>
        <w:t>+</w:t>
      </w:r>
      <w:r>
        <w:rPr>
          <w:rFonts w:hint="eastAsia" w:eastAsia="仿宋_GB2312"/>
          <w:color w:val="000000"/>
          <w:kern w:val="0"/>
          <w:sz w:val="32"/>
          <w:szCs w:val="32"/>
        </w:rPr>
        <w:t>商业</w:t>
      </w:r>
      <w:r>
        <w:rPr>
          <w:rFonts w:eastAsia="仿宋_GB2312"/>
          <w:color w:val="000000"/>
          <w:kern w:val="0"/>
          <w:sz w:val="32"/>
          <w:szCs w:val="32"/>
        </w:rPr>
        <w:t>”“体育+</w:t>
      </w:r>
      <w:r>
        <w:rPr>
          <w:rFonts w:hint="eastAsia" w:eastAsia="仿宋_GB2312"/>
          <w:color w:val="000000"/>
          <w:kern w:val="0"/>
          <w:sz w:val="32"/>
          <w:szCs w:val="32"/>
        </w:rPr>
        <w:t>商业</w:t>
      </w:r>
      <w:r>
        <w:rPr>
          <w:rFonts w:eastAsia="仿宋_GB2312"/>
          <w:color w:val="000000"/>
          <w:kern w:val="0"/>
          <w:sz w:val="32"/>
          <w:szCs w:val="32"/>
        </w:rPr>
        <w:t>”等</w:t>
      </w:r>
      <w:r>
        <w:rPr>
          <w:rFonts w:hint="eastAsia" w:eastAsia="仿宋_GB2312"/>
          <w:color w:val="000000"/>
          <w:kern w:val="0"/>
          <w:sz w:val="32"/>
          <w:szCs w:val="32"/>
        </w:rPr>
        <w:t>，做好景区、赛事引流与商业转化文章，有效激活文旅、体育竞技、特色农牧业和商业之间的联动作用，做强做大康南商贸中心。加强商业企业与文旅体农等企业深度合作，搭建</w:t>
      </w:r>
      <w:r>
        <w:rPr>
          <w:rFonts w:eastAsia="仿宋_GB2312"/>
          <w:color w:val="000000"/>
          <w:kern w:val="0"/>
          <w:sz w:val="32"/>
          <w:szCs w:val="32"/>
        </w:rPr>
        <w:t>集批发零售农特产品推介、</w:t>
      </w:r>
      <w:r>
        <w:rPr>
          <w:rFonts w:hint="eastAsia" w:eastAsia="仿宋_GB2312"/>
          <w:color w:val="000000"/>
          <w:kern w:val="0"/>
          <w:sz w:val="32"/>
          <w:szCs w:val="32"/>
        </w:rPr>
        <w:t>休闲</w:t>
      </w:r>
      <w:r>
        <w:rPr>
          <w:rFonts w:eastAsia="仿宋_GB2312"/>
          <w:color w:val="000000"/>
          <w:kern w:val="0"/>
          <w:sz w:val="32"/>
          <w:szCs w:val="32"/>
        </w:rPr>
        <w:t>旅游</w:t>
      </w:r>
      <w:r>
        <w:rPr>
          <w:rFonts w:hint="eastAsia" w:eastAsia="仿宋_GB2312"/>
          <w:color w:val="000000"/>
          <w:kern w:val="0"/>
          <w:sz w:val="32"/>
          <w:szCs w:val="32"/>
        </w:rPr>
        <w:t>、民族传统文化展示、传统体育竞技</w:t>
      </w:r>
      <w:r>
        <w:rPr>
          <w:rFonts w:eastAsia="仿宋_GB2312"/>
          <w:color w:val="000000"/>
          <w:kern w:val="0"/>
          <w:sz w:val="32"/>
          <w:szCs w:val="32"/>
        </w:rPr>
        <w:t>等诸多版块为一体的商贸平台，打造更多具有地方特色和标识的主题购物街区等文旅</w:t>
      </w:r>
      <w:r>
        <w:rPr>
          <w:rFonts w:hint="eastAsia" w:eastAsia="仿宋_GB2312"/>
          <w:color w:val="000000"/>
          <w:kern w:val="0"/>
          <w:sz w:val="32"/>
          <w:szCs w:val="32"/>
        </w:rPr>
        <w:t>体商</w:t>
      </w:r>
      <w:r>
        <w:rPr>
          <w:rFonts w:eastAsia="仿宋_GB2312"/>
          <w:color w:val="000000"/>
          <w:kern w:val="0"/>
          <w:sz w:val="32"/>
          <w:szCs w:val="32"/>
        </w:rPr>
        <w:t>融合新</w:t>
      </w:r>
      <w:r>
        <w:rPr>
          <w:rFonts w:hint="eastAsia" w:eastAsia="仿宋_GB2312"/>
          <w:color w:val="000000"/>
          <w:kern w:val="0"/>
          <w:sz w:val="32"/>
          <w:szCs w:val="32"/>
        </w:rPr>
        <w:t>场景</w:t>
      </w:r>
      <w:r>
        <w:rPr>
          <w:rFonts w:eastAsia="仿宋_GB2312"/>
          <w:color w:val="000000"/>
          <w:kern w:val="0"/>
          <w:sz w:val="32"/>
          <w:szCs w:val="32"/>
        </w:rPr>
        <w:t>、新业态</w:t>
      </w:r>
      <w:r>
        <w:rPr>
          <w:rFonts w:hint="eastAsia" w:eastAsia="仿宋_GB2312"/>
          <w:color w:val="000000"/>
          <w:kern w:val="0"/>
          <w:sz w:val="32"/>
          <w:szCs w:val="32"/>
        </w:rPr>
        <w:t>、新模式</w:t>
      </w:r>
      <w:r>
        <w:rPr>
          <w:rFonts w:eastAsia="仿宋_GB2312"/>
          <w:color w:val="000000"/>
          <w:kern w:val="0"/>
          <w:sz w:val="32"/>
          <w:szCs w:val="32"/>
        </w:rPr>
        <w:t>。</w:t>
      </w:r>
      <w:r>
        <w:rPr>
          <w:rFonts w:hint="eastAsia" w:eastAsia="仿宋_GB2312"/>
          <w:color w:val="000000"/>
          <w:kern w:val="0"/>
          <w:sz w:val="32"/>
          <w:szCs w:val="32"/>
        </w:rPr>
        <w:t>开展文旅体农商专项推广行动，</w:t>
      </w:r>
      <w:r>
        <w:rPr>
          <w:rFonts w:eastAsia="仿宋_GB2312"/>
          <w:color w:val="000000"/>
          <w:kern w:val="0"/>
          <w:sz w:val="32"/>
          <w:szCs w:val="32"/>
        </w:rPr>
        <w:t>定期举办农产品展销会、文化节、体育赛事、旅游推介会等节庆活动，</w:t>
      </w:r>
      <w:r>
        <w:rPr>
          <w:rFonts w:hint="eastAsia" w:eastAsia="仿宋_GB2312"/>
          <w:color w:val="000000"/>
          <w:kern w:val="0"/>
          <w:sz w:val="32"/>
          <w:szCs w:val="32"/>
        </w:rPr>
        <w:t>开展体验与</w:t>
      </w:r>
      <w:r>
        <w:rPr>
          <w:rFonts w:eastAsia="仿宋_GB2312"/>
          <w:color w:val="000000"/>
          <w:kern w:val="0"/>
          <w:sz w:val="32"/>
          <w:szCs w:val="32"/>
        </w:rPr>
        <w:t>售联通的营销模式</w:t>
      </w:r>
      <w:r>
        <w:rPr>
          <w:rFonts w:hint="eastAsia" w:eastAsia="仿宋_GB2312"/>
          <w:color w:val="000000"/>
          <w:kern w:val="0"/>
          <w:sz w:val="32"/>
          <w:szCs w:val="32"/>
        </w:rPr>
        <w:t>，完善</w:t>
      </w:r>
      <w:r>
        <w:rPr>
          <w:rFonts w:eastAsia="仿宋_GB2312"/>
          <w:color w:val="000000"/>
          <w:kern w:val="0"/>
          <w:sz w:val="32"/>
          <w:szCs w:val="32"/>
        </w:rPr>
        <w:t>“文旅体</w:t>
      </w:r>
      <w:r>
        <w:rPr>
          <w:rFonts w:hint="eastAsia" w:eastAsia="仿宋_GB2312"/>
          <w:color w:val="000000"/>
          <w:kern w:val="0"/>
          <w:sz w:val="32"/>
          <w:szCs w:val="32"/>
        </w:rPr>
        <w:t>农商</w:t>
      </w:r>
      <w:r>
        <w:rPr>
          <w:rFonts w:eastAsia="仿宋_GB2312"/>
          <w:color w:val="000000"/>
          <w:kern w:val="0"/>
          <w:sz w:val="32"/>
          <w:szCs w:val="32"/>
        </w:rPr>
        <w:t>”交流</w:t>
      </w:r>
      <w:r>
        <w:rPr>
          <w:rFonts w:hint="eastAsia" w:eastAsia="仿宋_GB2312"/>
          <w:color w:val="000000"/>
          <w:kern w:val="0"/>
          <w:sz w:val="32"/>
          <w:szCs w:val="32"/>
        </w:rPr>
        <w:t>机制</w:t>
      </w:r>
      <w:r>
        <w:rPr>
          <w:rFonts w:eastAsia="仿宋_GB2312"/>
          <w:color w:val="000000"/>
          <w:kern w:val="0"/>
          <w:sz w:val="32"/>
          <w:szCs w:val="32"/>
        </w:rPr>
        <w:t>，促进产业间互动合作</w:t>
      </w:r>
      <w:r>
        <w:rPr>
          <w:rFonts w:hint="eastAsia" w:eastAsia="仿宋_GB2312"/>
          <w:color w:val="000000"/>
          <w:kern w:val="0"/>
          <w:sz w:val="32"/>
          <w:szCs w:val="32"/>
        </w:rPr>
        <w:t>，推动形成</w:t>
      </w:r>
      <w:r>
        <w:rPr>
          <w:rFonts w:eastAsia="仿宋_GB2312"/>
          <w:color w:val="000000"/>
          <w:kern w:val="0"/>
          <w:sz w:val="32"/>
          <w:szCs w:val="32"/>
        </w:rPr>
        <w:t>文旅体农商融合发展新路径</w:t>
      </w:r>
      <w:r>
        <w:rPr>
          <w:rFonts w:hint="eastAsia" w:eastAsia="仿宋_GB2312"/>
          <w:color w:val="000000"/>
          <w:kern w:val="0"/>
          <w:sz w:val="32"/>
          <w:szCs w:val="32"/>
        </w:rPr>
        <w:t>。</w:t>
      </w:r>
      <w:bookmarkStart w:id="184" w:name="OLE_LINK172"/>
      <w:bookmarkStart w:id="185" w:name="OLE_LINK171"/>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96"/>
      </w:tblGrid>
      <w:tr w14:paraId="6BF1C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6" w:type="dxa"/>
            <w:tcBorders>
              <w:top w:val="single" w:color="auto" w:sz="4" w:space="0"/>
              <w:left w:val="single" w:color="auto" w:sz="4" w:space="0"/>
              <w:bottom w:val="single" w:color="auto" w:sz="4" w:space="0"/>
              <w:right w:val="single" w:color="auto" w:sz="4" w:space="0"/>
            </w:tcBorders>
            <w:shd w:val="clear" w:color="auto" w:fill="auto"/>
          </w:tcPr>
          <w:p w14:paraId="0FCB3EF1">
            <w:pPr>
              <w:pStyle w:val="10"/>
              <w:snapToGrid w:val="0"/>
              <w:spacing w:before="156" w:beforeLines="50" w:after="156" w:afterLines="50" w:line="440" w:lineRule="exact"/>
              <w:ind w:left="0" w:leftChars="0" w:firstLine="643" w:firstLineChars="0"/>
              <w:jc w:val="center"/>
              <w:rPr>
                <w:rFonts w:eastAsia="仿宋_GB2312"/>
                <w:b/>
                <w:sz w:val="28"/>
                <w:szCs w:val="28"/>
              </w:rPr>
            </w:pPr>
            <w:r>
              <w:rPr>
                <w:rFonts w:hint="eastAsia" w:ascii="Times New Roman" w:hAnsi="Times New Roman" w:eastAsia="楷体_GB2312" w:cs="Times New Roman"/>
                <w:b/>
                <w:sz w:val="28"/>
                <w:szCs w:val="28"/>
              </w:rPr>
              <w:t>专栏11  “十五五”时期康南商贸中心建设重点</w:t>
            </w:r>
          </w:p>
        </w:tc>
      </w:tr>
      <w:tr w14:paraId="6F396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6" w:type="dxa"/>
            <w:tcBorders>
              <w:top w:val="single" w:color="auto" w:sz="4" w:space="0"/>
              <w:left w:val="single" w:color="auto" w:sz="4" w:space="0"/>
              <w:bottom w:val="single" w:color="auto" w:sz="4" w:space="0"/>
              <w:right w:val="single" w:color="auto" w:sz="4" w:space="0"/>
            </w:tcBorders>
            <w:shd w:val="clear" w:color="auto" w:fill="auto"/>
          </w:tcPr>
          <w:p w14:paraId="164C251A">
            <w:pPr>
              <w:snapToGrid w:val="0"/>
              <w:spacing w:line="440" w:lineRule="exact"/>
              <w:ind w:firstLine="562" w:firstLineChars="200"/>
              <w:jc w:val="left"/>
              <w:rPr>
                <w:rFonts w:eastAsia="楷体_GB2312"/>
                <w:sz w:val="28"/>
                <w:szCs w:val="28"/>
              </w:rPr>
            </w:pPr>
            <w:r>
              <w:rPr>
                <w:rFonts w:hint="eastAsia" w:eastAsia="楷体_GB2312"/>
                <w:b/>
                <w:sz w:val="28"/>
                <w:szCs w:val="28"/>
              </w:rPr>
              <w:t>1.“1+6+N”商贸流通体系建设</w:t>
            </w:r>
            <w:r>
              <w:rPr>
                <w:rFonts w:hint="eastAsia" w:eastAsia="楷体_GB2312"/>
                <w:sz w:val="28"/>
                <w:szCs w:val="28"/>
              </w:rPr>
              <w:t>。以县城为中心，以君坝镇、禾尼乡、格聂镇、甲洼镇、木拉镇、拉波镇六中心镇为副中心，以其余乡镇为节点，统筹布局商贸流通设施，分层级完善商贸服务功能。</w:t>
            </w:r>
          </w:p>
          <w:p w14:paraId="6D9B29C5">
            <w:pPr>
              <w:snapToGrid w:val="0"/>
              <w:spacing w:line="440" w:lineRule="exact"/>
              <w:ind w:firstLine="562" w:firstLineChars="200"/>
              <w:jc w:val="left"/>
              <w:rPr>
                <w:rFonts w:eastAsia="楷体_GB2312"/>
                <w:sz w:val="28"/>
                <w:szCs w:val="28"/>
              </w:rPr>
            </w:pPr>
            <w:r>
              <w:rPr>
                <w:rFonts w:hint="eastAsia" w:eastAsia="楷体_GB2312"/>
                <w:b/>
                <w:bCs/>
                <w:sz w:val="28"/>
                <w:szCs w:val="28"/>
              </w:rPr>
              <w:t>2.传统商贸转型升级</w:t>
            </w:r>
            <w:r>
              <w:rPr>
                <w:rFonts w:hint="eastAsia" w:eastAsia="楷体_GB2312"/>
                <w:sz w:val="28"/>
                <w:szCs w:val="28"/>
              </w:rPr>
              <w:t>。推进商业集聚区、特色商业街区改造提升，加快建设勒通古镇业态开发建设项目、仙鹤步行街商贸提升打造等项目，实施</w:t>
            </w:r>
            <w:r>
              <w:rPr>
                <w:rFonts w:eastAsia="楷体_GB2312"/>
                <w:sz w:val="28"/>
                <w:szCs w:val="28"/>
              </w:rPr>
              <w:t>“</w:t>
            </w:r>
            <w:r>
              <w:rPr>
                <w:rFonts w:hint="eastAsia" w:eastAsia="楷体_GB2312"/>
                <w:sz w:val="28"/>
                <w:szCs w:val="28"/>
              </w:rPr>
              <w:t>乡镇商贸网点提升工程</w:t>
            </w:r>
            <w:r>
              <w:rPr>
                <w:rFonts w:eastAsia="楷体_GB2312"/>
                <w:sz w:val="28"/>
                <w:szCs w:val="28"/>
              </w:rPr>
              <w:t>”</w:t>
            </w:r>
            <w:r>
              <w:rPr>
                <w:rFonts w:hint="eastAsia" w:eastAsia="楷体_GB2312"/>
                <w:sz w:val="28"/>
                <w:szCs w:val="28"/>
              </w:rPr>
              <w:t>，建设专业商品市场、连锁品牌店、特色商业街区和特色交易市场，培育本土连锁经营品牌。</w:t>
            </w:r>
          </w:p>
          <w:p w14:paraId="74B62282">
            <w:pPr>
              <w:snapToGrid w:val="0"/>
              <w:spacing w:line="440" w:lineRule="exact"/>
              <w:ind w:firstLine="562" w:firstLineChars="200"/>
              <w:jc w:val="left"/>
              <w:rPr>
                <w:rFonts w:eastAsia="楷体_GB2312"/>
                <w:sz w:val="28"/>
                <w:szCs w:val="28"/>
              </w:rPr>
            </w:pPr>
            <w:r>
              <w:rPr>
                <w:rFonts w:eastAsia="楷体_GB2312"/>
                <w:b/>
                <w:sz w:val="28"/>
                <w:szCs w:val="28"/>
              </w:rPr>
              <w:t>3.</w:t>
            </w:r>
            <w:r>
              <w:rPr>
                <w:rFonts w:hint="eastAsia" w:eastAsia="楷体_GB2312"/>
                <w:b/>
                <w:sz w:val="28"/>
                <w:szCs w:val="28"/>
              </w:rPr>
              <w:t>商贸基础设施建设</w:t>
            </w:r>
            <w:r>
              <w:rPr>
                <w:rFonts w:hint="eastAsia" w:eastAsia="楷体_GB2312"/>
                <w:sz w:val="28"/>
                <w:szCs w:val="28"/>
              </w:rPr>
              <w:t>。加快建设南亚商贸城项目，实施城东康南农产品批发市场、农村商贸服务便民商店等项目，推进康南商贸物流基地、“高原农产品前置仓”等项目建设。</w:t>
            </w:r>
          </w:p>
          <w:p w14:paraId="0908A694">
            <w:pPr>
              <w:snapToGrid w:val="0"/>
              <w:spacing w:line="440" w:lineRule="exact"/>
              <w:ind w:firstLine="562" w:firstLineChars="200"/>
              <w:jc w:val="left"/>
              <w:rPr>
                <w:rFonts w:eastAsia="楷体_GB2312"/>
                <w:sz w:val="28"/>
                <w:szCs w:val="28"/>
              </w:rPr>
            </w:pPr>
            <w:r>
              <w:rPr>
                <w:rFonts w:hint="eastAsia" w:eastAsia="楷体_GB2312"/>
                <w:b/>
                <w:sz w:val="28"/>
                <w:szCs w:val="28"/>
              </w:rPr>
              <w:t>4.“数字商贸”建设</w:t>
            </w:r>
            <w:r>
              <w:rPr>
                <w:rFonts w:hint="eastAsia" w:eastAsia="楷体_GB2312"/>
                <w:sz w:val="28"/>
                <w:szCs w:val="28"/>
              </w:rPr>
              <w:t>。运用电子商务改造传统商贸流通业，加快特色产品电子商务直播基地项目建设，推广</w:t>
            </w:r>
            <w:r>
              <w:rPr>
                <w:rFonts w:eastAsia="楷体_GB2312"/>
                <w:sz w:val="28"/>
                <w:szCs w:val="28"/>
              </w:rPr>
              <w:t>“</w:t>
            </w:r>
            <w:r>
              <w:rPr>
                <w:rFonts w:hint="eastAsia" w:eastAsia="楷体_GB2312"/>
                <w:sz w:val="28"/>
                <w:szCs w:val="28"/>
              </w:rPr>
              <w:t>电商</w:t>
            </w:r>
            <w:r>
              <w:rPr>
                <w:rFonts w:eastAsia="楷体_GB2312"/>
                <w:sz w:val="28"/>
                <w:szCs w:val="28"/>
              </w:rPr>
              <w:t>+</w:t>
            </w:r>
            <w:r>
              <w:rPr>
                <w:rFonts w:hint="eastAsia" w:eastAsia="楷体_GB2312"/>
                <w:sz w:val="28"/>
                <w:szCs w:val="28"/>
              </w:rPr>
              <w:t>合作社</w:t>
            </w:r>
            <w:r>
              <w:rPr>
                <w:rFonts w:eastAsia="楷体_GB2312"/>
                <w:sz w:val="28"/>
                <w:szCs w:val="28"/>
              </w:rPr>
              <w:t>+</w:t>
            </w:r>
            <w:r>
              <w:rPr>
                <w:rFonts w:hint="eastAsia" w:eastAsia="楷体_GB2312"/>
                <w:sz w:val="28"/>
                <w:szCs w:val="28"/>
              </w:rPr>
              <w:t>农户</w:t>
            </w:r>
            <w:r>
              <w:rPr>
                <w:rFonts w:eastAsia="楷体_GB2312"/>
                <w:sz w:val="28"/>
                <w:szCs w:val="28"/>
              </w:rPr>
              <w:t>”</w:t>
            </w:r>
            <w:r>
              <w:rPr>
                <w:rFonts w:hint="eastAsia" w:eastAsia="楷体_GB2312"/>
                <w:sz w:val="28"/>
                <w:szCs w:val="28"/>
              </w:rPr>
              <w:t>模式，搭建“数字农贸”“数字街区”“数字商圈”等平台，创新“云逛街”“云购物”等模式。</w:t>
            </w:r>
          </w:p>
        </w:tc>
      </w:tr>
      <w:bookmarkEnd w:id="184"/>
      <w:bookmarkEnd w:id="185"/>
    </w:tbl>
    <w:p w14:paraId="66038535">
      <w:pPr>
        <w:pStyle w:val="15"/>
        <w:numPr>
          <w:ilvl w:val="0"/>
          <w:numId w:val="5"/>
        </w:numPr>
        <w:spacing w:before="156" w:beforeLines="50" w:after="156" w:afterLines="50" w:line="580" w:lineRule="exact"/>
        <w:ind w:left="1080" w:hanging="1080" w:firstLineChars="0"/>
        <w:jc w:val="center"/>
        <w:outlineLvl w:val="2"/>
        <w:rPr>
          <w:rFonts w:eastAsia="楷体_GB2312"/>
          <w:b/>
          <w:bCs/>
          <w:sz w:val="32"/>
          <w:szCs w:val="32"/>
        </w:rPr>
      </w:pPr>
      <w:bookmarkStart w:id="186" w:name="OLE_LINK159"/>
      <w:bookmarkStart w:id="187" w:name="_Toc23565"/>
      <w:r>
        <w:rPr>
          <w:rFonts w:hint="eastAsia" w:eastAsia="楷体_GB2312"/>
          <w:b/>
          <w:bCs/>
          <w:sz w:val="32"/>
          <w:szCs w:val="32"/>
        </w:rPr>
        <w:t xml:space="preserve"> </w:t>
      </w:r>
      <w:bookmarkStart w:id="188" w:name="_Toc218241044"/>
      <w:r>
        <w:rPr>
          <w:rFonts w:hint="eastAsia" w:eastAsia="楷体_GB2312"/>
          <w:b/>
          <w:bCs/>
          <w:sz w:val="32"/>
          <w:szCs w:val="32"/>
        </w:rPr>
        <w:t>构建“通道+枢纽+网络+平台”现代物流体系</w:t>
      </w:r>
      <w:bookmarkEnd w:id="186"/>
      <w:bookmarkEnd w:id="187"/>
      <w:bookmarkEnd w:id="188"/>
    </w:p>
    <w:p w14:paraId="34D3F66B">
      <w:pPr>
        <w:pStyle w:val="15"/>
        <w:spacing w:before="156" w:beforeLines="50" w:after="156" w:afterLines="50" w:line="580" w:lineRule="exact"/>
        <w:ind w:firstLine="640"/>
        <w:jc w:val="left"/>
        <w:rPr>
          <w:rFonts w:eastAsia="仿宋_GB2312"/>
          <w:color w:val="000000"/>
          <w:kern w:val="0"/>
          <w:sz w:val="32"/>
          <w:szCs w:val="32"/>
        </w:rPr>
      </w:pPr>
      <w:r>
        <w:rPr>
          <w:rFonts w:hint="eastAsia" w:eastAsia="仿宋_GB2312"/>
          <w:color w:val="000000"/>
          <w:kern w:val="0"/>
          <w:sz w:val="32"/>
          <w:szCs w:val="32"/>
        </w:rPr>
        <w:t>发挥交通、区位条件优势，加快实施</w:t>
      </w:r>
      <w:r>
        <w:rPr>
          <w:rFonts w:eastAsia="仿宋_GB2312"/>
          <w:color w:val="000000"/>
          <w:kern w:val="0"/>
          <w:sz w:val="32"/>
          <w:szCs w:val="32"/>
        </w:rPr>
        <w:t>联运枢纽、集疏运设施、换装转运装备、公共物流信息平台等补短板工程</w:t>
      </w:r>
      <w:r>
        <w:rPr>
          <w:rFonts w:hint="eastAsia" w:eastAsia="仿宋_GB2312"/>
          <w:color w:val="000000"/>
          <w:kern w:val="0"/>
          <w:sz w:val="32"/>
          <w:szCs w:val="32"/>
        </w:rPr>
        <w:t>，加快建设康南物流中心。畅通与成渝城市群、西藏、云南等地区的干支线运输线路，整合优化理塘与周边地区的公路、铁路、空运等干支线运输资源，打造铁路物流基地、货运物流园区，完善综合枢纽的集疏运系统，提升区域物流服务能力水平。完善县、乡、村三级物流运输网络体系，支持特色物流园区、配送中心建设，改造升级乡（镇）、村（社区）物流站点，打通“消费品进村、特色产品出县”双向通道，整体提升物流运输对州域副中心（康南中心）的基础支撑作用。</w:t>
      </w:r>
    </w:p>
    <w:p w14:paraId="21AF9CE8">
      <w:pPr>
        <w:pStyle w:val="15"/>
        <w:numPr>
          <w:ilvl w:val="0"/>
          <w:numId w:val="5"/>
        </w:numPr>
        <w:spacing w:before="156" w:beforeLines="50" w:after="156" w:afterLines="50" w:line="580" w:lineRule="exact"/>
        <w:ind w:firstLineChars="0"/>
        <w:jc w:val="center"/>
        <w:outlineLvl w:val="2"/>
        <w:rPr>
          <w:rFonts w:eastAsia="楷体_GB2312"/>
          <w:b/>
          <w:bCs/>
          <w:sz w:val="32"/>
          <w:szCs w:val="32"/>
        </w:rPr>
      </w:pPr>
      <w:bookmarkStart w:id="189" w:name="OLE_LINK163"/>
      <w:bookmarkStart w:id="190" w:name="_Toc6704"/>
      <w:bookmarkStart w:id="191" w:name="OLE_LINK164"/>
      <w:r>
        <w:rPr>
          <w:rFonts w:hint="eastAsia" w:eastAsia="楷体_GB2312"/>
          <w:b/>
          <w:bCs/>
          <w:sz w:val="32"/>
          <w:szCs w:val="32"/>
        </w:rPr>
        <w:t xml:space="preserve"> </w:t>
      </w:r>
      <w:bookmarkStart w:id="192" w:name="_Toc218241045"/>
      <w:r>
        <w:rPr>
          <w:rFonts w:hint="eastAsia" w:eastAsia="楷体_GB2312"/>
          <w:b/>
          <w:bCs/>
          <w:sz w:val="32"/>
          <w:szCs w:val="32"/>
        </w:rPr>
        <w:t>持续推进物流降本增效</w:t>
      </w:r>
      <w:bookmarkEnd w:id="189"/>
      <w:bookmarkEnd w:id="190"/>
      <w:bookmarkEnd w:id="191"/>
      <w:bookmarkEnd w:id="192"/>
    </w:p>
    <w:p w14:paraId="65FA292A">
      <w:pPr>
        <w:ind w:firstLine="640" w:firstLineChars="200"/>
        <w:rPr>
          <w:rFonts w:eastAsia="仿宋_GB2312"/>
          <w:color w:val="000000"/>
          <w:kern w:val="0"/>
          <w:sz w:val="32"/>
          <w:szCs w:val="32"/>
        </w:rPr>
      </w:pPr>
      <w:r>
        <w:rPr>
          <w:rFonts w:eastAsia="仿宋_GB2312"/>
          <w:color w:val="000000"/>
          <w:kern w:val="0"/>
          <w:sz w:val="32"/>
          <w:szCs w:val="32"/>
        </w:rPr>
        <w:t>围绕“降本、提质、增效”三</w:t>
      </w:r>
      <w:r>
        <w:rPr>
          <w:rFonts w:hint="eastAsia" w:eastAsia="仿宋_GB2312"/>
          <w:color w:val="000000"/>
          <w:kern w:val="0"/>
          <w:sz w:val="32"/>
          <w:szCs w:val="32"/>
        </w:rPr>
        <w:t>大</w:t>
      </w:r>
      <w:r>
        <w:rPr>
          <w:rFonts w:eastAsia="仿宋_GB2312"/>
          <w:color w:val="000000"/>
          <w:kern w:val="0"/>
          <w:sz w:val="32"/>
          <w:szCs w:val="32"/>
        </w:rPr>
        <w:t>方向</w:t>
      </w:r>
      <w:r>
        <w:rPr>
          <w:rFonts w:hint="eastAsia" w:eastAsia="仿宋_GB2312"/>
          <w:color w:val="000000"/>
          <w:kern w:val="0"/>
          <w:sz w:val="32"/>
          <w:szCs w:val="32"/>
        </w:rPr>
        <w:t>，</w:t>
      </w:r>
      <w:r>
        <w:rPr>
          <w:rFonts w:eastAsia="仿宋_GB2312"/>
          <w:color w:val="000000"/>
          <w:kern w:val="0"/>
          <w:sz w:val="32"/>
          <w:szCs w:val="32"/>
        </w:rPr>
        <w:t>聚焦大规模“硬建设”和高水平“软建设”</w:t>
      </w:r>
      <w:r>
        <w:rPr>
          <w:rFonts w:hint="eastAsia" w:eastAsia="仿宋_GB2312"/>
          <w:color w:val="000000"/>
          <w:kern w:val="0"/>
          <w:sz w:val="32"/>
          <w:szCs w:val="32"/>
        </w:rPr>
        <w:t>，</w:t>
      </w:r>
      <w:r>
        <w:rPr>
          <w:rFonts w:eastAsia="仿宋_GB2312"/>
          <w:color w:val="000000"/>
          <w:kern w:val="0"/>
          <w:sz w:val="32"/>
          <w:szCs w:val="32"/>
        </w:rPr>
        <w:t>加快推动通道网、物流网、数联网“三网”深度融合</w:t>
      </w:r>
      <w:r>
        <w:rPr>
          <w:rFonts w:hint="eastAsia" w:eastAsia="仿宋_GB2312"/>
          <w:color w:val="000000"/>
          <w:kern w:val="0"/>
          <w:sz w:val="32"/>
          <w:szCs w:val="32"/>
        </w:rPr>
        <w:t>，推进现代物流业高质高效发展。结合川藏铁路、高速公路、机场建设，</w:t>
      </w:r>
      <w:r>
        <w:rPr>
          <w:rFonts w:eastAsia="仿宋_GB2312"/>
          <w:color w:val="000000"/>
          <w:kern w:val="0"/>
          <w:sz w:val="32"/>
          <w:szCs w:val="32"/>
        </w:rPr>
        <w:t>打造“铁路+公路+航空”多式联运枢纽</w:t>
      </w:r>
      <w:r>
        <w:rPr>
          <w:rFonts w:hint="eastAsia" w:eastAsia="仿宋_GB2312"/>
          <w:color w:val="000000"/>
          <w:kern w:val="0"/>
          <w:sz w:val="32"/>
          <w:szCs w:val="32"/>
        </w:rPr>
        <w:t>，推动各种物流方式有机结合，提升综合物流运输效率。优化</w:t>
      </w:r>
      <w:bookmarkStart w:id="193" w:name="OLE_LINK185"/>
      <w:bookmarkStart w:id="194" w:name="OLE_LINK184"/>
      <w:r>
        <w:rPr>
          <w:rFonts w:hint="eastAsia" w:eastAsia="仿宋_GB2312"/>
          <w:color w:val="000000"/>
          <w:kern w:val="0"/>
          <w:sz w:val="32"/>
          <w:szCs w:val="32"/>
        </w:rPr>
        <w:t>县域、乡镇、村三级配送网络</w:t>
      </w:r>
      <w:bookmarkEnd w:id="193"/>
      <w:bookmarkEnd w:id="194"/>
      <w:r>
        <w:rPr>
          <w:rFonts w:hint="eastAsia" w:eastAsia="仿宋_GB2312"/>
          <w:color w:val="000000"/>
          <w:kern w:val="0"/>
          <w:sz w:val="32"/>
          <w:szCs w:val="32"/>
        </w:rPr>
        <w:t>，推广共同配送、集中配送等模式，降低城乡物流成本。推动物流服务市场化、社会化，</w:t>
      </w:r>
      <w:r>
        <w:rPr>
          <w:rFonts w:eastAsia="仿宋_GB2312"/>
          <w:color w:val="000000"/>
          <w:kern w:val="0"/>
          <w:sz w:val="32"/>
          <w:szCs w:val="32"/>
        </w:rPr>
        <w:t>鼓励发展采购、供应、仓储、运输、配送等一体化供应链模式</w:t>
      </w:r>
      <w:r>
        <w:rPr>
          <w:rFonts w:hint="eastAsia" w:eastAsia="仿宋_GB2312"/>
          <w:color w:val="000000"/>
          <w:kern w:val="0"/>
          <w:sz w:val="32"/>
          <w:szCs w:val="32"/>
        </w:rPr>
        <w:t>，降低社会物流成本。</w:t>
      </w:r>
      <w:r>
        <w:rPr>
          <w:rFonts w:eastAsia="仿宋_GB2312"/>
          <w:color w:val="000000"/>
          <w:kern w:val="0"/>
          <w:sz w:val="32"/>
          <w:szCs w:val="32"/>
        </w:rPr>
        <w:t>加强人工智能、物联网、大数据等新技术在现代物流领域的应用</w:t>
      </w:r>
      <w:r>
        <w:rPr>
          <w:rFonts w:hint="eastAsia" w:eastAsia="仿宋_GB2312"/>
          <w:color w:val="000000"/>
          <w:kern w:val="0"/>
          <w:sz w:val="32"/>
          <w:szCs w:val="32"/>
        </w:rPr>
        <w:t>，</w:t>
      </w:r>
      <w:r>
        <w:rPr>
          <w:rFonts w:eastAsia="仿宋_GB2312"/>
          <w:color w:val="000000"/>
          <w:kern w:val="0"/>
          <w:sz w:val="32"/>
          <w:szCs w:val="32"/>
        </w:rPr>
        <w:t>提升物流业智慧化水平。</w:t>
      </w:r>
    </w:p>
    <w:p w14:paraId="666C8654">
      <w:pPr>
        <w:pStyle w:val="15"/>
        <w:numPr>
          <w:ilvl w:val="0"/>
          <w:numId w:val="5"/>
        </w:numPr>
        <w:spacing w:before="156" w:beforeLines="50" w:after="156" w:afterLines="50" w:line="580" w:lineRule="exact"/>
        <w:ind w:left="1080" w:hanging="1080" w:firstLineChars="0"/>
        <w:jc w:val="center"/>
        <w:outlineLvl w:val="2"/>
        <w:rPr>
          <w:rFonts w:eastAsia="楷体_GB2312"/>
          <w:b/>
          <w:bCs/>
          <w:sz w:val="32"/>
          <w:szCs w:val="32"/>
        </w:rPr>
      </w:pPr>
      <w:bookmarkStart w:id="195" w:name="_Toc32184"/>
      <w:bookmarkStart w:id="196" w:name="OLE_LINK188"/>
      <w:bookmarkStart w:id="197" w:name="OLE_LINK189"/>
      <w:r>
        <w:rPr>
          <w:rFonts w:hint="eastAsia" w:eastAsia="楷体_GB2312"/>
          <w:b/>
          <w:bCs/>
          <w:sz w:val="32"/>
          <w:szCs w:val="32"/>
        </w:rPr>
        <w:t xml:space="preserve"> </w:t>
      </w:r>
      <w:bookmarkStart w:id="198" w:name="_Toc218241046"/>
      <w:r>
        <w:rPr>
          <w:rFonts w:hint="eastAsia" w:eastAsia="楷体_GB2312"/>
          <w:b/>
          <w:bCs/>
          <w:sz w:val="32"/>
          <w:szCs w:val="32"/>
        </w:rPr>
        <w:t>壮大物流主体丰富物流业态</w:t>
      </w:r>
      <w:bookmarkEnd w:id="195"/>
      <w:bookmarkEnd w:id="196"/>
      <w:bookmarkEnd w:id="197"/>
      <w:bookmarkEnd w:id="198"/>
    </w:p>
    <w:p w14:paraId="72811B1F">
      <w:pPr>
        <w:spacing w:before="120"/>
        <w:ind w:firstLine="640"/>
        <w:rPr>
          <w:rFonts w:eastAsia="仿宋_GB2312"/>
          <w:color w:val="000000"/>
          <w:kern w:val="0"/>
          <w:sz w:val="32"/>
          <w:szCs w:val="32"/>
        </w:rPr>
      </w:pPr>
      <w:r>
        <w:rPr>
          <w:rFonts w:hint="eastAsia" w:eastAsia="仿宋_GB2312"/>
          <w:color w:val="000000"/>
          <w:kern w:val="0"/>
          <w:sz w:val="32"/>
          <w:szCs w:val="32"/>
        </w:rPr>
        <w:t>立足供需适配、便捷高效、结构优化需要，培育壮大第三方物流企业，引进区域龙头物流企业，不断提升专业化服务水平。围绕川藏铁路等站场规划及物流基地建设，积极发展大宗物资物流、“高铁+快递物流”等业态，推进铁路物流融入货运物流、供应链体系。</w:t>
      </w:r>
      <w:r>
        <w:rPr>
          <w:rFonts w:eastAsia="仿宋_GB2312"/>
          <w:color w:val="000000"/>
          <w:kern w:val="0"/>
          <w:sz w:val="32"/>
          <w:szCs w:val="32"/>
        </w:rPr>
        <w:t>积极发展冷链物流、专业物流和物流配送等现代物流业，</w:t>
      </w:r>
      <w:r>
        <w:rPr>
          <w:rFonts w:hint="eastAsia" w:eastAsia="仿宋_GB2312"/>
          <w:color w:val="000000"/>
          <w:kern w:val="0"/>
          <w:sz w:val="32"/>
          <w:szCs w:val="32"/>
        </w:rPr>
        <w:t>建设覆盖主产区的产地预冷库和移动保鲜设施，推动特色农产品规模化外销。构建合理、高效、点面结合、干支衔接共同配送体系，提高城乡物流配送效率。建立健全</w:t>
      </w:r>
      <w:r>
        <w:rPr>
          <w:rFonts w:eastAsia="仿宋_GB2312"/>
          <w:color w:val="000000"/>
          <w:kern w:val="0"/>
          <w:sz w:val="32"/>
          <w:szCs w:val="32"/>
        </w:rPr>
        <w:t>“</w:t>
      </w:r>
      <w:r>
        <w:rPr>
          <w:rFonts w:hint="eastAsia" w:eastAsia="仿宋_GB2312"/>
          <w:color w:val="000000"/>
          <w:kern w:val="0"/>
          <w:sz w:val="32"/>
          <w:szCs w:val="32"/>
        </w:rPr>
        <w:t>平急结合</w:t>
      </w:r>
      <w:r>
        <w:rPr>
          <w:rFonts w:eastAsia="仿宋_GB2312"/>
          <w:color w:val="000000"/>
          <w:kern w:val="0"/>
          <w:sz w:val="32"/>
          <w:szCs w:val="32"/>
        </w:rPr>
        <w:t>”</w:t>
      </w:r>
      <w:r>
        <w:rPr>
          <w:rFonts w:hint="eastAsia" w:eastAsia="仿宋_GB2312"/>
          <w:color w:val="000000"/>
          <w:kern w:val="0"/>
          <w:sz w:val="32"/>
          <w:szCs w:val="32"/>
        </w:rPr>
        <w:t>应急物流体系，在高海拔或地形复杂区域试点无人机配送，优先保障药品、应急物资的精准投送。</w:t>
      </w:r>
    </w:p>
    <w:p w14:paraId="0FA671F0">
      <w:pPr>
        <w:pStyle w:val="15"/>
        <w:numPr>
          <w:ilvl w:val="0"/>
          <w:numId w:val="5"/>
        </w:numPr>
        <w:spacing w:before="156" w:beforeLines="50" w:after="156" w:afterLines="50" w:line="580" w:lineRule="exact"/>
        <w:ind w:left="1080" w:hanging="1080" w:firstLineChars="0"/>
        <w:jc w:val="center"/>
        <w:outlineLvl w:val="2"/>
        <w:rPr>
          <w:rFonts w:eastAsia="楷体_GB2312"/>
          <w:b/>
          <w:bCs/>
          <w:sz w:val="32"/>
          <w:szCs w:val="32"/>
        </w:rPr>
      </w:pPr>
      <w:bookmarkStart w:id="199" w:name="_Toc638"/>
      <w:r>
        <w:rPr>
          <w:rFonts w:hint="eastAsia" w:eastAsia="楷体_GB2312"/>
          <w:b/>
          <w:bCs/>
          <w:sz w:val="32"/>
          <w:szCs w:val="32"/>
        </w:rPr>
        <w:t xml:space="preserve"> </w:t>
      </w:r>
      <w:bookmarkStart w:id="200" w:name="_Toc218241047"/>
      <w:r>
        <w:rPr>
          <w:rFonts w:hint="eastAsia" w:eastAsia="楷体_GB2312"/>
          <w:b/>
          <w:bCs/>
          <w:sz w:val="32"/>
          <w:szCs w:val="32"/>
        </w:rPr>
        <w:t>加强配套政策措施支持</w:t>
      </w:r>
      <w:bookmarkEnd w:id="178"/>
      <w:bookmarkEnd w:id="199"/>
      <w:bookmarkEnd w:id="200"/>
    </w:p>
    <w:p w14:paraId="18C79B82">
      <w:pPr>
        <w:spacing w:after="72" w:line="580" w:lineRule="exact"/>
        <w:ind w:firstLine="640" w:firstLineChars="200"/>
        <w:jc w:val="left"/>
        <w:rPr>
          <w:rFonts w:eastAsia="楷体_GB2312"/>
          <w:b/>
          <w:sz w:val="32"/>
          <w:szCs w:val="32"/>
        </w:rPr>
      </w:pPr>
      <w:r>
        <w:rPr>
          <w:rFonts w:hint="eastAsia" w:eastAsia="仿宋_GB2312"/>
          <w:color w:val="000000"/>
          <w:kern w:val="0"/>
          <w:sz w:val="32"/>
          <w:szCs w:val="32"/>
        </w:rPr>
        <w:t>进一步引导工商企业主辅分离，鼓励农产品加工企业、贸易企业的物流业务外包，支持传统物流企业向第三方物流企业转型，推动</w:t>
      </w:r>
      <w:r>
        <w:rPr>
          <w:rFonts w:eastAsia="仿宋_GB2312"/>
          <w:color w:val="000000"/>
          <w:kern w:val="0"/>
          <w:sz w:val="32"/>
          <w:szCs w:val="32"/>
        </w:rPr>
        <w:t>物流企业通过收购、兼并、重组和联盟等方式，培育一批具有市场带动力的行业领军企业</w:t>
      </w:r>
      <w:r>
        <w:rPr>
          <w:rFonts w:hint="eastAsia" w:eastAsia="仿宋_GB2312"/>
          <w:color w:val="000000"/>
          <w:kern w:val="0"/>
          <w:sz w:val="32"/>
          <w:szCs w:val="32"/>
        </w:rPr>
        <w:t>，改变“小、散、乱”传统物流行业格局。</w:t>
      </w:r>
      <w:r>
        <w:rPr>
          <w:rFonts w:eastAsia="仿宋_GB2312"/>
          <w:color w:val="000000"/>
          <w:kern w:val="0"/>
          <w:sz w:val="32"/>
          <w:szCs w:val="32"/>
        </w:rPr>
        <w:t>出台商贸流通业与物流业发展专项资金、用地优惠、税费减免等扶持政策</w:t>
      </w:r>
      <w:r>
        <w:rPr>
          <w:rFonts w:hint="eastAsia" w:eastAsia="仿宋_GB2312"/>
          <w:color w:val="000000"/>
          <w:kern w:val="0"/>
          <w:sz w:val="32"/>
          <w:szCs w:val="32"/>
        </w:rPr>
        <w:t>，</w:t>
      </w:r>
      <w:r>
        <w:rPr>
          <w:rFonts w:eastAsia="仿宋_GB2312"/>
          <w:color w:val="000000"/>
          <w:kern w:val="0"/>
          <w:sz w:val="32"/>
          <w:szCs w:val="32"/>
        </w:rPr>
        <w:t>重点支持冷链物流、应急物流、乡村配送等短板领域建设。联合高校、职业院校开设物流管理、电商运营等职业培训课程，培养专业化人才。推动冷链物流、乡村快递标准化建设，对通过国家级认证的企业给予奖励。</w:t>
      </w:r>
      <w:bookmarkStart w:id="201" w:name="OLE_LINK53"/>
      <w:bookmarkStart w:id="202" w:name="OLE_LINK52"/>
    </w:p>
    <w:p w14:paraId="1D00D4E7">
      <w:pPr>
        <w:pStyle w:val="10"/>
        <w:snapToGrid w:val="0"/>
        <w:spacing w:before="156" w:beforeLines="50" w:after="156" w:afterLines="50" w:line="440" w:lineRule="exact"/>
        <w:ind w:left="0" w:leftChars="0" w:firstLine="0" w:firstLineChars="0"/>
        <w:rPr>
          <w:rFonts w:ascii="Times New Roman" w:hAnsi="Times New Roman" w:eastAsia="楷体_GB2312" w:cs="Times New Roman"/>
          <w:b/>
          <w:sz w:val="28"/>
          <w:szCs w:val="28"/>
        </w:rPr>
      </w:pP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96"/>
      </w:tblGrid>
      <w:tr w14:paraId="63FB5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6" w:type="dxa"/>
            <w:tcBorders>
              <w:top w:val="single" w:color="auto" w:sz="4" w:space="0"/>
              <w:left w:val="single" w:color="auto" w:sz="4" w:space="0"/>
              <w:bottom w:val="single" w:color="auto" w:sz="4" w:space="0"/>
              <w:right w:val="single" w:color="auto" w:sz="4" w:space="0"/>
            </w:tcBorders>
            <w:shd w:val="clear" w:color="auto" w:fill="auto"/>
          </w:tcPr>
          <w:p w14:paraId="34FD8CAA">
            <w:pPr>
              <w:pStyle w:val="10"/>
              <w:snapToGrid w:val="0"/>
              <w:spacing w:before="156" w:beforeLines="50" w:after="156" w:afterLines="50" w:line="440" w:lineRule="exact"/>
              <w:ind w:left="0" w:leftChars="0" w:firstLine="643" w:firstLineChars="0"/>
              <w:jc w:val="center"/>
              <w:rPr>
                <w:rFonts w:eastAsia="仿宋_GB2312"/>
                <w:b/>
                <w:sz w:val="28"/>
                <w:szCs w:val="28"/>
              </w:rPr>
            </w:pPr>
            <w:r>
              <w:rPr>
                <w:rFonts w:hint="eastAsia" w:ascii="Times New Roman" w:hAnsi="Times New Roman" w:eastAsia="楷体_GB2312" w:cs="Times New Roman"/>
                <w:b/>
                <w:sz w:val="28"/>
                <w:szCs w:val="28"/>
              </w:rPr>
              <w:t>专栏12 “十五五”时期康南物流中心建设重点</w:t>
            </w:r>
          </w:p>
        </w:tc>
      </w:tr>
      <w:tr w14:paraId="7A664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6" w:type="dxa"/>
            <w:tcBorders>
              <w:top w:val="single" w:color="auto" w:sz="4" w:space="0"/>
              <w:left w:val="single" w:color="auto" w:sz="4" w:space="0"/>
              <w:bottom w:val="single" w:color="auto" w:sz="4" w:space="0"/>
              <w:right w:val="single" w:color="auto" w:sz="4" w:space="0"/>
            </w:tcBorders>
            <w:shd w:val="clear" w:color="auto" w:fill="auto"/>
          </w:tcPr>
          <w:p w14:paraId="1FCE3C57">
            <w:pPr>
              <w:snapToGrid w:val="0"/>
              <w:spacing w:line="440" w:lineRule="exact"/>
              <w:ind w:firstLine="420"/>
              <w:jc w:val="left"/>
              <w:rPr>
                <w:rFonts w:eastAsia="楷体_GB2312"/>
                <w:kern w:val="0"/>
                <w:sz w:val="28"/>
                <w:szCs w:val="28"/>
              </w:rPr>
            </w:pPr>
            <w:r>
              <w:rPr>
                <w:rFonts w:hint="eastAsia" w:eastAsia="楷体_GB2312"/>
                <w:b/>
                <w:sz w:val="28"/>
                <w:szCs w:val="28"/>
              </w:rPr>
              <w:t>1.物流网络体系建设。</w:t>
            </w:r>
            <w:r>
              <w:rPr>
                <w:rFonts w:hint="eastAsia" w:eastAsia="楷体_GB2312"/>
                <w:sz w:val="28"/>
                <w:szCs w:val="28"/>
              </w:rPr>
              <w:t>建设</w:t>
            </w:r>
            <w:r>
              <w:rPr>
                <w:rFonts w:eastAsia="楷体_GB2312"/>
                <w:sz w:val="28"/>
                <w:szCs w:val="28"/>
              </w:rPr>
              <w:t>“铁路+公路+航空”多式联运</w:t>
            </w:r>
            <w:r>
              <w:rPr>
                <w:rFonts w:hint="eastAsia" w:eastAsia="楷体_GB2312"/>
                <w:sz w:val="28"/>
                <w:szCs w:val="28"/>
              </w:rPr>
              <w:t>体系，构建县域、乡镇、村三级配送网络，完善</w:t>
            </w:r>
            <w:r>
              <w:rPr>
                <w:rFonts w:eastAsia="楷体_GB2312"/>
                <w:sz w:val="28"/>
                <w:szCs w:val="28"/>
              </w:rPr>
              <w:t>“乡镇站—村级点—农户”三级配送模式</w:t>
            </w:r>
            <w:r>
              <w:rPr>
                <w:rFonts w:hint="eastAsia" w:eastAsia="楷体_GB2312"/>
                <w:sz w:val="28"/>
                <w:szCs w:val="28"/>
              </w:rPr>
              <w:t>。</w:t>
            </w:r>
          </w:p>
          <w:p w14:paraId="7ED95698">
            <w:pPr>
              <w:snapToGrid w:val="0"/>
              <w:spacing w:line="440" w:lineRule="exact"/>
              <w:ind w:firstLine="562" w:firstLineChars="200"/>
              <w:jc w:val="left"/>
              <w:rPr>
                <w:rFonts w:eastAsia="楷体_GB2312"/>
                <w:sz w:val="28"/>
                <w:szCs w:val="28"/>
              </w:rPr>
            </w:pPr>
            <w:r>
              <w:rPr>
                <w:rFonts w:hint="eastAsia" w:eastAsia="楷体_GB2312"/>
                <w:b/>
                <w:sz w:val="28"/>
                <w:szCs w:val="28"/>
              </w:rPr>
              <w:t>2.物流枢纽平台建设</w:t>
            </w:r>
            <w:r>
              <w:rPr>
                <w:rFonts w:hint="eastAsia" w:eastAsia="楷体_GB2312"/>
                <w:sz w:val="28"/>
                <w:szCs w:val="28"/>
              </w:rPr>
              <w:t>。加快推进康南陆空物流港（三期）建设，扩容升级</w:t>
            </w:r>
            <w:r>
              <w:rPr>
                <w:rFonts w:eastAsia="楷体_GB2312"/>
                <w:sz w:val="28"/>
                <w:szCs w:val="28"/>
              </w:rPr>
              <w:t>G318</w:t>
            </w:r>
            <w:r>
              <w:rPr>
                <w:rFonts w:hint="eastAsia" w:eastAsia="楷体_GB2312"/>
                <w:sz w:val="28"/>
                <w:szCs w:val="28"/>
              </w:rPr>
              <w:t>智慧陆上冷链物流集散中心，推进川藏铁路理塘站配套物流基地建设，实施康南陆空物流港综合提升工程、乡镇物流节点优化升级项目、村级物流服务点全覆盖与提质工程。</w:t>
            </w:r>
          </w:p>
          <w:p w14:paraId="6F8ECFB1">
            <w:pPr>
              <w:snapToGrid w:val="0"/>
              <w:spacing w:line="440" w:lineRule="exact"/>
              <w:ind w:firstLine="562" w:firstLineChars="200"/>
              <w:jc w:val="left"/>
              <w:rPr>
                <w:rFonts w:eastAsia="楷体_GB2312"/>
                <w:sz w:val="28"/>
                <w:szCs w:val="28"/>
              </w:rPr>
            </w:pPr>
            <w:r>
              <w:rPr>
                <w:rFonts w:hint="eastAsia" w:eastAsia="楷体_GB2312"/>
                <w:b/>
                <w:sz w:val="28"/>
                <w:szCs w:val="28"/>
              </w:rPr>
              <w:t>3</w:t>
            </w:r>
            <w:r>
              <w:rPr>
                <w:rFonts w:eastAsia="楷体_GB2312"/>
                <w:b/>
                <w:sz w:val="28"/>
                <w:szCs w:val="28"/>
              </w:rPr>
              <w:t>.“</w:t>
            </w:r>
            <w:r>
              <w:rPr>
                <w:rFonts w:hint="eastAsia" w:eastAsia="楷体_GB2312"/>
                <w:b/>
                <w:sz w:val="28"/>
                <w:szCs w:val="28"/>
              </w:rPr>
              <w:t>物流</w:t>
            </w:r>
            <w:r>
              <w:rPr>
                <w:rFonts w:eastAsia="楷体_GB2312"/>
                <w:b/>
                <w:sz w:val="28"/>
                <w:szCs w:val="28"/>
              </w:rPr>
              <w:t>+”</w:t>
            </w:r>
            <w:r>
              <w:rPr>
                <w:rFonts w:hint="eastAsia" w:eastAsia="楷体_GB2312"/>
                <w:b/>
                <w:sz w:val="28"/>
                <w:szCs w:val="28"/>
              </w:rPr>
              <w:t>融合发展</w:t>
            </w:r>
            <w:r>
              <w:rPr>
                <w:rFonts w:hint="eastAsia" w:eastAsia="楷体_GB2312"/>
                <w:sz w:val="28"/>
                <w:szCs w:val="28"/>
              </w:rPr>
              <w:t>。实施格聂景区物流配套项目、川滇藏青跨境商贸物流枢纽项目、</w:t>
            </w:r>
            <w:r>
              <w:rPr>
                <w:rFonts w:eastAsia="楷体_GB2312"/>
                <w:sz w:val="28"/>
                <w:szCs w:val="28"/>
              </w:rPr>
              <w:t>“</w:t>
            </w:r>
            <w:r>
              <w:rPr>
                <w:rFonts w:hint="eastAsia" w:eastAsia="楷体_GB2312"/>
                <w:sz w:val="28"/>
                <w:szCs w:val="28"/>
              </w:rPr>
              <w:t>物流</w:t>
            </w:r>
            <w:r>
              <w:rPr>
                <w:rFonts w:eastAsia="楷体_GB2312"/>
                <w:sz w:val="28"/>
                <w:szCs w:val="28"/>
              </w:rPr>
              <w:t>+</w:t>
            </w:r>
            <w:r>
              <w:rPr>
                <w:rFonts w:hint="eastAsia" w:eastAsia="楷体_GB2312"/>
                <w:sz w:val="28"/>
                <w:szCs w:val="28"/>
              </w:rPr>
              <w:t>电商</w:t>
            </w:r>
            <w:r>
              <w:rPr>
                <w:rFonts w:eastAsia="楷体_GB2312"/>
                <w:sz w:val="28"/>
                <w:szCs w:val="28"/>
              </w:rPr>
              <w:t>”</w:t>
            </w:r>
            <w:r>
              <w:rPr>
                <w:rFonts w:hint="eastAsia" w:eastAsia="楷体_GB2312"/>
                <w:sz w:val="28"/>
                <w:szCs w:val="28"/>
              </w:rPr>
              <w:t>融合发展项目。</w:t>
            </w:r>
          </w:p>
          <w:p w14:paraId="4FC40801">
            <w:pPr>
              <w:snapToGrid w:val="0"/>
              <w:spacing w:line="440" w:lineRule="exact"/>
              <w:ind w:firstLine="562" w:firstLineChars="200"/>
              <w:jc w:val="left"/>
              <w:rPr>
                <w:rFonts w:eastAsia="楷体_GB2312"/>
                <w:b/>
                <w:sz w:val="28"/>
                <w:szCs w:val="28"/>
              </w:rPr>
            </w:pPr>
            <w:r>
              <w:rPr>
                <w:rFonts w:hint="eastAsia" w:eastAsia="楷体_GB2312"/>
                <w:b/>
                <w:sz w:val="28"/>
                <w:szCs w:val="28"/>
              </w:rPr>
              <w:t>4.物流标准化应用。</w:t>
            </w:r>
            <w:r>
              <w:rPr>
                <w:rFonts w:hint="eastAsia" w:eastAsia="楷体_GB2312"/>
                <w:sz w:val="28"/>
                <w:szCs w:val="28"/>
              </w:rPr>
              <w:t>支持物流企业加快对现有仓库、转运设施和运输工具的标准化改造，按照国家和行业标准规范应用推广二维码等物流技术以及托盘、集装箱等物流装卸设施设备的标准化，严格落实物流数据采集、管理、开放、应用等相关标准规范。</w:t>
            </w:r>
          </w:p>
          <w:p w14:paraId="49AE48B2">
            <w:pPr>
              <w:snapToGrid w:val="0"/>
              <w:spacing w:line="440" w:lineRule="exact"/>
              <w:ind w:firstLine="562" w:firstLineChars="200"/>
              <w:jc w:val="left"/>
              <w:rPr>
                <w:rFonts w:eastAsia="楷体_GB2312"/>
                <w:sz w:val="28"/>
                <w:szCs w:val="28"/>
              </w:rPr>
            </w:pPr>
            <w:r>
              <w:rPr>
                <w:rFonts w:hint="eastAsia" w:eastAsia="楷体_GB2312"/>
                <w:b/>
                <w:sz w:val="28"/>
                <w:szCs w:val="28"/>
              </w:rPr>
              <w:t>5</w:t>
            </w:r>
            <w:r>
              <w:rPr>
                <w:rFonts w:eastAsia="楷体_GB2312"/>
                <w:b/>
                <w:sz w:val="28"/>
                <w:szCs w:val="28"/>
              </w:rPr>
              <w:t>.</w:t>
            </w:r>
            <w:r>
              <w:rPr>
                <w:rFonts w:hint="eastAsia" w:eastAsia="楷体_GB2312"/>
                <w:b/>
                <w:sz w:val="28"/>
                <w:szCs w:val="28"/>
              </w:rPr>
              <w:t>物流数字化化建设</w:t>
            </w:r>
            <w:r>
              <w:rPr>
                <w:rFonts w:hint="eastAsia" w:eastAsia="楷体_GB2312"/>
                <w:sz w:val="28"/>
                <w:szCs w:val="28"/>
              </w:rPr>
              <w:t>。实施理塘县数字物流公共服务平台建设项目、县乡村三级物流节点数字化升级工程、特色农产品数字冷链物流项目、无人机末端配送试点项目。</w:t>
            </w:r>
          </w:p>
          <w:p w14:paraId="43AC0FB6">
            <w:pPr>
              <w:snapToGrid w:val="0"/>
              <w:spacing w:line="440" w:lineRule="exact"/>
              <w:ind w:firstLine="562" w:firstLineChars="200"/>
              <w:jc w:val="left"/>
              <w:rPr>
                <w:rFonts w:eastAsia="楷体_GB2312"/>
              </w:rPr>
            </w:pPr>
            <w:r>
              <w:rPr>
                <w:rFonts w:hint="eastAsia" w:eastAsia="楷体_GB2312"/>
                <w:b/>
                <w:sz w:val="28"/>
                <w:szCs w:val="28"/>
              </w:rPr>
              <w:t>6</w:t>
            </w:r>
            <w:r>
              <w:rPr>
                <w:rFonts w:eastAsia="楷体_GB2312"/>
                <w:b/>
                <w:sz w:val="28"/>
                <w:szCs w:val="28"/>
              </w:rPr>
              <w:t>.</w:t>
            </w:r>
            <w:r>
              <w:rPr>
                <w:rFonts w:hint="eastAsia" w:eastAsia="楷体_GB2312"/>
                <w:b/>
                <w:sz w:val="28"/>
                <w:szCs w:val="28"/>
              </w:rPr>
              <w:t>多元业态物流发展</w:t>
            </w:r>
            <w:r>
              <w:rPr>
                <w:rFonts w:hint="eastAsia" w:eastAsia="楷体_GB2312"/>
                <w:sz w:val="28"/>
                <w:szCs w:val="28"/>
              </w:rPr>
              <w:t>。建设标准化冷库、冷藏车配送网络，推广</w:t>
            </w:r>
            <w:r>
              <w:rPr>
                <w:rFonts w:eastAsia="楷体_GB2312"/>
                <w:sz w:val="28"/>
                <w:szCs w:val="28"/>
              </w:rPr>
              <w:t>“</w:t>
            </w:r>
            <w:r>
              <w:rPr>
                <w:rFonts w:hint="eastAsia" w:eastAsia="楷体_GB2312"/>
                <w:sz w:val="28"/>
                <w:szCs w:val="28"/>
              </w:rPr>
              <w:t>产地预冷</w:t>
            </w:r>
            <w:r>
              <w:rPr>
                <w:rFonts w:eastAsia="楷体_GB2312"/>
                <w:sz w:val="28"/>
                <w:szCs w:val="28"/>
              </w:rPr>
              <w:t>+</w:t>
            </w:r>
            <w:r>
              <w:rPr>
                <w:rFonts w:hint="eastAsia" w:eastAsia="楷体_GB2312"/>
                <w:sz w:val="28"/>
                <w:szCs w:val="28"/>
              </w:rPr>
              <w:t>全程冷链</w:t>
            </w:r>
            <w:r>
              <w:rPr>
                <w:rFonts w:eastAsia="楷体_GB2312"/>
                <w:sz w:val="28"/>
                <w:szCs w:val="28"/>
              </w:rPr>
              <w:t>”</w:t>
            </w:r>
            <w:r>
              <w:rPr>
                <w:rFonts w:hint="eastAsia" w:eastAsia="楷体_GB2312"/>
                <w:sz w:val="28"/>
                <w:szCs w:val="28"/>
              </w:rPr>
              <w:t>模式，提升冷链物流覆盖率。</w:t>
            </w:r>
            <w:bookmarkStart w:id="203" w:name="OLE_LINK195"/>
            <w:r>
              <w:rPr>
                <w:rFonts w:hint="eastAsia" w:eastAsia="楷体_GB2312"/>
                <w:sz w:val="28"/>
                <w:szCs w:val="28"/>
              </w:rPr>
              <w:t>完善应急物资储备库和调度中心布局，</w:t>
            </w:r>
            <w:bookmarkEnd w:id="203"/>
            <w:r>
              <w:rPr>
                <w:rFonts w:hint="eastAsia" w:eastAsia="楷体_GB2312"/>
                <w:sz w:val="28"/>
                <w:szCs w:val="28"/>
              </w:rPr>
              <w:t>构建应急物资供应体系、应急物流运作体系、应急物流组织体系</w:t>
            </w:r>
            <w:r>
              <w:rPr>
                <w:rFonts w:hint="eastAsia" w:eastAsia="楷体_GB2312"/>
                <w:color w:val="000000"/>
                <w:kern w:val="0"/>
                <w:sz w:val="28"/>
                <w:szCs w:val="28"/>
              </w:rPr>
              <w:t>。</w:t>
            </w:r>
          </w:p>
        </w:tc>
      </w:tr>
      <w:bookmarkEnd w:id="201"/>
      <w:bookmarkEnd w:id="202"/>
    </w:tbl>
    <w:p w14:paraId="3EE586E6">
      <w:pPr>
        <w:pStyle w:val="2"/>
        <w:ind w:firstLine="0" w:firstLineChars="0"/>
      </w:pPr>
    </w:p>
    <w:p w14:paraId="7D57F61D">
      <w:pPr>
        <w:pStyle w:val="15"/>
        <w:numPr>
          <w:ilvl w:val="0"/>
          <w:numId w:val="2"/>
        </w:numPr>
        <w:spacing w:before="156" w:beforeLines="50" w:after="156" w:afterLines="50" w:line="580" w:lineRule="exact"/>
        <w:ind w:left="1080" w:hanging="1080" w:firstLineChars="0"/>
        <w:jc w:val="center"/>
        <w:outlineLvl w:val="1"/>
        <w:rPr>
          <w:rFonts w:eastAsia="黑体"/>
          <w:sz w:val="32"/>
          <w:szCs w:val="32"/>
        </w:rPr>
      </w:pPr>
      <w:bookmarkStart w:id="204" w:name="_Toc212814822"/>
      <w:bookmarkStart w:id="205" w:name="_Toc22680"/>
      <w:bookmarkStart w:id="206" w:name="_Toc2689"/>
      <w:bookmarkStart w:id="207" w:name="_Toc214372626"/>
      <w:r>
        <w:rPr>
          <w:rFonts w:hint="eastAsia" w:eastAsia="黑体"/>
          <w:sz w:val="32"/>
          <w:szCs w:val="32"/>
        </w:rPr>
        <w:t xml:space="preserve"> </w:t>
      </w:r>
      <w:bookmarkStart w:id="208" w:name="_Toc218241048"/>
      <w:r>
        <w:rPr>
          <w:rFonts w:hint="eastAsia" w:eastAsia="黑体"/>
          <w:sz w:val="32"/>
          <w:szCs w:val="32"/>
        </w:rPr>
        <w:t>加快建设康南绿色发展集中区</w:t>
      </w:r>
      <w:bookmarkEnd w:id="204"/>
      <w:bookmarkEnd w:id="205"/>
      <w:bookmarkEnd w:id="206"/>
      <w:bookmarkEnd w:id="207"/>
      <w:bookmarkEnd w:id="208"/>
    </w:p>
    <w:p w14:paraId="7E070F05">
      <w:pPr>
        <w:pStyle w:val="15"/>
        <w:numPr>
          <w:ilvl w:val="0"/>
          <w:numId w:val="6"/>
        </w:numPr>
        <w:spacing w:before="156" w:beforeLines="50" w:after="156" w:afterLines="50" w:line="580" w:lineRule="exact"/>
        <w:ind w:left="1080" w:hanging="1080" w:firstLineChars="0"/>
        <w:jc w:val="center"/>
        <w:outlineLvl w:val="2"/>
        <w:rPr>
          <w:rFonts w:eastAsia="楷体_GB2312"/>
          <w:b/>
          <w:color w:val="000000"/>
          <w:kern w:val="0"/>
          <w:sz w:val="32"/>
          <w:szCs w:val="32"/>
        </w:rPr>
      </w:pPr>
      <w:bookmarkStart w:id="209" w:name="_Toc552"/>
      <w:r>
        <w:rPr>
          <w:rFonts w:hint="eastAsia" w:eastAsia="楷体_GB2312"/>
          <w:b/>
          <w:color w:val="000000"/>
          <w:kern w:val="0"/>
          <w:sz w:val="32"/>
          <w:szCs w:val="32"/>
        </w:rPr>
        <w:t xml:space="preserve"> </w:t>
      </w:r>
      <w:bookmarkStart w:id="210" w:name="_Toc218241049"/>
      <w:r>
        <w:rPr>
          <w:rFonts w:hint="eastAsia" w:eastAsia="楷体_GB2312"/>
          <w:b/>
          <w:color w:val="000000"/>
          <w:kern w:val="0"/>
          <w:sz w:val="32"/>
          <w:szCs w:val="32"/>
        </w:rPr>
        <w:t>提质发展农特产品加工业</w:t>
      </w:r>
      <w:bookmarkEnd w:id="209"/>
      <w:bookmarkEnd w:id="210"/>
    </w:p>
    <w:p w14:paraId="0015FD43">
      <w:pPr>
        <w:ind w:firstLine="640" w:firstLineChars="200"/>
        <w:rPr>
          <w:rFonts w:ascii="宋体" w:hAnsi="宋体" w:cs="宋体"/>
          <w:kern w:val="0"/>
          <w:sz w:val="24"/>
        </w:rPr>
      </w:pPr>
      <w:r>
        <w:rPr>
          <w:rFonts w:hint="eastAsia" w:eastAsia="仿宋_GB2312"/>
          <w:color w:val="000000"/>
          <w:kern w:val="0"/>
          <w:sz w:val="32"/>
          <w:szCs w:val="32"/>
        </w:rPr>
        <w:t>聚焦青稞、牦牛、中药材等优势品类，延伸加工链条，推动加工环节从初级向精深转型。着力发展牦牛肉、牦牛奶的精深加工和副产物综合利用，积极引入现代化加工生产线，开发预制菜、高附加值乳制品等，推动从卖“牛肉”向卖“产品”转变。研发青稞深加工技术，开发推广青稞产品应用到食品、饮料、化妆品、饲料等多行业，深入挖掘特色农产品价值。完善中藏药材种植、萃取提纯、成品制剂一体化链条，推动藏药非遗技艺与现代制药技术融合，培育中藏医药产业集群。扶持唐卡、藏毯、银器等传统工艺创新设计，构建“非遗工坊+电商直播+文旅体验”多元营销体系，壮大振兴民族手工非遗产业。</w:t>
      </w:r>
    </w:p>
    <w:tbl>
      <w:tblPr>
        <w:tblStyle w:val="11"/>
        <w:tblW w:w="5000" w:type="pct"/>
        <w:jc w:val="center"/>
        <w:tblLayout w:type="autofit"/>
        <w:tblCellMar>
          <w:top w:w="0" w:type="dxa"/>
          <w:left w:w="108" w:type="dxa"/>
          <w:bottom w:w="0" w:type="dxa"/>
          <w:right w:w="108" w:type="dxa"/>
        </w:tblCellMar>
      </w:tblPr>
      <w:tblGrid>
        <w:gridCol w:w="8522"/>
      </w:tblGrid>
      <w:tr w14:paraId="7E12BF3F">
        <w:tblPrEx>
          <w:tblCellMar>
            <w:top w:w="0" w:type="dxa"/>
            <w:left w:w="108" w:type="dxa"/>
            <w:bottom w:w="0" w:type="dxa"/>
            <w:right w:w="108" w:type="dxa"/>
          </w:tblCellMar>
        </w:tblPrEx>
        <w:trPr>
          <w:jc w:val="center"/>
        </w:trPr>
        <w:tc>
          <w:tcPr>
            <w:tcW w:w="5000" w:type="pct"/>
            <w:tcBorders>
              <w:top w:val="single" w:color="000000" w:sz="4" w:space="0"/>
              <w:left w:val="single" w:color="000000" w:sz="4" w:space="0"/>
              <w:bottom w:val="single" w:color="000000" w:sz="4" w:space="0"/>
              <w:right w:val="single" w:color="000000" w:sz="4" w:space="0"/>
            </w:tcBorders>
          </w:tcPr>
          <w:p w14:paraId="1C8A4EFA">
            <w:pPr>
              <w:pStyle w:val="10"/>
              <w:snapToGrid w:val="0"/>
              <w:spacing w:before="156" w:beforeLines="50" w:after="156" w:afterLines="50" w:line="440" w:lineRule="exact"/>
              <w:ind w:left="0" w:leftChars="0" w:firstLine="643" w:firstLineChars="0"/>
              <w:jc w:val="center"/>
              <w:rPr>
                <w:rFonts w:eastAsia="仿宋_GB2312"/>
                <w:b/>
                <w:sz w:val="28"/>
                <w:szCs w:val="28"/>
              </w:rPr>
            </w:pPr>
            <w:r>
              <w:rPr>
                <w:rFonts w:hint="eastAsia" w:ascii="Times New Roman" w:hAnsi="Times New Roman" w:eastAsia="楷体_GB2312" w:cs="Times New Roman"/>
                <w:b/>
                <w:sz w:val="28"/>
                <w:szCs w:val="28"/>
              </w:rPr>
              <w:t>专栏</w:t>
            </w:r>
            <w:bookmarkStart w:id="211" w:name="OLE_LINK15"/>
            <w:bookmarkStart w:id="212" w:name="OLE_LINK13"/>
            <w:r>
              <w:rPr>
                <w:rFonts w:hint="eastAsia" w:ascii="Times New Roman" w:hAnsi="Times New Roman" w:eastAsia="楷体_GB2312" w:cs="Times New Roman"/>
                <w:b/>
                <w:sz w:val="28"/>
                <w:szCs w:val="28"/>
              </w:rPr>
              <w:t>13  “十五五”时期</w:t>
            </w:r>
            <w:bookmarkEnd w:id="211"/>
            <w:bookmarkEnd w:id="212"/>
            <w:r>
              <w:rPr>
                <w:rFonts w:hint="eastAsia" w:ascii="Times New Roman" w:hAnsi="Times New Roman" w:eastAsia="楷体_GB2312" w:cs="Times New Roman"/>
                <w:b/>
                <w:sz w:val="28"/>
                <w:szCs w:val="28"/>
              </w:rPr>
              <w:t>有机农畜产品加工业发展重点</w:t>
            </w:r>
          </w:p>
        </w:tc>
      </w:tr>
      <w:tr w14:paraId="67767730">
        <w:tblPrEx>
          <w:tblCellMar>
            <w:top w:w="0" w:type="dxa"/>
            <w:left w:w="108" w:type="dxa"/>
            <w:bottom w:w="0" w:type="dxa"/>
            <w:right w:w="108" w:type="dxa"/>
          </w:tblCellMar>
        </w:tblPrEx>
        <w:trPr>
          <w:jc w:val="center"/>
        </w:trPr>
        <w:tc>
          <w:tcPr>
            <w:tcW w:w="5000" w:type="pct"/>
            <w:tcBorders>
              <w:top w:val="single" w:color="000000" w:sz="4" w:space="0"/>
              <w:left w:val="single" w:color="000000" w:sz="4" w:space="0"/>
              <w:bottom w:val="single" w:color="000000" w:sz="4" w:space="0"/>
              <w:right w:val="single" w:color="000000" w:sz="4" w:space="0"/>
            </w:tcBorders>
          </w:tcPr>
          <w:p w14:paraId="716FA2AE">
            <w:pPr>
              <w:snapToGrid w:val="0"/>
              <w:spacing w:line="440" w:lineRule="exact"/>
              <w:ind w:firstLine="420"/>
              <w:jc w:val="left"/>
              <w:rPr>
                <w:rFonts w:eastAsia="楷体_GB2312"/>
                <w:sz w:val="28"/>
                <w:szCs w:val="28"/>
              </w:rPr>
            </w:pPr>
            <w:r>
              <w:rPr>
                <w:rFonts w:eastAsia="楷体_GB2312"/>
                <w:b/>
                <w:sz w:val="28"/>
                <w:szCs w:val="28"/>
              </w:rPr>
              <w:t>1.</w:t>
            </w:r>
            <w:r>
              <w:rPr>
                <w:rFonts w:hint="eastAsia" w:eastAsia="楷体_GB2312"/>
                <w:b/>
                <w:sz w:val="28"/>
                <w:szCs w:val="28"/>
              </w:rPr>
              <w:t>青稞加工</w:t>
            </w:r>
            <w:r>
              <w:rPr>
                <w:rFonts w:hint="eastAsia" w:eastAsia="楷体_GB2312"/>
                <w:sz w:val="28"/>
                <w:szCs w:val="28"/>
              </w:rPr>
              <w:t>。建设青稞清洗、烘干、脱壳等初加工设施，积极开发高附加值产品：包括食品类（青稞米、青稞面粉、青稞挂面、青稞能量棒）、饮品类（青稞酒、青稞茶、青稞奶茶）、保健品（青稞</w:t>
            </w:r>
            <w:r>
              <w:rPr>
                <w:rFonts w:eastAsia="楷体_GB2312"/>
                <w:sz w:val="28"/>
                <w:szCs w:val="28"/>
              </w:rPr>
              <w:t>β</w:t>
            </w:r>
            <w:r>
              <w:rPr>
                <w:rFonts w:hint="eastAsia" w:eastAsia="楷体_GB2312"/>
                <w:sz w:val="28"/>
                <w:szCs w:val="28"/>
              </w:rPr>
              <w:t>—葡聚糖提取物、青稞膳食纤维）、其它（动物饲料添加剂）等。重点项目：青稞有机食品产业园项目。</w:t>
            </w:r>
          </w:p>
          <w:p w14:paraId="034AD50E">
            <w:pPr>
              <w:snapToGrid w:val="0"/>
              <w:spacing w:line="440" w:lineRule="exact"/>
              <w:ind w:firstLine="420"/>
              <w:jc w:val="left"/>
              <w:rPr>
                <w:rFonts w:eastAsia="楷体_GB2312"/>
                <w:sz w:val="28"/>
                <w:szCs w:val="28"/>
              </w:rPr>
            </w:pPr>
            <w:r>
              <w:rPr>
                <w:rFonts w:eastAsia="楷体_GB2312"/>
                <w:b/>
                <w:sz w:val="28"/>
                <w:szCs w:val="28"/>
              </w:rPr>
              <w:t>2.</w:t>
            </w:r>
            <w:r>
              <w:rPr>
                <w:rFonts w:hint="eastAsia" w:eastAsia="楷体_GB2312"/>
                <w:b/>
                <w:sz w:val="28"/>
                <w:szCs w:val="28"/>
              </w:rPr>
              <w:t>畜产品加工</w:t>
            </w:r>
            <w:r>
              <w:rPr>
                <w:rFonts w:hint="eastAsia" w:eastAsia="楷体_GB2312"/>
                <w:sz w:val="28"/>
                <w:szCs w:val="28"/>
              </w:rPr>
              <w:t>。推动牦牛全产业链开发：牦牛肉加工（分割、冷冻、熟食制品）、牦牛奶制品（酥油、奶酪、奶粉）、牦牛皮毛加工（皮革、毛纺制品）、牦牛副产品利用（牛骨、牛角工艺品）。重点项目：牦牛肉精深加工产业升级项目、霍曲吉祥现代牧场产业融合拓展项目。</w:t>
            </w:r>
          </w:p>
          <w:p w14:paraId="1C2425F4">
            <w:pPr>
              <w:snapToGrid w:val="0"/>
              <w:spacing w:line="440" w:lineRule="exact"/>
              <w:ind w:firstLine="420"/>
              <w:jc w:val="left"/>
              <w:rPr>
                <w:rFonts w:eastAsia="楷体_GB2312"/>
                <w:sz w:val="28"/>
                <w:szCs w:val="28"/>
              </w:rPr>
            </w:pPr>
            <w:r>
              <w:rPr>
                <w:rFonts w:eastAsia="楷体_GB2312"/>
                <w:b/>
                <w:sz w:val="28"/>
                <w:szCs w:val="28"/>
              </w:rPr>
              <w:t>3.</w:t>
            </w:r>
            <w:r>
              <w:rPr>
                <w:rFonts w:hint="eastAsia" w:eastAsia="楷体_GB2312"/>
                <w:b/>
                <w:sz w:val="28"/>
                <w:szCs w:val="28"/>
              </w:rPr>
              <w:t>中藏药开发</w:t>
            </w:r>
            <w:r>
              <w:rPr>
                <w:rFonts w:hint="eastAsia" w:eastAsia="楷体_GB2312"/>
                <w:sz w:val="28"/>
                <w:szCs w:val="28"/>
              </w:rPr>
              <w:t>。积极开发藏药制剂，保健食品：提取物（红景天苷、虫草多糖、黄酮类化合物等）、中成药（开发针对高原病、免疫调节的藏药制剂）、保健品（如红景天胶囊、虫草口服液）等。重点项目：甘孜州（康南）道地中藏药材产业园。</w:t>
            </w:r>
          </w:p>
          <w:p w14:paraId="1C9E8635">
            <w:pPr>
              <w:snapToGrid w:val="0"/>
              <w:spacing w:line="440" w:lineRule="exact"/>
              <w:ind w:firstLine="562" w:firstLineChars="200"/>
              <w:jc w:val="left"/>
              <w:rPr>
                <w:rFonts w:eastAsia="楷体_GB2312"/>
                <w:b/>
                <w:sz w:val="32"/>
                <w:szCs w:val="32"/>
              </w:rPr>
            </w:pPr>
            <w:r>
              <w:rPr>
                <w:rFonts w:eastAsia="楷体_GB2312"/>
                <w:b/>
                <w:sz w:val="28"/>
                <w:szCs w:val="28"/>
              </w:rPr>
              <w:t>4.</w:t>
            </w:r>
            <w:r>
              <w:rPr>
                <w:rFonts w:hint="eastAsia" w:eastAsia="楷体_GB2312"/>
                <w:b/>
                <w:sz w:val="28"/>
                <w:szCs w:val="28"/>
              </w:rPr>
              <w:t>有机果蔬加工</w:t>
            </w:r>
            <w:r>
              <w:rPr>
                <w:rFonts w:hint="eastAsia" w:eastAsia="楷体_GB2312"/>
                <w:sz w:val="28"/>
                <w:szCs w:val="28"/>
              </w:rPr>
              <w:t>。建设清洗、分拣、预冷设施，延长保鲜期，开发冻干果蔬、果蔬脆片等便携食品。重点项目：有机果蔬加工及冷链物流一体化项目。</w:t>
            </w:r>
          </w:p>
        </w:tc>
      </w:tr>
    </w:tbl>
    <w:p w14:paraId="779D89D6">
      <w:pPr>
        <w:pStyle w:val="15"/>
        <w:numPr>
          <w:ilvl w:val="0"/>
          <w:numId w:val="6"/>
        </w:numPr>
        <w:spacing w:before="156" w:beforeLines="50" w:after="156" w:afterLines="50" w:line="580" w:lineRule="exact"/>
        <w:ind w:left="1080" w:hanging="1080" w:firstLineChars="0"/>
        <w:jc w:val="center"/>
        <w:outlineLvl w:val="2"/>
        <w:rPr>
          <w:rFonts w:eastAsia="楷体_GB2312"/>
          <w:b/>
          <w:color w:val="000000"/>
          <w:kern w:val="0"/>
          <w:sz w:val="32"/>
          <w:szCs w:val="32"/>
        </w:rPr>
      </w:pPr>
      <w:bookmarkStart w:id="213" w:name="_Toc13327"/>
      <w:r>
        <w:rPr>
          <w:rFonts w:hint="eastAsia" w:eastAsia="楷体_GB2312"/>
          <w:b/>
          <w:color w:val="000000"/>
          <w:kern w:val="0"/>
          <w:sz w:val="32"/>
          <w:szCs w:val="32"/>
        </w:rPr>
        <w:t xml:space="preserve"> </w:t>
      </w:r>
      <w:bookmarkStart w:id="214" w:name="_Toc218241050"/>
      <w:r>
        <w:rPr>
          <w:rFonts w:hint="eastAsia" w:eastAsia="楷体_GB2312"/>
          <w:b/>
          <w:color w:val="000000"/>
          <w:kern w:val="0"/>
          <w:sz w:val="32"/>
          <w:szCs w:val="32"/>
        </w:rPr>
        <w:t>增量发展清洁能源产业</w:t>
      </w:r>
      <w:bookmarkEnd w:id="213"/>
      <w:bookmarkEnd w:id="214"/>
    </w:p>
    <w:p w14:paraId="345AE568">
      <w:pPr>
        <w:pStyle w:val="3"/>
        <w:ind w:firstLine="640" w:firstLineChars="200"/>
        <w:rPr>
          <w:rFonts w:eastAsia="仿宋_GB2312"/>
          <w:color w:val="000000"/>
          <w:kern w:val="0"/>
          <w:sz w:val="32"/>
          <w:szCs w:val="32"/>
        </w:rPr>
      </w:pPr>
      <w:r>
        <w:rPr>
          <w:rFonts w:hint="eastAsia" w:eastAsia="仿宋_GB2312"/>
          <w:color w:val="000000"/>
          <w:kern w:val="0"/>
          <w:sz w:val="32"/>
          <w:szCs w:val="32"/>
        </w:rPr>
        <w:t>加大清洁能源开发力度，构建多能互补、绿色低碳、安全高效的清洁能源产业体系。推进太阳能资源开发利用，加快推进索绒100万千瓦、奔戈50万千瓦、高城80万千瓦等光伏项目建设。新建奔戈乡、禾尼乡、曲登乡等乡（镇）集中式光伏电站；以政策引领为导向，适时在条件成熟的县、乡（镇）试点建设分布式光伏电站，力争</w:t>
      </w:r>
      <w:r>
        <w:rPr>
          <w:rFonts w:eastAsia="仿宋_GB2312"/>
          <w:color w:val="000000"/>
          <w:kern w:val="0"/>
          <w:sz w:val="32"/>
          <w:szCs w:val="32"/>
        </w:rPr>
        <w:t>2030</w:t>
      </w:r>
      <w:r>
        <w:rPr>
          <w:rFonts w:hint="eastAsia" w:eastAsia="仿宋_GB2312"/>
          <w:color w:val="000000"/>
          <w:kern w:val="0"/>
          <w:sz w:val="32"/>
          <w:szCs w:val="32"/>
        </w:rPr>
        <w:t>年光伏装机达到5</w:t>
      </w:r>
      <w:r>
        <w:rPr>
          <w:rFonts w:eastAsia="仿宋_GB2312"/>
          <w:color w:val="000000"/>
          <w:kern w:val="0"/>
          <w:sz w:val="32"/>
          <w:szCs w:val="32"/>
        </w:rPr>
        <w:t>30</w:t>
      </w:r>
      <w:r>
        <w:rPr>
          <w:rFonts w:hint="eastAsia" w:eastAsia="仿宋_GB2312"/>
          <w:color w:val="000000"/>
          <w:kern w:val="0"/>
          <w:sz w:val="32"/>
          <w:szCs w:val="32"/>
        </w:rPr>
        <w:t>万千瓦。促进水风光互补开发，推进村戈乡、禾尼乡、奔戈乡等地风电项目建设，推动无量河流域、热依曲河流域水电开发。加快建设呷洼乡100万千瓦抽水蓄能及其配套光伏项目，配套储能电站。探索地热资源利用，在奔戈乡</w:t>
      </w:r>
      <w:r>
        <w:rPr>
          <w:rFonts w:hint="eastAsia"/>
        </w:rPr>
        <w:t>、</w:t>
      </w:r>
      <w:r>
        <w:rPr>
          <w:rFonts w:hint="eastAsia" w:eastAsia="仿宋_GB2312"/>
          <w:color w:val="000000"/>
          <w:kern w:val="0"/>
          <w:sz w:val="32"/>
          <w:szCs w:val="32"/>
        </w:rPr>
        <w:t>格聂镇等地开展地热资源梯级开发，重点开发温泉康养、地热供暖等应用场景。</w:t>
      </w:r>
    </w:p>
    <w:tbl>
      <w:tblPr>
        <w:tblStyle w:val="11"/>
        <w:tblW w:w="5000" w:type="pct"/>
        <w:jc w:val="center"/>
        <w:tblLayout w:type="autofit"/>
        <w:tblCellMar>
          <w:top w:w="0" w:type="dxa"/>
          <w:left w:w="108" w:type="dxa"/>
          <w:bottom w:w="0" w:type="dxa"/>
          <w:right w:w="108" w:type="dxa"/>
        </w:tblCellMar>
      </w:tblPr>
      <w:tblGrid>
        <w:gridCol w:w="8522"/>
      </w:tblGrid>
      <w:tr w14:paraId="444EAC74">
        <w:tblPrEx>
          <w:tblCellMar>
            <w:top w:w="0" w:type="dxa"/>
            <w:left w:w="108" w:type="dxa"/>
            <w:bottom w:w="0" w:type="dxa"/>
            <w:right w:w="108" w:type="dxa"/>
          </w:tblCellMar>
        </w:tblPrEx>
        <w:trPr>
          <w:jc w:val="center"/>
        </w:trPr>
        <w:tc>
          <w:tcPr>
            <w:tcW w:w="5000" w:type="pct"/>
            <w:tcBorders>
              <w:top w:val="single" w:color="000000" w:sz="4" w:space="0"/>
              <w:left w:val="single" w:color="000000" w:sz="4" w:space="0"/>
              <w:bottom w:val="single" w:color="000000" w:sz="4" w:space="0"/>
              <w:right w:val="single" w:color="000000" w:sz="4" w:space="0"/>
            </w:tcBorders>
          </w:tcPr>
          <w:p w14:paraId="3C9E26D9">
            <w:pPr>
              <w:pStyle w:val="10"/>
              <w:snapToGrid w:val="0"/>
              <w:spacing w:before="156" w:beforeLines="50" w:after="156" w:afterLines="50" w:line="400" w:lineRule="exact"/>
              <w:ind w:left="0" w:leftChars="0" w:firstLine="703" w:firstLineChars="0"/>
              <w:jc w:val="center"/>
              <w:rPr>
                <w:rFonts w:eastAsia="仿宋_GB2312"/>
                <w:b/>
                <w:bCs/>
                <w:sz w:val="28"/>
                <w:szCs w:val="28"/>
              </w:rPr>
            </w:pPr>
            <w:r>
              <w:rPr>
                <w:rFonts w:hint="eastAsia" w:ascii="Times New Roman" w:hAnsi="Times New Roman" w:eastAsia="楷体_GB2312" w:cs="Times New Roman"/>
                <w:b/>
                <w:sz w:val="28"/>
                <w:szCs w:val="28"/>
              </w:rPr>
              <w:t>专栏14  “十五五”时期绿色能源业发展重点</w:t>
            </w:r>
          </w:p>
        </w:tc>
      </w:tr>
      <w:tr w14:paraId="182CF50D">
        <w:tblPrEx>
          <w:tblCellMar>
            <w:top w:w="0" w:type="dxa"/>
            <w:left w:w="108" w:type="dxa"/>
            <w:bottom w:w="0" w:type="dxa"/>
            <w:right w:w="108" w:type="dxa"/>
          </w:tblCellMar>
        </w:tblPrEx>
        <w:trPr>
          <w:jc w:val="center"/>
        </w:trPr>
        <w:tc>
          <w:tcPr>
            <w:tcW w:w="5000" w:type="pct"/>
            <w:tcBorders>
              <w:top w:val="single" w:color="000000" w:sz="4" w:space="0"/>
              <w:left w:val="single" w:color="000000" w:sz="4" w:space="0"/>
              <w:bottom w:val="single" w:color="000000" w:sz="4" w:space="0"/>
              <w:right w:val="single" w:color="000000" w:sz="4" w:space="0"/>
            </w:tcBorders>
          </w:tcPr>
          <w:p w14:paraId="1E70B25F">
            <w:pPr>
              <w:snapToGrid w:val="0"/>
              <w:spacing w:line="400" w:lineRule="exact"/>
              <w:ind w:firstLine="703" w:firstLineChars="250"/>
              <w:jc w:val="left"/>
              <w:rPr>
                <w:rFonts w:eastAsia="楷体_GB2312"/>
                <w:sz w:val="28"/>
                <w:szCs w:val="28"/>
              </w:rPr>
            </w:pPr>
            <w:r>
              <w:rPr>
                <w:rFonts w:eastAsia="楷体_GB2312"/>
                <w:b/>
                <w:sz w:val="28"/>
                <w:szCs w:val="28"/>
              </w:rPr>
              <w:t>1.</w:t>
            </w:r>
            <w:r>
              <w:rPr>
                <w:rFonts w:hint="eastAsia" w:eastAsia="楷体_GB2312"/>
                <w:b/>
                <w:sz w:val="28"/>
                <w:szCs w:val="28"/>
              </w:rPr>
              <w:t>水电</w:t>
            </w:r>
            <w:r>
              <w:rPr>
                <w:rFonts w:hint="eastAsia" w:eastAsia="楷体_GB2312"/>
                <w:sz w:val="28"/>
                <w:szCs w:val="28"/>
              </w:rPr>
              <w:t>。加快推进无量河流域热依曲河流域水电站开发，重点项目：支托（</w:t>
            </w:r>
            <w:r>
              <w:rPr>
                <w:rFonts w:eastAsia="楷体_GB2312"/>
                <w:sz w:val="28"/>
                <w:szCs w:val="28"/>
              </w:rPr>
              <w:t>6.5</w:t>
            </w:r>
            <w:r>
              <w:rPr>
                <w:rFonts w:hint="eastAsia" w:eastAsia="楷体_GB2312"/>
                <w:sz w:val="28"/>
                <w:szCs w:val="28"/>
              </w:rPr>
              <w:t>万</w:t>
            </w:r>
            <w:r>
              <w:rPr>
                <w:rFonts w:eastAsia="楷体_GB2312"/>
                <w:sz w:val="28"/>
                <w:szCs w:val="28"/>
              </w:rPr>
              <w:t>kW</w:t>
            </w:r>
            <w:r>
              <w:rPr>
                <w:rFonts w:hint="eastAsia" w:eastAsia="楷体_GB2312"/>
                <w:sz w:val="28"/>
                <w:szCs w:val="28"/>
              </w:rPr>
              <w:t>）、日阿戈（</w:t>
            </w:r>
            <w:r>
              <w:rPr>
                <w:rFonts w:eastAsia="楷体_GB2312"/>
                <w:sz w:val="28"/>
                <w:szCs w:val="28"/>
              </w:rPr>
              <w:t>10</w:t>
            </w:r>
            <w:r>
              <w:rPr>
                <w:rFonts w:hint="eastAsia" w:eastAsia="楷体_GB2312"/>
                <w:sz w:val="28"/>
                <w:szCs w:val="28"/>
              </w:rPr>
              <w:t>万</w:t>
            </w:r>
            <w:r>
              <w:rPr>
                <w:rFonts w:eastAsia="楷体_GB2312"/>
                <w:sz w:val="28"/>
                <w:szCs w:val="28"/>
              </w:rPr>
              <w:t>kW</w:t>
            </w:r>
            <w:r>
              <w:rPr>
                <w:rFonts w:hint="eastAsia" w:eastAsia="楷体_GB2312"/>
                <w:sz w:val="28"/>
                <w:szCs w:val="28"/>
              </w:rPr>
              <w:t>）、哇日（</w:t>
            </w:r>
            <w:r>
              <w:rPr>
                <w:rFonts w:eastAsia="楷体_GB2312"/>
                <w:sz w:val="28"/>
                <w:szCs w:val="28"/>
              </w:rPr>
              <w:t>10.6</w:t>
            </w:r>
            <w:r>
              <w:rPr>
                <w:rFonts w:hint="eastAsia" w:eastAsia="楷体_GB2312"/>
                <w:sz w:val="28"/>
                <w:szCs w:val="28"/>
              </w:rPr>
              <w:t>万KW）、查马日东（</w:t>
            </w:r>
            <w:r>
              <w:rPr>
                <w:rFonts w:eastAsia="楷体_GB2312"/>
                <w:sz w:val="28"/>
                <w:szCs w:val="28"/>
              </w:rPr>
              <w:t>11.2</w:t>
            </w:r>
            <w:r>
              <w:rPr>
                <w:rFonts w:hint="eastAsia" w:eastAsia="楷体_GB2312"/>
                <w:sz w:val="28"/>
                <w:szCs w:val="28"/>
              </w:rPr>
              <w:t>万</w:t>
            </w:r>
            <w:r>
              <w:rPr>
                <w:rFonts w:eastAsia="楷体_GB2312"/>
                <w:sz w:val="28"/>
                <w:szCs w:val="28"/>
              </w:rPr>
              <w:t>kW</w:t>
            </w:r>
            <w:r>
              <w:rPr>
                <w:rFonts w:hint="eastAsia" w:eastAsia="楷体_GB2312"/>
                <w:sz w:val="28"/>
                <w:szCs w:val="28"/>
              </w:rPr>
              <w:t>）、尼木（</w:t>
            </w:r>
            <w:r>
              <w:rPr>
                <w:rFonts w:eastAsia="楷体_GB2312"/>
                <w:sz w:val="28"/>
                <w:szCs w:val="28"/>
              </w:rPr>
              <w:t>8.5</w:t>
            </w:r>
            <w:r>
              <w:rPr>
                <w:rFonts w:hint="eastAsia" w:eastAsia="楷体_GB2312"/>
                <w:sz w:val="28"/>
                <w:szCs w:val="28"/>
              </w:rPr>
              <w:t>万</w:t>
            </w:r>
            <w:r>
              <w:rPr>
                <w:rFonts w:eastAsia="楷体_GB2312"/>
                <w:sz w:val="28"/>
                <w:szCs w:val="28"/>
              </w:rPr>
              <w:t>kW</w:t>
            </w:r>
            <w:r>
              <w:rPr>
                <w:rFonts w:hint="eastAsia" w:eastAsia="楷体_GB2312"/>
                <w:sz w:val="28"/>
                <w:szCs w:val="28"/>
              </w:rPr>
              <w:t>）、舒鲁亚扎（</w:t>
            </w:r>
            <w:r>
              <w:rPr>
                <w:rFonts w:eastAsia="楷体_GB2312"/>
                <w:sz w:val="28"/>
                <w:szCs w:val="28"/>
              </w:rPr>
              <w:t>11.5</w:t>
            </w:r>
            <w:r>
              <w:rPr>
                <w:rFonts w:hint="eastAsia" w:eastAsia="楷体_GB2312"/>
                <w:sz w:val="28"/>
                <w:szCs w:val="28"/>
              </w:rPr>
              <w:t>万</w:t>
            </w:r>
            <w:r>
              <w:rPr>
                <w:rFonts w:eastAsia="楷体_GB2312"/>
                <w:sz w:val="28"/>
                <w:szCs w:val="28"/>
              </w:rPr>
              <w:t>kW</w:t>
            </w:r>
            <w:r>
              <w:rPr>
                <w:rFonts w:hint="eastAsia" w:eastAsia="楷体_GB2312"/>
                <w:sz w:val="28"/>
                <w:szCs w:val="28"/>
              </w:rPr>
              <w:t>）。</w:t>
            </w:r>
          </w:p>
          <w:p w14:paraId="060133E0">
            <w:pPr>
              <w:snapToGrid w:val="0"/>
              <w:spacing w:line="400" w:lineRule="exact"/>
              <w:ind w:firstLine="703" w:firstLineChars="250"/>
              <w:jc w:val="left"/>
              <w:rPr>
                <w:rFonts w:eastAsia="楷体_GB2312"/>
                <w:sz w:val="28"/>
                <w:szCs w:val="28"/>
              </w:rPr>
            </w:pPr>
            <w:r>
              <w:rPr>
                <w:rFonts w:eastAsia="楷体_GB2312"/>
                <w:b/>
                <w:sz w:val="28"/>
                <w:szCs w:val="28"/>
              </w:rPr>
              <w:t>2.</w:t>
            </w:r>
            <w:r>
              <w:rPr>
                <w:rFonts w:hint="eastAsia" w:eastAsia="楷体_GB2312"/>
                <w:b/>
                <w:sz w:val="28"/>
                <w:szCs w:val="28"/>
              </w:rPr>
              <w:t>光伏</w:t>
            </w:r>
            <w:r>
              <w:rPr>
                <w:rFonts w:hint="eastAsia" w:eastAsia="楷体_GB2312"/>
                <w:sz w:val="28"/>
                <w:szCs w:val="28"/>
              </w:rPr>
              <w:t>。优先利用荒漠、荒地等闲置资源，进行集中式光伏开发，采用高效光伏组件和智能运维技术，应对高寒环境挑战。重点项目</w:t>
            </w:r>
            <w:r>
              <w:rPr>
                <w:rFonts w:eastAsia="楷体_GB2312"/>
                <w:sz w:val="28"/>
                <w:szCs w:val="28"/>
              </w:rPr>
              <w:t xml:space="preserve">: </w:t>
            </w:r>
            <w:r>
              <w:rPr>
                <w:rFonts w:hint="eastAsia" w:eastAsia="楷体_GB2312"/>
                <w:sz w:val="28"/>
                <w:szCs w:val="28"/>
              </w:rPr>
              <w:t>续建索绒光伏电站、奔戈光伏发电、高城光伏项目。新建</w:t>
            </w:r>
            <w:bookmarkStart w:id="215" w:name="OLE_LINK158"/>
            <w:bookmarkStart w:id="216" w:name="OLE_LINK167"/>
            <w:r>
              <w:rPr>
                <w:rFonts w:hint="eastAsia" w:eastAsia="楷体_GB2312"/>
                <w:sz w:val="28"/>
                <w:szCs w:val="28"/>
              </w:rPr>
              <w:t>奔戈乡、禾尼乡、曲登乡</w:t>
            </w:r>
            <w:bookmarkEnd w:id="215"/>
            <w:bookmarkEnd w:id="216"/>
            <w:r>
              <w:rPr>
                <w:rFonts w:hint="eastAsia" w:eastAsia="楷体_GB2312"/>
                <w:sz w:val="28"/>
                <w:szCs w:val="28"/>
              </w:rPr>
              <w:t>等规划内集中式光伏电站。</w:t>
            </w:r>
          </w:p>
          <w:p w14:paraId="53E9C929">
            <w:pPr>
              <w:snapToGrid w:val="0"/>
              <w:spacing w:line="400" w:lineRule="exact"/>
              <w:ind w:firstLine="703" w:firstLineChars="250"/>
              <w:jc w:val="left"/>
              <w:rPr>
                <w:rFonts w:eastAsia="楷体_GB2312"/>
                <w:color w:val="FF0000"/>
                <w:sz w:val="28"/>
                <w:szCs w:val="28"/>
              </w:rPr>
            </w:pPr>
            <w:r>
              <w:rPr>
                <w:rFonts w:eastAsia="楷体_GB2312"/>
                <w:b/>
                <w:sz w:val="28"/>
                <w:szCs w:val="28"/>
              </w:rPr>
              <w:t>3.</w:t>
            </w:r>
            <w:r>
              <w:rPr>
                <w:rFonts w:hint="eastAsia" w:eastAsia="楷体_GB2312"/>
                <w:b/>
                <w:sz w:val="28"/>
                <w:szCs w:val="28"/>
              </w:rPr>
              <w:t>风能</w:t>
            </w:r>
            <w:r>
              <w:rPr>
                <w:rFonts w:hint="eastAsia" w:eastAsia="楷体_GB2312"/>
                <w:sz w:val="28"/>
                <w:szCs w:val="28"/>
              </w:rPr>
              <w:t>。基于风能资源详查数据，优先在风力稳定的区域布局风电场，减少对生态和居民区的影响。重点项目：觉吾风电试验场项目。</w:t>
            </w:r>
          </w:p>
          <w:p w14:paraId="39F0F22E">
            <w:pPr>
              <w:snapToGrid w:val="0"/>
              <w:spacing w:line="400" w:lineRule="exact"/>
              <w:ind w:firstLine="703" w:firstLineChars="250"/>
              <w:jc w:val="left"/>
              <w:rPr>
                <w:rFonts w:eastAsia="楷体_GB2312"/>
                <w:b/>
                <w:bCs/>
                <w:sz w:val="28"/>
                <w:szCs w:val="28"/>
              </w:rPr>
            </w:pPr>
            <w:r>
              <w:rPr>
                <w:rFonts w:eastAsia="楷体_GB2312"/>
                <w:b/>
                <w:sz w:val="28"/>
                <w:szCs w:val="28"/>
              </w:rPr>
              <w:t>4.</w:t>
            </w:r>
            <w:r>
              <w:rPr>
                <w:rFonts w:hint="eastAsia" w:eastAsia="楷体_GB2312"/>
                <w:b/>
                <w:sz w:val="28"/>
                <w:szCs w:val="28"/>
              </w:rPr>
              <w:t>抽水蓄能</w:t>
            </w:r>
            <w:r>
              <w:rPr>
                <w:rFonts w:hint="eastAsia" w:eastAsia="楷体_GB2312"/>
                <w:sz w:val="28"/>
                <w:szCs w:val="28"/>
              </w:rPr>
              <w:t>。探索</w:t>
            </w:r>
            <w:r>
              <w:rPr>
                <w:rFonts w:eastAsia="楷体_GB2312"/>
                <w:sz w:val="28"/>
                <w:szCs w:val="28"/>
              </w:rPr>
              <w:t>"</w:t>
            </w:r>
            <w:r>
              <w:rPr>
                <w:rFonts w:hint="eastAsia" w:eastAsia="楷体_GB2312"/>
                <w:sz w:val="28"/>
                <w:szCs w:val="28"/>
              </w:rPr>
              <w:t>清洁能源</w:t>
            </w:r>
            <w:r>
              <w:rPr>
                <w:rFonts w:eastAsia="楷体_GB2312"/>
                <w:sz w:val="28"/>
                <w:szCs w:val="28"/>
              </w:rPr>
              <w:t>+</w:t>
            </w:r>
            <w:r>
              <w:rPr>
                <w:rFonts w:hint="eastAsia" w:eastAsia="楷体_GB2312"/>
                <w:sz w:val="28"/>
                <w:szCs w:val="28"/>
              </w:rPr>
              <w:t>储能</w:t>
            </w:r>
            <w:r>
              <w:rPr>
                <w:rFonts w:eastAsia="楷体_GB2312"/>
                <w:sz w:val="28"/>
                <w:szCs w:val="28"/>
              </w:rPr>
              <w:t>"</w:t>
            </w:r>
            <w:r>
              <w:rPr>
                <w:rFonts w:hint="eastAsia" w:eastAsia="楷体_GB2312"/>
                <w:sz w:val="28"/>
                <w:szCs w:val="28"/>
              </w:rPr>
              <w:t>模式，提升电网稳定性。重点项目</w:t>
            </w:r>
            <w:r>
              <w:rPr>
                <w:rFonts w:eastAsia="楷体_GB2312"/>
                <w:sz w:val="28"/>
                <w:szCs w:val="28"/>
              </w:rPr>
              <w:t xml:space="preserve">: </w:t>
            </w:r>
            <w:r>
              <w:rPr>
                <w:rFonts w:hint="eastAsia" w:eastAsia="楷体_GB2312"/>
                <w:sz w:val="28"/>
                <w:szCs w:val="28"/>
              </w:rPr>
              <w:t>呷洼抽水蓄能（</w:t>
            </w:r>
            <w:r>
              <w:rPr>
                <w:rFonts w:eastAsia="楷体_GB2312"/>
                <w:sz w:val="28"/>
                <w:szCs w:val="28"/>
              </w:rPr>
              <w:t>100</w:t>
            </w:r>
            <w:r>
              <w:rPr>
                <w:rFonts w:hint="eastAsia" w:eastAsia="楷体_GB2312"/>
                <w:sz w:val="28"/>
                <w:szCs w:val="28"/>
              </w:rPr>
              <w:t>万</w:t>
            </w:r>
            <w:r>
              <w:rPr>
                <w:rFonts w:eastAsia="楷体_GB2312"/>
                <w:sz w:val="28"/>
                <w:szCs w:val="28"/>
              </w:rPr>
              <w:t>KW</w:t>
            </w:r>
            <w:r>
              <w:rPr>
                <w:rFonts w:hint="eastAsia" w:eastAsia="楷体_GB2312"/>
                <w:sz w:val="28"/>
                <w:szCs w:val="28"/>
              </w:rPr>
              <w:t>）。</w:t>
            </w:r>
          </w:p>
        </w:tc>
      </w:tr>
    </w:tbl>
    <w:p w14:paraId="5F47B2F0">
      <w:pPr>
        <w:pStyle w:val="15"/>
        <w:numPr>
          <w:ilvl w:val="0"/>
          <w:numId w:val="6"/>
        </w:numPr>
        <w:spacing w:before="156" w:beforeLines="50" w:after="156" w:afterLines="50" w:line="580" w:lineRule="exact"/>
        <w:ind w:left="1080" w:hanging="1080" w:firstLineChars="0"/>
        <w:jc w:val="center"/>
        <w:outlineLvl w:val="2"/>
        <w:rPr>
          <w:rFonts w:eastAsia="楷体_GB2312"/>
          <w:b/>
          <w:color w:val="000000"/>
          <w:kern w:val="0"/>
          <w:sz w:val="32"/>
          <w:szCs w:val="32"/>
        </w:rPr>
      </w:pPr>
      <w:bookmarkStart w:id="217" w:name="_Toc15349"/>
      <w:r>
        <w:rPr>
          <w:rFonts w:hint="eastAsia" w:eastAsia="楷体_GB2312"/>
          <w:b/>
          <w:color w:val="000000"/>
          <w:kern w:val="0"/>
          <w:sz w:val="32"/>
          <w:szCs w:val="32"/>
        </w:rPr>
        <w:t xml:space="preserve"> </w:t>
      </w:r>
      <w:bookmarkStart w:id="218" w:name="_Toc218241051"/>
      <w:r>
        <w:rPr>
          <w:rFonts w:hint="eastAsia" w:eastAsia="楷体_GB2312"/>
          <w:b/>
          <w:color w:val="000000"/>
          <w:kern w:val="0"/>
          <w:sz w:val="32"/>
          <w:szCs w:val="32"/>
        </w:rPr>
        <w:t>培育发展新产业新赛道</w:t>
      </w:r>
      <w:bookmarkEnd w:id="217"/>
      <w:bookmarkEnd w:id="218"/>
    </w:p>
    <w:p w14:paraId="19966C01">
      <w:pPr>
        <w:spacing w:line="580" w:lineRule="exact"/>
        <w:ind w:firstLine="640" w:firstLineChars="200"/>
        <w:jc w:val="left"/>
        <w:rPr>
          <w:rFonts w:eastAsia="楷体"/>
          <w:b/>
          <w:bCs/>
          <w:kern w:val="0"/>
          <w:sz w:val="32"/>
          <w:szCs w:val="32"/>
        </w:rPr>
      </w:pPr>
      <w:r>
        <w:rPr>
          <w:rFonts w:hint="eastAsia" w:eastAsia="仿宋_GB2312"/>
          <w:color w:val="000000"/>
          <w:kern w:val="0"/>
          <w:sz w:val="32"/>
          <w:szCs w:val="32"/>
        </w:rPr>
        <w:t>大力发展低空经济、算力、水制氢等新兴产业，增强产业发展新动能。培育壮大低空产业，拓展低空应用场景。</w:t>
      </w:r>
      <w:bookmarkStart w:id="219" w:name="OLE_LINK109"/>
      <w:r>
        <w:rPr>
          <w:rFonts w:hint="eastAsia" w:eastAsia="仿宋_GB2312"/>
          <w:color w:val="000000"/>
          <w:kern w:val="0"/>
          <w:sz w:val="32"/>
          <w:szCs w:val="32"/>
        </w:rPr>
        <w:t>积极发展算力产业，力争招引一批头部智算企业，谋划“东数西算”工程高海拔特殊场景试验区和全国一体化算力网络青藏高原节点，推动算力助力本地智慧农业、数字文旅等场景应用。</w:t>
      </w:r>
      <w:bookmarkEnd w:id="219"/>
      <w:r>
        <w:rPr>
          <w:rFonts w:hint="eastAsia" w:eastAsia="仿宋_GB2312"/>
          <w:color w:val="000000"/>
          <w:kern w:val="0"/>
          <w:sz w:val="32"/>
          <w:szCs w:val="32"/>
        </w:rPr>
        <w:t>促进绿电就地消纳利用，围绕氢能“制—储—运—加—用”全产业链环节招引项目，</w:t>
      </w:r>
      <w:bookmarkStart w:id="220" w:name="OLE_LINK204"/>
      <w:bookmarkStart w:id="221" w:name="OLE_LINK202"/>
      <w:r>
        <w:rPr>
          <w:rFonts w:hint="eastAsia" w:eastAsia="仿宋_GB2312"/>
          <w:color w:val="000000"/>
          <w:kern w:val="0"/>
          <w:sz w:val="32"/>
          <w:szCs w:val="32"/>
        </w:rPr>
        <w:t>拓展服务318国道沿线氢能交通的应用场景</w:t>
      </w:r>
      <w:bookmarkEnd w:id="220"/>
      <w:bookmarkEnd w:id="221"/>
      <w:r>
        <w:rPr>
          <w:rFonts w:hint="eastAsia" w:eastAsia="仿宋_GB2312"/>
          <w:color w:val="000000"/>
          <w:kern w:val="0"/>
          <w:sz w:val="32"/>
          <w:szCs w:val="32"/>
        </w:rPr>
        <w:t>，建设川藏氢能走廊核心节点。</w:t>
      </w:r>
    </w:p>
    <w:tbl>
      <w:tblPr>
        <w:tblStyle w:val="11"/>
        <w:tblW w:w="5000" w:type="pct"/>
        <w:jc w:val="center"/>
        <w:tblLayout w:type="autofit"/>
        <w:tblCellMar>
          <w:top w:w="0" w:type="dxa"/>
          <w:left w:w="108" w:type="dxa"/>
          <w:bottom w:w="0" w:type="dxa"/>
          <w:right w:w="108" w:type="dxa"/>
        </w:tblCellMar>
      </w:tblPr>
      <w:tblGrid>
        <w:gridCol w:w="8522"/>
      </w:tblGrid>
      <w:tr w14:paraId="0FE17CCD">
        <w:tblPrEx>
          <w:tblCellMar>
            <w:top w:w="0" w:type="dxa"/>
            <w:left w:w="108" w:type="dxa"/>
            <w:bottom w:w="0" w:type="dxa"/>
            <w:right w:w="108" w:type="dxa"/>
          </w:tblCellMar>
        </w:tblPrEx>
        <w:trPr>
          <w:jc w:val="center"/>
        </w:trPr>
        <w:tc>
          <w:tcPr>
            <w:tcW w:w="5000" w:type="pct"/>
            <w:tcBorders>
              <w:top w:val="single" w:color="000000" w:sz="4" w:space="0"/>
              <w:left w:val="single" w:color="000000" w:sz="4" w:space="0"/>
              <w:bottom w:val="single" w:color="000000" w:sz="4" w:space="0"/>
              <w:right w:val="single" w:color="000000" w:sz="4" w:space="0"/>
            </w:tcBorders>
          </w:tcPr>
          <w:p w14:paraId="283D7B14">
            <w:pPr>
              <w:pStyle w:val="10"/>
              <w:snapToGrid w:val="0"/>
              <w:spacing w:before="156" w:beforeLines="50" w:after="156" w:afterLines="50" w:line="440" w:lineRule="exact"/>
              <w:ind w:left="0" w:leftChars="0" w:firstLine="562" w:firstLineChars="0"/>
              <w:jc w:val="center"/>
              <w:rPr>
                <w:rFonts w:eastAsia="楷体_GB2312"/>
                <w:b/>
                <w:sz w:val="32"/>
                <w:szCs w:val="32"/>
              </w:rPr>
            </w:pPr>
            <w:r>
              <w:rPr>
                <w:rFonts w:hint="eastAsia" w:ascii="Times New Roman" w:hAnsi="Times New Roman" w:eastAsia="楷体_GB2312" w:cs="Times New Roman"/>
                <w:b/>
                <w:sz w:val="28"/>
                <w:szCs w:val="28"/>
              </w:rPr>
              <w:t>专栏15  “十五五”时期新兴产业发展重点</w:t>
            </w:r>
          </w:p>
        </w:tc>
      </w:tr>
      <w:tr w14:paraId="473B6C6C">
        <w:tblPrEx>
          <w:tblCellMar>
            <w:top w:w="0" w:type="dxa"/>
            <w:left w:w="108" w:type="dxa"/>
            <w:bottom w:w="0" w:type="dxa"/>
            <w:right w:w="108" w:type="dxa"/>
          </w:tblCellMar>
        </w:tblPrEx>
        <w:trPr>
          <w:jc w:val="center"/>
        </w:trPr>
        <w:tc>
          <w:tcPr>
            <w:tcW w:w="5000" w:type="pct"/>
            <w:tcBorders>
              <w:top w:val="single" w:color="000000" w:sz="4" w:space="0"/>
              <w:left w:val="single" w:color="000000" w:sz="4" w:space="0"/>
              <w:bottom w:val="single" w:color="000000" w:sz="4" w:space="0"/>
              <w:right w:val="single" w:color="000000" w:sz="4" w:space="0"/>
            </w:tcBorders>
          </w:tcPr>
          <w:p w14:paraId="6E4FC6E0">
            <w:pPr>
              <w:snapToGrid w:val="0"/>
              <w:spacing w:line="440" w:lineRule="exact"/>
              <w:ind w:firstLine="703" w:firstLineChars="250"/>
              <w:jc w:val="left"/>
              <w:rPr>
                <w:rFonts w:eastAsia="楷体_GB2312"/>
                <w:sz w:val="28"/>
                <w:szCs w:val="28"/>
              </w:rPr>
            </w:pPr>
            <w:r>
              <w:rPr>
                <w:rFonts w:hint="eastAsia" w:eastAsia="楷体_GB2312"/>
                <w:b/>
                <w:sz w:val="28"/>
                <w:szCs w:val="28"/>
              </w:rPr>
              <w:t>1.低空经济</w:t>
            </w:r>
            <w:r>
              <w:rPr>
                <w:rFonts w:hint="eastAsia" w:eastAsia="楷体_GB2312"/>
                <w:sz w:val="28"/>
                <w:szCs w:val="28"/>
              </w:rPr>
              <w:t>。拓展低空旅游，低空物流与应急及低空农牧业应用等。重点项目：甘孜州（康南）低空经济产业园。</w:t>
            </w:r>
          </w:p>
          <w:p w14:paraId="12783AE8">
            <w:pPr>
              <w:snapToGrid w:val="0"/>
              <w:spacing w:line="440" w:lineRule="exact"/>
              <w:ind w:firstLine="703" w:firstLineChars="250"/>
              <w:jc w:val="left"/>
              <w:rPr>
                <w:rFonts w:eastAsia="楷体_GB2312"/>
                <w:sz w:val="28"/>
                <w:szCs w:val="28"/>
              </w:rPr>
            </w:pPr>
            <w:r>
              <w:rPr>
                <w:rFonts w:eastAsia="楷体_GB2312"/>
                <w:b/>
                <w:sz w:val="28"/>
                <w:szCs w:val="28"/>
              </w:rPr>
              <w:t>2.</w:t>
            </w:r>
            <w:r>
              <w:rPr>
                <w:rFonts w:hint="eastAsia" w:eastAsia="楷体_GB2312"/>
                <w:b/>
                <w:sz w:val="28"/>
                <w:szCs w:val="28"/>
              </w:rPr>
              <w:t>算力</w:t>
            </w:r>
            <w:r>
              <w:rPr>
                <w:rFonts w:hint="eastAsia" w:eastAsia="楷体_GB2312"/>
                <w:sz w:val="28"/>
                <w:szCs w:val="28"/>
              </w:rPr>
              <w:t>。发展以“绿色算力”“低碳数据中心”为特色的产业模式，吸引企业入驻，</w:t>
            </w:r>
            <w:bookmarkStart w:id="222" w:name="OLE_LINK213"/>
            <w:bookmarkStart w:id="223" w:name="OLE_LINK214"/>
            <w:r>
              <w:rPr>
                <w:rFonts w:hint="eastAsia" w:eastAsia="楷体_GB2312"/>
                <w:sz w:val="28"/>
                <w:szCs w:val="28"/>
              </w:rPr>
              <w:t>拓展云计算服务</w:t>
            </w:r>
            <w:bookmarkEnd w:id="222"/>
            <w:bookmarkEnd w:id="223"/>
            <w:r>
              <w:rPr>
                <w:rFonts w:hint="eastAsia" w:eastAsia="楷体_GB2312"/>
                <w:sz w:val="28"/>
                <w:szCs w:val="28"/>
              </w:rPr>
              <w:t>。重点项目：甘孜州（康南）川藏农牧业大数据中心建设项目。</w:t>
            </w:r>
          </w:p>
          <w:p w14:paraId="6642336B">
            <w:pPr>
              <w:snapToGrid w:val="0"/>
              <w:spacing w:line="440" w:lineRule="exact"/>
              <w:ind w:firstLine="703" w:firstLineChars="250"/>
              <w:jc w:val="left"/>
              <w:rPr>
                <w:rFonts w:eastAsia="楷体_GB2312"/>
                <w:b/>
                <w:bCs/>
                <w:szCs w:val="20"/>
              </w:rPr>
            </w:pPr>
            <w:r>
              <w:rPr>
                <w:rFonts w:eastAsia="楷体_GB2312"/>
                <w:b/>
                <w:sz w:val="28"/>
                <w:szCs w:val="28"/>
              </w:rPr>
              <w:t>3.</w:t>
            </w:r>
            <w:r>
              <w:rPr>
                <w:rFonts w:hint="eastAsia" w:eastAsia="楷体_GB2312"/>
                <w:b/>
                <w:sz w:val="28"/>
                <w:szCs w:val="28"/>
              </w:rPr>
              <w:t>水制氢</w:t>
            </w:r>
            <w:r>
              <w:rPr>
                <w:rFonts w:hint="eastAsia" w:eastAsia="楷体_GB2312"/>
                <w:sz w:val="28"/>
                <w:szCs w:val="28"/>
              </w:rPr>
              <w:t>。谋划布局中水制氢、氧，循环综合利用等综合能源站，做到即可就地消纳，又能同步解决高寒地区供暖供养等问题，加快建设雅砻江理塘绿色氢能示范项目。</w:t>
            </w:r>
          </w:p>
        </w:tc>
      </w:tr>
    </w:tbl>
    <w:p w14:paraId="72E8E303">
      <w:pPr>
        <w:pStyle w:val="15"/>
        <w:numPr>
          <w:ilvl w:val="0"/>
          <w:numId w:val="6"/>
        </w:numPr>
        <w:spacing w:before="156" w:beforeLines="50" w:after="156" w:afterLines="50" w:line="580" w:lineRule="exact"/>
        <w:ind w:left="1080" w:hanging="1080" w:firstLineChars="0"/>
        <w:jc w:val="center"/>
        <w:outlineLvl w:val="2"/>
        <w:rPr>
          <w:rFonts w:eastAsia="楷体_GB2312"/>
          <w:b/>
          <w:color w:val="000000"/>
          <w:kern w:val="0"/>
          <w:sz w:val="32"/>
          <w:szCs w:val="32"/>
        </w:rPr>
      </w:pPr>
      <w:bookmarkStart w:id="224" w:name="_Toc21218"/>
      <w:r>
        <w:rPr>
          <w:rFonts w:hint="eastAsia" w:eastAsia="楷体_GB2312"/>
          <w:b/>
          <w:color w:val="000000"/>
          <w:kern w:val="0"/>
          <w:sz w:val="32"/>
          <w:szCs w:val="32"/>
        </w:rPr>
        <w:t xml:space="preserve"> </w:t>
      </w:r>
      <w:bookmarkStart w:id="225" w:name="_Toc218241052"/>
      <w:r>
        <w:rPr>
          <w:rFonts w:hint="eastAsia" w:eastAsia="楷体_GB2312"/>
          <w:b/>
          <w:color w:val="000000"/>
          <w:kern w:val="0"/>
          <w:sz w:val="32"/>
          <w:szCs w:val="32"/>
        </w:rPr>
        <w:t>强化工业经济载体建设</w:t>
      </w:r>
      <w:bookmarkEnd w:id="224"/>
      <w:bookmarkEnd w:id="225"/>
    </w:p>
    <w:p w14:paraId="53E2F992">
      <w:pPr>
        <w:spacing w:line="580" w:lineRule="exact"/>
        <w:ind w:firstLine="640" w:firstLineChars="200"/>
        <w:jc w:val="left"/>
        <w:rPr>
          <w:rFonts w:eastAsia="仿宋_GB2312"/>
          <w:color w:val="000000"/>
          <w:kern w:val="0"/>
          <w:sz w:val="32"/>
          <w:szCs w:val="32"/>
        </w:rPr>
      </w:pPr>
      <w:r>
        <w:rPr>
          <w:rFonts w:hint="eastAsia" w:eastAsia="仿宋_GB2312"/>
          <w:color w:val="000000"/>
          <w:kern w:val="0"/>
          <w:sz w:val="32"/>
          <w:szCs w:val="32"/>
        </w:rPr>
        <w:t>积极推动理塘绿色工业园提档升级，增强产业发展承载能力。聚焦光伏组件、储能设备等清洁能源装备制造，青稞、牦牛产品等高原特色食品加工，培育壮大园区主导产业。提升园区基础设施水平，完善电力、天然气等能源配套设施，建设工业污水处理厂和固废回收中心。设立园区发展公司，统筹招商、建设、服务职能，引入专业园区运营商，探索“PPP+特许经营”模式。积极探索与发达地区共建“飞地产业园”，承接产业转移项目。</w:t>
      </w:r>
    </w:p>
    <w:p w14:paraId="6DEC0B7F">
      <w:pPr>
        <w:pStyle w:val="15"/>
        <w:numPr>
          <w:ilvl w:val="0"/>
          <w:numId w:val="6"/>
        </w:numPr>
        <w:spacing w:before="156" w:beforeLines="50" w:after="156" w:afterLines="50" w:line="580" w:lineRule="exact"/>
        <w:ind w:left="1080" w:hanging="1080" w:firstLineChars="0"/>
        <w:jc w:val="center"/>
        <w:outlineLvl w:val="2"/>
        <w:rPr>
          <w:rFonts w:eastAsia="楷体_GB2312"/>
          <w:b/>
          <w:color w:val="000000"/>
          <w:kern w:val="0"/>
          <w:sz w:val="32"/>
          <w:szCs w:val="32"/>
        </w:rPr>
      </w:pPr>
      <w:bookmarkStart w:id="226" w:name="_Toc11247"/>
      <w:r>
        <w:rPr>
          <w:rFonts w:hint="eastAsia" w:eastAsia="楷体_GB2312"/>
          <w:b/>
          <w:color w:val="000000"/>
          <w:kern w:val="0"/>
          <w:sz w:val="32"/>
          <w:szCs w:val="32"/>
        </w:rPr>
        <w:t xml:space="preserve"> </w:t>
      </w:r>
      <w:bookmarkStart w:id="227" w:name="_Toc218241053"/>
      <w:r>
        <w:rPr>
          <w:rFonts w:hint="eastAsia" w:eastAsia="楷体_GB2312"/>
          <w:b/>
          <w:color w:val="000000"/>
          <w:kern w:val="0"/>
          <w:sz w:val="32"/>
          <w:szCs w:val="32"/>
        </w:rPr>
        <w:t>加快企业培育引进</w:t>
      </w:r>
      <w:bookmarkEnd w:id="226"/>
      <w:bookmarkEnd w:id="227"/>
    </w:p>
    <w:p w14:paraId="0430992C">
      <w:pPr>
        <w:spacing w:line="580" w:lineRule="exact"/>
        <w:ind w:firstLine="640" w:firstLineChars="200"/>
        <w:jc w:val="left"/>
        <w:rPr>
          <w:rFonts w:eastAsia="仿宋_GB2312"/>
          <w:color w:val="000000"/>
          <w:kern w:val="0"/>
          <w:sz w:val="32"/>
          <w:szCs w:val="32"/>
        </w:rPr>
      </w:pPr>
      <w:r>
        <w:rPr>
          <w:rFonts w:hint="eastAsia" w:eastAsia="仿宋_GB2312"/>
          <w:color w:val="000000"/>
          <w:kern w:val="0"/>
          <w:sz w:val="32"/>
          <w:szCs w:val="32"/>
        </w:rPr>
        <w:t>通过梯度培育与精准招商协同发力，促进本土企业茁壮成长与优质企业引进集聚。加大本土中小企业培育力度，设立县级小微企业孵化基地，为初创企业提供免租场地及共享设施，聘请成功企业家、行业专家组成导师团开展创业帮扶。</w:t>
      </w:r>
      <w:r>
        <w:rPr>
          <w:rFonts w:hint="eastAsia" w:eastAsia="仿宋_GB2312"/>
          <w:color w:val="000000"/>
          <w:spacing w:val="6"/>
          <w:kern w:val="0"/>
          <w:sz w:val="32"/>
          <w:szCs w:val="32"/>
        </w:rPr>
        <w:t>对符合条件的企业技改给予补贴，支持企业参加“川货全国行”“涉藏地区特色产品展”等展会。鼓励本土企业通过股权合作、资产并购整合资源，延伸产业链。绘制清洁能源、低空经济、高原特色加工产业链全景图，实施精准招商，重点招引特色农产品精深加工、光伏组件、储能电池、氢能装备制造、数据中心运营、数字文旅服务等行业企业。</w:t>
      </w:r>
    </w:p>
    <w:p w14:paraId="6D6E0DB8">
      <w:pPr>
        <w:pStyle w:val="15"/>
        <w:numPr>
          <w:ilvl w:val="0"/>
          <w:numId w:val="6"/>
        </w:numPr>
        <w:spacing w:before="156" w:beforeLines="50" w:after="156" w:afterLines="50" w:line="580" w:lineRule="exact"/>
        <w:ind w:left="1080" w:hanging="1080" w:firstLineChars="0"/>
        <w:jc w:val="center"/>
        <w:outlineLvl w:val="2"/>
        <w:rPr>
          <w:rFonts w:eastAsia="楷体_GB2312"/>
          <w:b/>
          <w:color w:val="000000"/>
          <w:kern w:val="0"/>
          <w:sz w:val="32"/>
          <w:szCs w:val="32"/>
        </w:rPr>
      </w:pPr>
      <w:bookmarkStart w:id="228" w:name="_Toc2620"/>
      <w:bookmarkStart w:id="229" w:name="OLE_LINK62"/>
      <w:bookmarkStart w:id="230" w:name="OLE_LINK87"/>
      <w:bookmarkStart w:id="231" w:name="OLE_LINK59"/>
      <w:r>
        <w:rPr>
          <w:rFonts w:hint="eastAsia" w:eastAsia="楷体_GB2312"/>
          <w:b/>
          <w:color w:val="000000"/>
          <w:kern w:val="0"/>
          <w:sz w:val="32"/>
          <w:szCs w:val="32"/>
        </w:rPr>
        <w:t xml:space="preserve"> </w:t>
      </w:r>
      <w:bookmarkStart w:id="232" w:name="_Toc218241054"/>
      <w:r>
        <w:rPr>
          <w:rFonts w:hint="eastAsia" w:eastAsia="楷体_GB2312"/>
          <w:b/>
          <w:color w:val="000000"/>
          <w:kern w:val="0"/>
          <w:sz w:val="32"/>
          <w:szCs w:val="32"/>
        </w:rPr>
        <w:t>强化配套政策措施支撑</w:t>
      </w:r>
      <w:bookmarkEnd w:id="228"/>
      <w:bookmarkEnd w:id="232"/>
    </w:p>
    <w:p w14:paraId="0084D008">
      <w:pPr>
        <w:spacing w:line="580" w:lineRule="exact"/>
        <w:ind w:firstLine="640" w:firstLineChars="200"/>
        <w:jc w:val="left"/>
        <w:rPr>
          <w:rFonts w:eastAsia="仿宋_GB2312"/>
          <w:color w:val="000000"/>
          <w:kern w:val="0"/>
          <w:sz w:val="32"/>
          <w:szCs w:val="32"/>
        </w:rPr>
      </w:pPr>
      <w:r>
        <w:rPr>
          <w:rFonts w:hint="eastAsia" w:eastAsia="仿宋_GB2312"/>
          <w:color w:val="000000"/>
          <w:kern w:val="0"/>
          <w:sz w:val="32"/>
          <w:szCs w:val="32"/>
        </w:rPr>
        <w:t>设立工业发展专项基金，支持技改、绿色制造等重点领域，落实高新技术企业所得税优惠和小微企业“六税两费”减免。强化要素保障，加强电力供需市场衔接，推动大用户直供电模式，实施“标准地+弹性年限”供地，主导产业项目地价按优惠标准执行，允许分期缴纳出让金。联合院校培养技能人才，对职工培训费用予以补贴</w:t>
      </w:r>
      <w:bookmarkEnd w:id="229"/>
      <w:bookmarkEnd w:id="230"/>
      <w:r>
        <w:rPr>
          <w:rFonts w:hint="eastAsia" w:eastAsia="仿宋_GB2312"/>
          <w:color w:val="000000"/>
          <w:kern w:val="0"/>
          <w:sz w:val="32"/>
          <w:szCs w:val="32"/>
        </w:rPr>
        <w:t>。</w:t>
      </w:r>
    </w:p>
    <w:bookmarkEnd w:id="231"/>
    <w:p w14:paraId="18F0AF14">
      <w:pPr>
        <w:pStyle w:val="15"/>
        <w:numPr>
          <w:ilvl w:val="0"/>
          <w:numId w:val="1"/>
        </w:numPr>
        <w:spacing w:before="156" w:beforeLines="50" w:after="156" w:afterLines="50" w:line="580" w:lineRule="exact"/>
        <w:ind w:left="1080" w:hanging="1080" w:firstLineChars="0"/>
        <w:jc w:val="center"/>
        <w:outlineLvl w:val="0"/>
        <w:rPr>
          <w:rFonts w:eastAsia="方正大标宋简体"/>
          <w:sz w:val="32"/>
          <w:szCs w:val="32"/>
        </w:rPr>
      </w:pPr>
      <w:bookmarkStart w:id="233" w:name="_Toc214372627"/>
      <w:bookmarkStart w:id="234" w:name="_Toc212814823"/>
      <w:bookmarkStart w:id="235" w:name="_Toc4977"/>
      <w:bookmarkStart w:id="236" w:name="_Toc10792"/>
      <w:r>
        <w:rPr>
          <w:rFonts w:hint="eastAsia" w:eastAsia="方正大标宋简体"/>
          <w:sz w:val="32"/>
          <w:szCs w:val="32"/>
        </w:rPr>
        <w:t xml:space="preserve"> </w:t>
      </w:r>
      <w:bookmarkStart w:id="237" w:name="_Toc218241055"/>
      <w:r>
        <w:rPr>
          <w:rFonts w:hint="eastAsia" w:eastAsia="方正大标宋简体"/>
          <w:sz w:val="32"/>
          <w:szCs w:val="32"/>
        </w:rPr>
        <w:t>数字赋能  加快推进数字理塘建设</w:t>
      </w:r>
      <w:bookmarkEnd w:id="233"/>
      <w:bookmarkEnd w:id="234"/>
      <w:bookmarkEnd w:id="235"/>
      <w:bookmarkEnd w:id="236"/>
      <w:bookmarkEnd w:id="237"/>
    </w:p>
    <w:p w14:paraId="5390C656">
      <w:pPr>
        <w:pStyle w:val="2"/>
        <w:spacing w:line="580" w:lineRule="exact"/>
        <w:ind w:firstLine="640"/>
        <w:rPr>
          <w:rFonts w:eastAsia="仿宋_GB2312"/>
          <w:bCs/>
          <w:sz w:val="32"/>
          <w:szCs w:val="32"/>
        </w:rPr>
      </w:pPr>
      <w:r>
        <w:rPr>
          <w:rFonts w:hint="eastAsia" w:eastAsia="仿宋_GB2312"/>
          <w:bCs/>
          <w:sz w:val="32"/>
          <w:szCs w:val="32"/>
        </w:rPr>
        <w:t>以信息化驱动现代化，夯实数字基础设施，丰富数字化应用场景，实施数字康南示范工程，打造全国高海拔民族地区数字化转型试验区。</w:t>
      </w:r>
    </w:p>
    <w:p w14:paraId="12051CB3">
      <w:pPr>
        <w:pStyle w:val="15"/>
        <w:widowControl/>
        <w:numPr>
          <w:ilvl w:val="0"/>
          <w:numId w:val="2"/>
        </w:numPr>
        <w:spacing w:after="156" w:afterLines="50" w:line="580" w:lineRule="exact"/>
        <w:ind w:left="1080" w:hanging="1080" w:firstLineChars="0"/>
        <w:jc w:val="center"/>
        <w:outlineLvl w:val="1"/>
        <w:rPr>
          <w:rFonts w:eastAsia="黑体"/>
          <w:bCs/>
          <w:color w:val="000000"/>
          <w:kern w:val="0"/>
          <w:sz w:val="32"/>
          <w:szCs w:val="32"/>
        </w:rPr>
      </w:pPr>
      <w:bookmarkStart w:id="238" w:name="_Toc214372628"/>
      <w:bookmarkStart w:id="239" w:name="_Toc212814824"/>
      <w:bookmarkStart w:id="240" w:name="_Toc29786"/>
      <w:bookmarkStart w:id="241" w:name="_Toc32548"/>
      <w:r>
        <w:rPr>
          <w:rFonts w:hint="eastAsia" w:eastAsia="黑体"/>
          <w:bCs/>
          <w:color w:val="000000"/>
          <w:kern w:val="0"/>
          <w:sz w:val="32"/>
          <w:szCs w:val="32"/>
        </w:rPr>
        <w:t xml:space="preserve"> </w:t>
      </w:r>
      <w:bookmarkStart w:id="242" w:name="_Toc218241056"/>
      <w:r>
        <w:rPr>
          <w:rFonts w:hint="eastAsia" w:eastAsia="黑体"/>
          <w:bCs/>
          <w:color w:val="000000"/>
          <w:kern w:val="0"/>
          <w:sz w:val="32"/>
          <w:szCs w:val="32"/>
        </w:rPr>
        <w:t>布局完善云网基础设施</w:t>
      </w:r>
      <w:bookmarkEnd w:id="238"/>
      <w:bookmarkEnd w:id="239"/>
      <w:bookmarkEnd w:id="240"/>
      <w:bookmarkEnd w:id="241"/>
      <w:bookmarkEnd w:id="242"/>
    </w:p>
    <w:p w14:paraId="44EF8F2F">
      <w:pPr>
        <w:pStyle w:val="15"/>
        <w:numPr>
          <w:ilvl w:val="0"/>
          <w:numId w:val="7"/>
        </w:numPr>
        <w:spacing w:before="156" w:beforeLines="50" w:after="156" w:afterLines="50" w:line="580" w:lineRule="exact"/>
        <w:ind w:left="1080" w:hanging="1080" w:firstLineChars="0"/>
        <w:jc w:val="center"/>
        <w:outlineLvl w:val="2"/>
        <w:rPr>
          <w:rFonts w:eastAsia="楷体_GB2312"/>
          <w:b/>
          <w:color w:val="000000"/>
          <w:kern w:val="0"/>
          <w:sz w:val="32"/>
          <w:szCs w:val="32"/>
        </w:rPr>
      </w:pPr>
      <w:bookmarkStart w:id="243" w:name="_Toc18581"/>
      <w:r>
        <w:rPr>
          <w:rFonts w:hint="eastAsia" w:eastAsia="楷体_GB2312"/>
          <w:b/>
          <w:color w:val="000000"/>
          <w:kern w:val="0"/>
          <w:sz w:val="32"/>
          <w:szCs w:val="32"/>
        </w:rPr>
        <w:t xml:space="preserve"> </w:t>
      </w:r>
      <w:bookmarkStart w:id="244" w:name="_Toc218241057"/>
      <w:r>
        <w:rPr>
          <w:rFonts w:hint="eastAsia" w:eastAsia="楷体_GB2312"/>
          <w:b/>
          <w:color w:val="000000"/>
          <w:kern w:val="0"/>
          <w:sz w:val="32"/>
          <w:szCs w:val="32"/>
        </w:rPr>
        <w:t>推进全域5G网络覆盖</w:t>
      </w:r>
      <w:bookmarkEnd w:id="243"/>
      <w:bookmarkEnd w:id="244"/>
    </w:p>
    <w:p w14:paraId="0D8D6382">
      <w:pPr>
        <w:pStyle w:val="2"/>
        <w:spacing w:line="580" w:lineRule="exact"/>
        <w:ind w:firstLine="640"/>
        <w:rPr>
          <w:rFonts w:eastAsia="仿宋_GB2312"/>
          <w:color w:val="000000"/>
          <w:sz w:val="32"/>
          <w:szCs w:val="32"/>
        </w:rPr>
      </w:pPr>
      <w:r>
        <w:rPr>
          <w:rFonts w:hint="eastAsia" w:eastAsia="仿宋_GB2312"/>
          <w:color w:val="000000"/>
          <w:sz w:val="32"/>
          <w:szCs w:val="32"/>
        </w:rPr>
        <w:t>推动全域覆盖攻坚，新增5G基站，优先覆盖国道318沿线、格聂景区、光伏电站集群等经济活跃区域，实现县城、乡镇、行政村5G覆盖率大幅提升。优化提升网络场景，在交通枢纽部署5G专网切片，保障智慧交通低时延（≤20ms）需求；在生态保护区布设窄带物联网（NBIoT），实现野生动物监测传感器10年超长续航。在牧区推广“5G+北斗”融合定位，解决偏远地区通信盲区问题。实施数字惠民工程，推行“5G进万家”计划，为农牧民提供定向流量补贴，确保基层卫生院、学校、村委会等公共场所免费WiFi全覆盖，缩小城乡数字鸿沟。</w:t>
      </w:r>
    </w:p>
    <w:p w14:paraId="1F15D2ED">
      <w:pPr>
        <w:pStyle w:val="15"/>
        <w:numPr>
          <w:ilvl w:val="0"/>
          <w:numId w:val="7"/>
        </w:numPr>
        <w:spacing w:before="156" w:beforeLines="50" w:after="156" w:afterLines="50" w:line="580" w:lineRule="exact"/>
        <w:ind w:left="1080" w:hanging="1080" w:firstLineChars="0"/>
        <w:jc w:val="center"/>
        <w:outlineLvl w:val="2"/>
        <w:rPr>
          <w:rFonts w:eastAsia="楷体_GB2312"/>
          <w:b/>
          <w:color w:val="000000"/>
          <w:kern w:val="0"/>
          <w:sz w:val="32"/>
          <w:szCs w:val="32"/>
        </w:rPr>
      </w:pPr>
      <w:bookmarkStart w:id="245" w:name="_Toc24925"/>
      <w:r>
        <w:rPr>
          <w:rFonts w:hint="eastAsia" w:eastAsia="楷体_GB2312"/>
          <w:b/>
          <w:color w:val="000000"/>
          <w:kern w:val="0"/>
          <w:sz w:val="32"/>
          <w:szCs w:val="32"/>
        </w:rPr>
        <w:t xml:space="preserve"> </w:t>
      </w:r>
      <w:bookmarkStart w:id="246" w:name="_Toc218241058"/>
      <w:r>
        <w:rPr>
          <w:rFonts w:hint="eastAsia" w:eastAsia="楷体_GB2312"/>
          <w:b/>
          <w:color w:val="000000"/>
          <w:kern w:val="0"/>
          <w:sz w:val="32"/>
          <w:szCs w:val="32"/>
        </w:rPr>
        <w:t>建设数据中心与计算节点</w:t>
      </w:r>
      <w:bookmarkEnd w:id="245"/>
      <w:bookmarkEnd w:id="246"/>
    </w:p>
    <w:p w14:paraId="0DEA18D1">
      <w:pPr>
        <w:pStyle w:val="2"/>
        <w:spacing w:line="580" w:lineRule="exact"/>
        <w:ind w:firstLine="640"/>
        <w:rPr>
          <w:rFonts w:eastAsia="仿宋_GB2312"/>
          <w:sz w:val="32"/>
          <w:szCs w:val="32"/>
        </w:rPr>
      </w:pPr>
      <w:r>
        <w:rPr>
          <w:rFonts w:hint="eastAsia" w:eastAsia="仿宋_GB2312"/>
          <w:sz w:val="32"/>
          <w:szCs w:val="32"/>
        </w:rPr>
        <w:t>积极融入全州“1+4+N”算电融合格局，建设高原数据中心，重点支持生态监测、遥感影像处理等计算密集型应用。打造“东数西算”节点，接入国家算力网络，承接成渝地区影视渲染、备份存储等算力需求。在15个乡镇、各大景区、交通枢纽部署边缘计算节点（MEC），单节点算力不低于10TFlops，支持本地化数据处理。提升至骨干网的带宽，并积极接入国家级或电信“息壤”等算力调度平台，统一调度参与跨区域算力协同。</w:t>
      </w:r>
    </w:p>
    <w:p w14:paraId="41F14F3E">
      <w:pPr>
        <w:pStyle w:val="15"/>
        <w:numPr>
          <w:ilvl w:val="0"/>
          <w:numId w:val="7"/>
        </w:numPr>
        <w:spacing w:before="156" w:beforeLines="50" w:after="156" w:afterLines="50" w:line="580" w:lineRule="exact"/>
        <w:ind w:left="1080" w:hanging="1080" w:firstLineChars="0"/>
        <w:jc w:val="center"/>
        <w:outlineLvl w:val="2"/>
        <w:rPr>
          <w:rFonts w:eastAsia="楷体_GB2312"/>
          <w:b/>
          <w:color w:val="000000"/>
          <w:kern w:val="0"/>
          <w:sz w:val="32"/>
          <w:szCs w:val="32"/>
        </w:rPr>
      </w:pPr>
      <w:bookmarkStart w:id="247" w:name="_Toc3277"/>
      <w:r>
        <w:rPr>
          <w:rFonts w:hint="eastAsia" w:eastAsia="楷体_GB2312"/>
          <w:b/>
          <w:color w:val="000000"/>
          <w:kern w:val="0"/>
          <w:sz w:val="32"/>
          <w:szCs w:val="32"/>
        </w:rPr>
        <w:t xml:space="preserve"> </w:t>
      </w:r>
      <w:bookmarkStart w:id="248" w:name="_Toc218241059"/>
      <w:r>
        <w:rPr>
          <w:rFonts w:hint="eastAsia" w:eastAsia="楷体_GB2312"/>
          <w:b/>
          <w:color w:val="000000"/>
          <w:kern w:val="0"/>
          <w:sz w:val="32"/>
          <w:szCs w:val="32"/>
        </w:rPr>
        <w:t>促进融合基础设施建设</w:t>
      </w:r>
      <w:bookmarkEnd w:id="247"/>
      <w:bookmarkEnd w:id="248"/>
    </w:p>
    <w:p w14:paraId="5D529B80">
      <w:pPr>
        <w:pStyle w:val="2"/>
        <w:spacing w:line="580" w:lineRule="exact"/>
        <w:ind w:firstLine="640"/>
        <w:rPr>
          <w:rFonts w:eastAsia="仿宋_GB2312"/>
          <w:color w:val="000000"/>
          <w:sz w:val="32"/>
          <w:szCs w:val="32"/>
        </w:rPr>
      </w:pPr>
      <w:r>
        <w:rPr>
          <w:rFonts w:hint="eastAsia" w:eastAsia="仿宋_GB2312"/>
          <w:color w:val="000000"/>
          <w:sz w:val="32"/>
          <w:szCs w:val="32"/>
        </w:rPr>
        <w:t>建设智能交通基础设施，聚焦G318旅游干线，部署物联网传感器和5G基站，构建车路协同系统，建设智能信号灯与智慧停车场，为游客提供全路线导航服务，全面提升文旅体验与货运效率。推进市政基础设施智能化提升改造，一体谋划城市生命线安全工程和城市运行管理服务平台，对城市供水、排水、燃气等关键设施进行数字化改造和智能化管</w:t>
      </w:r>
      <w:r>
        <w:rPr>
          <w:rFonts w:hint="eastAsia" w:eastAsia="仿宋_GB2312"/>
          <w:color w:val="000000"/>
          <w:spacing w:val="-6"/>
          <w:sz w:val="32"/>
          <w:szCs w:val="32"/>
        </w:rPr>
        <w:t>理，形成智能感知、精准预警、快速处置、效能评估的城市治理新范式。构建智慧水利系统，加快实施“天空地水工”一体化监测感知体系建设，构建数字孪生水利体系，提高“预报、预警、预演、预案”能力和“数字化、网络化、智能化”水平。</w:t>
      </w:r>
    </w:p>
    <w:p w14:paraId="4C8E15D2">
      <w:pPr>
        <w:pStyle w:val="15"/>
        <w:widowControl/>
        <w:numPr>
          <w:ilvl w:val="0"/>
          <w:numId w:val="2"/>
        </w:numPr>
        <w:spacing w:after="156" w:afterLines="50" w:line="580" w:lineRule="exact"/>
        <w:ind w:left="1080" w:hanging="1080" w:firstLineChars="0"/>
        <w:jc w:val="center"/>
        <w:outlineLvl w:val="1"/>
        <w:rPr>
          <w:rFonts w:eastAsia="黑体"/>
          <w:bCs/>
          <w:color w:val="000000"/>
          <w:kern w:val="0"/>
          <w:sz w:val="32"/>
          <w:szCs w:val="32"/>
        </w:rPr>
      </w:pPr>
      <w:bookmarkStart w:id="249" w:name="_Toc18068"/>
      <w:bookmarkStart w:id="250" w:name="_Toc212814825"/>
      <w:bookmarkStart w:id="251" w:name="_Toc2310"/>
      <w:bookmarkStart w:id="252" w:name="_Toc214372629"/>
      <w:r>
        <w:rPr>
          <w:rFonts w:hint="eastAsia" w:eastAsia="黑体"/>
          <w:bCs/>
          <w:color w:val="000000"/>
          <w:kern w:val="0"/>
          <w:sz w:val="32"/>
          <w:szCs w:val="32"/>
        </w:rPr>
        <w:t xml:space="preserve"> </w:t>
      </w:r>
      <w:bookmarkEnd w:id="249"/>
      <w:bookmarkEnd w:id="250"/>
      <w:bookmarkEnd w:id="251"/>
      <w:bookmarkEnd w:id="252"/>
      <w:bookmarkStart w:id="253" w:name="_Toc218241060"/>
      <w:r>
        <w:rPr>
          <w:rFonts w:hint="eastAsia" w:eastAsia="黑体"/>
          <w:bCs/>
          <w:color w:val="000000"/>
          <w:kern w:val="0"/>
          <w:sz w:val="32"/>
          <w:szCs w:val="32"/>
        </w:rPr>
        <w:t>加速释放数据要素价值</w:t>
      </w:r>
      <w:bookmarkEnd w:id="253"/>
    </w:p>
    <w:p w14:paraId="4F79EFB0">
      <w:pPr>
        <w:pStyle w:val="15"/>
        <w:numPr>
          <w:ilvl w:val="0"/>
          <w:numId w:val="8"/>
        </w:numPr>
        <w:spacing w:before="156" w:beforeLines="50" w:after="156" w:afterLines="50" w:line="580" w:lineRule="exact"/>
        <w:ind w:left="1080" w:hanging="1080" w:firstLineChars="0"/>
        <w:jc w:val="center"/>
        <w:outlineLvl w:val="2"/>
        <w:rPr>
          <w:rFonts w:eastAsia="楷体_GB2312"/>
          <w:b/>
          <w:color w:val="000000"/>
          <w:kern w:val="0"/>
          <w:sz w:val="32"/>
          <w:szCs w:val="32"/>
        </w:rPr>
      </w:pPr>
      <w:bookmarkStart w:id="254" w:name="_Toc19629"/>
      <w:r>
        <w:rPr>
          <w:rFonts w:hint="eastAsia" w:eastAsia="楷体_GB2312"/>
          <w:b/>
          <w:color w:val="000000"/>
          <w:kern w:val="0"/>
          <w:sz w:val="32"/>
          <w:szCs w:val="32"/>
        </w:rPr>
        <w:t xml:space="preserve"> </w:t>
      </w:r>
      <w:bookmarkStart w:id="255" w:name="_Toc218241061"/>
      <w:r>
        <w:rPr>
          <w:rFonts w:hint="eastAsia" w:eastAsia="楷体_GB2312"/>
          <w:b/>
          <w:color w:val="000000"/>
          <w:kern w:val="0"/>
          <w:sz w:val="32"/>
          <w:szCs w:val="32"/>
        </w:rPr>
        <w:t>推进数据高质量供给</w:t>
      </w:r>
      <w:bookmarkEnd w:id="254"/>
      <w:bookmarkEnd w:id="255"/>
    </w:p>
    <w:p w14:paraId="550CE941">
      <w:pPr>
        <w:pStyle w:val="2"/>
        <w:spacing w:line="580" w:lineRule="exact"/>
        <w:ind w:firstLine="640"/>
        <w:jc w:val="left"/>
      </w:pPr>
      <w:r>
        <w:rPr>
          <w:rFonts w:hint="eastAsia" w:eastAsia="仿宋_GB2312"/>
          <w:color w:val="000000"/>
          <w:sz w:val="32"/>
          <w:szCs w:val="32"/>
        </w:rPr>
        <w:t>整合共享政务数据，打通各个县级部门、多个业务系统数据接口，归集人口、土地、医疗、教育等政务数据，构建“一人一档”“一企一码”“一草一木一坐标”的全要素数据资源池。建立数据质量评估模型，确保数据可用率。支持在保护个人信息权益的前提下，加强个人数据开发利用。夯实数据采集基础，依托物联感知终端、无人机航拍等技术手段，完善农牧、文旅、生态、城市管理等关键领域动态监测网络，构建全口径、高时效的数据资源采集体系。构建统一规范的数据资源体系，推动建立县级数据管理平台，制定数据分类分级与质量标准，加强跨部门数据共享与治理，提升数据的完整性、准确性与可用性。</w:t>
      </w:r>
    </w:p>
    <w:p w14:paraId="7CBBDC8D">
      <w:pPr>
        <w:pStyle w:val="15"/>
        <w:numPr>
          <w:ilvl w:val="0"/>
          <w:numId w:val="8"/>
        </w:numPr>
        <w:spacing w:before="156" w:beforeLines="50" w:after="156" w:afterLines="50" w:line="580" w:lineRule="exact"/>
        <w:ind w:left="1080" w:hanging="1080" w:firstLineChars="0"/>
        <w:jc w:val="center"/>
        <w:outlineLvl w:val="2"/>
        <w:rPr>
          <w:rFonts w:eastAsia="楷体_GB2312"/>
          <w:b/>
          <w:color w:val="000000"/>
          <w:kern w:val="0"/>
          <w:sz w:val="32"/>
          <w:szCs w:val="32"/>
        </w:rPr>
      </w:pPr>
      <w:bookmarkStart w:id="256" w:name="_Toc10504"/>
      <w:r>
        <w:rPr>
          <w:rFonts w:hint="eastAsia" w:eastAsia="楷体_GB2312"/>
          <w:b/>
          <w:color w:val="000000"/>
          <w:kern w:val="0"/>
          <w:sz w:val="32"/>
          <w:szCs w:val="32"/>
        </w:rPr>
        <w:t xml:space="preserve"> </w:t>
      </w:r>
      <w:bookmarkStart w:id="257" w:name="_Toc218241062"/>
      <w:r>
        <w:rPr>
          <w:rFonts w:hint="eastAsia" w:eastAsia="楷体_GB2312"/>
          <w:b/>
          <w:color w:val="000000"/>
          <w:kern w:val="0"/>
          <w:sz w:val="32"/>
          <w:szCs w:val="32"/>
        </w:rPr>
        <w:t>深化数据开发利用</w:t>
      </w:r>
      <w:bookmarkEnd w:id="256"/>
      <w:bookmarkEnd w:id="257"/>
    </w:p>
    <w:p w14:paraId="61B77F93">
      <w:pPr>
        <w:pStyle w:val="2"/>
        <w:spacing w:line="580" w:lineRule="exact"/>
        <w:ind w:firstLine="640"/>
        <w:jc w:val="left"/>
      </w:pPr>
      <w:r>
        <w:rPr>
          <w:rFonts w:eastAsia="仿宋_GB2312"/>
          <w:color w:val="000000"/>
          <w:sz w:val="32"/>
          <w:szCs w:val="32"/>
        </w:rPr>
        <w:t>深化数据赋能产业发展，</w:t>
      </w:r>
      <w:r>
        <w:rPr>
          <w:rFonts w:hint="eastAsia" w:eastAsia="仿宋_GB2312"/>
          <w:color w:val="000000"/>
          <w:sz w:val="32"/>
          <w:szCs w:val="32"/>
        </w:rPr>
        <w:t>实施“数据要素×”示范工程，聚焦文旅、农牧、商贸三大特色领域，</w:t>
      </w:r>
      <w:r>
        <w:rPr>
          <w:rFonts w:eastAsia="仿宋_GB2312"/>
          <w:color w:val="000000"/>
          <w:sz w:val="32"/>
          <w:szCs w:val="32"/>
        </w:rPr>
        <w:t>推动农业溯源、智慧旅游、电子商务等场景数据融合应用，发挥“塘塘数字电商直播基地”等平台作用，以数据驱动产业链优化升级。</w:t>
      </w:r>
      <w:r>
        <w:rPr>
          <w:rFonts w:hint="eastAsia" w:eastAsia="仿宋_GB2312"/>
          <w:color w:val="000000"/>
          <w:sz w:val="32"/>
          <w:szCs w:val="32"/>
        </w:rPr>
        <w:t>构建数据基础制度体系，探索建立数据产权登记、分类分级授权使用和价值评估机制，编制县级数据资产目录。完善产业发展生态，培育市场化数据运营主体，建立数据创新应用激励机制，强化数据安全监管和复合型数字人才引育，形成"制度+技术+场景+生态"四位一体的数据开发利用新格局。</w:t>
      </w:r>
    </w:p>
    <w:p w14:paraId="4C66BEBE">
      <w:pPr>
        <w:pStyle w:val="15"/>
        <w:numPr>
          <w:ilvl w:val="0"/>
          <w:numId w:val="8"/>
        </w:numPr>
        <w:spacing w:before="156" w:beforeLines="50" w:after="156" w:afterLines="50" w:line="580" w:lineRule="exact"/>
        <w:ind w:left="1080" w:hanging="1080" w:firstLineChars="0"/>
        <w:jc w:val="center"/>
        <w:outlineLvl w:val="2"/>
        <w:rPr>
          <w:rFonts w:eastAsia="楷体_GB2312"/>
          <w:b/>
          <w:color w:val="000000"/>
          <w:kern w:val="0"/>
          <w:sz w:val="32"/>
          <w:szCs w:val="32"/>
        </w:rPr>
      </w:pPr>
      <w:bookmarkStart w:id="258" w:name="_Toc27953"/>
      <w:r>
        <w:rPr>
          <w:rFonts w:hint="eastAsia" w:eastAsia="楷体_GB2312"/>
          <w:b/>
          <w:color w:val="000000"/>
          <w:kern w:val="0"/>
          <w:sz w:val="32"/>
          <w:szCs w:val="32"/>
        </w:rPr>
        <w:t xml:space="preserve"> </w:t>
      </w:r>
      <w:bookmarkStart w:id="259" w:name="_Toc218241063"/>
      <w:r>
        <w:rPr>
          <w:rFonts w:hint="eastAsia" w:eastAsia="楷体_GB2312"/>
          <w:b/>
          <w:color w:val="000000"/>
          <w:kern w:val="0"/>
          <w:sz w:val="32"/>
          <w:szCs w:val="32"/>
        </w:rPr>
        <w:t>推进数据流通共享</w:t>
      </w:r>
      <w:bookmarkEnd w:id="258"/>
      <w:bookmarkEnd w:id="259"/>
    </w:p>
    <w:p w14:paraId="616612F3">
      <w:pPr>
        <w:pStyle w:val="2"/>
        <w:spacing w:line="580" w:lineRule="exact"/>
        <w:ind w:firstLine="640"/>
        <w:jc w:val="left"/>
        <w:rPr>
          <w:rFonts w:eastAsia="仿宋_GB2312"/>
          <w:color w:val="000000"/>
          <w:sz w:val="32"/>
          <w:szCs w:val="32"/>
        </w:rPr>
      </w:pPr>
      <w:r>
        <w:rPr>
          <w:rFonts w:hint="eastAsia" w:eastAsia="仿宋_GB2312"/>
          <w:color w:val="000000"/>
          <w:sz w:val="32"/>
          <w:szCs w:val="32"/>
        </w:rPr>
        <w:t>建立健全数据交易规则，鼓励探索多元化数据流通交易方式，优化数据交易机构布局，支持数据交易机构、数据流通交易平台互认互通。支持企业贴近市场需求，开发数据产品和服务，实现数据合规高效流通。健全数据要素流通体系，建立县域数据交易服务平台，制定数据确权、定价、交易规则，推动农牧产品产销数据、游客行为数据、环境监测数据等合规流通。探索“数据入股”“数据信贷”等创新模式，鼓励企业与合作社通过数据共享获取融资支持，释放数据要素对产业升级的乘数效应。</w:t>
      </w:r>
      <w:r>
        <w:rPr>
          <w:rFonts w:eastAsia="仿宋_GB2312"/>
          <w:color w:val="000000"/>
          <w:sz w:val="32"/>
          <w:szCs w:val="32"/>
        </w:rPr>
        <w:t>建设一体化数据开发利用平台，引入隐私计算、区块链等可信技术，保障数据安全有序流通。</w:t>
      </w:r>
    </w:p>
    <w:p w14:paraId="14F8A6CB">
      <w:pPr>
        <w:pStyle w:val="15"/>
        <w:widowControl/>
        <w:numPr>
          <w:ilvl w:val="0"/>
          <w:numId w:val="2"/>
        </w:numPr>
        <w:spacing w:before="156" w:beforeLines="50" w:after="156" w:afterLines="50" w:line="580" w:lineRule="exact"/>
        <w:ind w:left="1080" w:hanging="1080" w:firstLineChars="0"/>
        <w:jc w:val="center"/>
        <w:outlineLvl w:val="1"/>
        <w:rPr>
          <w:rFonts w:eastAsia="黑体"/>
          <w:bCs/>
          <w:color w:val="000000"/>
          <w:kern w:val="0"/>
          <w:sz w:val="32"/>
          <w:szCs w:val="32"/>
        </w:rPr>
      </w:pPr>
      <w:bookmarkStart w:id="260" w:name="_Toc24418"/>
      <w:bookmarkStart w:id="261" w:name="_Toc25979"/>
      <w:bookmarkStart w:id="262" w:name="_Toc212814826"/>
      <w:bookmarkStart w:id="263" w:name="_Toc214372630"/>
      <w:r>
        <w:rPr>
          <w:rFonts w:hint="eastAsia" w:eastAsia="黑体"/>
          <w:bCs/>
          <w:color w:val="000000"/>
          <w:kern w:val="0"/>
          <w:sz w:val="32"/>
          <w:szCs w:val="32"/>
        </w:rPr>
        <w:t xml:space="preserve"> </w:t>
      </w:r>
      <w:bookmarkStart w:id="264" w:name="_Toc218241064"/>
      <w:r>
        <w:rPr>
          <w:rFonts w:hint="eastAsia" w:eastAsia="黑体"/>
          <w:bCs/>
          <w:color w:val="000000"/>
          <w:kern w:val="0"/>
          <w:sz w:val="32"/>
          <w:szCs w:val="32"/>
        </w:rPr>
        <w:t>推进全域数字化转型</w:t>
      </w:r>
      <w:bookmarkEnd w:id="260"/>
      <w:bookmarkEnd w:id="261"/>
      <w:bookmarkEnd w:id="262"/>
      <w:bookmarkEnd w:id="263"/>
      <w:bookmarkEnd w:id="264"/>
    </w:p>
    <w:p w14:paraId="154C43B4">
      <w:pPr>
        <w:pStyle w:val="15"/>
        <w:numPr>
          <w:ilvl w:val="0"/>
          <w:numId w:val="9"/>
        </w:numPr>
        <w:spacing w:before="156" w:beforeLines="50" w:after="156" w:afterLines="50" w:line="580" w:lineRule="exact"/>
        <w:ind w:left="3313" w:hanging="1080" w:firstLineChars="0"/>
        <w:outlineLvl w:val="2"/>
        <w:rPr>
          <w:rFonts w:eastAsia="楷体_GB2312"/>
          <w:b/>
          <w:sz w:val="32"/>
          <w:szCs w:val="32"/>
        </w:rPr>
      </w:pPr>
      <w:bookmarkStart w:id="265" w:name="_Toc32001"/>
      <w:r>
        <w:rPr>
          <w:rFonts w:hint="eastAsia" w:eastAsia="楷体_GB2312"/>
          <w:b/>
          <w:color w:val="000000"/>
          <w:kern w:val="0"/>
          <w:sz w:val="32"/>
          <w:szCs w:val="32"/>
        </w:rPr>
        <w:t xml:space="preserve"> </w:t>
      </w:r>
      <w:bookmarkStart w:id="266" w:name="_Toc218241065"/>
      <w:r>
        <w:rPr>
          <w:rFonts w:hint="eastAsia" w:eastAsia="楷体_GB2312"/>
          <w:b/>
          <w:color w:val="000000"/>
          <w:kern w:val="0"/>
          <w:sz w:val="32"/>
          <w:szCs w:val="32"/>
        </w:rPr>
        <w:t>促进数实深度融合</w:t>
      </w:r>
      <w:bookmarkEnd w:id="265"/>
      <w:bookmarkEnd w:id="266"/>
    </w:p>
    <w:p w14:paraId="536E32BF">
      <w:pPr>
        <w:spacing w:line="580" w:lineRule="exact"/>
        <w:ind w:firstLine="640" w:firstLineChars="200"/>
        <w:jc w:val="left"/>
        <w:rPr>
          <w:rFonts w:eastAsia="仿宋_GB2312"/>
          <w:sz w:val="32"/>
          <w:szCs w:val="32"/>
        </w:rPr>
      </w:pPr>
      <w:r>
        <w:rPr>
          <w:rFonts w:hint="eastAsia" w:eastAsia="仿宋_GB2312"/>
          <w:sz w:val="32"/>
          <w:szCs w:val="32"/>
        </w:rPr>
        <w:t>加快传统制造业</w:t>
      </w:r>
      <w:r>
        <w:rPr>
          <w:rFonts w:eastAsia="仿宋_GB2312"/>
          <w:sz w:val="32"/>
          <w:szCs w:val="32"/>
        </w:rPr>
        <w:t>“</w:t>
      </w:r>
      <w:r>
        <w:rPr>
          <w:rFonts w:hint="eastAsia" w:eastAsia="仿宋_GB2312"/>
          <w:sz w:val="32"/>
          <w:szCs w:val="32"/>
        </w:rPr>
        <w:t>智改数转</w:t>
      </w:r>
      <w:r>
        <w:rPr>
          <w:rFonts w:eastAsia="仿宋_GB2312"/>
          <w:sz w:val="32"/>
          <w:szCs w:val="32"/>
        </w:rPr>
        <w:t>”</w:t>
      </w:r>
      <w:r>
        <w:rPr>
          <w:rFonts w:hint="eastAsia" w:eastAsia="仿宋_GB2312"/>
          <w:sz w:val="32"/>
          <w:szCs w:val="32"/>
        </w:rPr>
        <w:t>，因地制宜推进农畜产品精深加工等特色产业的智能化改造，引入自动化生产线与数字管理系统，打造“数字车间”。大力发展数字农牧业，构建牦牛、极地果蔬等特色农产品的全产业链溯源体系，推广应用智能灌溉、无人机植保等精准化种植技术。全面推进“数字文旅”建设，打造沉浸式旅游体验场景，完善全域旅游数字服务平台。加快商贸物流数字化转型，优化“塘塘合作”数字电商直播体系，建设数字物流配送网络。通过数字技术赋能，推动传统产业从粗放型向精细化、标准化、品牌化升级，形成“高原产、数字改、全球销”的产业新格局。</w:t>
      </w:r>
    </w:p>
    <w:p w14:paraId="387B3311">
      <w:pPr>
        <w:pStyle w:val="15"/>
        <w:spacing w:before="156" w:beforeLines="50" w:after="156" w:afterLines="50" w:line="580" w:lineRule="exact"/>
        <w:ind w:left="1079" w:leftChars="514" w:firstLine="630" w:firstLineChars="196"/>
        <w:outlineLvl w:val="2"/>
        <w:rPr>
          <w:sz w:val="32"/>
          <w:szCs w:val="32"/>
        </w:rPr>
      </w:pPr>
      <w:bookmarkStart w:id="267" w:name="_Toc218241066"/>
      <w:bookmarkStart w:id="268" w:name="_Toc2353"/>
      <w:r>
        <w:rPr>
          <w:rFonts w:hint="eastAsia" w:eastAsia="楷体_GB2312"/>
          <w:b/>
          <w:color w:val="000000"/>
          <w:kern w:val="0"/>
          <w:sz w:val="32"/>
          <w:szCs w:val="32"/>
        </w:rPr>
        <w:t>第二节  推进数字政府建设</w:t>
      </w:r>
      <w:bookmarkEnd w:id="267"/>
      <w:bookmarkEnd w:id="268"/>
    </w:p>
    <w:p w14:paraId="55546856">
      <w:pPr>
        <w:spacing w:line="580" w:lineRule="exact"/>
        <w:ind w:firstLine="640" w:firstLineChars="200"/>
        <w:jc w:val="left"/>
        <w:rPr>
          <w:rFonts w:eastAsia="仿宋_GB2312"/>
          <w:sz w:val="32"/>
          <w:szCs w:val="32"/>
        </w:rPr>
      </w:pPr>
      <w:r>
        <w:rPr>
          <w:rFonts w:hint="eastAsia" w:eastAsia="仿宋_GB2312"/>
          <w:sz w:val="32"/>
          <w:szCs w:val="32"/>
        </w:rPr>
        <w:t>打造一体化政务服务平台，全面升级“一网通办”服务能力，推动更多高频事项实现“掌上办、就近办”，并向乡镇基层延伸，设立村级代办点，提供藏汉双语服务，打通政务服务“最后一公里”。深化数据共享与业务协同，依托县级数据管理平台，打通各部门信息壁垒，推动政务数据在生态保护、城市管理、市场监管、应急指挥等领域的创新应用，构建“一网统管”的数字化治理模式。提升数字监管与决策水平，运用大数据、人工智能等技术，加强对重点领域风险的智能预警与研判，建立基于数据的科学决策机制，提升政府管理服务的精准性和预见性。</w:t>
      </w:r>
    </w:p>
    <w:p w14:paraId="1118E254">
      <w:pPr>
        <w:spacing w:before="156" w:beforeLines="50" w:after="156" w:afterLines="50" w:line="580" w:lineRule="exact"/>
        <w:ind w:left="2127"/>
        <w:outlineLvl w:val="2"/>
        <w:rPr>
          <w:rFonts w:eastAsia="楷体_GB2312"/>
          <w:b/>
          <w:sz w:val="32"/>
          <w:szCs w:val="32"/>
        </w:rPr>
      </w:pPr>
      <w:bookmarkStart w:id="269" w:name="_Toc12423"/>
      <w:bookmarkStart w:id="270" w:name="_Toc218241067"/>
      <w:r>
        <w:rPr>
          <w:rFonts w:hint="eastAsia" w:eastAsia="楷体_GB2312"/>
          <w:b/>
          <w:color w:val="000000"/>
          <w:kern w:val="0"/>
          <w:sz w:val="32"/>
          <w:szCs w:val="32"/>
        </w:rPr>
        <w:t>第三节  加快建设数字社会</w:t>
      </w:r>
      <w:bookmarkEnd w:id="269"/>
      <w:bookmarkEnd w:id="270"/>
    </w:p>
    <w:p w14:paraId="59791965">
      <w:pPr>
        <w:spacing w:line="580" w:lineRule="exact"/>
        <w:ind w:firstLine="640" w:firstLineChars="200"/>
        <w:jc w:val="left"/>
        <w:rPr>
          <w:rFonts w:eastAsia="仿宋_GB2312"/>
          <w:sz w:val="32"/>
          <w:szCs w:val="32"/>
        </w:rPr>
      </w:pPr>
      <w:r>
        <w:rPr>
          <w:rFonts w:hint="eastAsia" w:eastAsia="仿宋_GB2312"/>
          <w:sz w:val="32"/>
          <w:szCs w:val="32"/>
        </w:rPr>
        <w:t>构建普惠便捷的数字化公共服务体系，推动“数字医疗”建设，发展远程医疗和在线健康咨询，推进“数字教育”，扩大优质数字教育资源覆盖面，完善社会保障、养老服务等领域的数字化应用。推进全域数字化转型，加快新型数字城市和数字乡村建设，因地制宜推进数字社区建设，打造数字便民服务圈，发展智慧家庭和“数字+生活服务”，积极推动农村“三资”监管智慧化和数字化转型。创新数字化社会治理模式，深化数字城管、数字环保等平台应用，打造基于大数据的基层治理协同平台。</w:t>
      </w:r>
    </w:p>
    <w:p w14:paraId="26B5E9BD">
      <w:pPr>
        <w:pStyle w:val="15"/>
        <w:numPr>
          <w:ilvl w:val="0"/>
          <w:numId w:val="8"/>
        </w:numPr>
        <w:spacing w:before="156" w:beforeLines="50" w:after="156" w:afterLines="50" w:line="580" w:lineRule="exact"/>
        <w:ind w:left="1080" w:hanging="1080" w:firstLineChars="0"/>
        <w:jc w:val="center"/>
        <w:outlineLvl w:val="2"/>
        <w:rPr>
          <w:rFonts w:eastAsia="楷体_GB2312"/>
          <w:b/>
          <w:sz w:val="32"/>
          <w:szCs w:val="32"/>
        </w:rPr>
      </w:pPr>
      <w:bookmarkStart w:id="271" w:name="_Toc19012"/>
      <w:r>
        <w:rPr>
          <w:rFonts w:hint="eastAsia" w:eastAsia="楷体_GB2312"/>
          <w:b/>
          <w:color w:val="000000"/>
          <w:kern w:val="0"/>
          <w:sz w:val="32"/>
          <w:szCs w:val="32"/>
        </w:rPr>
        <w:t xml:space="preserve"> </w:t>
      </w:r>
      <w:bookmarkStart w:id="272" w:name="_Toc218241068"/>
      <w:r>
        <w:rPr>
          <w:rFonts w:hint="eastAsia" w:eastAsia="楷体_GB2312"/>
          <w:b/>
          <w:color w:val="000000"/>
          <w:kern w:val="0"/>
          <w:sz w:val="32"/>
          <w:szCs w:val="32"/>
        </w:rPr>
        <w:t>增强数据安全防护</w:t>
      </w:r>
      <w:bookmarkEnd w:id="271"/>
      <w:bookmarkEnd w:id="272"/>
    </w:p>
    <w:p w14:paraId="3A538555">
      <w:pPr>
        <w:snapToGrid w:val="0"/>
        <w:spacing w:before="72" w:after="72" w:line="580" w:lineRule="exact"/>
        <w:ind w:firstLine="640" w:firstLineChars="200"/>
        <w:jc w:val="left"/>
        <w:rPr>
          <w:rFonts w:eastAsia="楷体_GB2312"/>
          <w:b/>
          <w:sz w:val="32"/>
          <w:szCs w:val="32"/>
        </w:rPr>
      </w:pPr>
      <w:r>
        <w:rPr>
          <w:rFonts w:hint="eastAsia" w:eastAsia="仿宋_GB2312"/>
          <w:sz w:val="32"/>
          <w:szCs w:val="32"/>
        </w:rPr>
        <w:t>健全数据安全管理制度，明确各部门数据分类分级保护责任，建立政务数据、重要行业数据及个人信息的安全风险评估与应急响应机制。强化技术防护能力，在政务云、数据中心等关键信息基础设施中部署防火墙、入侵检测和数据加密等安全措施，对重要数据实施备份与访问控制。聚焦重点领域监管，加强对智慧文旅、数字农牧、电子商务等特色产业平台的数据安全监管，保障产业链数据可靠流通。提升全员数据安全素养，为全县数字化转型提供坚实安全保障。</w:t>
      </w:r>
      <w:bookmarkStart w:id="273" w:name="OLE_LINK114"/>
      <w:bookmarkStart w:id="274" w:name="OLE_LINK88"/>
    </w:p>
    <w:tbl>
      <w:tblPr>
        <w:tblStyle w:val="11"/>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194240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tcBorders>
              <w:top w:val="single" w:color="auto" w:sz="4" w:space="0"/>
              <w:left w:val="single" w:color="auto" w:sz="4" w:space="0"/>
              <w:bottom w:val="single" w:color="auto" w:sz="4" w:space="0"/>
              <w:right w:val="single" w:color="auto" w:sz="4" w:space="0"/>
            </w:tcBorders>
            <w:shd w:val="clear" w:color="auto" w:fill="auto"/>
          </w:tcPr>
          <w:p w14:paraId="2E769417">
            <w:pPr>
              <w:pStyle w:val="10"/>
              <w:snapToGrid w:val="0"/>
              <w:spacing w:before="156" w:beforeLines="50" w:after="156" w:afterLines="50" w:line="440" w:lineRule="exact"/>
              <w:ind w:left="0" w:leftChars="0" w:firstLine="643" w:firstLineChars="0"/>
              <w:jc w:val="center"/>
              <w:rPr>
                <w:rFonts w:eastAsia="仿宋_GB2312"/>
                <w:b/>
                <w:kern w:val="0"/>
                <w:sz w:val="28"/>
                <w:szCs w:val="28"/>
              </w:rPr>
            </w:pPr>
            <w:r>
              <w:rPr>
                <w:rFonts w:hint="eastAsia" w:ascii="Times New Roman" w:hAnsi="Times New Roman" w:eastAsia="楷体_GB2312" w:cs="Times New Roman"/>
                <w:b/>
                <w:sz w:val="28"/>
                <w:szCs w:val="28"/>
              </w:rPr>
              <w:t>专栏16  “十五五”时期数字理塘建设重点</w:t>
            </w:r>
          </w:p>
        </w:tc>
      </w:tr>
      <w:tr w14:paraId="0EBAF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tcBorders>
              <w:top w:val="single" w:color="auto" w:sz="4" w:space="0"/>
              <w:left w:val="single" w:color="auto" w:sz="4" w:space="0"/>
              <w:bottom w:val="single" w:color="auto" w:sz="4" w:space="0"/>
              <w:right w:val="single" w:color="auto" w:sz="4" w:space="0"/>
            </w:tcBorders>
            <w:shd w:val="clear" w:color="auto" w:fill="auto"/>
          </w:tcPr>
          <w:p w14:paraId="2E15DF2A">
            <w:pPr>
              <w:snapToGrid w:val="0"/>
              <w:spacing w:line="440" w:lineRule="exact"/>
              <w:ind w:firstLine="420"/>
              <w:jc w:val="left"/>
              <w:rPr>
                <w:rFonts w:eastAsia="楷体_GB2312"/>
                <w:sz w:val="28"/>
                <w:szCs w:val="28"/>
              </w:rPr>
            </w:pPr>
            <w:r>
              <w:rPr>
                <w:rFonts w:eastAsia="楷体_GB2312"/>
                <w:b/>
                <w:sz w:val="28"/>
                <w:szCs w:val="28"/>
              </w:rPr>
              <w:t>1.数字基座体系建设</w:t>
            </w:r>
            <w:r>
              <w:rPr>
                <w:rFonts w:hint="eastAsia" w:eastAsia="楷体_GB2312"/>
                <w:sz w:val="28"/>
                <w:szCs w:val="28"/>
              </w:rPr>
              <w:t>。（</w:t>
            </w:r>
            <w:r>
              <w:rPr>
                <w:rFonts w:eastAsia="楷体_GB2312"/>
                <w:sz w:val="28"/>
                <w:szCs w:val="28"/>
              </w:rPr>
              <w:t>1）对现有理塘县云计算中心进行硬件扩容，升级软件平台，增强数据处理与分析能力。（2）</w:t>
            </w:r>
            <w:r>
              <w:rPr>
                <w:rFonts w:hint="eastAsia" w:eastAsia="楷体_GB2312"/>
                <w:sz w:val="28"/>
                <w:szCs w:val="28"/>
              </w:rPr>
              <w:t>在理塘县全域范围内新建及升级</w:t>
            </w:r>
            <w:r>
              <w:rPr>
                <w:rFonts w:eastAsia="楷体_GB2312"/>
                <w:sz w:val="28"/>
                <w:szCs w:val="28"/>
              </w:rPr>
              <w:t xml:space="preserve">5G基站，实现县城、乡镇、主要交通干线及旅游景区的5G </w:t>
            </w:r>
            <w:r>
              <w:rPr>
                <w:rFonts w:hint="eastAsia" w:eastAsia="楷体_GB2312"/>
                <w:sz w:val="28"/>
                <w:szCs w:val="28"/>
              </w:rPr>
              <w:t>网络无缝覆盖。（</w:t>
            </w:r>
            <w:r>
              <w:rPr>
                <w:rFonts w:eastAsia="楷体_GB2312"/>
                <w:sz w:val="28"/>
                <w:szCs w:val="28"/>
              </w:rPr>
              <w:t>3）千兆光纤入户普及计划，实现千兆光纤入户覆盖率达到 95%以上。（4）一体化智能化公共数据平台（一期）建设，实现政务、社会、经济数据资源的初步整合与共享。（5）城市运营中心智能化改造，提升城市运行监测、预警与调度能力。</w:t>
            </w:r>
          </w:p>
          <w:p w14:paraId="372FBEAE">
            <w:pPr>
              <w:snapToGrid w:val="0"/>
              <w:spacing w:line="440" w:lineRule="exact"/>
              <w:ind w:firstLine="420"/>
              <w:jc w:val="left"/>
              <w:rPr>
                <w:rFonts w:eastAsia="楷体_GB2312"/>
                <w:sz w:val="28"/>
                <w:szCs w:val="28"/>
              </w:rPr>
            </w:pPr>
            <w:r>
              <w:rPr>
                <w:rFonts w:eastAsia="楷体_GB2312"/>
                <w:b/>
                <w:sz w:val="28"/>
                <w:szCs w:val="28"/>
              </w:rPr>
              <w:t>2.</w:t>
            </w:r>
            <w:r>
              <w:rPr>
                <w:rFonts w:hint="eastAsia" w:eastAsia="楷体_GB2312"/>
                <w:b/>
                <w:sz w:val="28"/>
                <w:szCs w:val="28"/>
              </w:rPr>
              <w:t>数字</w:t>
            </w:r>
            <w:r>
              <w:rPr>
                <w:rFonts w:eastAsia="楷体_GB2312"/>
                <w:b/>
                <w:sz w:val="28"/>
                <w:szCs w:val="28"/>
              </w:rPr>
              <w:t>基础设施建设</w:t>
            </w:r>
            <w:r>
              <w:rPr>
                <w:rFonts w:hint="eastAsia" w:eastAsia="楷体_GB2312"/>
                <w:sz w:val="28"/>
                <w:szCs w:val="28"/>
              </w:rPr>
              <w:t>。（</w:t>
            </w:r>
            <w:r>
              <w:rPr>
                <w:rFonts w:eastAsia="楷体_GB2312"/>
                <w:sz w:val="28"/>
                <w:szCs w:val="28"/>
              </w:rPr>
              <w:t>1）</w:t>
            </w:r>
            <w:r>
              <w:rPr>
                <w:rFonts w:hint="eastAsia" w:eastAsia="楷体_GB2312"/>
                <w:sz w:val="28"/>
                <w:szCs w:val="28"/>
              </w:rPr>
              <w:t>数字</w:t>
            </w:r>
            <w:r>
              <w:rPr>
                <w:rFonts w:eastAsia="楷体_GB2312"/>
                <w:sz w:val="28"/>
                <w:szCs w:val="28"/>
              </w:rPr>
              <w:t>交通信号控制系统建设，在理塘县主要交通路口安装智能信号控制设备，实现交通流量的动态调整与优化。（2）智能公交系统推广项目，包括电子站牌、实时公交查询、移动支付等功能。（3）电力能源智能化管理系统建设，实现电力生产、传输、分配、消费的实时监控与智能调度。</w:t>
            </w:r>
          </w:p>
          <w:p w14:paraId="15BC19CA">
            <w:pPr>
              <w:snapToGrid w:val="0"/>
              <w:spacing w:line="440" w:lineRule="exact"/>
              <w:ind w:firstLine="480"/>
              <w:jc w:val="left"/>
              <w:rPr>
                <w:rFonts w:eastAsia="楷体_GB2312"/>
                <w:sz w:val="28"/>
                <w:szCs w:val="28"/>
              </w:rPr>
            </w:pPr>
            <w:r>
              <w:rPr>
                <w:rFonts w:eastAsia="楷体_GB2312"/>
                <w:b/>
                <w:sz w:val="28"/>
                <w:szCs w:val="28"/>
              </w:rPr>
              <w:t>3.</w:t>
            </w:r>
            <w:r>
              <w:rPr>
                <w:rFonts w:hint="eastAsia" w:eastAsia="楷体_GB2312"/>
                <w:b/>
                <w:sz w:val="28"/>
                <w:szCs w:val="28"/>
              </w:rPr>
              <w:t>数字公共服务设施建设</w:t>
            </w:r>
            <w:r>
              <w:rPr>
                <w:rFonts w:hint="eastAsia" w:eastAsia="楷体_GB2312"/>
                <w:sz w:val="28"/>
                <w:szCs w:val="28"/>
              </w:rPr>
              <w:t>。（</w:t>
            </w:r>
            <w:r>
              <w:rPr>
                <w:rFonts w:eastAsia="楷体_GB2312"/>
                <w:sz w:val="28"/>
                <w:szCs w:val="28"/>
              </w:rPr>
              <w:t>1）医疗健康数字化服务平台建设，提供远程会诊、电子病历查询、健康档案管理等服务。（2）数字文旅融合创新服务平台建设，提供景区导览、在线预订、虚拟体验、文旅大数据分析等服务。（3）全域档案数据中枢建设，包括场地改造、</w:t>
            </w:r>
            <w:r>
              <w:rPr>
                <w:rFonts w:hint="eastAsia" w:eastAsia="楷体_GB2312"/>
                <w:sz w:val="28"/>
                <w:szCs w:val="28"/>
              </w:rPr>
              <w:t>区块链存证系统、档案大数据分析平台、应用服务与终端民生档案查询终端、</w:t>
            </w:r>
            <w:r>
              <w:rPr>
                <w:rFonts w:eastAsia="楷体_GB2312"/>
                <w:sz w:val="28"/>
                <w:szCs w:val="28"/>
              </w:rPr>
              <w:t>AR/VR</w:t>
            </w:r>
            <w:r>
              <w:rPr>
                <w:rFonts w:hint="eastAsia" w:eastAsia="楷体_GB2312"/>
                <w:sz w:val="28"/>
                <w:szCs w:val="28"/>
              </w:rPr>
              <w:t>文化体验设备等。</w:t>
            </w:r>
          </w:p>
          <w:p w14:paraId="2CB2A239">
            <w:pPr>
              <w:snapToGrid w:val="0"/>
              <w:spacing w:line="440" w:lineRule="exact"/>
              <w:ind w:firstLine="480"/>
              <w:jc w:val="left"/>
              <w:rPr>
                <w:rFonts w:eastAsia="楷体_GB2312"/>
                <w:sz w:val="28"/>
                <w:szCs w:val="28"/>
              </w:rPr>
            </w:pPr>
            <w:r>
              <w:rPr>
                <w:rFonts w:eastAsia="楷体_GB2312"/>
                <w:b/>
                <w:sz w:val="28"/>
                <w:szCs w:val="28"/>
              </w:rPr>
              <w:t>4.产业数字化建设</w:t>
            </w:r>
            <w:r>
              <w:rPr>
                <w:rFonts w:hint="eastAsia" w:eastAsia="楷体_GB2312"/>
                <w:sz w:val="28"/>
                <w:szCs w:val="28"/>
              </w:rPr>
              <w:t>。（</w:t>
            </w:r>
            <w:r>
              <w:rPr>
                <w:rFonts w:eastAsia="楷体_GB2312"/>
                <w:sz w:val="28"/>
                <w:szCs w:val="28"/>
              </w:rPr>
              <w:t>1）</w:t>
            </w:r>
            <w:r>
              <w:rPr>
                <w:rFonts w:hint="eastAsia" w:eastAsia="楷体_GB2312"/>
                <w:sz w:val="28"/>
                <w:szCs w:val="28"/>
              </w:rPr>
              <w:t>实施高原数字农牧设施提升工程、高原智能装备全域服务项目、养殖设施智能化改造等项目</w:t>
            </w:r>
            <w:r>
              <w:rPr>
                <w:rFonts w:eastAsia="楷体_GB2312"/>
                <w:sz w:val="28"/>
                <w:szCs w:val="28"/>
              </w:rPr>
              <w:t>。（2）传统产业“智转数改”建设等。</w:t>
            </w:r>
          </w:p>
        </w:tc>
      </w:tr>
      <w:bookmarkEnd w:id="273"/>
      <w:bookmarkEnd w:id="274"/>
    </w:tbl>
    <w:p w14:paraId="6FF69477">
      <w:pPr>
        <w:pStyle w:val="2"/>
      </w:pPr>
    </w:p>
    <w:p w14:paraId="617333F8">
      <w:pPr>
        <w:pStyle w:val="15"/>
        <w:numPr>
          <w:ilvl w:val="0"/>
          <w:numId w:val="1"/>
        </w:numPr>
        <w:spacing w:before="156" w:beforeLines="50" w:after="156" w:afterLines="50" w:line="580" w:lineRule="exact"/>
        <w:ind w:left="1080" w:hanging="1080" w:firstLineChars="0"/>
        <w:jc w:val="center"/>
        <w:outlineLvl w:val="0"/>
        <w:rPr>
          <w:rFonts w:eastAsia="方正大标宋简体"/>
          <w:sz w:val="32"/>
          <w:szCs w:val="32"/>
        </w:rPr>
      </w:pPr>
      <w:bookmarkStart w:id="275" w:name="_Toc12152"/>
      <w:bookmarkStart w:id="276" w:name="_Toc212814827"/>
      <w:bookmarkStart w:id="277" w:name="OLE_LINK4"/>
      <w:bookmarkStart w:id="278" w:name="_Toc13188"/>
      <w:bookmarkStart w:id="279" w:name="OLE_LINK3"/>
      <w:bookmarkStart w:id="280" w:name="_Toc214372631"/>
      <w:r>
        <w:rPr>
          <w:rFonts w:hint="eastAsia" w:eastAsia="方正大标宋简体"/>
          <w:sz w:val="32"/>
          <w:szCs w:val="32"/>
        </w:rPr>
        <w:t xml:space="preserve"> </w:t>
      </w:r>
      <w:bookmarkStart w:id="281" w:name="_Toc218241069"/>
      <w:r>
        <w:rPr>
          <w:rFonts w:hint="eastAsia" w:eastAsia="方正大标宋简体"/>
          <w:sz w:val="32"/>
          <w:szCs w:val="32"/>
        </w:rPr>
        <w:t>基础先行  提升区域发展承载能力</w:t>
      </w:r>
      <w:bookmarkEnd w:id="275"/>
      <w:bookmarkEnd w:id="276"/>
      <w:bookmarkEnd w:id="277"/>
      <w:bookmarkEnd w:id="278"/>
      <w:bookmarkEnd w:id="279"/>
      <w:bookmarkEnd w:id="280"/>
      <w:bookmarkEnd w:id="281"/>
    </w:p>
    <w:p w14:paraId="1134BED7">
      <w:pPr>
        <w:spacing w:line="580" w:lineRule="exact"/>
        <w:ind w:firstLine="616" w:firstLineChars="200"/>
        <w:rPr>
          <w:rFonts w:eastAsia="仿宋_GB2312"/>
          <w:spacing w:val="-6"/>
          <w:sz w:val="32"/>
          <w:szCs w:val="32"/>
        </w:rPr>
      </w:pPr>
      <w:r>
        <w:rPr>
          <w:rFonts w:hint="eastAsia" w:eastAsia="仿宋_GB2312"/>
          <w:spacing w:val="-6"/>
          <w:sz w:val="32"/>
          <w:szCs w:val="32"/>
        </w:rPr>
        <w:t>积极融入区域发展大局，以交通、能源、水利、信息等基础设施建设为突破口，打通发展脉络，补齐短板弱项，加快构建现代基础设施体系，为推动高质量发展提供坚实支撑和保障。</w:t>
      </w:r>
    </w:p>
    <w:p w14:paraId="27AF0BC9">
      <w:pPr>
        <w:widowControl/>
        <w:spacing w:before="156" w:beforeLines="50" w:after="156" w:afterLines="50" w:line="580" w:lineRule="exact"/>
        <w:jc w:val="center"/>
        <w:outlineLvl w:val="1"/>
        <w:rPr>
          <w:rFonts w:eastAsia="黑体"/>
          <w:bCs/>
          <w:color w:val="000000"/>
          <w:kern w:val="0"/>
          <w:sz w:val="32"/>
          <w:szCs w:val="32"/>
        </w:rPr>
      </w:pPr>
      <w:bookmarkStart w:id="282" w:name="_Toc214372632"/>
      <w:bookmarkStart w:id="283" w:name="_Toc212814828"/>
      <w:bookmarkStart w:id="284" w:name="_Toc25422"/>
      <w:bookmarkStart w:id="285" w:name="_Toc218241070"/>
      <w:bookmarkStart w:id="286" w:name="_Toc30758"/>
      <w:r>
        <w:rPr>
          <w:rFonts w:hint="eastAsia" w:eastAsia="黑体"/>
          <w:bCs/>
          <w:color w:val="000000"/>
          <w:kern w:val="0"/>
          <w:sz w:val="32"/>
          <w:szCs w:val="32"/>
        </w:rPr>
        <w:t>第十一章  打造康南重要交通枢纽</w:t>
      </w:r>
      <w:bookmarkEnd w:id="282"/>
      <w:bookmarkEnd w:id="283"/>
      <w:bookmarkEnd w:id="284"/>
      <w:bookmarkEnd w:id="285"/>
      <w:bookmarkEnd w:id="286"/>
    </w:p>
    <w:p w14:paraId="601C6E5A">
      <w:pPr>
        <w:pStyle w:val="15"/>
        <w:numPr>
          <w:ilvl w:val="0"/>
          <w:numId w:val="10"/>
        </w:numPr>
        <w:spacing w:before="156" w:beforeLines="50" w:after="156" w:afterLines="50" w:line="580" w:lineRule="exact"/>
        <w:ind w:left="1080" w:hanging="1080" w:firstLineChars="0"/>
        <w:jc w:val="center"/>
        <w:outlineLvl w:val="2"/>
        <w:rPr>
          <w:rFonts w:eastAsia="楷体_GB2312"/>
          <w:b/>
          <w:color w:val="000000"/>
          <w:kern w:val="0"/>
          <w:sz w:val="32"/>
          <w:szCs w:val="32"/>
        </w:rPr>
      </w:pPr>
      <w:bookmarkStart w:id="287" w:name="_Toc9343"/>
      <w:r>
        <w:rPr>
          <w:rFonts w:hint="eastAsia" w:eastAsia="楷体_GB2312"/>
          <w:b/>
          <w:color w:val="000000"/>
          <w:kern w:val="0"/>
          <w:sz w:val="32"/>
          <w:szCs w:val="32"/>
        </w:rPr>
        <w:t xml:space="preserve"> </w:t>
      </w:r>
      <w:bookmarkStart w:id="288" w:name="_Toc218241071"/>
      <w:r>
        <w:rPr>
          <w:rFonts w:hint="eastAsia" w:eastAsia="楷体_GB2312"/>
          <w:b/>
          <w:color w:val="000000"/>
          <w:kern w:val="0"/>
          <w:sz w:val="32"/>
          <w:szCs w:val="32"/>
        </w:rPr>
        <w:t>推动对外通道通达通畅</w:t>
      </w:r>
      <w:bookmarkEnd w:id="287"/>
      <w:bookmarkEnd w:id="288"/>
    </w:p>
    <w:p w14:paraId="2F704759">
      <w:pPr>
        <w:spacing w:line="580" w:lineRule="exact"/>
        <w:ind w:firstLine="640" w:firstLineChars="200"/>
        <w:rPr>
          <w:rFonts w:eastAsia="仿宋_GB2312"/>
          <w:sz w:val="32"/>
          <w:szCs w:val="32"/>
        </w:rPr>
      </w:pPr>
      <w:r>
        <w:rPr>
          <w:rFonts w:hint="eastAsia" w:eastAsia="仿宋_GB2312"/>
          <w:sz w:val="32"/>
          <w:szCs w:val="32"/>
        </w:rPr>
        <w:t>强化交通对经济社会发展的基础先导作用，聚力推进铁路、高速公路、机场等大通道建设，构建</w:t>
      </w:r>
      <w:r>
        <w:rPr>
          <w:rFonts w:eastAsia="仿宋_GB2312"/>
          <w:sz w:val="32"/>
          <w:szCs w:val="32"/>
        </w:rPr>
        <w:t>“两轨两站两高”综合立体交通网络，</w:t>
      </w:r>
      <w:r>
        <w:rPr>
          <w:rFonts w:hint="eastAsia" w:eastAsia="仿宋_GB2312"/>
          <w:sz w:val="32"/>
          <w:szCs w:val="32"/>
        </w:rPr>
        <w:t>加速区位重构。全力保障川藏铁路理塘段建设，力争</w:t>
      </w:r>
      <w:r>
        <w:rPr>
          <w:rFonts w:eastAsia="仿宋_GB2312"/>
          <w:sz w:val="32"/>
          <w:szCs w:val="32"/>
        </w:rPr>
        <w:t>“</w:t>
      </w:r>
      <w:r>
        <w:rPr>
          <w:rFonts w:hint="eastAsia" w:eastAsia="仿宋_GB2312"/>
          <w:sz w:val="32"/>
          <w:szCs w:val="32"/>
        </w:rPr>
        <w:t>十五五</w:t>
      </w:r>
      <w:r>
        <w:rPr>
          <w:rFonts w:eastAsia="仿宋_GB2312"/>
          <w:sz w:val="32"/>
          <w:szCs w:val="32"/>
        </w:rPr>
        <w:t>”</w:t>
      </w:r>
      <w:r>
        <w:rPr>
          <w:rFonts w:hint="eastAsia" w:eastAsia="仿宋_GB2312"/>
          <w:sz w:val="32"/>
          <w:szCs w:val="32"/>
        </w:rPr>
        <w:t>末建成投运。</w:t>
      </w:r>
      <w:bookmarkStart w:id="289" w:name="OLE_LINK126"/>
      <w:bookmarkStart w:id="290" w:name="OLE_LINK138"/>
      <w:r>
        <w:rPr>
          <w:rFonts w:hint="eastAsia" w:eastAsia="仿宋_GB2312"/>
          <w:sz w:val="32"/>
          <w:szCs w:val="32"/>
        </w:rPr>
        <w:t>积极推进甘肃合作经马尔康至理塘至香格里拉铁路前期工作，力争纳入国家</w:t>
      </w:r>
      <w:r>
        <w:rPr>
          <w:rFonts w:eastAsia="仿宋_GB2312"/>
          <w:sz w:val="32"/>
          <w:szCs w:val="32"/>
        </w:rPr>
        <w:t>“</w:t>
      </w:r>
      <w:r>
        <w:rPr>
          <w:rFonts w:hint="eastAsia" w:eastAsia="仿宋_GB2312"/>
          <w:sz w:val="32"/>
          <w:szCs w:val="32"/>
        </w:rPr>
        <w:t>十五五</w:t>
      </w:r>
      <w:r>
        <w:rPr>
          <w:rFonts w:eastAsia="仿宋_GB2312"/>
          <w:sz w:val="32"/>
          <w:szCs w:val="32"/>
        </w:rPr>
        <w:t>”</w:t>
      </w:r>
      <w:r>
        <w:rPr>
          <w:rFonts w:hint="eastAsia" w:eastAsia="仿宋_GB2312"/>
          <w:sz w:val="32"/>
          <w:szCs w:val="32"/>
        </w:rPr>
        <w:t>规划建设项目，填补川藏、滇藏铁路间路网空白。</w:t>
      </w:r>
      <w:bookmarkEnd w:id="289"/>
      <w:bookmarkEnd w:id="290"/>
      <w:r>
        <w:rPr>
          <w:rFonts w:hint="eastAsia" w:eastAsia="仿宋_GB2312"/>
          <w:sz w:val="32"/>
          <w:szCs w:val="32"/>
        </w:rPr>
        <w:t>加快推进</w:t>
      </w:r>
      <w:r>
        <w:rPr>
          <w:rFonts w:eastAsia="仿宋_GB2312"/>
          <w:sz w:val="32"/>
          <w:szCs w:val="32"/>
        </w:rPr>
        <w:t>G4218</w:t>
      </w:r>
      <w:r>
        <w:rPr>
          <w:rFonts w:hint="eastAsia" w:eastAsia="仿宋_GB2312"/>
          <w:sz w:val="32"/>
          <w:szCs w:val="32"/>
        </w:rPr>
        <w:t>雅叶高速康定新都桥至巴塘、理塘至巴塘段高速公路、</w:t>
      </w:r>
      <w:r>
        <w:rPr>
          <w:rFonts w:eastAsia="仿宋_GB2312"/>
          <w:sz w:val="32"/>
          <w:szCs w:val="32"/>
        </w:rPr>
        <w:t>S95</w:t>
      </w:r>
      <w:r>
        <w:rPr>
          <w:rFonts w:hint="eastAsia" w:eastAsia="仿宋_GB2312"/>
          <w:sz w:val="32"/>
          <w:szCs w:val="32"/>
        </w:rPr>
        <w:t>理塘至稻城高速项目前期工作。积极推动通用航空机场建设，加快推进理塘通用枢纽机场前期工作，打造拥有“铁公机”的高原枢纽型城市。</w:t>
      </w:r>
    </w:p>
    <w:p w14:paraId="6C76AB4C">
      <w:pPr>
        <w:pStyle w:val="15"/>
        <w:numPr>
          <w:ilvl w:val="0"/>
          <w:numId w:val="10"/>
        </w:numPr>
        <w:spacing w:before="156" w:beforeLines="50" w:after="156" w:afterLines="50" w:line="580" w:lineRule="exact"/>
        <w:ind w:left="1080" w:hanging="1080" w:firstLineChars="0"/>
        <w:jc w:val="center"/>
        <w:outlineLvl w:val="2"/>
        <w:rPr>
          <w:rFonts w:eastAsia="楷体_GB2312"/>
          <w:b/>
          <w:color w:val="000000"/>
          <w:kern w:val="0"/>
          <w:sz w:val="32"/>
          <w:szCs w:val="32"/>
        </w:rPr>
      </w:pPr>
      <w:bookmarkStart w:id="291" w:name="_Toc30126"/>
      <w:r>
        <w:rPr>
          <w:rFonts w:hint="eastAsia" w:eastAsia="楷体_GB2312"/>
          <w:b/>
          <w:color w:val="000000"/>
          <w:kern w:val="0"/>
          <w:sz w:val="32"/>
          <w:szCs w:val="32"/>
        </w:rPr>
        <w:t xml:space="preserve"> </w:t>
      </w:r>
      <w:bookmarkStart w:id="292" w:name="_Toc218241072"/>
      <w:r>
        <w:rPr>
          <w:rFonts w:hint="eastAsia" w:eastAsia="楷体_GB2312"/>
          <w:b/>
          <w:color w:val="000000"/>
          <w:kern w:val="0"/>
          <w:sz w:val="32"/>
          <w:szCs w:val="32"/>
        </w:rPr>
        <w:t>推动内部网络提质升级</w:t>
      </w:r>
      <w:bookmarkEnd w:id="291"/>
      <w:bookmarkEnd w:id="292"/>
    </w:p>
    <w:p w14:paraId="3FC8D4FE">
      <w:pPr>
        <w:spacing w:line="580" w:lineRule="exact"/>
        <w:ind w:firstLine="640" w:firstLineChars="200"/>
        <w:rPr>
          <w:rFonts w:eastAsia="仿宋_GB2312"/>
          <w:sz w:val="32"/>
          <w:szCs w:val="32"/>
        </w:rPr>
      </w:pPr>
      <w:r>
        <w:rPr>
          <w:rFonts w:hint="eastAsia" w:eastAsia="仿宋_GB2312"/>
          <w:sz w:val="32"/>
          <w:szCs w:val="32"/>
        </w:rPr>
        <w:t>完善县域内部干线交通网络，推进城乡交通资源整合，拓展交通基础设施通达深度，打通断头路、畅通瓶颈路，提升理塘副中心交通枢纽功能。强化干线公路主通道服务能力，完善干线公路网布局，提高村镇之间可达性，推动</w:t>
      </w:r>
      <w:r>
        <w:rPr>
          <w:rFonts w:eastAsia="仿宋_GB2312"/>
          <w:sz w:val="32"/>
          <w:szCs w:val="32"/>
        </w:rPr>
        <w:t>G318</w:t>
      </w:r>
      <w:r>
        <w:rPr>
          <w:rFonts w:hint="eastAsia" w:eastAsia="仿宋_GB2312"/>
          <w:sz w:val="32"/>
          <w:szCs w:val="32"/>
        </w:rPr>
        <w:t>、</w:t>
      </w:r>
      <w:r>
        <w:rPr>
          <w:rFonts w:eastAsia="仿宋_GB2312"/>
          <w:sz w:val="32"/>
          <w:szCs w:val="32"/>
        </w:rPr>
        <w:t>G549</w:t>
      </w:r>
      <w:r>
        <w:rPr>
          <w:rFonts w:hint="eastAsia" w:eastAsia="仿宋_GB2312"/>
          <w:sz w:val="32"/>
          <w:szCs w:val="32"/>
        </w:rPr>
        <w:t>、</w:t>
      </w:r>
      <w:r>
        <w:rPr>
          <w:rFonts w:eastAsia="仿宋_GB2312"/>
          <w:sz w:val="32"/>
          <w:szCs w:val="32"/>
        </w:rPr>
        <w:t>S459</w:t>
      </w:r>
      <w:r>
        <w:rPr>
          <w:rFonts w:hint="eastAsia" w:eastAsia="仿宋_GB2312"/>
          <w:sz w:val="32"/>
          <w:szCs w:val="32"/>
        </w:rPr>
        <w:t>、</w:t>
      </w:r>
      <w:r>
        <w:rPr>
          <w:rFonts w:eastAsia="仿宋_GB2312"/>
          <w:sz w:val="32"/>
          <w:szCs w:val="32"/>
        </w:rPr>
        <w:t>S460</w:t>
      </w:r>
      <w:r>
        <w:rPr>
          <w:rFonts w:hint="eastAsia" w:eastAsia="仿宋_GB2312"/>
          <w:sz w:val="32"/>
          <w:szCs w:val="32"/>
        </w:rPr>
        <w:t>、</w:t>
      </w:r>
      <w:r>
        <w:rPr>
          <w:rFonts w:eastAsia="仿宋_GB2312"/>
          <w:sz w:val="32"/>
          <w:szCs w:val="32"/>
        </w:rPr>
        <w:t>S567</w:t>
      </w:r>
      <w:r>
        <w:rPr>
          <w:rFonts w:hint="eastAsia" w:eastAsia="仿宋_GB2312"/>
          <w:sz w:val="32"/>
          <w:szCs w:val="32"/>
        </w:rPr>
        <w:t>等一批国省干线项目改造建设。筑牢交通基础公路网，深化</w:t>
      </w:r>
      <w:r>
        <w:rPr>
          <w:rFonts w:eastAsia="仿宋_GB2312"/>
          <w:sz w:val="32"/>
          <w:szCs w:val="32"/>
        </w:rPr>
        <w:t>“</w:t>
      </w:r>
      <w:r>
        <w:rPr>
          <w:rFonts w:hint="eastAsia" w:eastAsia="仿宋_GB2312"/>
          <w:sz w:val="32"/>
          <w:szCs w:val="32"/>
        </w:rPr>
        <w:t>四好农村路</w:t>
      </w:r>
      <w:r>
        <w:rPr>
          <w:rFonts w:eastAsia="仿宋_GB2312"/>
          <w:sz w:val="32"/>
          <w:szCs w:val="32"/>
        </w:rPr>
        <w:t>”</w:t>
      </w:r>
      <w:r>
        <w:rPr>
          <w:rFonts w:hint="eastAsia" w:eastAsia="仿宋_GB2312"/>
          <w:sz w:val="32"/>
          <w:szCs w:val="32"/>
        </w:rPr>
        <w:t>创建，加强通组硬化路、撤并建制村联网路建设，推动农村公路改善升级，逐步完成乡镇通三级公路，实现</w:t>
      </w:r>
      <w:r>
        <w:rPr>
          <w:rFonts w:eastAsia="仿宋_GB2312"/>
          <w:sz w:val="32"/>
          <w:szCs w:val="32"/>
        </w:rPr>
        <w:t>“</w:t>
      </w:r>
      <w:r>
        <w:rPr>
          <w:rFonts w:hint="eastAsia" w:eastAsia="仿宋_GB2312"/>
          <w:sz w:val="32"/>
          <w:szCs w:val="32"/>
        </w:rPr>
        <w:t>县乡通三级、乡乡通三级、建制村通四级、规模以上自然村</w:t>
      </w:r>
      <w:r>
        <w:rPr>
          <w:rFonts w:eastAsia="仿宋_GB2312"/>
          <w:sz w:val="32"/>
          <w:szCs w:val="32"/>
        </w:rPr>
        <w:t>100%</w:t>
      </w:r>
      <w:r>
        <w:rPr>
          <w:rFonts w:hint="eastAsia" w:eastAsia="仿宋_GB2312"/>
          <w:sz w:val="32"/>
          <w:szCs w:val="32"/>
        </w:rPr>
        <w:t>通硬化路</w:t>
      </w:r>
      <w:r>
        <w:rPr>
          <w:rFonts w:eastAsia="仿宋_GB2312"/>
          <w:sz w:val="32"/>
          <w:szCs w:val="32"/>
        </w:rPr>
        <w:t>”</w:t>
      </w:r>
      <w:r>
        <w:rPr>
          <w:rFonts w:hint="eastAsia" w:eastAsia="仿宋_GB2312"/>
          <w:sz w:val="32"/>
          <w:szCs w:val="32"/>
        </w:rPr>
        <w:t>，全面建成覆盖广泛、通村畅乡、安全便捷的美丽乡村路网。</w:t>
      </w:r>
    </w:p>
    <w:p w14:paraId="26662A34">
      <w:pPr>
        <w:pStyle w:val="15"/>
        <w:numPr>
          <w:ilvl w:val="0"/>
          <w:numId w:val="10"/>
        </w:numPr>
        <w:spacing w:before="156" w:beforeLines="50" w:after="156" w:afterLines="50" w:line="580" w:lineRule="exact"/>
        <w:ind w:left="1080" w:hanging="1080" w:firstLineChars="0"/>
        <w:jc w:val="center"/>
        <w:outlineLvl w:val="2"/>
        <w:rPr>
          <w:rFonts w:eastAsia="楷体_GB2312"/>
          <w:b/>
          <w:color w:val="000000"/>
          <w:kern w:val="0"/>
          <w:sz w:val="32"/>
          <w:szCs w:val="32"/>
        </w:rPr>
      </w:pPr>
      <w:bookmarkStart w:id="293" w:name="_Toc28808"/>
      <w:r>
        <w:rPr>
          <w:rFonts w:hint="eastAsia" w:eastAsia="楷体_GB2312"/>
          <w:b/>
          <w:color w:val="000000"/>
          <w:kern w:val="0"/>
          <w:sz w:val="32"/>
          <w:szCs w:val="32"/>
        </w:rPr>
        <w:t xml:space="preserve"> </w:t>
      </w:r>
      <w:bookmarkStart w:id="294" w:name="_Toc218241073"/>
      <w:r>
        <w:rPr>
          <w:rFonts w:hint="eastAsia" w:eastAsia="楷体_GB2312"/>
          <w:b/>
          <w:color w:val="000000"/>
          <w:kern w:val="0"/>
          <w:sz w:val="32"/>
          <w:szCs w:val="32"/>
        </w:rPr>
        <w:t>提升综合交通枢纽功能</w:t>
      </w:r>
      <w:bookmarkEnd w:id="293"/>
      <w:bookmarkEnd w:id="294"/>
    </w:p>
    <w:p w14:paraId="629B60EC">
      <w:pPr>
        <w:spacing w:line="580" w:lineRule="exact"/>
        <w:ind w:firstLine="640" w:firstLineChars="200"/>
        <w:rPr>
          <w:rFonts w:eastAsia="仿宋_GB2312"/>
          <w:sz w:val="32"/>
          <w:szCs w:val="32"/>
        </w:rPr>
      </w:pPr>
      <w:r>
        <w:rPr>
          <w:rFonts w:hint="eastAsia" w:eastAsia="仿宋_GB2312"/>
          <w:sz w:val="32"/>
          <w:szCs w:val="32"/>
        </w:rPr>
        <w:t>依托川藏铁路理塘客（货）运站核心优势，</w:t>
      </w:r>
      <w:r>
        <w:rPr>
          <w:rFonts w:eastAsia="仿宋_GB2312"/>
          <w:sz w:val="32"/>
          <w:szCs w:val="32"/>
        </w:rPr>
        <w:t>整合亚丁机场航空、川藏铁路干线、</w:t>
      </w:r>
      <w:bookmarkStart w:id="295" w:name="OLE_LINK148"/>
      <w:r>
        <w:rPr>
          <w:rFonts w:eastAsia="仿宋_GB2312"/>
          <w:sz w:val="32"/>
          <w:szCs w:val="32"/>
        </w:rPr>
        <w:t>G318/G227公路网络资源</w:t>
      </w:r>
      <w:bookmarkEnd w:id="295"/>
      <w:r>
        <w:rPr>
          <w:rFonts w:hint="eastAsia" w:eastAsia="仿宋_GB2312"/>
          <w:sz w:val="32"/>
          <w:szCs w:val="32"/>
        </w:rPr>
        <w:t>等，构建</w:t>
      </w:r>
      <w:r>
        <w:rPr>
          <w:rFonts w:eastAsia="仿宋_GB2312"/>
          <w:sz w:val="32"/>
          <w:szCs w:val="32"/>
        </w:rPr>
        <w:t>“</w:t>
      </w:r>
      <w:r>
        <w:rPr>
          <w:rFonts w:hint="eastAsia" w:eastAsia="仿宋_GB2312"/>
          <w:sz w:val="32"/>
          <w:szCs w:val="32"/>
        </w:rPr>
        <w:t>一核多联</w:t>
      </w:r>
      <w:r>
        <w:rPr>
          <w:rFonts w:eastAsia="仿宋_GB2312"/>
          <w:sz w:val="32"/>
          <w:szCs w:val="32"/>
        </w:rPr>
        <w:t>”</w:t>
      </w:r>
      <w:r>
        <w:rPr>
          <w:rFonts w:hint="eastAsia" w:eastAsia="仿宋_GB2312"/>
          <w:sz w:val="32"/>
          <w:szCs w:val="32"/>
        </w:rPr>
        <w:t>布局，打造甘孜州康南综合交通枢纽中心，强化对周边巴塘、稻城、乡城等县的辐射带动。推动与其他交通方式高效衔接，推动开通亚丁机场与理塘火车站间联运巴士，加强</w:t>
      </w:r>
      <w:r>
        <w:rPr>
          <w:rFonts w:eastAsia="仿宋_GB2312"/>
          <w:sz w:val="32"/>
          <w:szCs w:val="32"/>
        </w:rPr>
        <w:t>公交、客运与铁路班次</w:t>
      </w:r>
      <w:r>
        <w:rPr>
          <w:rFonts w:hint="eastAsia" w:eastAsia="仿宋_GB2312"/>
          <w:sz w:val="32"/>
          <w:szCs w:val="32"/>
        </w:rPr>
        <w:t>的接驳调度</w:t>
      </w:r>
      <w:r>
        <w:rPr>
          <w:rFonts w:eastAsia="仿宋_GB2312"/>
          <w:sz w:val="32"/>
          <w:szCs w:val="32"/>
        </w:rPr>
        <w:t>，完善货运物流集散中心配套，实现旅客运输“零距离换乘”、货物运输“无缝衔接”。提升枢纽服务能力</w:t>
      </w:r>
      <w:r>
        <w:rPr>
          <w:rFonts w:hint="eastAsia" w:eastAsia="仿宋_GB2312"/>
          <w:sz w:val="32"/>
          <w:szCs w:val="32"/>
        </w:rPr>
        <w:t>，建设集票务服务、旅游咨询、物流信息、应急保障于一体的综合服务中心，提升旅客换乘效率与货运周转效能。</w:t>
      </w:r>
    </w:p>
    <w:p w14:paraId="7B83D4E7">
      <w:pPr>
        <w:pStyle w:val="15"/>
        <w:numPr>
          <w:ilvl w:val="0"/>
          <w:numId w:val="10"/>
        </w:numPr>
        <w:spacing w:before="156" w:beforeLines="50" w:after="156" w:afterLines="50" w:line="580" w:lineRule="exact"/>
        <w:ind w:left="1080" w:hanging="1080" w:firstLineChars="0"/>
        <w:jc w:val="center"/>
        <w:outlineLvl w:val="2"/>
        <w:rPr>
          <w:rFonts w:eastAsia="楷体_GB2312"/>
          <w:b/>
          <w:color w:val="000000"/>
          <w:kern w:val="0"/>
          <w:sz w:val="32"/>
          <w:szCs w:val="32"/>
        </w:rPr>
      </w:pPr>
      <w:bookmarkStart w:id="296" w:name="_Toc28344"/>
      <w:r>
        <w:rPr>
          <w:rFonts w:hint="eastAsia" w:eastAsia="楷体_GB2312"/>
          <w:b/>
          <w:color w:val="000000"/>
          <w:kern w:val="0"/>
          <w:sz w:val="32"/>
          <w:szCs w:val="32"/>
        </w:rPr>
        <w:t xml:space="preserve"> </w:t>
      </w:r>
      <w:bookmarkStart w:id="297" w:name="_Toc218241074"/>
      <w:r>
        <w:rPr>
          <w:rFonts w:hint="eastAsia" w:eastAsia="楷体_GB2312"/>
          <w:b/>
          <w:color w:val="000000"/>
          <w:kern w:val="0"/>
          <w:sz w:val="32"/>
          <w:szCs w:val="32"/>
        </w:rPr>
        <w:t>增强交通安全应急保障能力</w:t>
      </w:r>
      <w:bookmarkEnd w:id="296"/>
      <w:bookmarkEnd w:id="297"/>
    </w:p>
    <w:p w14:paraId="6D9B964B">
      <w:pPr>
        <w:spacing w:line="580" w:lineRule="exact"/>
        <w:ind w:firstLine="640" w:firstLineChars="200"/>
        <w:jc w:val="left"/>
        <w:rPr>
          <w:rFonts w:eastAsia="仿宋_GB2312"/>
          <w:sz w:val="32"/>
          <w:szCs w:val="32"/>
        </w:rPr>
      </w:pPr>
      <w:r>
        <w:rPr>
          <w:rFonts w:hint="eastAsia" w:eastAsia="仿宋_GB2312"/>
          <w:sz w:val="32"/>
          <w:szCs w:val="32"/>
        </w:rPr>
        <w:t>持续开展道路安全隐患排查治理，对全县重点路段、桥梁、隧道进行全面排查，加强道路日常养护和修补。推进应急交通能力强化工程，升级改造县域应急通道，配备应急救援设备储备点。完善应急处理机制，针对汛期雪情等分类提前做好应急预案，建设高水平抢险队伍，提升快速处置道路险情能力，确保道路畅通。</w:t>
      </w:r>
    </w:p>
    <w:p w14:paraId="2FC0136B">
      <w:pPr>
        <w:pStyle w:val="15"/>
        <w:numPr>
          <w:ilvl w:val="0"/>
          <w:numId w:val="10"/>
        </w:numPr>
        <w:spacing w:before="156" w:beforeLines="50" w:after="156" w:afterLines="50" w:line="580" w:lineRule="exact"/>
        <w:ind w:left="1080" w:hanging="1080" w:firstLineChars="0"/>
        <w:jc w:val="center"/>
        <w:outlineLvl w:val="2"/>
        <w:rPr>
          <w:rFonts w:eastAsia="楷体_GB2312"/>
          <w:b/>
          <w:color w:val="000000"/>
          <w:kern w:val="0"/>
          <w:sz w:val="32"/>
          <w:szCs w:val="32"/>
        </w:rPr>
      </w:pPr>
      <w:bookmarkStart w:id="298" w:name="_Toc14875"/>
      <w:r>
        <w:rPr>
          <w:rFonts w:hint="eastAsia" w:eastAsia="楷体_GB2312"/>
          <w:b/>
          <w:color w:val="000000"/>
          <w:kern w:val="0"/>
          <w:sz w:val="32"/>
          <w:szCs w:val="32"/>
        </w:rPr>
        <w:t xml:space="preserve"> </w:t>
      </w:r>
      <w:bookmarkStart w:id="299" w:name="_Toc218241075"/>
      <w:r>
        <w:rPr>
          <w:rFonts w:hint="eastAsia" w:eastAsia="楷体_GB2312"/>
          <w:b/>
          <w:color w:val="000000"/>
          <w:kern w:val="0"/>
          <w:sz w:val="32"/>
          <w:szCs w:val="32"/>
        </w:rPr>
        <w:t>推动“交通</w:t>
      </w:r>
      <w:r>
        <w:rPr>
          <w:rFonts w:eastAsia="楷体_GB2312"/>
          <w:b/>
          <w:color w:val="000000"/>
          <w:kern w:val="0"/>
          <w:sz w:val="32"/>
          <w:szCs w:val="32"/>
        </w:rPr>
        <w:t>+</w:t>
      </w:r>
      <w:r>
        <w:rPr>
          <w:rFonts w:hint="eastAsia" w:eastAsia="楷体_GB2312"/>
          <w:b/>
          <w:color w:val="000000"/>
          <w:kern w:val="0"/>
          <w:sz w:val="32"/>
          <w:szCs w:val="32"/>
        </w:rPr>
        <w:t>”融合发展</w:t>
      </w:r>
      <w:bookmarkEnd w:id="298"/>
      <w:bookmarkEnd w:id="299"/>
    </w:p>
    <w:p w14:paraId="315A59BA">
      <w:pPr>
        <w:spacing w:line="580" w:lineRule="exact"/>
        <w:ind w:firstLine="640" w:firstLineChars="200"/>
        <w:rPr>
          <w:rFonts w:eastAsia="仿宋_GB2312"/>
          <w:sz w:val="32"/>
          <w:szCs w:val="32"/>
        </w:rPr>
      </w:pPr>
      <w:r>
        <w:rPr>
          <w:rFonts w:hint="eastAsia" w:eastAsia="仿宋_GB2312"/>
          <w:sz w:val="32"/>
          <w:szCs w:val="32"/>
        </w:rPr>
        <w:t>推动交通与特色产业联动，建设高原特色产业路，串联农牧业养殖基地、种植区，配套建设农产品临时集散点，解决农牧产品运输“最后一公里”问题。推动交通与文旅产业融合，打造</w:t>
      </w:r>
      <w:r>
        <w:rPr>
          <w:rFonts w:eastAsia="仿宋_GB2312"/>
          <w:sz w:val="32"/>
          <w:szCs w:val="32"/>
        </w:rPr>
        <w:t>G318</w:t>
      </w:r>
      <w:r>
        <w:rPr>
          <w:rFonts w:hint="eastAsia" w:eastAsia="仿宋_GB2312"/>
          <w:sz w:val="32"/>
          <w:szCs w:val="32"/>
        </w:rPr>
        <w:t>、G227理塘段“网红打卡交通线”，升级改造沿线公路服务区，开通县城至热门景区旅游专线，配套建设旅游集散点。优化农村客运线路，开通“镇村通”公交，解决偏远村落群众出行难题，同步在客运站点增设快递收发点，实现“交通</w:t>
      </w:r>
      <w:r>
        <w:rPr>
          <w:rFonts w:eastAsia="仿宋_GB2312"/>
          <w:sz w:val="32"/>
          <w:szCs w:val="32"/>
        </w:rPr>
        <w:t>+</w:t>
      </w:r>
      <w:r>
        <w:rPr>
          <w:rFonts w:hint="eastAsia" w:eastAsia="仿宋_GB2312"/>
          <w:sz w:val="32"/>
          <w:szCs w:val="32"/>
        </w:rPr>
        <w:t>物流</w:t>
      </w:r>
      <w:r>
        <w:rPr>
          <w:rFonts w:eastAsia="仿宋_GB2312"/>
          <w:sz w:val="32"/>
          <w:szCs w:val="32"/>
        </w:rPr>
        <w:t>+</w:t>
      </w:r>
      <w:r>
        <w:rPr>
          <w:rFonts w:hint="eastAsia" w:eastAsia="仿宋_GB2312"/>
          <w:sz w:val="32"/>
          <w:szCs w:val="32"/>
        </w:rPr>
        <w:t>民生”服务叠加。</w:t>
      </w:r>
    </w:p>
    <w:tbl>
      <w:tblPr>
        <w:tblStyle w:val="11"/>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51E3E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tcBorders>
              <w:top w:val="single" w:color="auto" w:sz="4" w:space="0"/>
              <w:left w:val="single" w:color="auto" w:sz="4" w:space="0"/>
              <w:bottom w:val="single" w:color="auto" w:sz="4" w:space="0"/>
              <w:right w:val="single" w:color="auto" w:sz="4" w:space="0"/>
            </w:tcBorders>
            <w:shd w:val="clear" w:color="auto" w:fill="auto"/>
          </w:tcPr>
          <w:p w14:paraId="09543527">
            <w:pPr>
              <w:pStyle w:val="10"/>
              <w:snapToGrid w:val="0"/>
              <w:spacing w:before="156" w:beforeLines="50" w:after="156" w:afterLines="50" w:line="440" w:lineRule="exact"/>
              <w:ind w:left="0" w:leftChars="0" w:firstLine="562" w:firstLineChars="0"/>
              <w:jc w:val="center"/>
              <w:rPr>
                <w:rFonts w:eastAsia="楷体_GB2312"/>
                <w:b/>
                <w:sz w:val="32"/>
                <w:szCs w:val="32"/>
              </w:rPr>
            </w:pPr>
            <w:r>
              <w:rPr>
                <w:rFonts w:hint="eastAsia" w:ascii="Times New Roman" w:hAnsi="Times New Roman" w:eastAsia="楷体_GB2312" w:cs="Times New Roman"/>
                <w:b/>
                <w:sz w:val="28"/>
                <w:szCs w:val="28"/>
              </w:rPr>
              <w:t>专栏17  “十五五”时期交通建设重点</w:t>
            </w:r>
          </w:p>
        </w:tc>
      </w:tr>
      <w:tr w14:paraId="799F4F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tcBorders>
              <w:top w:val="single" w:color="auto" w:sz="4" w:space="0"/>
              <w:left w:val="single" w:color="auto" w:sz="4" w:space="0"/>
              <w:bottom w:val="single" w:color="auto" w:sz="4" w:space="0"/>
              <w:right w:val="single" w:color="auto" w:sz="4" w:space="0"/>
            </w:tcBorders>
            <w:shd w:val="clear" w:color="auto" w:fill="auto"/>
          </w:tcPr>
          <w:p w14:paraId="2924FCA5">
            <w:pPr>
              <w:snapToGrid w:val="0"/>
              <w:spacing w:line="440" w:lineRule="exact"/>
              <w:ind w:firstLine="480"/>
              <w:jc w:val="left"/>
              <w:rPr>
                <w:rFonts w:eastAsia="楷体_GB2312"/>
                <w:sz w:val="28"/>
                <w:szCs w:val="28"/>
              </w:rPr>
            </w:pPr>
            <w:r>
              <w:rPr>
                <w:rFonts w:eastAsia="楷体_GB2312"/>
                <w:b/>
                <w:sz w:val="28"/>
                <w:szCs w:val="28"/>
              </w:rPr>
              <w:t>1.</w:t>
            </w:r>
            <w:r>
              <w:rPr>
                <w:rFonts w:hint="eastAsia" w:eastAsia="楷体_GB2312"/>
                <w:b/>
                <w:sz w:val="28"/>
                <w:szCs w:val="28"/>
              </w:rPr>
              <w:t>铁路</w:t>
            </w:r>
            <w:r>
              <w:rPr>
                <w:rFonts w:hint="eastAsia" w:eastAsia="楷体_GB2312"/>
                <w:sz w:val="28"/>
                <w:szCs w:val="28"/>
              </w:rPr>
              <w:t>。续建川藏铁路雅安至林芝段(理塘段)，规划研究合作经马尔康至理塘至香格里拉铁路，加快站前广场等项目建设。</w:t>
            </w:r>
          </w:p>
          <w:p w14:paraId="03182D5C">
            <w:pPr>
              <w:snapToGrid w:val="0"/>
              <w:spacing w:line="440" w:lineRule="exact"/>
              <w:ind w:firstLine="480"/>
              <w:jc w:val="left"/>
              <w:rPr>
                <w:rFonts w:eastAsia="楷体_GB2312"/>
                <w:sz w:val="28"/>
                <w:szCs w:val="28"/>
              </w:rPr>
            </w:pPr>
            <w:r>
              <w:rPr>
                <w:rFonts w:hint="eastAsia" w:eastAsia="楷体_GB2312"/>
                <w:b/>
                <w:sz w:val="28"/>
                <w:szCs w:val="28"/>
              </w:rPr>
              <w:t>2.机场</w:t>
            </w:r>
            <w:r>
              <w:rPr>
                <w:rFonts w:hint="eastAsia" w:eastAsia="楷体_GB2312"/>
                <w:sz w:val="28"/>
                <w:szCs w:val="28"/>
              </w:rPr>
              <w:t>。推进理塘通用机场建设项目。</w:t>
            </w:r>
          </w:p>
          <w:p w14:paraId="37D35FB0">
            <w:pPr>
              <w:snapToGrid w:val="0"/>
              <w:spacing w:line="440" w:lineRule="exact"/>
              <w:ind w:firstLine="480"/>
              <w:jc w:val="left"/>
              <w:rPr>
                <w:rFonts w:eastAsia="楷体_GB2312"/>
                <w:sz w:val="28"/>
                <w:szCs w:val="28"/>
              </w:rPr>
            </w:pPr>
            <w:r>
              <w:rPr>
                <w:rFonts w:hint="eastAsia" w:eastAsia="楷体_GB2312"/>
                <w:b/>
                <w:sz w:val="28"/>
                <w:szCs w:val="28"/>
              </w:rPr>
              <w:t>3.高速公路</w:t>
            </w:r>
            <w:r>
              <w:rPr>
                <w:rFonts w:hint="eastAsia" w:eastAsia="楷体_GB2312"/>
                <w:sz w:val="28"/>
                <w:szCs w:val="28"/>
              </w:rPr>
              <w:t>。加快G4218雅叶高速康定新都桥至巴塘段前期工作，规划研究S95色稻高速公路。</w:t>
            </w:r>
          </w:p>
          <w:p w14:paraId="3F1C22A3">
            <w:pPr>
              <w:snapToGrid w:val="0"/>
              <w:spacing w:line="440" w:lineRule="exact"/>
              <w:ind w:firstLine="480"/>
              <w:jc w:val="left"/>
              <w:rPr>
                <w:rFonts w:eastAsia="楷体_GB2312"/>
                <w:sz w:val="28"/>
                <w:szCs w:val="28"/>
              </w:rPr>
            </w:pPr>
            <w:r>
              <w:rPr>
                <w:rFonts w:hint="eastAsia" w:eastAsia="楷体_GB2312"/>
                <w:b/>
                <w:sz w:val="28"/>
                <w:szCs w:val="28"/>
              </w:rPr>
              <w:t>4.国省干线</w:t>
            </w:r>
            <w:r>
              <w:rPr>
                <w:rFonts w:hint="eastAsia" w:eastAsia="楷体_GB2312"/>
                <w:sz w:val="28"/>
                <w:szCs w:val="28"/>
              </w:rPr>
              <w:t>。续建G318线提质改造工程辅助通道普巴绒至所底村段、S460理塘县城至章纳乡（巴塘界）段，开工建设G549线九龙县呷尔镇至理塘县木拉镇段新改建工程、S459理塘县章纳乡至稻城亚丁机场段改建工程、S567濯桑（理塘）-唐央（木里）段、理塘县城至曲登乡（白玉界）段。</w:t>
            </w:r>
          </w:p>
          <w:p w14:paraId="5B1BA657">
            <w:pPr>
              <w:snapToGrid w:val="0"/>
              <w:spacing w:line="440" w:lineRule="exact"/>
              <w:ind w:firstLine="480"/>
              <w:jc w:val="left"/>
              <w:rPr>
                <w:rFonts w:eastAsia="楷体_GB2312"/>
                <w:sz w:val="28"/>
                <w:szCs w:val="28"/>
              </w:rPr>
            </w:pPr>
            <w:r>
              <w:rPr>
                <w:rFonts w:hint="eastAsia" w:eastAsia="楷体_GB2312"/>
                <w:b/>
                <w:sz w:val="28"/>
                <w:szCs w:val="28"/>
              </w:rPr>
              <w:t>5.县乡道</w:t>
            </w:r>
            <w:r>
              <w:rPr>
                <w:rFonts w:hint="eastAsia" w:eastAsia="楷体_GB2312"/>
                <w:sz w:val="28"/>
                <w:szCs w:val="28"/>
              </w:rPr>
              <w:t>。</w:t>
            </w:r>
            <w:r>
              <w:rPr>
                <w:rFonts w:hint="eastAsia" w:eastAsia="楷体_GB2312"/>
                <w:spacing w:val="-6"/>
                <w:sz w:val="28"/>
                <w:szCs w:val="28"/>
              </w:rPr>
              <w:t>推进</w:t>
            </w:r>
            <w:r>
              <w:rPr>
                <w:rFonts w:eastAsia="楷体_GB2312"/>
                <w:spacing w:val="-6"/>
                <w:sz w:val="28"/>
                <w:szCs w:val="28"/>
              </w:rPr>
              <w:t>X123</w:t>
            </w:r>
            <w:r>
              <w:rPr>
                <w:rFonts w:hint="eastAsia" w:eastAsia="楷体_GB2312"/>
                <w:spacing w:val="-6"/>
                <w:sz w:val="28"/>
                <w:szCs w:val="28"/>
              </w:rPr>
              <w:t>呷洼路（国道</w:t>
            </w:r>
            <w:r>
              <w:rPr>
                <w:rFonts w:eastAsia="楷体_GB2312"/>
                <w:spacing w:val="-6"/>
                <w:sz w:val="28"/>
                <w:szCs w:val="28"/>
              </w:rPr>
              <w:t>318</w:t>
            </w:r>
            <w:r>
              <w:rPr>
                <w:rFonts w:hint="eastAsia" w:eastAsia="楷体_GB2312"/>
                <w:spacing w:val="-6"/>
                <w:sz w:val="28"/>
                <w:szCs w:val="28"/>
              </w:rPr>
              <w:t>至呷洼乡）改建工程、X125觉吾路（城西河路北二段至觉吾）美丽乡村路、</w:t>
            </w:r>
            <w:r>
              <w:rPr>
                <w:rFonts w:eastAsia="楷体_GB2312"/>
                <w:spacing w:val="-6"/>
                <w:sz w:val="28"/>
                <w:szCs w:val="28"/>
              </w:rPr>
              <w:t>X12</w:t>
            </w:r>
            <w:r>
              <w:rPr>
                <w:rFonts w:hint="eastAsia" w:eastAsia="楷体_GB2312"/>
                <w:spacing w:val="-6"/>
                <w:sz w:val="28"/>
                <w:szCs w:val="28"/>
              </w:rPr>
              <w:t>哈依乡（绒坝路至哈依乡段）美丽乡村路等11个县乡道四改三，推动乡道建设为幸福美丽乡村路30.443公里，乡道大中修462.397公里。推进危桥改造工程60米、安全生命防护工程新改建154km、普通国省道大中修/路面改造200km、农村公路养护工程大中修/路面改造300km、农村公路边坡整治工程等农村公路养护建设项目、318线到曲登乡的乡道的拓宽。</w:t>
            </w:r>
          </w:p>
          <w:p w14:paraId="335C4276">
            <w:pPr>
              <w:snapToGrid w:val="0"/>
              <w:spacing w:line="440" w:lineRule="exact"/>
              <w:ind w:firstLine="480"/>
              <w:jc w:val="left"/>
              <w:rPr>
                <w:rFonts w:eastAsia="楷体_GB2312"/>
                <w:sz w:val="28"/>
                <w:szCs w:val="28"/>
              </w:rPr>
            </w:pPr>
            <w:r>
              <w:rPr>
                <w:rFonts w:hint="eastAsia" w:eastAsia="楷体_GB2312"/>
                <w:b/>
                <w:sz w:val="28"/>
                <w:szCs w:val="28"/>
              </w:rPr>
              <w:t>6.客运物流</w:t>
            </w:r>
            <w:r>
              <w:rPr>
                <w:rFonts w:hint="eastAsia" w:eastAsia="楷体_GB2312"/>
                <w:sz w:val="28"/>
                <w:szCs w:val="28"/>
              </w:rPr>
              <w:t>。建设理塘县综合交通枢纽中心、农村公交综合运输服务站，维修新建30个公交港湾站，促进公交城乡一体化发展，维修新建村级招呼站80个，与上级枢纽形成层次分明、功能完善的公路客货运输枢纽体系，拓展提升格聂等3个乡镇站点，提升乡镇综合运输服务能力。</w:t>
            </w:r>
          </w:p>
          <w:p w14:paraId="0AA50EB5">
            <w:pPr>
              <w:snapToGrid w:val="0"/>
              <w:spacing w:line="440" w:lineRule="exact"/>
              <w:ind w:firstLine="480"/>
              <w:jc w:val="left"/>
              <w:rPr>
                <w:rFonts w:eastAsia="楷体_GB2312"/>
                <w:sz w:val="28"/>
                <w:szCs w:val="28"/>
              </w:rPr>
            </w:pPr>
            <w:r>
              <w:rPr>
                <w:rFonts w:hint="eastAsia" w:eastAsia="楷体_GB2312"/>
                <w:b/>
                <w:sz w:val="28"/>
                <w:szCs w:val="28"/>
              </w:rPr>
              <w:t>7.交通安全管理</w:t>
            </w:r>
            <w:r>
              <w:rPr>
                <w:rFonts w:hint="eastAsia" w:eastAsia="楷体_GB2312"/>
                <w:sz w:val="28"/>
                <w:szCs w:val="28"/>
              </w:rPr>
              <w:t>。升级数字交通管理平台，实施数字交通信号控制系统建设项目，配置低空监管无人航空器2架、冰雪极端天气除雪设备各3组、规划升级改造县域内旅游景观服务区14处，保障公路安全服务水平。</w:t>
            </w:r>
          </w:p>
          <w:p w14:paraId="36D67FFB">
            <w:pPr>
              <w:snapToGrid w:val="0"/>
              <w:spacing w:line="440" w:lineRule="exact"/>
              <w:ind w:firstLine="480"/>
              <w:jc w:val="left"/>
              <w:rPr>
                <w:rFonts w:eastAsia="楷体_GB2312"/>
                <w:b/>
                <w:bCs/>
                <w:sz w:val="28"/>
                <w:szCs w:val="28"/>
              </w:rPr>
            </w:pPr>
            <w:r>
              <w:rPr>
                <w:rFonts w:hint="eastAsia" w:eastAsia="楷体_GB2312"/>
                <w:b/>
                <w:sz w:val="28"/>
                <w:szCs w:val="28"/>
              </w:rPr>
              <w:t>8.交通+融合</w:t>
            </w:r>
            <w:r>
              <w:rPr>
                <w:rFonts w:hint="eastAsia" w:eastAsia="楷体_GB2312"/>
                <w:sz w:val="28"/>
                <w:szCs w:val="28"/>
              </w:rPr>
              <w:t>。实施G318线、G227线公路综合体服务区改造提升项目。</w:t>
            </w:r>
          </w:p>
        </w:tc>
      </w:tr>
    </w:tbl>
    <w:p w14:paraId="25946526">
      <w:pPr>
        <w:widowControl/>
        <w:spacing w:before="156" w:beforeLines="50" w:after="156" w:afterLines="50" w:line="580" w:lineRule="exact"/>
        <w:jc w:val="center"/>
        <w:outlineLvl w:val="1"/>
        <w:rPr>
          <w:rFonts w:eastAsia="黑体"/>
          <w:bCs/>
          <w:color w:val="000000"/>
          <w:kern w:val="0"/>
          <w:sz w:val="32"/>
          <w:szCs w:val="32"/>
        </w:rPr>
      </w:pPr>
      <w:bookmarkStart w:id="300" w:name="_Toc7158"/>
      <w:bookmarkStart w:id="301" w:name="_Toc3976"/>
      <w:bookmarkStart w:id="302" w:name="_Toc212814829"/>
      <w:bookmarkStart w:id="303" w:name="_Toc214372633"/>
      <w:bookmarkStart w:id="304" w:name="_Toc218241076"/>
      <w:r>
        <w:rPr>
          <w:rFonts w:hint="eastAsia" w:eastAsia="黑体"/>
          <w:bCs/>
          <w:color w:val="000000"/>
          <w:kern w:val="0"/>
          <w:sz w:val="32"/>
          <w:szCs w:val="32"/>
        </w:rPr>
        <w:t>第十二章  强化能源基础设施建设</w:t>
      </w:r>
      <w:bookmarkEnd w:id="300"/>
      <w:bookmarkEnd w:id="301"/>
      <w:bookmarkEnd w:id="302"/>
      <w:bookmarkEnd w:id="303"/>
      <w:bookmarkEnd w:id="304"/>
    </w:p>
    <w:p w14:paraId="4FEE9D0A">
      <w:pPr>
        <w:pStyle w:val="15"/>
        <w:numPr>
          <w:ilvl w:val="0"/>
          <w:numId w:val="11"/>
        </w:numPr>
        <w:spacing w:before="156" w:beforeLines="50" w:after="156" w:afterLines="50" w:line="580" w:lineRule="exact"/>
        <w:ind w:left="1080" w:hanging="1080" w:firstLineChars="0"/>
        <w:jc w:val="center"/>
        <w:outlineLvl w:val="2"/>
        <w:rPr>
          <w:rFonts w:eastAsia="楷体_GB2312"/>
          <w:b/>
          <w:color w:val="000000"/>
          <w:kern w:val="0"/>
          <w:sz w:val="32"/>
          <w:szCs w:val="32"/>
        </w:rPr>
      </w:pPr>
      <w:bookmarkStart w:id="305" w:name="_Toc3121"/>
      <w:r>
        <w:rPr>
          <w:rFonts w:hint="eastAsia" w:eastAsia="楷体_GB2312"/>
          <w:b/>
          <w:color w:val="000000"/>
          <w:kern w:val="0"/>
          <w:sz w:val="32"/>
          <w:szCs w:val="32"/>
        </w:rPr>
        <w:t xml:space="preserve"> </w:t>
      </w:r>
      <w:bookmarkStart w:id="306" w:name="_Toc218241077"/>
      <w:r>
        <w:rPr>
          <w:rFonts w:hint="eastAsia" w:eastAsia="楷体_GB2312"/>
          <w:b/>
          <w:color w:val="000000"/>
          <w:kern w:val="0"/>
          <w:sz w:val="32"/>
          <w:szCs w:val="32"/>
        </w:rPr>
        <w:t>畅通电力输送通道</w:t>
      </w:r>
      <w:bookmarkEnd w:id="305"/>
      <w:bookmarkEnd w:id="306"/>
    </w:p>
    <w:p w14:paraId="52CFAE36">
      <w:pPr>
        <w:spacing w:line="580" w:lineRule="exact"/>
        <w:ind w:firstLine="640" w:firstLineChars="200"/>
        <w:rPr>
          <w:rFonts w:eastAsia="仿宋_GB2312"/>
          <w:sz w:val="32"/>
          <w:szCs w:val="32"/>
        </w:rPr>
      </w:pPr>
      <w:r>
        <w:rPr>
          <w:rFonts w:hint="eastAsia" w:eastAsia="仿宋_GB2312"/>
          <w:sz w:val="32"/>
          <w:szCs w:val="32"/>
        </w:rPr>
        <w:t>坚持电源与电网协同发展，逐步构建“</w:t>
      </w:r>
      <w:r>
        <w:rPr>
          <w:rFonts w:eastAsia="仿宋_GB2312"/>
          <w:sz w:val="32"/>
          <w:szCs w:val="32"/>
        </w:rPr>
        <w:t>500kV-100kV-35kV-10kV</w:t>
      </w:r>
      <w:r>
        <w:rPr>
          <w:rFonts w:hint="eastAsia" w:eastAsia="仿宋_GB2312"/>
          <w:sz w:val="32"/>
          <w:szCs w:val="32"/>
        </w:rPr>
        <w:t>”内用外输的各级电网协调发展的输配供电网络体系，满足能源开发利用需要。强化骨干通道建设，开工建设理塘</w:t>
      </w:r>
      <w:r>
        <w:rPr>
          <w:rFonts w:eastAsia="仿宋_GB2312"/>
          <w:sz w:val="32"/>
          <w:szCs w:val="32"/>
        </w:rPr>
        <w:t>500</w:t>
      </w:r>
      <w:r>
        <w:rPr>
          <w:rFonts w:hint="eastAsia" w:eastAsia="仿宋_GB2312"/>
          <w:sz w:val="32"/>
          <w:szCs w:val="32"/>
        </w:rPr>
        <w:t>千伏输变电线路，规划布局甘孜理塘</w:t>
      </w:r>
      <w:r>
        <w:rPr>
          <w:rFonts w:eastAsia="仿宋_GB2312"/>
          <w:sz w:val="32"/>
          <w:szCs w:val="32"/>
        </w:rPr>
        <w:t>220</w:t>
      </w:r>
      <w:r>
        <w:rPr>
          <w:rFonts w:hint="eastAsia" w:eastAsia="仿宋_GB2312"/>
          <w:sz w:val="32"/>
          <w:szCs w:val="32"/>
        </w:rPr>
        <w:t>千伏输变电工程。合理规划新建县域内</w:t>
      </w:r>
      <w:r>
        <w:rPr>
          <w:rFonts w:eastAsia="仿宋_GB2312"/>
          <w:sz w:val="32"/>
          <w:szCs w:val="32"/>
        </w:rPr>
        <w:t>35-110kV</w:t>
      </w:r>
      <w:r>
        <w:rPr>
          <w:rFonts w:hint="eastAsia" w:eastAsia="仿宋_GB2312"/>
          <w:sz w:val="32"/>
          <w:szCs w:val="32"/>
        </w:rPr>
        <w:t>输变电站、送出线路等，线路走向兼顾生态保护、风景名胜、城市风貌和公共安全等需要。</w:t>
      </w:r>
    </w:p>
    <w:p w14:paraId="136A9649">
      <w:pPr>
        <w:pStyle w:val="15"/>
        <w:numPr>
          <w:ilvl w:val="0"/>
          <w:numId w:val="11"/>
        </w:numPr>
        <w:spacing w:before="156" w:beforeLines="50" w:after="156" w:afterLines="50" w:line="580" w:lineRule="exact"/>
        <w:ind w:left="1080" w:hanging="1080" w:firstLineChars="0"/>
        <w:jc w:val="center"/>
        <w:outlineLvl w:val="2"/>
        <w:rPr>
          <w:rFonts w:eastAsia="楷体_GB2312"/>
          <w:b/>
          <w:color w:val="000000"/>
          <w:kern w:val="0"/>
          <w:sz w:val="32"/>
          <w:szCs w:val="32"/>
        </w:rPr>
      </w:pPr>
      <w:bookmarkStart w:id="307" w:name="_Toc29781"/>
      <w:r>
        <w:rPr>
          <w:rFonts w:hint="eastAsia" w:eastAsia="楷体_GB2312"/>
          <w:b/>
          <w:color w:val="000000"/>
          <w:kern w:val="0"/>
          <w:sz w:val="32"/>
          <w:szCs w:val="32"/>
        </w:rPr>
        <w:t xml:space="preserve"> </w:t>
      </w:r>
      <w:bookmarkStart w:id="308" w:name="_Toc218241078"/>
      <w:r>
        <w:rPr>
          <w:rFonts w:hint="eastAsia" w:eastAsia="楷体_GB2312"/>
          <w:b/>
          <w:color w:val="000000"/>
          <w:kern w:val="0"/>
          <w:sz w:val="32"/>
          <w:szCs w:val="32"/>
        </w:rPr>
        <w:t>巩固提升城乡配送电网</w:t>
      </w:r>
      <w:bookmarkEnd w:id="307"/>
      <w:bookmarkEnd w:id="308"/>
    </w:p>
    <w:p w14:paraId="3E7414E0">
      <w:pPr>
        <w:spacing w:line="580" w:lineRule="exact"/>
        <w:ind w:firstLine="640" w:firstLineChars="200"/>
        <w:rPr>
          <w:rFonts w:eastAsia="仿宋_GB2312"/>
          <w:sz w:val="32"/>
          <w:szCs w:val="32"/>
        </w:rPr>
      </w:pPr>
      <w:r>
        <w:rPr>
          <w:rFonts w:hint="eastAsia" w:eastAsia="仿宋_GB2312"/>
          <w:sz w:val="32"/>
          <w:szCs w:val="32"/>
        </w:rPr>
        <w:t>结合交通发展、城市建设、产业布局和生产生活需求，强化配电网络优化和改造，确保用电质量和安全。着力补齐农村电网发展短板，逐步解决边远地区农村电网与主网联系薄弱问题。推动农村电网升级改造，统筹高压电网延伸覆盖和中低压电网更新改造，增加变电站和配变台区布点，因地制宜强化网架结构，提升输配能力。加强供电可靠性和电能质量管理，健全故障快速抢修复电机制，提升农牧区电网供电保障能力和服务能力。</w:t>
      </w:r>
    </w:p>
    <w:p w14:paraId="49A8A5DD">
      <w:pPr>
        <w:pStyle w:val="15"/>
        <w:numPr>
          <w:ilvl w:val="0"/>
          <w:numId w:val="11"/>
        </w:numPr>
        <w:spacing w:before="156" w:beforeLines="50" w:after="156" w:afterLines="50" w:line="580" w:lineRule="exact"/>
        <w:ind w:left="1080" w:hanging="1080" w:firstLineChars="0"/>
        <w:jc w:val="center"/>
        <w:outlineLvl w:val="2"/>
        <w:rPr>
          <w:rFonts w:eastAsia="楷体_GB2312"/>
          <w:b/>
          <w:color w:val="000000"/>
          <w:kern w:val="0"/>
          <w:sz w:val="32"/>
          <w:szCs w:val="32"/>
        </w:rPr>
      </w:pPr>
      <w:bookmarkStart w:id="309" w:name="_Toc25279"/>
      <w:r>
        <w:rPr>
          <w:rFonts w:hint="eastAsia" w:eastAsia="楷体_GB2312"/>
          <w:b/>
          <w:color w:val="000000"/>
          <w:kern w:val="0"/>
          <w:sz w:val="32"/>
          <w:szCs w:val="32"/>
        </w:rPr>
        <w:t xml:space="preserve"> </w:t>
      </w:r>
      <w:bookmarkStart w:id="310" w:name="_Toc218241079"/>
      <w:r>
        <w:rPr>
          <w:rFonts w:hint="eastAsia" w:eastAsia="楷体_GB2312"/>
          <w:b/>
          <w:color w:val="000000"/>
          <w:kern w:val="0"/>
          <w:sz w:val="32"/>
          <w:szCs w:val="32"/>
        </w:rPr>
        <w:t>优化油气和新能源设施布局</w:t>
      </w:r>
      <w:bookmarkEnd w:id="309"/>
      <w:bookmarkEnd w:id="310"/>
    </w:p>
    <w:p w14:paraId="18F2924D">
      <w:pPr>
        <w:spacing w:line="580" w:lineRule="exact"/>
        <w:ind w:firstLine="640" w:firstLineChars="200"/>
        <w:rPr>
          <w:rFonts w:eastAsia="仿宋_GB2312"/>
          <w:sz w:val="32"/>
          <w:szCs w:val="32"/>
        </w:rPr>
      </w:pPr>
      <w:r>
        <w:rPr>
          <w:rFonts w:hint="eastAsia" w:eastAsia="仿宋_GB2312"/>
          <w:sz w:val="32"/>
          <w:szCs w:val="32"/>
        </w:rPr>
        <w:t>完善多源多向、灵活调度的油气输配系统，优化成品油站点布局，合理规划建设燃气储配站，推进天然气管道、</w:t>
      </w:r>
      <w:r>
        <w:rPr>
          <w:rFonts w:eastAsia="仿宋_GB2312"/>
          <w:sz w:val="32"/>
          <w:szCs w:val="32"/>
        </w:rPr>
        <w:t>CNG</w:t>
      </w:r>
      <w:r>
        <w:rPr>
          <w:rFonts w:hint="eastAsia" w:eastAsia="仿宋_GB2312"/>
          <w:sz w:val="32"/>
          <w:szCs w:val="32"/>
        </w:rPr>
        <w:t>、</w:t>
      </w:r>
      <w:r>
        <w:rPr>
          <w:rFonts w:eastAsia="仿宋_GB2312"/>
          <w:sz w:val="32"/>
          <w:szCs w:val="32"/>
        </w:rPr>
        <w:t>LNG</w:t>
      </w:r>
      <w:r>
        <w:rPr>
          <w:rFonts w:hint="eastAsia" w:eastAsia="仿宋_GB2312"/>
          <w:sz w:val="32"/>
          <w:szCs w:val="32"/>
        </w:rPr>
        <w:t>储配站建设。力争中石油川藏铁路接卸油库落地建设。完善新能源设施服务网络，相对集中布局建设新能源充换电设施，加快高速公路服务区、旅游景区、加油（气）站等重点区域全覆盖，加强充电设施的维护和管理。</w:t>
      </w:r>
    </w:p>
    <w:p w14:paraId="6679D1EE">
      <w:pPr>
        <w:pStyle w:val="15"/>
        <w:numPr>
          <w:ilvl w:val="0"/>
          <w:numId w:val="11"/>
        </w:numPr>
        <w:spacing w:before="156" w:beforeLines="50" w:after="156" w:afterLines="50" w:line="580" w:lineRule="exact"/>
        <w:ind w:left="1080" w:hanging="1080" w:firstLineChars="0"/>
        <w:jc w:val="center"/>
        <w:outlineLvl w:val="2"/>
        <w:rPr>
          <w:rFonts w:eastAsia="楷体_GB2312"/>
          <w:b/>
          <w:color w:val="000000"/>
          <w:kern w:val="0"/>
          <w:sz w:val="32"/>
          <w:szCs w:val="32"/>
        </w:rPr>
      </w:pPr>
      <w:bookmarkStart w:id="311" w:name="_Toc8052"/>
      <w:r>
        <w:rPr>
          <w:rFonts w:hint="eastAsia" w:eastAsia="楷体_GB2312"/>
          <w:b/>
          <w:color w:val="000000"/>
          <w:kern w:val="0"/>
          <w:sz w:val="32"/>
          <w:szCs w:val="32"/>
        </w:rPr>
        <w:t xml:space="preserve"> </w:t>
      </w:r>
      <w:bookmarkStart w:id="312" w:name="_Toc218241080"/>
      <w:r>
        <w:rPr>
          <w:rFonts w:hint="eastAsia" w:eastAsia="楷体_GB2312"/>
          <w:b/>
          <w:color w:val="000000"/>
          <w:kern w:val="0"/>
          <w:sz w:val="32"/>
          <w:szCs w:val="32"/>
        </w:rPr>
        <w:t>积极构建新型储能体系</w:t>
      </w:r>
      <w:bookmarkEnd w:id="311"/>
      <w:bookmarkEnd w:id="312"/>
    </w:p>
    <w:p w14:paraId="0531618F">
      <w:pPr>
        <w:snapToGrid w:val="0"/>
        <w:spacing w:before="72" w:after="72" w:line="580" w:lineRule="exact"/>
        <w:ind w:firstLine="640" w:firstLineChars="200"/>
        <w:jc w:val="left"/>
        <w:rPr>
          <w:rFonts w:eastAsia="楷体_GB2312"/>
          <w:b/>
          <w:sz w:val="32"/>
          <w:szCs w:val="32"/>
        </w:rPr>
      </w:pPr>
      <w:r>
        <w:rPr>
          <w:rFonts w:hint="eastAsia" w:eastAsia="仿宋_GB2312"/>
          <w:sz w:val="32"/>
          <w:szCs w:val="32"/>
        </w:rPr>
        <w:t>立足高海拔光照优势与能源供需特性，以</w:t>
      </w:r>
      <w:r>
        <w:rPr>
          <w:rFonts w:eastAsia="仿宋_GB2312"/>
          <w:sz w:val="32"/>
          <w:szCs w:val="32"/>
        </w:rPr>
        <w:t>“</w:t>
      </w:r>
      <w:r>
        <w:rPr>
          <w:rFonts w:hint="eastAsia" w:eastAsia="仿宋_GB2312"/>
          <w:sz w:val="32"/>
          <w:szCs w:val="32"/>
        </w:rPr>
        <w:t>储能</w:t>
      </w:r>
      <w:r>
        <w:rPr>
          <w:rFonts w:eastAsia="仿宋_GB2312"/>
          <w:sz w:val="32"/>
          <w:szCs w:val="32"/>
        </w:rPr>
        <w:t>+</w:t>
      </w:r>
      <w:r>
        <w:rPr>
          <w:rFonts w:hint="eastAsia" w:eastAsia="仿宋_GB2312"/>
          <w:sz w:val="32"/>
          <w:szCs w:val="32"/>
        </w:rPr>
        <w:t>新能源</w:t>
      </w:r>
      <w:r>
        <w:rPr>
          <w:rFonts w:eastAsia="仿宋_GB2312"/>
          <w:sz w:val="32"/>
          <w:szCs w:val="32"/>
        </w:rPr>
        <w:t>”“</w:t>
      </w:r>
      <w:r>
        <w:rPr>
          <w:rFonts w:hint="eastAsia" w:eastAsia="仿宋_GB2312"/>
          <w:sz w:val="32"/>
          <w:szCs w:val="32"/>
        </w:rPr>
        <w:t>储能</w:t>
      </w:r>
      <w:r>
        <w:rPr>
          <w:rFonts w:eastAsia="仿宋_GB2312"/>
          <w:sz w:val="32"/>
          <w:szCs w:val="32"/>
        </w:rPr>
        <w:t>+</w:t>
      </w:r>
      <w:r>
        <w:rPr>
          <w:rFonts w:hint="eastAsia" w:eastAsia="仿宋_GB2312"/>
          <w:sz w:val="32"/>
          <w:szCs w:val="32"/>
        </w:rPr>
        <w:t>电网保障</w:t>
      </w:r>
      <w:r>
        <w:rPr>
          <w:rFonts w:eastAsia="仿宋_GB2312"/>
          <w:sz w:val="32"/>
          <w:szCs w:val="32"/>
        </w:rPr>
        <w:t>”</w:t>
      </w:r>
      <w:r>
        <w:rPr>
          <w:rFonts w:hint="eastAsia" w:eastAsia="仿宋_GB2312"/>
          <w:sz w:val="32"/>
          <w:szCs w:val="32"/>
        </w:rPr>
        <w:t>为核心，构建多元新型储能体系。全面推进系统友好型新能源电站建设，建设</w:t>
      </w:r>
      <w:r>
        <w:rPr>
          <w:rFonts w:eastAsia="仿宋_GB2312"/>
          <w:sz w:val="32"/>
          <w:szCs w:val="32"/>
        </w:rPr>
        <w:t>“</w:t>
      </w:r>
      <w:r>
        <w:rPr>
          <w:rFonts w:hint="eastAsia" w:eastAsia="仿宋_GB2312"/>
          <w:sz w:val="32"/>
          <w:szCs w:val="32"/>
        </w:rPr>
        <w:t>新能源</w:t>
      </w:r>
      <w:r>
        <w:rPr>
          <w:rFonts w:eastAsia="仿宋_GB2312"/>
          <w:sz w:val="32"/>
          <w:szCs w:val="32"/>
        </w:rPr>
        <w:t>+</w:t>
      </w:r>
      <w:r>
        <w:rPr>
          <w:rFonts w:hint="eastAsia" w:eastAsia="仿宋_GB2312"/>
          <w:sz w:val="32"/>
          <w:szCs w:val="32"/>
        </w:rPr>
        <w:t>储能</w:t>
      </w:r>
      <w:r>
        <w:rPr>
          <w:rFonts w:eastAsia="仿宋_GB2312"/>
          <w:sz w:val="32"/>
          <w:szCs w:val="32"/>
        </w:rPr>
        <w:t>”</w:t>
      </w:r>
      <w:r>
        <w:rPr>
          <w:rFonts w:hint="eastAsia" w:eastAsia="仿宋_GB2312"/>
          <w:sz w:val="32"/>
          <w:szCs w:val="32"/>
        </w:rPr>
        <w:t>设施，推动索绒、高城、奔戈光伏等重点新能源项目，合理配置新型储能设施，为电源顶峰提供备份。大力推进抽水蓄能开发，有序开发实施呷洼抽水蓄能电站重点项目，为区域电网的稳定运行提供有力支撑。探索压缩空气储能、全钒液流电池电化学储能、飞轮储能等新型储能技术多元化应用，在甘孜州率先开展高海拔地区绿电制氢探索。</w:t>
      </w:r>
      <w:bookmarkStart w:id="313" w:name="OLE_LINK116"/>
      <w:bookmarkStart w:id="314" w:name="OLE_LINK115"/>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96"/>
      </w:tblGrid>
      <w:tr w14:paraId="12A3A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296" w:type="dxa"/>
            <w:tcBorders>
              <w:top w:val="single" w:color="auto" w:sz="4" w:space="0"/>
              <w:left w:val="single" w:color="auto" w:sz="4" w:space="0"/>
              <w:bottom w:val="single" w:color="auto" w:sz="4" w:space="0"/>
              <w:right w:val="single" w:color="auto" w:sz="4" w:space="0"/>
            </w:tcBorders>
            <w:shd w:val="clear" w:color="auto" w:fill="auto"/>
          </w:tcPr>
          <w:p w14:paraId="38F127D0">
            <w:pPr>
              <w:pStyle w:val="10"/>
              <w:snapToGrid w:val="0"/>
              <w:spacing w:before="156" w:beforeLines="50" w:after="156" w:afterLines="50" w:line="440" w:lineRule="exact"/>
              <w:ind w:left="0" w:leftChars="0" w:firstLine="643" w:firstLineChars="0"/>
              <w:jc w:val="center"/>
              <w:rPr>
                <w:rFonts w:eastAsia="仿宋_GB2312" w:cs="Times New Roman"/>
                <w:b/>
                <w:spacing w:val="-6"/>
                <w:sz w:val="28"/>
                <w:szCs w:val="28"/>
              </w:rPr>
            </w:pPr>
            <w:r>
              <w:rPr>
                <w:rFonts w:hint="eastAsia" w:ascii="Times New Roman" w:hAnsi="Times New Roman" w:eastAsia="楷体_GB2312" w:cs="Times New Roman"/>
                <w:b/>
                <w:sz w:val="28"/>
                <w:szCs w:val="28"/>
              </w:rPr>
              <w:t>专栏18  “十五五”时期能源建设重点</w:t>
            </w:r>
          </w:p>
        </w:tc>
      </w:tr>
      <w:tr w14:paraId="79202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6" w:type="dxa"/>
            <w:tcBorders>
              <w:top w:val="single" w:color="auto" w:sz="4" w:space="0"/>
              <w:left w:val="single" w:color="auto" w:sz="4" w:space="0"/>
              <w:bottom w:val="single" w:color="auto" w:sz="4" w:space="0"/>
              <w:right w:val="single" w:color="auto" w:sz="4" w:space="0"/>
            </w:tcBorders>
            <w:shd w:val="clear" w:color="auto" w:fill="auto"/>
          </w:tcPr>
          <w:p w14:paraId="3AA81751">
            <w:pPr>
              <w:snapToGrid w:val="0"/>
              <w:spacing w:line="440" w:lineRule="exact"/>
              <w:ind w:firstLine="562"/>
              <w:jc w:val="left"/>
              <w:rPr>
                <w:rFonts w:eastAsia="楷体_GB2312"/>
                <w:sz w:val="28"/>
                <w:szCs w:val="28"/>
              </w:rPr>
            </w:pPr>
            <w:r>
              <w:rPr>
                <w:rFonts w:hint="eastAsia" w:eastAsia="楷体_GB2312"/>
                <w:b/>
                <w:sz w:val="28"/>
                <w:szCs w:val="28"/>
              </w:rPr>
              <w:t>1.电力外送通道</w:t>
            </w:r>
            <w:r>
              <w:rPr>
                <w:rFonts w:hint="eastAsia" w:eastAsia="楷体_GB2312"/>
                <w:sz w:val="28"/>
                <w:szCs w:val="28"/>
              </w:rPr>
              <w:t>。</w:t>
            </w:r>
            <w:bookmarkStart w:id="315" w:name="OLE_LINK217"/>
            <w:bookmarkStart w:id="316" w:name="OLE_LINK218"/>
            <w:r>
              <w:rPr>
                <w:rFonts w:hint="eastAsia" w:eastAsia="楷体_GB2312"/>
                <w:sz w:val="28"/>
                <w:szCs w:val="28"/>
              </w:rPr>
              <w:t>开工建设理塘</w:t>
            </w:r>
            <w:r>
              <w:rPr>
                <w:rFonts w:eastAsia="楷体_GB2312"/>
                <w:sz w:val="28"/>
                <w:szCs w:val="28"/>
              </w:rPr>
              <w:t>500</w:t>
            </w:r>
            <w:r>
              <w:rPr>
                <w:rFonts w:hint="eastAsia" w:eastAsia="楷体_GB2312"/>
                <w:sz w:val="28"/>
                <w:szCs w:val="28"/>
              </w:rPr>
              <w:t>千伏输变电线路，</w:t>
            </w:r>
            <w:bookmarkEnd w:id="315"/>
            <w:bookmarkEnd w:id="316"/>
            <w:r>
              <w:rPr>
                <w:rFonts w:hint="eastAsia" w:eastAsia="楷体_GB2312"/>
                <w:sz w:val="28"/>
                <w:szCs w:val="28"/>
              </w:rPr>
              <w:t>规划布局甘孜理塘</w:t>
            </w:r>
            <w:r>
              <w:rPr>
                <w:rFonts w:eastAsia="楷体_GB2312"/>
                <w:sz w:val="28"/>
                <w:szCs w:val="28"/>
              </w:rPr>
              <w:t>220</w:t>
            </w:r>
            <w:r>
              <w:rPr>
                <w:rFonts w:hint="eastAsia" w:eastAsia="楷体_GB2312"/>
                <w:sz w:val="28"/>
                <w:szCs w:val="28"/>
              </w:rPr>
              <w:t>千伏输变电工程。推进甘西</w:t>
            </w:r>
            <w:r>
              <w:rPr>
                <w:rFonts w:eastAsia="楷体_GB2312"/>
                <w:sz w:val="28"/>
                <w:szCs w:val="28"/>
              </w:rPr>
              <w:t>500</w:t>
            </w:r>
            <w:r>
              <w:rPr>
                <w:rFonts w:hint="eastAsia" w:eastAsia="楷体_GB2312"/>
                <w:sz w:val="28"/>
                <w:szCs w:val="28"/>
              </w:rPr>
              <w:t>千伏（理塘升压站）及输配电线路及输配电线路建设。</w:t>
            </w:r>
          </w:p>
          <w:p w14:paraId="0E105478">
            <w:pPr>
              <w:snapToGrid w:val="0"/>
              <w:spacing w:line="440" w:lineRule="exact"/>
              <w:ind w:firstLine="562"/>
              <w:jc w:val="left"/>
              <w:rPr>
                <w:rFonts w:eastAsia="楷体_GB2312"/>
                <w:sz w:val="28"/>
                <w:szCs w:val="28"/>
              </w:rPr>
            </w:pPr>
            <w:r>
              <w:rPr>
                <w:rFonts w:hint="eastAsia" w:eastAsia="楷体_GB2312"/>
                <w:b/>
                <w:sz w:val="28"/>
                <w:szCs w:val="28"/>
              </w:rPr>
              <w:t>2.城乡电网改造</w:t>
            </w:r>
            <w:r>
              <w:rPr>
                <w:rFonts w:hint="eastAsia" w:eastAsia="楷体_GB2312"/>
                <w:sz w:val="28"/>
                <w:szCs w:val="28"/>
              </w:rPr>
              <w:t>。持续推动农村孤网并网、薄弱环节补短、老旧线路迁改，实施电力能源智能化管理系统建设项目。</w:t>
            </w:r>
          </w:p>
          <w:p w14:paraId="608510EA">
            <w:pPr>
              <w:snapToGrid w:val="0"/>
              <w:spacing w:line="440" w:lineRule="exact"/>
              <w:ind w:firstLine="562"/>
              <w:jc w:val="left"/>
              <w:rPr>
                <w:rFonts w:eastAsia="楷体_GB2312"/>
                <w:color w:val="FF0000"/>
                <w:sz w:val="28"/>
                <w:szCs w:val="28"/>
              </w:rPr>
            </w:pPr>
            <w:r>
              <w:rPr>
                <w:rFonts w:eastAsia="楷体_GB2312"/>
                <w:b/>
                <w:sz w:val="28"/>
                <w:szCs w:val="28"/>
              </w:rPr>
              <w:t>3.</w:t>
            </w:r>
            <w:r>
              <w:rPr>
                <w:rFonts w:hint="eastAsia" w:eastAsia="楷体_GB2312"/>
                <w:b/>
                <w:sz w:val="28"/>
                <w:szCs w:val="28"/>
              </w:rPr>
              <w:t>新型储能体系</w:t>
            </w:r>
            <w:r>
              <w:rPr>
                <w:rFonts w:hint="eastAsia" w:eastAsia="楷体_GB2312"/>
                <w:color w:val="FF0000"/>
                <w:sz w:val="28"/>
                <w:szCs w:val="28"/>
              </w:rPr>
              <w:t>。</w:t>
            </w:r>
            <w:r>
              <w:rPr>
                <w:rFonts w:hint="eastAsia" w:eastAsia="楷体_GB2312"/>
                <w:sz w:val="28"/>
                <w:szCs w:val="28"/>
              </w:rPr>
              <w:t>实施呷洼乡抽水蓄能电站</w:t>
            </w:r>
            <w:r>
              <w:rPr>
                <w:rFonts w:eastAsia="楷体_GB2312"/>
                <w:sz w:val="28"/>
                <w:szCs w:val="28"/>
              </w:rPr>
              <w:t>+</w:t>
            </w:r>
            <w:r>
              <w:rPr>
                <w:rFonts w:hint="eastAsia" w:eastAsia="楷体_GB2312"/>
                <w:sz w:val="28"/>
                <w:szCs w:val="28"/>
              </w:rPr>
              <w:t>储能项目。</w:t>
            </w:r>
          </w:p>
          <w:p w14:paraId="4867C337">
            <w:pPr>
              <w:snapToGrid w:val="0"/>
              <w:spacing w:line="440" w:lineRule="exact"/>
              <w:ind w:firstLine="480"/>
              <w:jc w:val="left"/>
              <w:rPr>
                <w:rFonts w:eastAsia="楷体_GB2312"/>
                <w:color w:val="FF0000"/>
                <w:sz w:val="28"/>
                <w:szCs w:val="28"/>
              </w:rPr>
            </w:pPr>
            <w:r>
              <w:rPr>
                <w:rFonts w:eastAsia="楷体_GB2312"/>
                <w:b/>
                <w:sz w:val="28"/>
                <w:szCs w:val="28"/>
              </w:rPr>
              <w:t>4.</w:t>
            </w:r>
            <w:r>
              <w:rPr>
                <w:rFonts w:hint="eastAsia" w:eastAsia="楷体_GB2312"/>
                <w:b/>
                <w:sz w:val="28"/>
                <w:szCs w:val="28"/>
              </w:rPr>
              <w:t>石油输送存储设施。</w:t>
            </w:r>
            <w:r>
              <w:rPr>
                <w:rFonts w:hint="eastAsia" w:eastAsia="楷体_GB2312"/>
                <w:sz w:val="28"/>
                <w:szCs w:val="28"/>
              </w:rPr>
              <w:t>建设中石油川藏铁路接卸油库。</w:t>
            </w:r>
          </w:p>
          <w:p w14:paraId="365A1B24">
            <w:pPr>
              <w:snapToGrid w:val="0"/>
              <w:spacing w:line="440" w:lineRule="exact"/>
              <w:ind w:firstLine="422" w:firstLineChars="150"/>
              <w:jc w:val="left"/>
              <w:rPr>
                <w:rFonts w:eastAsia="楷体_GB2312"/>
                <w:sz w:val="28"/>
                <w:szCs w:val="28"/>
              </w:rPr>
            </w:pPr>
            <w:r>
              <w:rPr>
                <w:rFonts w:eastAsia="楷体_GB2312"/>
                <w:b/>
                <w:sz w:val="28"/>
                <w:szCs w:val="28"/>
              </w:rPr>
              <w:t>5.</w:t>
            </w:r>
            <w:r>
              <w:rPr>
                <w:rFonts w:hint="eastAsia" w:eastAsia="楷体_GB2312"/>
                <w:b/>
                <w:sz w:val="28"/>
                <w:szCs w:val="28"/>
              </w:rPr>
              <w:t>新能源充换电设施建设。</w:t>
            </w:r>
            <w:r>
              <w:rPr>
                <w:rFonts w:hint="eastAsia" w:eastAsia="楷体_GB2312"/>
                <w:sz w:val="28"/>
                <w:szCs w:val="28"/>
              </w:rPr>
              <w:t>因地制宜，谋划布局一批充换电设施</w:t>
            </w:r>
          </w:p>
        </w:tc>
      </w:tr>
      <w:bookmarkEnd w:id="313"/>
      <w:bookmarkEnd w:id="314"/>
    </w:tbl>
    <w:p w14:paraId="4E513345">
      <w:pPr>
        <w:pStyle w:val="2"/>
      </w:pPr>
    </w:p>
    <w:p w14:paraId="2E781DD5">
      <w:pPr>
        <w:widowControl/>
        <w:spacing w:before="156" w:beforeLines="50" w:after="156" w:afterLines="50" w:line="580" w:lineRule="exact"/>
        <w:jc w:val="center"/>
        <w:outlineLvl w:val="1"/>
        <w:rPr>
          <w:rFonts w:eastAsia="黑体"/>
          <w:bCs/>
          <w:color w:val="000000"/>
          <w:kern w:val="0"/>
          <w:sz w:val="32"/>
          <w:szCs w:val="32"/>
        </w:rPr>
      </w:pPr>
      <w:bookmarkStart w:id="317" w:name="_Toc7210"/>
      <w:bookmarkStart w:id="318" w:name="_Toc218241081"/>
      <w:bookmarkStart w:id="319" w:name="_Toc214372634"/>
      <w:bookmarkStart w:id="320" w:name="_Toc212814830"/>
      <w:bookmarkStart w:id="321" w:name="_Toc31981"/>
      <w:r>
        <w:rPr>
          <w:rFonts w:hint="eastAsia" w:eastAsia="黑体"/>
          <w:bCs/>
          <w:color w:val="000000"/>
          <w:kern w:val="0"/>
          <w:sz w:val="32"/>
          <w:szCs w:val="32"/>
        </w:rPr>
        <w:t>第十三章  补齐水利基础设施短板</w:t>
      </w:r>
      <w:bookmarkEnd w:id="317"/>
      <w:bookmarkEnd w:id="318"/>
      <w:bookmarkEnd w:id="319"/>
      <w:bookmarkEnd w:id="320"/>
      <w:bookmarkEnd w:id="321"/>
    </w:p>
    <w:p w14:paraId="2FCD3B75">
      <w:pPr>
        <w:pStyle w:val="15"/>
        <w:numPr>
          <w:ilvl w:val="0"/>
          <w:numId w:val="12"/>
        </w:numPr>
        <w:spacing w:before="156" w:beforeLines="50" w:after="156" w:afterLines="50" w:line="580" w:lineRule="exact"/>
        <w:ind w:left="1080" w:hanging="1080" w:firstLineChars="0"/>
        <w:jc w:val="center"/>
        <w:outlineLvl w:val="2"/>
        <w:rPr>
          <w:rFonts w:eastAsia="楷体_GB2312"/>
          <w:b/>
          <w:color w:val="000000"/>
          <w:kern w:val="0"/>
          <w:sz w:val="32"/>
          <w:szCs w:val="32"/>
        </w:rPr>
      </w:pPr>
      <w:bookmarkStart w:id="322" w:name="_Toc28020"/>
      <w:bookmarkStart w:id="323" w:name="OLE_LINK209"/>
      <w:bookmarkStart w:id="324" w:name="OLE_LINK210"/>
      <w:r>
        <w:rPr>
          <w:rFonts w:hint="eastAsia" w:eastAsia="楷体_GB2312"/>
          <w:b/>
          <w:color w:val="000000"/>
          <w:kern w:val="0"/>
          <w:sz w:val="32"/>
          <w:szCs w:val="32"/>
        </w:rPr>
        <w:t xml:space="preserve"> </w:t>
      </w:r>
      <w:bookmarkStart w:id="325" w:name="_Toc218241082"/>
      <w:r>
        <w:rPr>
          <w:rFonts w:hint="eastAsia" w:eastAsia="楷体_GB2312"/>
          <w:b/>
          <w:color w:val="000000"/>
          <w:kern w:val="0"/>
          <w:sz w:val="32"/>
          <w:szCs w:val="32"/>
        </w:rPr>
        <w:t>完善水资源配置体系</w:t>
      </w:r>
      <w:bookmarkEnd w:id="322"/>
      <w:bookmarkEnd w:id="325"/>
    </w:p>
    <w:p w14:paraId="3CA079E3">
      <w:pPr>
        <w:spacing w:line="576" w:lineRule="exact"/>
        <w:ind w:firstLine="640" w:firstLineChars="200"/>
        <w:rPr>
          <w:rFonts w:eastAsia="仿宋_GB2312"/>
          <w:sz w:val="32"/>
          <w:szCs w:val="32"/>
        </w:rPr>
      </w:pPr>
      <w:r>
        <w:rPr>
          <w:rFonts w:hint="eastAsia" w:eastAsia="仿宋_GB2312"/>
          <w:sz w:val="32"/>
          <w:szCs w:val="32"/>
        </w:rPr>
        <w:t>强化水利设施网络互联，打通县域内输水动脉，畅通理塘河、无量河干支流水系脉络，构建“主干贯通、支流互补、多源共济”的现代化水资源配置网络。加强重大水利设施建设，推进查马日东渠系配套项目建设，规划新建理塘县康南牧区饲草料地、理塘县确曲水库，理塘县木拉引水等工程，通过引调水实现水资源的合理调配，全面提升水资源利用效率。积极推进灌区提质增效工程，新建一批灌区工程，完善灌排体系和计量监测设施、应用节水措施，对现有灌区进行全面升级改造。</w:t>
      </w:r>
    </w:p>
    <w:p w14:paraId="72E37784">
      <w:pPr>
        <w:pStyle w:val="15"/>
        <w:numPr>
          <w:ilvl w:val="0"/>
          <w:numId w:val="12"/>
        </w:numPr>
        <w:spacing w:before="156" w:beforeLines="50" w:after="156" w:afterLines="50" w:line="580" w:lineRule="exact"/>
        <w:ind w:left="1080" w:hanging="1080" w:firstLineChars="0"/>
        <w:jc w:val="center"/>
        <w:outlineLvl w:val="2"/>
        <w:rPr>
          <w:rFonts w:eastAsia="楷体_GB2312"/>
          <w:b/>
          <w:color w:val="000000"/>
          <w:kern w:val="0"/>
          <w:sz w:val="32"/>
          <w:szCs w:val="32"/>
        </w:rPr>
      </w:pPr>
      <w:bookmarkStart w:id="326" w:name="_Toc17287"/>
      <w:r>
        <w:rPr>
          <w:rFonts w:hint="eastAsia" w:eastAsia="楷体_GB2312"/>
          <w:b/>
          <w:color w:val="000000"/>
          <w:kern w:val="0"/>
          <w:sz w:val="32"/>
          <w:szCs w:val="32"/>
        </w:rPr>
        <w:t xml:space="preserve"> </w:t>
      </w:r>
      <w:bookmarkStart w:id="327" w:name="_Toc218241083"/>
      <w:r>
        <w:rPr>
          <w:rFonts w:hint="eastAsia" w:eastAsia="楷体_GB2312"/>
          <w:b/>
          <w:color w:val="000000"/>
          <w:kern w:val="0"/>
          <w:sz w:val="32"/>
          <w:szCs w:val="32"/>
        </w:rPr>
        <w:t>提高城乡供水保障能力</w:t>
      </w:r>
      <w:bookmarkEnd w:id="326"/>
      <w:bookmarkEnd w:id="327"/>
    </w:p>
    <w:p w14:paraId="7BAB8D5E">
      <w:pPr>
        <w:spacing w:line="580" w:lineRule="exact"/>
        <w:ind w:firstLine="640" w:firstLineChars="200"/>
        <w:rPr>
          <w:rFonts w:eastAsia="仿宋_GB2312"/>
          <w:spacing w:val="-6"/>
          <w:sz w:val="32"/>
          <w:szCs w:val="32"/>
        </w:rPr>
      </w:pPr>
      <w:r>
        <w:rPr>
          <w:rFonts w:hint="eastAsia" w:eastAsia="仿宋_GB2312"/>
          <w:sz w:val="32"/>
          <w:szCs w:val="32"/>
        </w:rPr>
        <w:t>强化城乡供水水源保障，推进理塘饮用水水源保护及污染防治，实施高海拔湿地补水、水源涵养林带建设等综合治理项目，筑牢城乡供水安全源头屏障。推动城市供水提质扩容，全域推进乡村水务建设，实施农村饮水安全巩固提升工程，加快城乡供水管网互联互通，构建城乡一体的</w:t>
      </w:r>
      <w:r>
        <w:rPr>
          <w:rFonts w:hint="eastAsia" w:eastAsia="仿宋_GB2312"/>
          <w:spacing w:val="-6"/>
          <w:sz w:val="32"/>
          <w:szCs w:val="32"/>
        </w:rPr>
        <w:t>供水管理体系。探索新的方式、新的技术解决冬季冻水问题，决绝高原冬季缺水、冻水。推进城镇污水治理，更新改造老旧供水管网和设施，全面提升供水、调水、污水处理等设施运行效能与精细化管理水平。推进分区集中供水工程，开工建设格聂镇、甲洼镇供水工程，推进县域统管和专业化管护，提升农村供水保障水平。</w:t>
      </w:r>
    </w:p>
    <w:p w14:paraId="4E6BCF8D">
      <w:pPr>
        <w:pStyle w:val="15"/>
        <w:numPr>
          <w:ilvl w:val="0"/>
          <w:numId w:val="12"/>
        </w:numPr>
        <w:spacing w:before="156" w:beforeLines="50" w:after="156" w:afterLines="50" w:line="580" w:lineRule="exact"/>
        <w:ind w:left="1080" w:hanging="1080" w:firstLineChars="0"/>
        <w:jc w:val="center"/>
        <w:outlineLvl w:val="2"/>
        <w:rPr>
          <w:rFonts w:eastAsia="楷体_GB2312"/>
          <w:b/>
          <w:color w:val="000000"/>
          <w:kern w:val="0"/>
          <w:sz w:val="32"/>
          <w:szCs w:val="32"/>
        </w:rPr>
      </w:pPr>
      <w:bookmarkStart w:id="328" w:name="_Toc17132"/>
      <w:r>
        <w:rPr>
          <w:rFonts w:hint="eastAsia" w:eastAsia="楷体_GB2312"/>
          <w:b/>
          <w:color w:val="000000"/>
          <w:kern w:val="0"/>
          <w:sz w:val="32"/>
          <w:szCs w:val="32"/>
        </w:rPr>
        <w:t xml:space="preserve"> </w:t>
      </w:r>
      <w:bookmarkStart w:id="329" w:name="_Toc218241084"/>
      <w:r>
        <w:rPr>
          <w:rFonts w:hint="eastAsia" w:eastAsia="楷体_GB2312"/>
          <w:b/>
          <w:color w:val="000000"/>
          <w:kern w:val="0"/>
          <w:sz w:val="32"/>
          <w:szCs w:val="32"/>
        </w:rPr>
        <w:t>提升防洪减灾能力</w:t>
      </w:r>
      <w:bookmarkEnd w:id="328"/>
      <w:bookmarkEnd w:id="329"/>
    </w:p>
    <w:p w14:paraId="0989B729">
      <w:pPr>
        <w:snapToGrid w:val="0"/>
        <w:spacing w:before="72" w:after="72" w:line="576" w:lineRule="exact"/>
        <w:ind w:firstLine="640" w:firstLineChars="200"/>
        <w:jc w:val="left"/>
        <w:rPr>
          <w:rFonts w:eastAsia="楷体_GB2312"/>
          <w:b/>
          <w:sz w:val="32"/>
          <w:szCs w:val="32"/>
        </w:rPr>
      </w:pPr>
      <w:r>
        <w:rPr>
          <w:rFonts w:hint="eastAsia" w:eastAsia="仿宋_GB2312"/>
          <w:sz w:val="32"/>
          <w:szCs w:val="32"/>
        </w:rPr>
        <w:t>加强城镇防洪体系建设，提高城市防洪排涝标准。</w:t>
      </w:r>
      <w:r>
        <w:rPr>
          <w:rFonts w:hint="eastAsia" w:eastAsia="仿宋_GB2312"/>
          <w:kern w:val="0"/>
          <w:sz w:val="32"/>
          <w:szCs w:val="32"/>
        </w:rPr>
        <w:t>从流域整体着眼，以大江大河为重点，</w:t>
      </w:r>
      <w:r>
        <w:rPr>
          <w:rFonts w:hint="eastAsia" w:eastAsia="仿宋_GB2312"/>
          <w:sz w:val="32"/>
          <w:szCs w:val="32"/>
        </w:rPr>
        <w:t>规划理塘河、霍曲河流域防洪工程建设。积极推进理塘河上木拉乡段、理塘河木拉镇段，霍曲河村戈乡段防洪治理等工程。以流域面积200~3000平方公里的中小河流为关键，积极推进君坝河君坝镇段、热依曲觉吾镇段、拉曲波镇段等防洪治理工程。强化水旱灾害监测预警，分级管理山洪灾害危险区，完善非工程措施体系。积极推进藏坝乡扎西沟、禾尼乡格仓沟等防洪治理工程。建设现代化水文站网，完善水资源、水文监测体系。构建数字孪生水网，利用智能感知技术和通信技术，建设对涉水对象进行监测和智能分析的天空地一体化水利感知网，提升水利智能化管理水平。</w:t>
      </w: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96"/>
      </w:tblGrid>
      <w:tr w14:paraId="0F3A2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6" w:type="dxa"/>
            <w:tcBorders>
              <w:top w:val="single" w:color="auto" w:sz="4" w:space="0"/>
              <w:left w:val="single" w:color="auto" w:sz="4" w:space="0"/>
              <w:bottom w:val="single" w:color="auto" w:sz="4" w:space="0"/>
              <w:right w:val="single" w:color="auto" w:sz="4" w:space="0"/>
            </w:tcBorders>
            <w:shd w:val="clear" w:color="auto" w:fill="auto"/>
          </w:tcPr>
          <w:p w14:paraId="3196DB93">
            <w:pPr>
              <w:pStyle w:val="10"/>
              <w:snapToGrid w:val="0"/>
              <w:spacing w:before="156" w:beforeLines="50" w:after="156" w:afterLines="50" w:line="440" w:lineRule="exact"/>
              <w:ind w:left="0" w:leftChars="0" w:firstLine="643" w:firstLineChars="0"/>
              <w:jc w:val="center"/>
              <w:rPr>
                <w:rFonts w:eastAsia="楷体_GB2312" w:cs="Times New Roman"/>
                <w:b/>
                <w:sz w:val="32"/>
                <w:szCs w:val="32"/>
              </w:rPr>
            </w:pPr>
            <w:bookmarkStart w:id="330" w:name="OLE_LINK118"/>
            <w:bookmarkStart w:id="331" w:name="OLE_LINK162"/>
            <w:bookmarkStart w:id="332" w:name="OLE_LINK119"/>
            <w:bookmarkStart w:id="333" w:name="OLE_LINK149"/>
            <w:r>
              <w:rPr>
                <w:rFonts w:hint="eastAsia" w:ascii="Times New Roman" w:hAnsi="Times New Roman" w:eastAsia="楷体_GB2312" w:cs="Times New Roman"/>
                <w:b/>
                <w:sz w:val="28"/>
                <w:szCs w:val="28"/>
              </w:rPr>
              <w:t>专栏19  “十五五”时期水利建设重点</w:t>
            </w:r>
          </w:p>
        </w:tc>
      </w:tr>
      <w:tr w14:paraId="663EC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6" w:type="dxa"/>
            <w:tcBorders>
              <w:top w:val="single" w:color="auto" w:sz="4" w:space="0"/>
              <w:left w:val="single" w:color="auto" w:sz="4" w:space="0"/>
              <w:bottom w:val="single" w:color="auto" w:sz="4" w:space="0"/>
              <w:right w:val="single" w:color="auto" w:sz="4" w:space="0"/>
            </w:tcBorders>
            <w:shd w:val="clear" w:color="auto" w:fill="auto"/>
          </w:tcPr>
          <w:p w14:paraId="72DE07ED">
            <w:pPr>
              <w:snapToGrid w:val="0"/>
              <w:spacing w:line="440" w:lineRule="exact"/>
              <w:ind w:firstLine="562"/>
              <w:jc w:val="left"/>
              <w:rPr>
                <w:rFonts w:eastAsia="楷体_GB2312"/>
                <w:sz w:val="28"/>
                <w:szCs w:val="28"/>
              </w:rPr>
            </w:pPr>
            <w:r>
              <w:rPr>
                <w:rFonts w:eastAsia="楷体_GB2312"/>
                <w:b/>
                <w:sz w:val="28"/>
                <w:szCs w:val="28"/>
              </w:rPr>
              <w:t>1.</w:t>
            </w:r>
            <w:r>
              <w:rPr>
                <w:rFonts w:hint="eastAsia" w:eastAsia="楷体_GB2312"/>
                <w:b/>
                <w:sz w:val="28"/>
                <w:szCs w:val="28"/>
              </w:rPr>
              <w:t>骨干水利工程</w:t>
            </w:r>
            <w:r>
              <w:rPr>
                <w:rFonts w:hint="eastAsia" w:eastAsia="楷体_GB2312"/>
                <w:sz w:val="28"/>
                <w:szCs w:val="28"/>
              </w:rPr>
              <w:t>。完善水资源配置网络，建设查马日东渠系配套等一批骨干工程。积极推进理塘县康南牧区饲草料地、理塘县确曲水库，理塘县木拉引水等工程</w:t>
            </w:r>
          </w:p>
          <w:p w14:paraId="346E26A9">
            <w:pPr>
              <w:snapToGrid w:val="0"/>
              <w:spacing w:line="440" w:lineRule="exact"/>
              <w:ind w:firstLine="562"/>
              <w:jc w:val="left"/>
              <w:rPr>
                <w:rFonts w:eastAsia="楷体_GB2312"/>
                <w:sz w:val="28"/>
                <w:szCs w:val="28"/>
              </w:rPr>
            </w:pPr>
            <w:r>
              <w:rPr>
                <w:rFonts w:eastAsia="楷体_GB2312"/>
                <w:b/>
                <w:sz w:val="28"/>
                <w:szCs w:val="28"/>
              </w:rPr>
              <w:t>2.</w:t>
            </w:r>
            <w:r>
              <w:rPr>
                <w:rFonts w:hint="eastAsia" w:eastAsia="楷体_GB2312"/>
                <w:b/>
                <w:sz w:val="28"/>
                <w:szCs w:val="28"/>
              </w:rPr>
              <w:t>城乡供水工程</w:t>
            </w:r>
            <w:r>
              <w:rPr>
                <w:rFonts w:hint="eastAsia" w:eastAsia="楷体_GB2312"/>
                <w:sz w:val="28"/>
                <w:szCs w:val="28"/>
              </w:rPr>
              <w:t>。实施农村饮水安全巩固提升工程，推动高城镇一、二水厂供水能力提升，推进格聂镇、甲洼镇、君坝镇、觉吾镇、拉波镇集中供水工程。</w:t>
            </w:r>
          </w:p>
          <w:p w14:paraId="4C132949">
            <w:pPr>
              <w:snapToGrid w:val="0"/>
              <w:spacing w:line="440" w:lineRule="exact"/>
              <w:ind w:firstLine="562"/>
              <w:jc w:val="left"/>
              <w:rPr>
                <w:rFonts w:eastAsia="楷体_GB2312"/>
                <w:b/>
                <w:sz w:val="28"/>
                <w:szCs w:val="28"/>
              </w:rPr>
            </w:pPr>
            <w:r>
              <w:rPr>
                <w:rFonts w:eastAsia="楷体_GB2312"/>
                <w:b/>
                <w:sz w:val="28"/>
                <w:szCs w:val="28"/>
              </w:rPr>
              <w:t>3.</w:t>
            </w:r>
            <w:r>
              <w:rPr>
                <w:rFonts w:hint="eastAsia" w:eastAsia="楷体_GB2312"/>
                <w:b/>
                <w:sz w:val="28"/>
                <w:szCs w:val="28"/>
              </w:rPr>
              <w:t>防洪减灾工程。</w:t>
            </w:r>
          </w:p>
          <w:p w14:paraId="462A143D">
            <w:pPr>
              <w:snapToGrid w:val="0"/>
              <w:spacing w:line="440" w:lineRule="exact"/>
              <w:ind w:firstLine="562"/>
              <w:jc w:val="left"/>
              <w:rPr>
                <w:rFonts w:eastAsia="楷体_GB2312"/>
                <w:sz w:val="28"/>
                <w:szCs w:val="28"/>
              </w:rPr>
            </w:pPr>
            <w:r>
              <w:rPr>
                <w:rFonts w:hint="eastAsia" w:eastAsia="楷体_GB2312"/>
                <w:b/>
                <w:sz w:val="28"/>
                <w:szCs w:val="28"/>
              </w:rPr>
              <w:t>大江大河治理</w:t>
            </w:r>
            <w:r>
              <w:rPr>
                <w:rFonts w:hint="eastAsia" w:eastAsia="楷体_GB2312"/>
                <w:sz w:val="28"/>
                <w:szCs w:val="28"/>
              </w:rPr>
              <w:t>。积极推进理塘河木拉镇段、上木拉乡段防洪治理以及霍曲村戈乡段防洪治理。</w:t>
            </w:r>
          </w:p>
          <w:p w14:paraId="29EA340D">
            <w:pPr>
              <w:snapToGrid w:val="0"/>
              <w:spacing w:line="440" w:lineRule="exact"/>
              <w:ind w:firstLine="562"/>
              <w:jc w:val="left"/>
              <w:rPr>
                <w:rFonts w:eastAsia="楷体_GB2312"/>
                <w:sz w:val="28"/>
                <w:szCs w:val="28"/>
              </w:rPr>
            </w:pPr>
            <w:r>
              <w:rPr>
                <w:rFonts w:hint="eastAsia" w:eastAsia="楷体_GB2312"/>
                <w:b/>
                <w:sz w:val="28"/>
                <w:szCs w:val="28"/>
              </w:rPr>
              <w:t>中小河流治</w:t>
            </w:r>
            <w:r>
              <w:rPr>
                <w:rFonts w:hint="eastAsia" w:eastAsia="楷体_GB2312"/>
                <w:sz w:val="28"/>
                <w:szCs w:val="28"/>
              </w:rPr>
              <w:t>理。推进君坝镇君坝河防洪治理，岔若柯江达村段防洪治理，普隆曲汉戈村段防洪治理、热衣曲觉吾镇卡达村至马米村段防洪治理等工程。</w:t>
            </w:r>
          </w:p>
          <w:p w14:paraId="2178FB65">
            <w:pPr>
              <w:snapToGrid w:val="0"/>
              <w:spacing w:line="440" w:lineRule="exact"/>
              <w:ind w:firstLine="562"/>
              <w:jc w:val="left"/>
              <w:rPr>
                <w:rFonts w:eastAsia="楷体_GB2312"/>
                <w:sz w:val="28"/>
                <w:szCs w:val="28"/>
              </w:rPr>
            </w:pPr>
            <w:r>
              <w:rPr>
                <w:rFonts w:hint="eastAsia" w:eastAsia="楷体_GB2312"/>
                <w:b/>
                <w:sz w:val="28"/>
                <w:szCs w:val="28"/>
              </w:rPr>
              <w:t>山洪沟治理</w:t>
            </w:r>
            <w:r>
              <w:rPr>
                <w:rFonts w:hint="eastAsia" w:eastAsia="楷体_GB2312"/>
                <w:sz w:val="28"/>
                <w:szCs w:val="28"/>
              </w:rPr>
              <w:t>。推进藏坝乡扎西沟、禾尼乡格仓沟等防洪治理工程。</w:t>
            </w:r>
          </w:p>
          <w:p w14:paraId="71F59747">
            <w:pPr>
              <w:snapToGrid w:val="0"/>
              <w:spacing w:line="440" w:lineRule="exact"/>
              <w:ind w:firstLine="562"/>
              <w:jc w:val="left"/>
              <w:rPr>
                <w:rFonts w:eastAsia="楷体_GB2312"/>
                <w:spacing w:val="-6"/>
                <w:sz w:val="28"/>
                <w:szCs w:val="28"/>
              </w:rPr>
            </w:pPr>
            <w:r>
              <w:rPr>
                <w:rFonts w:hint="eastAsia" w:eastAsia="楷体_GB2312"/>
                <w:b/>
                <w:sz w:val="28"/>
                <w:szCs w:val="28"/>
              </w:rPr>
              <w:t>小流域治理</w:t>
            </w:r>
            <w:r>
              <w:rPr>
                <w:rFonts w:hint="eastAsia" w:eastAsia="楷体_GB2312"/>
                <w:sz w:val="28"/>
                <w:szCs w:val="28"/>
              </w:rPr>
              <w:t>。推进格聂中曲河，绒坝仁达沟小流域综合治理提质增效项目等工程。</w:t>
            </w:r>
          </w:p>
        </w:tc>
      </w:tr>
      <w:bookmarkEnd w:id="323"/>
      <w:bookmarkEnd w:id="324"/>
      <w:bookmarkEnd w:id="330"/>
      <w:bookmarkEnd w:id="331"/>
      <w:bookmarkEnd w:id="332"/>
      <w:bookmarkEnd w:id="333"/>
    </w:tbl>
    <w:p w14:paraId="57E12A6B">
      <w:pPr>
        <w:snapToGrid w:val="0"/>
        <w:jc w:val="center"/>
        <w:outlineLvl w:val="0"/>
        <w:rPr>
          <w:rFonts w:eastAsia="方正大标宋简体"/>
          <w:sz w:val="32"/>
          <w:szCs w:val="32"/>
        </w:rPr>
      </w:pPr>
      <w:bookmarkStart w:id="334" w:name="_Toc25349"/>
      <w:bookmarkStart w:id="335" w:name="_Toc212814831"/>
      <w:bookmarkStart w:id="336" w:name="OLE_LINK66"/>
      <w:bookmarkStart w:id="337" w:name="OLE_LINK65"/>
    </w:p>
    <w:p w14:paraId="242A4BC9">
      <w:pPr>
        <w:pStyle w:val="15"/>
        <w:numPr>
          <w:ilvl w:val="0"/>
          <w:numId w:val="1"/>
        </w:numPr>
        <w:spacing w:before="156" w:beforeLines="50" w:after="156" w:afterLines="50" w:line="580" w:lineRule="exact"/>
        <w:ind w:left="1080" w:hanging="1080" w:firstLineChars="0"/>
        <w:jc w:val="center"/>
        <w:outlineLvl w:val="0"/>
        <w:rPr>
          <w:rFonts w:eastAsia="方正大标宋简体"/>
          <w:sz w:val="32"/>
          <w:szCs w:val="32"/>
        </w:rPr>
      </w:pPr>
      <w:bookmarkStart w:id="338" w:name="_Toc214372635"/>
      <w:bookmarkStart w:id="339" w:name="_Toc24982"/>
      <w:r>
        <w:rPr>
          <w:rFonts w:hint="eastAsia" w:eastAsia="方正大标宋简体"/>
          <w:sz w:val="32"/>
          <w:szCs w:val="32"/>
        </w:rPr>
        <w:t xml:space="preserve"> </w:t>
      </w:r>
      <w:bookmarkStart w:id="340" w:name="_Toc218241085"/>
      <w:r>
        <w:rPr>
          <w:rFonts w:hint="eastAsia" w:eastAsia="方正大标宋简体"/>
          <w:sz w:val="32"/>
          <w:szCs w:val="32"/>
        </w:rPr>
        <w:t>以人为本  构建美美与共城乡融合发展新格局</w:t>
      </w:r>
      <w:bookmarkEnd w:id="334"/>
      <w:bookmarkEnd w:id="335"/>
      <w:bookmarkEnd w:id="338"/>
      <w:bookmarkEnd w:id="339"/>
      <w:bookmarkEnd w:id="340"/>
    </w:p>
    <w:p w14:paraId="788619B8">
      <w:pPr>
        <w:widowControl/>
        <w:spacing w:line="580" w:lineRule="exact"/>
        <w:ind w:firstLine="640"/>
        <w:jc w:val="left"/>
        <w:rPr>
          <w:rFonts w:eastAsia="黑体"/>
          <w:bCs/>
          <w:color w:val="000000"/>
          <w:kern w:val="0"/>
          <w:sz w:val="32"/>
          <w:szCs w:val="32"/>
        </w:rPr>
      </w:pPr>
      <w:bookmarkStart w:id="341" w:name="OLE_LINK127"/>
      <w:bookmarkStart w:id="342" w:name="OLE_LINK128"/>
      <w:r>
        <w:rPr>
          <w:rFonts w:hint="eastAsia" w:eastAsia="仿宋_GB2312"/>
          <w:sz w:val="32"/>
          <w:szCs w:val="32"/>
        </w:rPr>
        <w:t>紧扣抓好两端、畅通中间，统筹推进高原新型城镇化和乡村全面振兴，</w:t>
      </w:r>
      <w:bookmarkEnd w:id="341"/>
      <w:bookmarkEnd w:id="342"/>
      <w:r>
        <w:rPr>
          <w:rFonts w:hint="eastAsia" w:eastAsia="仿宋_GB2312"/>
          <w:sz w:val="32"/>
          <w:szCs w:val="32"/>
        </w:rPr>
        <w:t>推动城乡基础设施一体化、公共服务共享化、要素流动双向化，完善城乡融合发展机制，逐步形成各美其美、美美与共的城乡融合发展新格局。</w:t>
      </w:r>
      <w:bookmarkEnd w:id="336"/>
      <w:bookmarkEnd w:id="337"/>
      <w:bookmarkStart w:id="343" w:name="_Toc2866"/>
      <w:bookmarkStart w:id="344" w:name="_Toc212814832"/>
    </w:p>
    <w:p w14:paraId="1B72A9A3">
      <w:pPr>
        <w:widowControl/>
        <w:spacing w:before="156" w:beforeLines="50" w:after="156" w:afterLines="50" w:line="580" w:lineRule="exact"/>
        <w:jc w:val="center"/>
        <w:outlineLvl w:val="1"/>
        <w:rPr>
          <w:rFonts w:eastAsia="黑体"/>
          <w:bCs/>
          <w:color w:val="000000"/>
          <w:kern w:val="0"/>
          <w:sz w:val="32"/>
          <w:szCs w:val="32"/>
        </w:rPr>
      </w:pPr>
      <w:bookmarkStart w:id="345" w:name="_Toc214372636"/>
      <w:bookmarkStart w:id="346" w:name="_Toc218241086"/>
      <w:bookmarkStart w:id="347" w:name="_Toc2552"/>
      <w:r>
        <w:rPr>
          <w:rFonts w:hint="eastAsia" w:eastAsia="黑体"/>
          <w:bCs/>
          <w:color w:val="000000"/>
          <w:kern w:val="0"/>
          <w:sz w:val="32"/>
          <w:szCs w:val="32"/>
        </w:rPr>
        <w:t>第十四章  推进以人为本的新型城镇化</w:t>
      </w:r>
      <w:bookmarkEnd w:id="343"/>
      <w:bookmarkEnd w:id="344"/>
      <w:bookmarkEnd w:id="345"/>
      <w:bookmarkEnd w:id="346"/>
      <w:bookmarkEnd w:id="347"/>
    </w:p>
    <w:p w14:paraId="0BFAF71D">
      <w:pPr>
        <w:pStyle w:val="15"/>
        <w:numPr>
          <w:ilvl w:val="0"/>
          <w:numId w:val="13"/>
        </w:numPr>
        <w:spacing w:before="156" w:beforeLines="50" w:after="156" w:afterLines="50" w:line="580" w:lineRule="exact"/>
        <w:ind w:left="1080" w:hanging="1080" w:firstLineChars="0"/>
        <w:jc w:val="center"/>
        <w:outlineLvl w:val="2"/>
        <w:rPr>
          <w:rFonts w:eastAsia="楷体_GB2312"/>
          <w:b/>
          <w:color w:val="000000"/>
          <w:kern w:val="0"/>
          <w:sz w:val="32"/>
          <w:szCs w:val="32"/>
        </w:rPr>
      </w:pPr>
      <w:bookmarkStart w:id="348" w:name="OLE_LINK151"/>
      <w:bookmarkStart w:id="349" w:name="_Toc13020"/>
      <w:bookmarkStart w:id="350" w:name="OLE_LINK150"/>
      <w:r>
        <w:rPr>
          <w:rFonts w:hint="eastAsia" w:eastAsia="楷体_GB2312"/>
          <w:b/>
          <w:color w:val="000000"/>
          <w:kern w:val="0"/>
          <w:sz w:val="32"/>
          <w:szCs w:val="32"/>
        </w:rPr>
        <w:t xml:space="preserve"> </w:t>
      </w:r>
      <w:bookmarkStart w:id="351" w:name="_Toc218241087"/>
      <w:r>
        <w:rPr>
          <w:rFonts w:hint="eastAsia" w:eastAsia="楷体_GB2312"/>
          <w:b/>
          <w:color w:val="000000"/>
          <w:kern w:val="0"/>
          <w:sz w:val="32"/>
          <w:szCs w:val="32"/>
        </w:rPr>
        <w:t>高标准建设康南中心城市</w:t>
      </w:r>
      <w:bookmarkEnd w:id="348"/>
      <w:bookmarkEnd w:id="349"/>
      <w:bookmarkEnd w:id="350"/>
      <w:bookmarkEnd w:id="351"/>
    </w:p>
    <w:p w14:paraId="63B5F194">
      <w:pPr>
        <w:pStyle w:val="3"/>
        <w:ind w:firstLine="640" w:firstLineChars="200"/>
        <w:rPr>
          <w:rFonts w:eastAsia="仿宋_GB2312"/>
        </w:rPr>
      </w:pPr>
      <w:r>
        <w:rPr>
          <w:rFonts w:hint="eastAsia" w:eastAsia="仿宋_GB2312"/>
          <w:sz w:val="32"/>
          <w:szCs w:val="32"/>
        </w:rPr>
        <w:t>根据州域副中心（康南中心）定位，大力推进新型城镇化，优化城市空间布局，加快构建现代基础设施体系，高标准打造站城、景城、文城、产城、创城“五城一体”的文商农旅综合性城市，全面提升要素集聚力、产业支撑力、创新驱动力、开放引领力、文化影响力和美好生活创造力，努力打造带动康南、辐射川滇结合部的州域副中心城市。</w:t>
      </w:r>
      <w:bookmarkStart w:id="352" w:name="OLE_LINK190"/>
      <w:bookmarkStart w:id="353" w:name="OLE_LINK187"/>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96"/>
      </w:tblGrid>
      <w:tr w14:paraId="2C5C8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6" w:type="dxa"/>
            <w:tcBorders>
              <w:top w:val="single" w:color="auto" w:sz="4" w:space="0"/>
              <w:left w:val="single" w:color="auto" w:sz="4" w:space="0"/>
              <w:bottom w:val="single" w:color="auto" w:sz="4" w:space="0"/>
              <w:right w:val="single" w:color="auto" w:sz="4" w:space="0"/>
            </w:tcBorders>
            <w:shd w:val="clear" w:color="auto" w:fill="auto"/>
          </w:tcPr>
          <w:p w14:paraId="67B3468D">
            <w:pPr>
              <w:pStyle w:val="10"/>
              <w:snapToGrid w:val="0"/>
              <w:spacing w:before="156" w:beforeLines="50" w:after="156" w:afterLines="50"/>
              <w:ind w:left="0" w:leftChars="0" w:firstLine="643" w:firstLineChars="0"/>
              <w:jc w:val="center"/>
              <w:rPr>
                <w:rFonts w:eastAsia="楷体_GB2312" w:cs="Times New Roman"/>
                <w:b/>
                <w:sz w:val="32"/>
                <w:szCs w:val="32"/>
              </w:rPr>
            </w:pPr>
            <w:r>
              <w:rPr>
                <w:rFonts w:hint="eastAsia" w:ascii="Times New Roman" w:hAnsi="Times New Roman" w:eastAsia="楷体_GB2312" w:cs="Times New Roman"/>
                <w:b/>
                <w:sz w:val="28"/>
                <w:szCs w:val="28"/>
              </w:rPr>
              <w:t>专栏20  “十五五”时期康南中心城市建设重点</w:t>
            </w:r>
          </w:p>
        </w:tc>
      </w:tr>
      <w:tr w14:paraId="0FB1A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6" w:type="dxa"/>
            <w:tcBorders>
              <w:top w:val="single" w:color="auto" w:sz="4" w:space="0"/>
              <w:left w:val="single" w:color="auto" w:sz="4" w:space="0"/>
              <w:bottom w:val="single" w:color="auto" w:sz="4" w:space="0"/>
              <w:right w:val="single" w:color="auto" w:sz="4" w:space="0"/>
            </w:tcBorders>
            <w:shd w:val="clear" w:color="auto" w:fill="auto"/>
          </w:tcPr>
          <w:p w14:paraId="39404E85">
            <w:pPr>
              <w:pStyle w:val="16"/>
              <w:snapToGrid w:val="0"/>
              <w:spacing w:line="312" w:lineRule="auto"/>
              <w:ind w:firstLine="538"/>
              <w:rPr>
                <w:rFonts w:eastAsia="楷体_GB2312" w:cs="Times New Roman"/>
                <w:spacing w:val="-6"/>
                <w:sz w:val="28"/>
                <w:szCs w:val="28"/>
              </w:rPr>
            </w:pPr>
            <w:r>
              <w:rPr>
                <w:rFonts w:hint="eastAsia" w:eastAsia="楷体_GB2312" w:cs="Times New Roman"/>
                <w:b/>
                <w:spacing w:val="-6"/>
                <w:sz w:val="28"/>
                <w:szCs w:val="28"/>
              </w:rPr>
              <w:t>1.完善城镇体系。</w:t>
            </w:r>
            <w:r>
              <w:rPr>
                <w:rFonts w:hint="eastAsia" w:eastAsia="楷体_GB2312" w:cs="Times New Roman"/>
                <w:spacing w:val="-6"/>
                <w:sz w:val="28"/>
                <w:szCs w:val="28"/>
              </w:rPr>
              <w:t>分梯度推进城镇建设，强化中心城区带动引领作用，加大片区中心城镇辐射带动作用，增强特色乡镇支撑作用，构建以县城为核心、片区中心城镇和特色乡镇支撑的新型城镇体系。</w:t>
            </w:r>
          </w:p>
          <w:p w14:paraId="58BC27F6">
            <w:pPr>
              <w:pStyle w:val="16"/>
              <w:snapToGrid w:val="0"/>
              <w:spacing w:line="312" w:lineRule="auto"/>
              <w:ind w:firstLine="538"/>
              <w:rPr>
                <w:rFonts w:eastAsia="楷体_GB2312" w:cs="Times New Roman"/>
                <w:b/>
                <w:spacing w:val="-6"/>
                <w:sz w:val="28"/>
                <w:szCs w:val="28"/>
              </w:rPr>
            </w:pPr>
            <w:r>
              <w:rPr>
                <w:rFonts w:hint="eastAsia" w:eastAsia="楷体_GB2312" w:cs="Times New Roman"/>
                <w:b/>
                <w:spacing w:val="-6"/>
                <w:sz w:val="28"/>
                <w:szCs w:val="28"/>
              </w:rPr>
              <w:t>2.优化中心城区功能布局。</w:t>
            </w:r>
            <w:r>
              <w:rPr>
                <w:rFonts w:hint="eastAsia" w:eastAsia="楷体_GB2312" w:cs="Times New Roman"/>
                <w:spacing w:val="-6"/>
                <w:sz w:val="28"/>
                <w:szCs w:val="28"/>
              </w:rPr>
              <w:t>充分衔接城镇开发边界线，深入实施</w:t>
            </w:r>
            <w:r>
              <w:rPr>
                <w:rFonts w:eastAsia="楷体_GB2312" w:cs="Times New Roman"/>
                <w:spacing w:val="-6"/>
                <w:sz w:val="28"/>
                <w:szCs w:val="28"/>
              </w:rPr>
              <w:t>“</w:t>
            </w:r>
            <w:r>
              <w:rPr>
                <w:rFonts w:hint="eastAsia" w:eastAsia="楷体_GB2312" w:cs="Times New Roman"/>
                <w:spacing w:val="-6"/>
                <w:sz w:val="28"/>
                <w:szCs w:val="28"/>
              </w:rPr>
              <w:t>北控、南拓、中优</w:t>
            </w:r>
            <w:r>
              <w:rPr>
                <w:rFonts w:eastAsia="楷体_GB2312" w:cs="Times New Roman"/>
                <w:spacing w:val="-6"/>
                <w:sz w:val="28"/>
                <w:szCs w:val="28"/>
              </w:rPr>
              <w:t>”</w:t>
            </w:r>
            <w:r>
              <w:rPr>
                <w:rFonts w:hint="eastAsia" w:eastAsia="楷体_GB2312" w:cs="Times New Roman"/>
                <w:spacing w:val="-6"/>
                <w:sz w:val="28"/>
                <w:szCs w:val="28"/>
              </w:rPr>
              <w:t>空间开发要求，优化调整综合服务、居住生活、商业商务、绿地休闲、交通枢纽、工业发展、物流仓储等功能布局，形成“一城两圈五区”协同发展空间格局，加快推进城区有序发展。</w:t>
            </w:r>
          </w:p>
          <w:p w14:paraId="58D72DB7">
            <w:pPr>
              <w:pStyle w:val="16"/>
              <w:snapToGrid w:val="0"/>
              <w:spacing w:line="312" w:lineRule="auto"/>
              <w:ind w:firstLine="538"/>
              <w:rPr>
                <w:rFonts w:eastAsia="楷体_GB2312" w:cs="Times New Roman"/>
                <w:b/>
                <w:spacing w:val="-6"/>
                <w:sz w:val="28"/>
                <w:szCs w:val="28"/>
              </w:rPr>
            </w:pPr>
            <w:r>
              <w:rPr>
                <w:rFonts w:hint="eastAsia" w:eastAsia="楷体_GB2312" w:cs="Times New Roman"/>
                <w:b/>
                <w:spacing w:val="-6"/>
                <w:sz w:val="28"/>
                <w:szCs w:val="28"/>
              </w:rPr>
              <w:t>3.推进“五城一体”建设。</w:t>
            </w:r>
          </w:p>
          <w:p w14:paraId="405D3FA6">
            <w:pPr>
              <w:pStyle w:val="16"/>
              <w:snapToGrid w:val="0"/>
              <w:spacing w:line="312" w:lineRule="auto"/>
              <w:ind w:firstLine="538"/>
              <w:rPr>
                <w:rFonts w:eastAsia="楷体_GB2312" w:cs="Times New Roman"/>
                <w:spacing w:val="-6"/>
                <w:sz w:val="28"/>
                <w:szCs w:val="28"/>
              </w:rPr>
            </w:pPr>
            <w:r>
              <w:rPr>
                <w:rFonts w:hint="eastAsia" w:eastAsia="楷体_GB2312" w:cs="Times New Roman"/>
                <w:b/>
                <w:spacing w:val="-6"/>
                <w:sz w:val="28"/>
                <w:szCs w:val="28"/>
              </w:rPr>
              <w:t>站城一体建设。</w:t>
            </w:r>
            <w:r>
              <w:rPr>
                <w:rFonts w:hint="eastAsia" w:eastAsia="楷体_GB2312" w:cs="Times New Roman"/>
                <w:spacing w:val="-6"/>
                <w:sz w:val="28"/>
                <w:szCs w:val="28"/>
              </w:rPr>
              <w:t>以理塘站为依托，联动公路、航空立体交通网络，打造康南交通集散与文化展示的高原特色站城融合发展样板，为康南区域协同发展提供空间载体。通过“功能一体化、交通一体化、空间一体化“，打造集交通换乘、旅游集散、商贸流通、公共服务、文旅消费等于一体的站城融合示范区。其中重点项目为理塘站、康南集散中心与康南文化之窗。</w:t>
            </w:r>
          </w:p>
          <w:p w14:paraId="0FBEBE4A">
            <w:pPr>
              <w:pStyle w:val="16"/>
              <w:snapToGrid w:val="0"/>
              <w:spacing w:line="312" w:lineRule="auto"/>
              <w:ind w:firstLine="538"/>
              <w:rPr>
                <w:rFonts w:eastAsia="楷体_GB2312" w:cs="Times New Roman"/>
                <w:spacing w:val="-6"/>
                <w:sz w:val="28"/>
                <w:szCs w:val="28"/>
              </w:rPr>
            </w:pPr>
            <w:r>
              <w:rPr>
                <w:rFonts w:hint="eastAsia" w:eastAsia="楷体_GB2312" w:cs="Times New Roman"/>
                <w:b/>
                <w:spacing w:val="-6"/>
                <w:sz w:val="28"/>
                <w:szCs w:val="28"/>
              </w:rPr>
              <w:t>景城一体建设。</w:t>
            </w:r>
            <w:r>
              <w:rPr>
                <w:rFonts w:hint="eastAsia" w:eastAsia="楷体_GB2312" w:cs="Times New Roman"/>
                <w:spacing w:val="-6"/>
                <w:sz w:val="28"/>
                <w:szCs w:val="28"/>
              </w:rPr>
              <w:t>提质升级</w:t>
            </w:r>
            <w:r>
              <w:rPr>
                <w:rFonts w:eastAsia="楷体_GB2312" w:cs="Times New Roman"/>
                <w:spacing w:val="-6"/>
                <w:sz w:val="28"/>
                <w:szCs w:val="28"/>
              </w:rPr>
              <w:t>“</w:t>
            </w:r>
            <w:r>
              <w:rPr>
                <w:rFonts w:hint="eastAsia" w:eastAsia="楷体_GB2312" w:cs="Times New Roman"/>
                <w:spacing w:val="-6"/>
                <w:sz w:val="28"/>
                <w:szCs w:val="28"/>
              </w:rPr>
              <w:t>千户藏寨文化景区</w:t>
            </w:r>
            <w:r>
              <w:rPr>
                <w:rFonts w:eastAsia="楷体_GB2312" w:cs="Times New Roman"/>
                <w:spacing w:val="-6"/>
                <w:sz w:val="28"/>
                <w:szCs w:val="28"/>
              </w:rPr>
              <w:t>”</w:t>
            </w:r>
            <w:r>
              <w:rPr>
                <w:rFonts w:hint="eastAsia" w:eastAsia="楷体_GB2312" w:cs="Times New Roman"/>
                <w:spacing w:val="-6"/>
                <w:sz w:val="28"/>
                <w:szCs w:val="28"/>
              </w:rPr>
              <w:t>和</w:t>
            </w:r>
            <w:r>
              <w:rPr>
                <w:rFonts w:eastAsia="楷体_GB2312" w:cs="Times New Roman"/>
                <w:spacing w:val="-6"/>
                <w:sz w:val="28"/>
                <w:szCs w:val="28"/>
              </w:rPr>
              <w:t>“</w:t>
            </w:r>
            <w:r>
              <w:rPr>
                <w:rFonts w:hint="eastAsia" w:eastAsia="楷体_GB2312" w:cs="Times New Roman"/>
                <w:spacing w:val="-6"/>
                <w:sz w:val="28"/>
                <w:szCs w:val="28"/>
              </w:rPr>
              <w:t>村戈温泉度假景区</w:t>
            </w:r>
            <w:r>
              <w:rPr>
                <w:rFonts w:eastAsia="楷体_GB2312" w:cs="Times New Roman"/>
                <w:spacing w:val="-6"/>
                <w:sz w:val="28"/>
                <w:szCs w:val="28"/>
              </w:rPr>
              <w:t>”</w:t>
            </w:r>
            <w:r>
              <w:rPr>
                <w:rFonts w:hint="eastAsia" w:eastAsia="楷体_GB2312" w:cs="Times New Roman"/>
                <w:spacing w:val="-6"/>
                <w:sz w:val="28"/>
                <w:szCs w:val="28"/>
              </w:rPr>
              <w:t>等景区景点，串珠成链，构建生态观光环线、文化体验环线和转山游水环线等线路，全方位展示理塘人文底蕴与诗情画意魅力场景。</w:t>
            </w:r>
          </w:p>
          <w:p w14:paraId="5170FB5A">
            <w:pPr>
              <w:pStyle w:val="16"/>
              <w:snapToGrid w:val="0"/>
              <w:spacing w:line="312" w:lineRule="auto"/>
              <w:ind w:firstLine="538"/>
              <w:rPr>
                <w:rFonts w:eastAsia="楷体_GB2312" w:cs="Times New Roman"/>
                <w:b/>
                <w:spacing w:val="-6"/>
                <w:sz w:val="28"/>
                <w:szCs w:val="28"/>
              </w:rPr>
            </w:pPr>
            <w:r>
              <w:rPr>
                <w:rFonts w:hint="eastAsia" w:eastAsia="楷体_GB2312" w:cs="Times New Roman"/>
                <w:b/>
                <w:spacing w:val="-6"/>
                <w:sz w:val="28"/>
                <w:szCs w:val="28"/>
              </w:rPr>
              <w:t>文城一体建设。</w:t>
            </w:r>
            <w:r>
              <w:rPr>
                <w:rFonts w:hint="eastAsia" w:eastAsia="楷体_GB2312" w:cs="Times New Roman"/>
                <w:spacing w:val="-6"/>
                <w:sz w:val="28"/>
                <w:szCs w:val="28"/>
              </w:rPr>
              <w:t>充分挖掘民族文化、红色文化、非遗文化、生态文化、赛马文化等资源，加强文化资源保护、传承、活化利用，结合主题公园打造，博物馆、展览馆建设，深度推进文旅融合，建设康南文化之窗。</w:t>
            </w:r>
          </w:p>
          <w:p w14:paraId="60EE6C48">
            <w:pPr>
              <w:pStyle w:val="16"/>
              <w:snapToGrid w:val="0"/>
              <w:spacing w:line="312" w:lineRule="auto"/>
              <w:ind w:firstLine="538"/>
              <w:rPr>
                <w:rFonts w:eastAsia="楷体_GB2312" w:cs="Times New Roman"/>
                <w:spacing w:val="-6"/>
                <w:sz w:val="28"/>
                <w:szCs w:val="28"/>
              </w:rPr>
            </w:pPr>
            <w:r>
              <w:rPr>
                <w:rFonts w:hint="eastAsia" w:eastAsia="楷体_GB2312" w:cs="Times New Roman"/>
                <w:b/>
                <w:spacing w:val="-6"/>
                <w:sz w:val="28"/>
                <w:szCs w:val="28"/>
              </w:rPr>
              <w:t>产城一体建设。</w:t>
            </w:r>
            <w:r>
              <w:rPr>
                <w:rFonts w:hint="eastAsia" w:eastAsia="楷体_GB2312" w:cs="Times New Roman"/>
                <w:spacing w:val="-6"/>
                <w:sz w:val="28"/>
                <w:szCs w:val="28"/>
              </w:rPr>
              <w:t>依托康南农牧产品加工、物流港建设等载体，持续强化现代化产业体系建设，促进商贸服务业优化升级，打造康南商贸展销中心、电商双创孵化园等，推进</w:t>
            </w:r>
            <w:r>
              <w:rPr>
                <w:rFonts w:eastAsia="楷体_GB2312" w:cs="Times New Roman"/>
                <w:spacing w:val="-6"/>
                <w:sz w:val="28"/>
                <w:szCs w:val="28"/>
              </w:rPr>
              <w:t>“</w:t>
            </w:r>
            <w:r>
              <w:rPr>
                <w:rFonts w:hint="eastAsia" w:eastAsia="楷体_GB2312" w:cs="Times New Roman"/>
                <w:spacing w:val="-6"/>
                <w:sz w:val="28"/>
                <w:szCs w:val="28"/>
              </w:rPr>
              <w:t>生产、加工、储运、推广、销售</w:t>
            </w:r>
            <w:r>
              <w:rPr>
                <w:rFonts w:eastAsia="楷体_GB2312" w:cs="Times New Roman"/>
                <w:spacing w:val="-6"/>
                <w:sz w:val="28"/>
                <w:szCs w:val="28"/>
              </w:rPr>
              <w:t>”</w:t>
            </w:r>
            <w:r>
              <w:rPr>
                <w:rFonts w:hint="eastAsia" w:eastAsia="楷体_GB2312" w:cs="Times New Roman"/>
                <w:spacing w:val="-6"/>
                <w:sz w:val="28"/>
                <w:szCs w:val="28"/>
              </w:rPr>
              <w:t>全链条升级，实现固基强本。</w:t>
            </w:r>
          </w:p>
          <w:p w14:paraId="4DA1F66F">
            <w:pPr>
              <w:pStyle w:val="16"/>
              <w:snapToGrid w:val="0"/>
              <w:spacing w:line="312" w:lineRule="auto"/>
              <w:ind w:firstLine="538"/>
              <w:rPr>
                <w:rFonts w:eastAsia="楷体_GB2312" w:cs="Times New Roman"/>
                <w:spacing w:val="-6"/>
                <w:sz w:val="28"/>
                <w:szCs w:val="28"/>
              </w:rPr>
            </w:pPr>
            <w:r>
              <w:rPr>
                <w:rFonts w:hint="eastAsia" w:eastAsia="楷体_GB2312" w:cs="Times New Roman"/>
                <w:b/>
                <w:spacing w:val="-6"/>
                <w:sz w:val="28"/>
                <w:szCs w:val="28"/>
              </w:rPr>
              <w:t>创城一体建设。</w:t>
            </w:r>
            <w:r>
              <w:rPr>
                <w:rFonts w:hint="eastAsia" w:eastAsia="楷体_GB2312" w:cs="Times New Roman"/>
                <w:spacing w:val="-6"/>
                <w:sz w:val="28"/>
                <w:szCs w:val="28"/>
              </w:rPr>
              <w:t>全面体现创新城市发展理念，在创兴城市运营、创强城市管理、创新产业发展等方面着力，提升城市影响力，吸引力。</w:t>
            </w:r>
          </w:p>
        </w:tc>
      </w:tr>
      <w:bookmarkEnd w:id="352"/>
      <w:bookmarkEnd w:id="353"/>
    </w:tbl>
    <w:p w14:paraId="305132DF">
      <w:pPr>
        <w:pStyle w:val="15"/>
        <w:numPr>
          <w:ilvl w:val="0"/>
          <w:numId w:val="13"/>
        </w:numPr>
        <w:spacing w:before="156" w:beforeLines="50" w:after="156" w:afterLines="50" w:line="580" w:lineRule="exact"/>
        <w:ind w:left="1080" w:firstLine="1606" w:firstLineChars="0"/>
        <w:outlineLvl w:val="2"/>
        <w:rPr>
          <w:rFonts w:eastAsia="楷体_GB2312"/>
          <w:b/>
          <w:color w:val="000000"/>
          <w:kern w:val="0"/>
          <w:sz w:val="32"/>
          <w:szCs w:val="32"/>
        </w:rPr>
      </w:pPr>
      <w:bookmarkStart w:id="354" w:name="OLE_LINK176"/>
      <w:bookmarkEnd w:id="354"/>
      <w:bookmarkStart w:id="355" w:name="OLE_LINK175"/>
      <w:bookmarkEnd w:id="355"/>
      <w:bookmarkStart w:id="356" w:name="_Toc1154"/>
      <w:r>
        <w:rPr>
          <w:rFonts w:hint="eastAsia" w:eastAsia="楷体_GB2312"/>
          <w:b/>
          <w:color w:val="000000"/>
          <w:kern w:val="0"/>
          <w:sz w:val="32"/>
          <w:szCs w:val="32"/>
        </w:rPr>
        <w:t xml:space="preserve"> </w:t>
      </w:r>
      <w:bookmarkStart w:id="357" w:name="_Toc218241088"/>
      <w:r>
        <w:rPr>
          <w:rFonts w:hint="eastAsia" w:eastAsia="楷体_GB2312"/>
          <w:b/>
          <w:color w:val="000000"/>
          <w:kern w:val="0"/>
          <w:sz w:val="32"/>
          <w:szCs w:val="32"/>
        </w:rPr>
        <w:t>大力推进</w:t>
      </w:r>
      <w:bookmarkStart w:id="358" w:name="OLE_LINK191"/>
      <w:r>
        <w:rPr>
          <w:rFonts w:hint="eastAsia" w:eastAsia="楷体_GB2312"/>
          <w:b/>
          <w:color w:val="000000"/>
          <w:kern w:val="0"/>
          <w:sz w:val="32"/>
          <w:szCs w:val="32"/>
        </w:rPr>
        <w:t>城市有机更新</w:t>
      </w:r>
      <w:bookmarkEnd w:id="356"/>
      <w:bookmarkEnd w:id="357"/>
      <w:bookmarkEnd w:id="358"/>
    </w:p>
    <w:p w14:paraId="3E743AD9">
      <w:pPr>
        <w:ind w:firstLine="640" w:firstLineChars="200"/>
        <w:rPr>
          <w:rFonts w:eastAsia="仿宋_GB2312"/>
          <w:sz w:val="32"/>
          <w:szCs w:val="32"/>
        </w:rPr>
      </w:pPr>
      <w:r>
        <w:rPr>
          <w:rFonts w:hint="eastAsia" w:eastAsia="仿宋_GB2312"/>
          <w:bCs/>
          <w:sz w:val="32"/>
          <w:szCs w:val="32"/>
        </w:rPr>
        <w:t>聚焦“创高原特色人居”目标，以“</w:t>
      </w:r>
      <w:bookmarkStart w:id="359" w:name="OLE_LINK182"/>
      <w:bookmarkStart w:id="360" w:name="OLE_LINK181"/>
      <w:r>
        <w:rPr>
          <w:rFonts w:hint="eastAsia" w:eastAsia="仿宋_GB2312"/>
          <w:bCs/>
          <w:sz w:val="32"/>
          <w:szCs w:val="32"/>
        </w:rPr>
        <w:t>三改、四补、五提、两优</w:t>
      </w:r>
      <w:bookmarkEnd w:id="359"/>
      <w:bookmarkEnd w:id="360"/>
      <w:r>
        <w:rPr>
          <w:rFonts w:hint="eastAsia" w:eastAsia="仿宋_GB2312"/>
          <w:bCs/>
          <w:sz w:val="32"/>
          <w:szCs w:val="32"/>
        </w:rPr>
        <w:t>”为抓手，深入实施城市有机更新行动。统筹市政基础设施布局和建设，加强城镇排涝防洪设施、生活垃圾及污水处理设施、供暖供氧供气综合管廊建设，推进老旧小区更新改造，提升城市道路通达通畅度，</w:t>
      </w:r>
      <w:r>
        <w:rPr>
          <w:rFonts w:hint="eastAsia" w:eastAsia="仿宋_GB2312"/>
          <w:sz w:val="32"/>
          <w:szCs w:val="32"/>
        </w:rPr>
        <w:t>加快补齐市政基础设施、公共服务设施、城市环卫设施等短板，</w:t>
      </w:r>
      <w:r>
        <w:rPr>
          <w:rFonts w:hint="eastAsia" w:eastAsia="仿宋_GB2312"/>
          <w:bCs/>
          <w:sz w:val="32"/>
          <w:szCs w:val="32"/>
        </w:rPr>
        <w:t>全面提高城市综合承载能力。</w:t>
      </w:r>
      <w:r>
        <w:rPr>
          <w:rFonts w:eastAsia="仿宋_GB2312"/>
          <w:bCs/>
          <w:sz w:val="32"/>
          <w:szCs w:val="32"/>
        </w:rPr>
        <w:t>建设城区生态绿道，规划建设人工湿地，塑造特色历史文化场景</w:t>
      </w:r>
      <w:r>
        <w:rPr>
          <w:rFonts w:eastAsia="仿宋_GB2312"/>
          <w:sz w:val="32"/>
          <w:szCs w:val="32"/>
        </w:rPr>
        <w:t>。探索新一代信息技术与城市基础设施建设深度融合，夯实城市治理、民生服务等“数字理塘”</w:t>
      </w:r>
      <w:r>
        <w:rPr>
          <w:rFonts w:hint="eastAsia" w:eastAsia="仿宋_GB2312"/>
          <w:sz w:val="32"/>
          <w:szCs w:val="32"/>
        </w:rPr>
        <w:t>城市建设底座，打造</w:t>
      </w:r>
      <w:r>
        <w:rPr>
          <w:rFonts w:eastAsia="仿宋_GB2312"/>
          <w:sz w:val="32"/>
          <w:szCs w:val="32"/>
        </w:rPr>
        <w:t>创新、宜居、美丽、韧性、文明、智慧</w:t>
      </w:r>
      <w:r>
        <w:rPr>
          <w:rFonts w:eastAsia="仿宋_GB2312"/>
          <w:bCs/>
          <w:sz w:val="32"/>
          <w:szCs w:val="32"/>
        </w:rPr>
        <w:t>的高原“天空之城”</w:t>
      </w:r>
      <w:r>
        <w:rPr>
          <w:rFonts w:hint="eastAsia" w:eastAsia="仿宋_GB2312"/>
          <w:bCs/>
          <w:sz w:val="32"/>
          <w:szCs w:val="32"/>
        </w:rPr>
        <w:t>。</w:t>
      </w: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96"/>
      </w:tblGrid>
      <w:tr w14:paraId="035E3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296" w:type="dxa"/>
            <w:tcBorders>
              <w:top w:val="single" w:color="auto" w:sz="4" w:space="0"/>
              <w:left w:val="single" w:color="auto" w:sz="4" w:space="0"/>
              <w:bottom w:val="single" w:color="auto" w:sz="4" w:space="0"/>
              <w:right w:val="single" w:color="auto" w:sz="4" w:space="0"/>
            </w:tcBorders>
            <w:shd w:val="clear" w:color="auto" w:fill="auto"/>
          </w:tcPr>
          <w:p w14:paraId="080E5CB2">
            <w:pPr>
              <w:pStyle w:val="10"/>
              <w:snapToGrid w:val="0"/>
              <w:spacing w:before="156" w:beforeLines="50" w:after="156" w:afterLines="50" w:line="440" w:lineRule="exact"/>
              <w:ind w:left="0" w:leftChars="0" w:firstLine="643" w:firstLineChars="0"/>
              <w:jc w:val="center"/>
              <w:rPr>
                <w:rFonts w:eastAsia="楷体_GB2312" w:cs="Times New Roman"/>
                <w:b/>
                <w:sz w:val="32"/>
                <w:szCs w:val="32"/>
              </w:rPr>
            </w:pPr>
            <w:bookmarkStart w:id="361" w:name="OLE_LINK135"/>
            <w:bookmarkStart w:id="362" w:name="OLE_LINK134"/>
            <w:r>
              <w:rPr>
                <w:rFonts w:hint="eastAsia" w:ascii="Times New Roman" w:hAnsi="Times New Roman" w:eastAsia="楷体_GB2312" w:cs="Times New Roman"/>
                <w:b/>
                <w:sz w:val="28"/>
                <w:szCs w:val="28"/>
              </w:rPr>
              <w:t>专栏21  “十五五”时期城市有机更新建设重点</w:t>
            </w:r>
          </w:p>
        </w:tc>
      </w:tr>
      <w:tr w14:paraId="10862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6" w:type="dxa"/>
            <w:tcBorders>
              <w:top w:val="single" w:color="auto" w:sz="4" w:space="0"/>
              <w:left w:val="single" w:color="auto" w:sz="4" w:space="0"/>
              <w:bottom w:val="single" w:color="auto" w:sz="4" w:space="0"/>
              <w:right w:val="single" w:color="auto" w:sz="4" w:space="0"/>
            </w:tcBorders>
            <w:shd w:val="clear" w:color="auto" w:fill="auto"/>
          </w:tcPr>
          <w:p w14:paraId="543D2F96">
            <w:pPr>
              <w:pStyle w:val="16"/>
              <w:snapToGrid w:val="0"/>
              <w:spacing w:line="440" w:lineRule="exact"/>
              <w:ind w:firstLine="538"/>
              <w:rPr>
                <w:rFonts w:eastAsia="楷体_GB2312" w:cs="Times New Roman"/>
                <w:spacing w:val="-6"/>
                <w:sz w:val="28"/>
                <w:szCs w:val="28"/>
              </w:rPr>
            </w:pPr>
            <w:r>
              <w:rPr>
                <w:rFonts w:hint="eastAsia" w:eastAsia="楷体_GB2312" w:cs="Times New Roman"/>
                <w:b/>
                <w:spacing w:val="-6"/>
                <w:sz w:val="28"/>
                <w:szCs w:val="28"/>
              </w:rPr>
              <w:t>1.旧城区改造。</w:t>
            </w:r>
            <w:r>
              <w:rPr>
                <w:rFonts w:hint="eastAsia" w:eastAsia="楷体_GB2312" w:cs="Times New Roman"/>
                <w:spacing w:val="-6"/>
                <w:sz w:val="28"/>
                <w:szCs w:val="28"/>
              </w:rPr>
              <w:t>重点推进城中村、老旧小区改造和老旧建筑加固更新，改造街道、小区老化管线管道，整治棚户区人行走道、排风烟道等，全力消除安全隐患，推动有条件的既有住宅加装电梯。</w:t>
            </w:r>
          </w:p>
          <w:p w14:paraId="4A7844C4">
            <w:pPr>
              <w:pStyle w:val="16"/>
              <w:snapToGrid w:val="0"/>
              <w:spacing w:line="440" w:lineRule="exact"/>
              <w:ind w:firstLine="538"/>
              <w:rPr>
                <w:rFonts w:eastAsia="楷体_GB2312" w:cs="Times New Roman"/>
                <w:spacing w:val="-6"/>
                <w:sz w:val="28"/>
                <w:szCs w:val="28"/>
              </w:rPr>
            </w:pPr>
            <w:r>
              <w:rPr>
                <w:rFonts w:hint="eastAsia" w:eastAsia="楷体_GB2312" w:cs="Times New Roman"/>
                <w:b/>
                <w:spacing w:val="-6"/>
                <w:sz w:val="28"/>
                <w:szCs w:val="28"/>
              </w:rPr>
              <w:t>2.城市基础设施改造</w:t>
            </w:r>
            <w:r>
              <w:rPr>
                <w:rFonts w:hint="eastAsia" w:eastAsia="楷体_GB2312" w:cs="Times New Roman"/>
                <w:spacing w:val="-6"/>
                <w:sz w:val="28"/>
                <w:szCs w:val="28"/>
              </w:rPr>
              <w:t>。全面排查城市基础设施风险隐患，加快推进城市燃气、供暖、供氧、供水、排水、污水等管线管网和地下综合管廊建设改造。加快市政道路、城市交通梳理、停车场建设、城市供水产能提升等项目建设。</w:t>
            </w:r>
          </w:p>
          <w:p w14:paraId="574CFE20">
            <w:pPr>
              <w:pStyle w:val="16"/>
              <w:snapToGrid w:val="0"/>
              <w:spacing w:line="440" w:lineRule="exact"/>
              <w:ind w:firstLine="538"/>
              <w:rPr>
                <w:rFonts w:eastAsia="楷体_GB2312" w:cs="Times New Roman"/>
                <w:spacing w:val="-6"/>
                <w:sz w:val="28"/>
                <w:szCs w:val="28"/>
              </w:rPr>
            </w:pPr>
            <w:r>
              <w:rPr>
                <w:rFonts w:eastAsia="楷体_GB2312" w:cs="Times New Roman"/>
                <w:b/>
                <w:spacing w:val="-6"/>
                <w:sz w:val="28"/>
                <w:szCs w:val="28"/>
              </w:rPr>
              <w:t>3.</w:t>
            </w:r>
            <w:r>
              <w:rPr>
                <w:rFonts w:hint="eastAsia" w:eastAsia="楷体_GB2312" w:cs="Times New Roman"/>
                <w:b/>
                <w:spacing w:val="-6"/>
                <w:sz w:val="28"/>
                <w:szCs w:val="28"/>
              </w:rPr>
              <w:t>城市品质提升</w:t>
            </w:r>
            <w:r>
              <w:rPr>
                <w:rFonts w:hint="eastAsia" w:eastAsia="楷体_GB2312" w:cs="Times New Roman"/>
                <w:spacing w:val="-6"/>
                <w:sz w:val="28"/>
                <w:szCs w:val="28"/>
              </w:rPr>
              <w:t>。建设无量河湿地公园、康南体育公园、天空之城·星空公园、擦若溪旅游景区、若根措旅游景区、沙鲁里温泉及多旺塘旅游景区等项目。</w:t>
            </w:r>
          </w:p>
          <w:p w14:paraId="481648AA">
            <w:pPr>
              <w:pStyle w:val="16"/>
              <w:snapToGrid w:val="0"/>
              <w:spacing w:line="440" w:lineRule="exact"/>
              <w:ind w:firstLine="538"/>
              <w:rPr>
                <w:rFonts w:eastAsia="楷体_GB2312" w:cs="Times New Roman"/>
                <w:spacing w:val="-6"/>
                <w:sz w:val="28"/>
                <w:szCs w:val="28"/>
              </w:rPr>
            </w:pPr>
            <w:r>
              <w:rPr>
                <w:rFonts w:eastAsia="楷体_GB2312" w:cs="Times New Roman"/>
                <w:b/>
                <w:spacing w:val="-6"/>
                <w:sz w:val="28"/>
                <w:szCs w:val="28"/>
              </w:rPr>
              <w:t>4.</w:t>
            </w:r>
            <w:r>
              <w:rPr>
                <w:rFonts w:hint="eastAsia" w:eastAsia="楷体_GB2312" w:cs="Times New Roman"/>
                <w:b/>
                <w:spacing w:val="-6"/>
                <w:sz w:val="28"/>
                <w:szCs w:val="28"/>
              </w:rPr>
              <w:t>完整社区建设</w:t>
            </w:r>
            <w:r>
              <w:rPr>
                <w:rFonts w:hint="eastAsia" w:eastAsia="楷体_GB2312" w:cs="Times New Roman"/>
                <w:spacing w:val="-6"/>
                <w:sz w:val="28"/>
                <w:szCs w:val="28"/>
              </w:rPr>
              <w:t>。开展城市社区嵌入式服务设施建设，优化综合服务设施布局，构建“</w:t>
            </w:r>
            <w:r>
              <w:rPr>
                <w:rFonts w:eastAsia="楷体_GB2312" w:cs="Times New Roman"/>
                <w:spacing w:val="-6"/>
                <w:sz w:val="28"/>
                <w:szCs w:val="28"/>
              </w:rPr>
              <w:t>15</w:t>
            </w:r>
            <w:r>
              <w:rPr>
                <w:rFonts w:hint="eastAsia" w:eastAsia="楷体_GB2312" w:cs="Times New Roman"/>
                <w:spacing w:val="-6"/>
                <w:sz w:val="28"/>
                <w:szCs w:val="28"/>
              </w:rPr>
              <w:t>分钟便民生活圈</w:t>
            </w:r>
            <w:r>
              <w:rPr>
                <w:rFonts w:eastAsia="楷体_GB2312" w:cs="Times New Roman"/>
                <w:spacing w:val="-6"/>
                <w:sz w:val="28"/>
                <w:szCs w:val="28"/>
              </w:rPr>
              <w:t>”</w:t>
            </w:r>
            <w:r>
              <w:rPr>
                <w:rFonts w:hint="eastAsia" w:eastAsia="楷体_GB2312" w:cs="Times New Roman"/>
                <w:spacing w:val="-6"/>
                <w:sz w:val="28"/>
                <w:szCs w:val="28"/>
              </w:rPr>
              <w:t>。</w:t>
            </w:r>
          </w:p>
        </w:tc>
      </w:tr>
      <w:bookmarkEnd w:id="361"/>
      <w:bookmarkEnd w:id="362"/>
    </w:tbl>
    <w:p w14:paraId="77DA7351">
      <w:pPr>
        <w:pStyle w:val="15"/>
        <w:numPr>
          <w:ilvl w:val="0"/>
          <w:numId w:val="13"/>
        </w:numPr>
        <w:spacing w:before="156" w:beforeLines="50" w:after="156" w:afterLines="50" w:line="580" w:lineRule="exact"/>
        <w:ind w:left="1080" w:hanging="1080" w:firstLineChars="0"/>
        <w:jc w:val="center"/>
        <w:outlineLvl w:val="2"/>
        <w:rPr>
          <w:rFonts w:eastAsia="楷体_GB2312"/>
          <w:b/>
          <w:color w:val="000000"/>
          <w:kern w:val="0"/>
          <w:sz w:val="32"/>
          <w:szCs w:val="32"/>
        </w:rPr>
      </w:pPr>
      <w:bookmarkStart w:id="363" w:name="_Toc21322"/>
      <w:r>
        <w:rPr>
          <w:rFonts w:hint="eastAsia" w:eastAsia="楷体_GB2312"/>
          <w:b/>
          <w:color w:val="000000"/>
          <w:kern w:val="0"/>
          <w:sz w:val="32"/>
          <w:szCs w:val="32"/>
        </w:rPr>
        <w:t xml:space="preserve"> </w:t>
      </w:r>
      <w:bookmarkStart w:id="364" w:name="_Toc218241089"/>
      <w:r>
        <w:rPr>
          <w:rFonts w:hint="eastAsia" w:eastAsia="楷体_GB2312"/>
          <w:b/>
          <w:color w:val="000000"/>
          <w:kern w:val="0"/>
          <w:sz w:val="32"/>
          <w:szCs w:val="32"/>
        </w:rPr>
        <w:t>强化重点镇特色示范发展</w:t>
      </w:r>
      <w:bookmarkEnd w:id="363"/>
      <w:bookmarkEnd w:id="364"/>
    </w:p>
    <w:p w14:paraId="77C9F786">
      <w:pPr>
        <w:spacing w:line="580" w:lineRule="exact"/>
        <w:ind w:firstLine="640"/>
        <w:jc w:val="left"/>
        <w:rPr>
          <w:rFonts w:eastAsia="仿宋_GB2312"/>
          <w:bCs/>
          <w:sz w:val="32"/>
          <w:szCs w:val="32"/>
        </w:rPr>
      </w:pPr>
      <w:r>
        <w:rPr>
          <w:rFonts w:hint="eastAsia" w:eastAsia="仿宋_GB2312"/>
          <w:bCs/>
          <w:sz w:val="32"/>
          <w:szCs w:val="32"/>
        </w:rPr>
        <w:t>立足特色和优势，分类明确重点乡镇发展功能定位，推动重点乡镇特色化差异化发展，打造特色魅力乡镇。</w:t>
      </w: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96"/>
      </w:tblGrid>
      <w:tr w14:paraId="1DB06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296" w:type="dxa"/>
            <w:tcBorders>
              <w:top w:val="single" w:color="auto" w:sz="4" w:space="0"/>
              <w:left w:val="single" w:color="auto" w:sz="4" w:space="0"/>
              <w:bottom w:val="single" w:color="auto" w:sz="4" w:space="0"/>
              <w:right w:val="single" w:color="auto" w:sz="4" w:space="0"/>
            </w:tcBorders>
            <w:shd w:val="clear" w:color="auto" w:fill="auto"/>
          </w:tcPr>
          <w:p w14:paraId="449F054D">
            <w:pPr>
              <w:pStyle w:val="10"/>
              <w:snapToGrid w:val="0"/>
              <w:spacing w:before="156" w:beforeLines="50" w:after="156" w:afterLines="50" w:line="440" w:lineRule="exact"/>
              <w:ind w:left="0" w:leftChars="0" w:firstLine="643" w:firstLineChars="0"/>
              <w:jc w:val="center"/>
              <w:rPr>
                <w:rFonts w:eastAsia="楷体_GB2312" w:cs="Times New Roman"/>
                <w:b/>
                <w:sz w:val="32"/>
                <w:szCs w:val="32"/>
              </w:rPr>
            </w:pPr>
            <w:r>
              <w:rPr>
                <w:rFonts w:hint="eastAsia" w:ascii="Times New Roman" w:hAnsi="Times New Roman" w:eastAsia="楷体_GB2312" w:cs="Times New Roman"/>
                <w:b/>
                <w:sz w:val="28"/>
                <w:szCs w:val="28"/>
              </w:rPr>
              <w:t>专栏22  “十五五”时期重点镇特色镇建设</w:t>
            </w:r>
          </w:p>
        </w:tc>
      </w:tr>
      <w:tr w14:paraId="5A99D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6" w:type="dxa"/>
            <w:tcBorders>
              <w:top w:val="single" w:color="auto" w:sz="4" w:space="0"/>
              <w:left w:val="single" w:color="auto" w:sz="4" w:space="0"/>
              <w:bottom w:val="single" w:color="auto" w:sz="4" w:space="0"/>
              <w:right w:val="single" w:color="auto" w:sz="4" w:space="0"/>
            </w:tcBorders>
            <w:shd w:val="clear" w:color="auto" w:fill="auto"/>
          </w:tcPr>
          <w:p w14:paraId="6BC7853A">
            <w:pPr>
              <w:pStyle w:val="16"/>
              <w:snapToGrid w:val="0"/>
              <w:spacing w:line="440" w:lineRule="exact"/>
              <w:ind w:firstLine="538"/>
              <w:rPr>
                <w:rFonts w:eastAsia="楷体_GB2312" w:cs="Times New Roman"/>
                <w:spacing w:val="-6"/>
                <w:sz w:val="28"/>
                <w:szCs w:val="28"/>
              </w:rPr>
            </w:pPr>
            <w:r>
              <w:rPr>
                <w:rFonts w:eastAsia="楷体_GB2312" w:cs="Times New Roman"/>
                <w:b/>
                <w:spacing w:val="-6"/>
                <w:sz w:val="28"/>
                <w:szCs w:val="28"/>
              </w:rPr>
              <w:t>1.</w:t>
            </w:r>
            <w:r>
              <w:rPr>
                <w:rFonts w:hint="eastAsia" w:eastAsia="楷体_GB2312" w:cs="Times New Roman"/>
                <w:b/>
                <w:spacing w:val="-6"/>
                <w:sz w:val="28"/>
                <w:szCs w:val="28"/>
              </w:rPr>
              <w:t>推动甲洼镇打造川滇商贸服务重镇</w:t>
            </w:r>
            <w:r>
              <w:rPr>
                <w:rFonts w:hint="eastAsia" w:eastAsia="楷体_GB2312" w:cs="Times New Roman"/>
                <w:spacing w:val="-6"/>
                <w:sz w:val="28"/>
                <w:szCs w:val="28"/>
              </w:rPr>
              <w:t>。依托</w:t>
            </w:r>
            <w:r>
              <w:rPr>
                <w:rFonts w:eastAsia="楷体_GB2312" w:cs="Times New Roman"/>
                <w:spacing w:val="-6"/>
                <w:sz w:val="28"/>
                <w:szCs w:val="28"/>
              </w:rPr>
              <w:t>G227</w:t>
            </w:r>
            <w:r>
              <w:rPr>
                <w:rFonts w:hint="eastAsia" w:eastAsia="楷体_GB2312" w:cs="Times New Roman"/>
                <w:spacing w:val="-6"/>
                <w:sz w:val="28"/>
                <w:szCs w:val="28"/>
              </w:rPr>
              <w:t>，充分发挥地处环格聂和环香格里拉旅游环线的重要节点优势，打造商业兴旺、交旅融合的商贸服务重镇。</w:t>
            </w:r>
          </w:p>
          <w:p w14:paraId="164A6112">
            <w:pPr>
              <w:pStyle w:val="16"/>
              <w:snapToGrid w:val="0"/>
              <w:spacing w:line="440" w:lineRule="exact"/>
              <w:ind w:firstLine="538"/>
              <w:rPr>
                <w:rFonts w:eastAsia="楷体_GB2312" w:cs="Times New Roman"/>
                <w:spacing w:val="-6"/>
                <w:sz w:val="28"/>
                <w:szCs w:val="28"/>
              </w:rPr>
            </w:pPr>
            <w:r>
              <w:rPr>
                <w:rFonts w:eastAsia="楷体_GB2312" w:cs="Times New Roman"/>
                <w:b/>
                <w:spacing w:val="-6"/>
                <w:sz w:val="28"/>
                <w:szCs w:val="28"/>
              </w:rPr>
              <w:t>2.</w:t>
            </w:r>
            <w:r>
              <w:rPr>
                <w:rFonts w:hint="eastAsia" w:eastAsia="楷体_GB2312" w:cs="Times New Roman"/>
                <w:b/>
                <w:spacing w:val="-6"/>
                <w:sz w:val="28"/>
                <w:szCs w:val="28"/>
              </w:rPr>
              <w:t>推动格聂镇打造山地旅游特色镇</w:t>
            </w:r>
            <w:r>
              <w:rPr>
                <w:rFonts w:hint="eastAsia" w:eastAsia="楷体_GB2312" w:cs="Times New Roman"/>
                <w:spacing w:val="-6"/>
                <w:sz w:val="28"/>
                <w:szCs w:val="28"/>
              </w:rPr>
              <w:t>。依托格聂山景区，完善旅游配套服务设施，发展高原山地旅游产业，打造美丽宜居、探险秘境的旅游特色小镇。</w:t>
            </w:r>
          </w:p>
          <w:p w14:paraId="3F92488D">
            <w:pPr>
              <w:pStyle w:val="16"/>
              <w:snapToGrid w:val="0"/>
              <w:spacing w:line="440" w:lineRule="exact"/>
              <w:ind w:firstLine="538"/>
              <w:rPr>
                <w:rFonts w:eastAsia="楷体_GB2312" w:cs="Times New Roman"/>
                <w:spacing w:val="-6"/>
                <w:sz w:val="28"/>
                <w:szCs w:val="28"/>
              </w:rPr>
            </w:pPr>
            <w:r>
              <w:rPr>
                <w:rFonts w:eastAsia="楷体_GB2312" w:cs="Times New Roman"/>
                <w:b/>
                <w:spacing w:val="-6"/>
                <w:sz w:val="28"/>
                <w:szCs w:val="28"/>
              </w:rPr>
              <w:t>3.</w:t>
            </w:r>
            <w:r>
              <w:rPr>
                <w:rFonts w:hint="eastAsia" w:eastAsia="楷体_GB2312" w:cs="Times New Roman"/>
                <w:b/>
                <w:spacing w:val="-6"/>
                <w:sz w:val="28"/>
                <w:szCs w:val="28"/>
              </w:rPr>
              <w:t>推动木拉镇打造片区商贸特色镇</w:t>
            </w:r>
            <w:r>
              <w:rPr>
                <w:rFonts w:hint="eastAsia" w:eastAsia="楷体_GB2312" w:cs="Times New Roman"/>
                <w:spacing w:val="-6"/>
                <w:sz w:val="28"/>
                <w:szCs w:val="28"/>
              </w:rPr>
              <w:t>。立足服务木拉片区，依托地处</w:t>
            </w:r>
            <w:r>
              <w:rPr>
                <w:rFonts w:eastAsia="楷体_GB2312" w:cs="Times New Roman"/>
                <w:spacing w:val="-6"/>
                <w:sz w:val="28"/>
                <w:szCs w:val="28"/>
              </w:rPr>
              <w:t>G318</w:t>
            </w:r>
            <w:r>
              <w:rPr>
                <w:rFonts w:hint="eastAsia" w:eastAsia="楷体_GB2312" w:cs="Times New Roman"/>
                <w:spacing w:val="-6"/>
                <w:sz w:val="28"/>
                <w:szCs w:val="28"/>
              </w:rPr>
              <w:t>旅游复线上的节点优势，打造环雪域贡嘎旅游线和环格聂山旅游线上的自驾旅游商贸特色镇。</w:t>
            </w:r>
          </w:p>
          <w:p w14:paraId="3681A7AE">
            <w:pPr>
              <w:pStyle w:val="16"/>
              <w:snapToGrid w:val="0"/>
              <w:spacing w:line="440" w:lineRule="exact"/>
              <w:ind w:firstLine="538"/>
              <w:rPr>
                <w:rFonts w:eastAsia="楷体_GB2312" w:cs="Times New Roman"/>
                <w:spacing w:val="-6"/>
                <w:sz w:val="28"/>
                <w:szCs w:val="28"/>
              </w:rPr>
            </w:pPr>
            <w:r>
              <w:rPr>
                <w:rFonts w:eastAsia="楷体_GB2312" w:cs="Times New Roman"/>
                <w:b/>
                <w:spacing w:val="-6"/>
                <w:sz w:val="28"/>
                <w:szCs w:val="28"/>
              </w:rPr>
              <w:t>4.</w:t>
            </w:r>
            <w:r>
              <w:rPr>
                <w:rFonts w:hint="eastAsia" w:eastAsia="楷体_GB2312" w:cs="Times New Roman"/>
                <w:b/>
                <w:spacing w:val="-6"/>
                <w:sz w:val="28"/>
                <w:szCs w:val="28"/>
              </w:rPr>
              <w:t>推动拉波镇打造商贸服务镇</w:t>
            </w:r>
            <w:r>
              <w:rPr>
                <w:rFonts w:hint="eastAsia" w:eastAsia="楷体_GB2312" w:cs="Times New Roman"/>
                <w:spacing w:val="-6"/>
                <w:sz w:val="28"/>
                <w:szCs w:val="28"/>
              </w:rPr>
              <w:t>。依托</w:t>
            </w:r>
            <w:r>
              <w:rPr>
                <w:rFonts w:eastAsia="楷体_GB2312" w:cs="Times New Roman"/>
                <w:spacing w:val="-6"/>
                <w:sz w:val="28"/>
                <w:szCs w:val="28"/>
              </w:rPr>
              <w:t>G549</w:t>
            </w:r>
            <w:r>
              <w:rPr>
                <w:rFonts w:hint="eastAsia" w:eastAsia="楷体_GB2312" w:cs="Times New Roman"/>
                <w:spacing w:val="-6"/>
                <w:sz w:val="28"/>
                <w:szCs w:val="28"/>
              </w:rPr>
              <w:t>九稻路</w:t>
            </w:r>
            <w:r>
              <w:rPr>
                <w:rFonts w:eastAsia="楷体_GB2312" w:cs="Times New Roman"/>
                <w:spacing w:val="-6"/>
                <w:sz w:val="28"/>
                <w:szCs w:val="28"/>
              </w:rPr>
              <w:t>,</w:t>
            </w:r>
            <w:r>
              <w:rPr>
                <w:rFonts w:hint="eastAsia" w:eastAsia="楷体_GB2312" w:cs="Times New Roman"/>
                <w:spacing w:val="-6"/>
                <w:sz w:val="28"/>
                <w:szCs w:val="28"/>
              </w:rPr>
              <w:t>充分发挥地处藏羌彝自驾旅游走廊的节点优势，打造九稻路重要商贸服务镇。</w:t>
            </w:r>
          </w:p>
          <w:p w14:paraId="39D4271B">
            <w:pPr>
              <w:pStyle w:val="16"/>
              <w:snapToGrid w:val="0"/>
              <w:spacing w:line="440" w:lineRule="exact"/>
              <w:ind w:firstLine="538"/>
              <w:rPr>
                <w:rFonts w:eastAsia="楷体_GB2312" w:cs="Times New Roman"/>
                <w:spacing w:val="-6"/>
                <w:sz w:val="28"/>
                <w:szCs w:val="28"/>
              </w:rPr>
            </w:pPr>
            <w:r>
              <w:rPr>
                <w:rFonts w:eastAsia="楷体_GB2312" w:cs="Times New Roman"/>
                <w:b/>
                <w:spacing w:val="-6"/>
                <w:sz w:val="28"/>
                <w:szCs w:val="28"/>
              </w:rPr>
              <w:t>5.</w:t>
            </w:r>
            <w:r>
              <w:rPr>
                <w:rFonts w:hint="eastAsia" w:eastAsia="楷体_GB2312" w:cs="Times New Roman"/>
                <w:b/>
                <w:spacing w:val="-6"/>
                <w:sz w:val="28"/>
                <w:szCs w:val="28"/>
              </w:rPr>
              <w:t>推动君坝镇打造农牧融合示范镇</w:t>
            </w:r>
            <w:r>
              <w:rPr>
                <w:rFonts w:hint="eastAsia" w:eastAsia="楷体_GB2312" w:cs="Times New Roman"/>
                <w:spacing w:val="-6"/>
                <w:sz w:val="28"/>
                <w:szCs w:val="28"/>
              </w:rPr>
              <w:t>。发挥地处甘孜州南北连接必经节点的优势，立足高山峡谷农牧特色优势，打造生态农文旅融合发展示范镇。</w:t>
            </w:r>
          </w:p>
          <w:p w14:paraId="22BBBC06">
            <w:pPr>
              <w:pStyle w:val="16"/>
              <w:snapToGrid w:val="0"/>
              <w:spacing w:line="440" w:lineRule="exact"/>
              <w:ind w:firstLine="538"/>
              <w:rPr>
                <w:rFonts w:eastAsia="楷体_GB2312" w:cs="Times New Roman"/>
                <w:spacing w:val="-6"/>
                <w:sz w:val="28"/>
                <w:szCs w:val="28"/>
              </w:rPr>
            </w:pPr>
            <w:r>
              <w:rPr>
                <w:rFonts w:eastAsia="楷体_GB2312" w:cs="Times New Roman"/>
                <w:b/>
                <w:spacing w:val="-6"/>
                <w:sz w:val="28"/>
                <w:szCs w:val="28"/>
              </w:rPr>
              <w:t>6.</w:t>
            </w:r>
            <w:r>
              <w:rPr>
                <w:rFonts w:hint="eastAsia" w:eastAsia="楷体_GB2312" w:cs="Times New Roman"/>
                <w:b/>
                <w:spacing w:val="-6"/>
                <w:sz w:val="28"/>
                <w:szCs w:val="28"/>
              </w:rPr>
              <w:t>推动禾尼乡打造特色旅游小镇</w:t>
            </w:r>
            <w:r>
              <w:rPr>
                <w:rFonts w:hint="eastAsia" w:eastAsia="楷体_GB2312" w:cs="Times New Roman"/>
                <w:spacing w:val="-6"/>
                <w:sz w:val="28"/>
                <w:szCs w:val="28"/>
              </w:rPr>
              <w:t>。依托</w:t>
            </w:r>
            <w:r>
              <w:rPr>
                <w:rFonts w:eastAsia="楷体_GB2312" w:cs="Times New Roman"/>
                <w:spacing w:val="-6"/>
                <w:sz w:val="28"/>
                <w:szCs w:val="28"/>
              </w:rPr>
              <w:t>G318</w:t>
            </w:r>
            <w:r>
              <w:rPr>
                <w:rFonts w:hint="eastAsia" w:eastAsia="楷体_GB2312" w:cs="Times New Roman"/>
                <w:spacing w:val="-6"/>
                <w:sz w:val="28"/>
                <w:szCs w:val="28"/>
              </w:rPr>
              <w:t>，改造提升旅游接待服务设施，打造</w:t>
            </w:r>
            <w:r>
              <w:rPr>
                <w:rFonts w:eastAsia="楷体_GB2312" w:cs="Times New Roman"/>
                <w:spacing w:val="-6"/>
                <w:sz w:val="28"/>
                <w:szCs w:val="28"/>
              </w:rPr>
              <w:t>G318</w:t>
            </w:r>
            <w:r>
              <w:rPr>
                <w:rFonts w:hint="eastAsia" w:eastAsia="楷体_GB2312" w:cs="Times New Roman"/>
                <w:spacing w:val="-6"/>
                <w:sz w:val="28"/>
                <w:szCs w:val="28"/>
              </w:rPr>
              <w:t>中国最美景观大道自驾旅游小镇。</w:t>
            </w:r>
          </w:p>
          <w:p w14:paraId="177726D2">
            <w:pPr>
              <w:pStyle w:val="16"/>
              <w:snapToGrid w:val="0"/>
              <w:spacing w:line="440" w:lineRule="exact"/>
              <w:ind w:firstLine="538"/>
              <w:rPr>
                <w:rFonts w:eastAsia="楷体_GB2312" w:cs="Times New Roman"/>
                <w:spacing w:val="-6"/>
                <w:sz w:val="28"/>
                <w:szCs w:val="28"/>
              </w:rPr>
            </w:pPr>
            <w:r>
              <w:rPr>
                <w:rFonts w:eastAsia="楷体_GB2312" w:cs="Times New Roman"/>
                <w:b/>
                <w:spacing w:val="-6"/>
                <w:sz w:val="28"/>
                <w:szCs w:val="28"/>
              </w:rPr>
              <w:t>7.</w:t>
            </w:r>
            <w:r>
              <w:rPr>
                <w:rFonts w:hint="eastAsia" w:eastAsia="楷体_GB2312" w:cs="Times New Roman"/>
                <w:b/>
                <w:spacing w:val="-6"/>
                <w:sz w:val="28"/>
                <w:szCs w:val="28"/>
              </w:rPr>
              <w:t>推动村戈乡打造温泉马术小镇</w:t>
            </w:r>
            <w:r>
              <w:rPr>
                <w:rFonts w:hint="eastAsia" w:eastAsia="楷体_GB2312" w:cs="Times New Roman"/>
                <w:spacing w:val="-6"/>
                <w:sz w:val="28"/>
                <w:szCs w:val="28"/>
              </w:rPr>
              <w:t>。依托</w:t>
            </w:r>
            <w:r>
              <w:rPr>
                <w:rFonts w:eastAsia="楷体_GB2312" w:cs="Times New Roman"/>
                <w:spacing w:val="-6"/>
                <w:sz w:val="28"/>
                <w:szCs w:val="28"/>
              </w:rPr>
              <w:t>G318</w:t>
            </w:r>
            <w:r>
              <w:rPr>
                <w:rFonts w:hint="eastAsia" w:eastAsia="楷体_GB2312" w:cs="Times New Roman"/>
                <w:spacing w:val="-6"/>
                <w:sz w:val="28"/>
                <w:szCs w:val="28"/>
              </w:rPr>
              <w:t>，用好独特的温泉和马术资源禀赋，改造提升基础设施，提供更优的消费场景和业态，打造全国温泉马术小镇。</w:t>
            </w:r>
          </w:p>
          <w:p w14:paraId="5BA271D7">
            <w:pPr>
              <w:pStyle w:val="16"/>
              <w:snapToGrid w:val="0"/>
              <w:spacing w:line="440" w:lineRule="exact"/>
              <w:ind w:firstLine="538"/>
              <w:rPr>
                <w:rFonts w:eastAsia="楷体_GB2312" w:cs="Times New Roman"/>
                <w:color w:val="FF0000"/>
                <w:spacing w:val="-6"/>
                <w:sz w:val="28"/>
                <w:szCs w:val="28"/>
              </w:rPr>
            </w:pPr>
            <w:r>
              <w:rPr>
                <w:rFonts w:eastAsia="楷体_GB2312" w:cs="Times New Roman"/>
                <w:b/>
                <w:spacing w:val="-6"/>
                <w:sz w:val="28"/>
                <w:szCs w:val="28"/>
              </w:rPr>
              <w:t>8</w:t>
            </w:r>
            <w:r>
              <w:rPr>
                <w:rFonts w:hint="eastAsia" w:eastAsia="楷体_GB2312" w:cs="Times New Roman"/>
                <w:b/>
                <w:spacing w:val="-6"/>
                <w:sz w:val="28"/>
                <w:szCs w:val="28"/>
              </w:rPr>
              <w:t>、推动濯桑乡打造农牧旅融合艺术小镇</w:t>
            </w:r>
            <w:r>
              <w:rPr>
                <w:rFonts w:hint="eastAsia" w:eastAsia="楷体_GB2312" w:cs="Times New Roman"/>
                <w:spacing w:val="-6"/>
                <w:sz w:val="28"/>
                <w:szCs w:val="28"/>
              </w:rPr>
              <w:t>。依托国道</w:t>
            </w:r>
            <w:r>
              <w:rPr>
                <w:rFonts w:eastAsia="楷体_GB2312" w:cs="Times New Roman"/>
                <w:spacing w:val="-6"/>
                <w:sz w:val="28"/>
                <w:szCs w:val="28"/>
              </w:rPr>
              <w:t>G227</w:t>
            </w:r>
            <w:r>
              <w:rPr>
                <w:rFonts w:hint="eastAsia" w:eastAsia="楷体_GB2312" w:cs="Times New Roman"/>
                <w:spacing w:val="-6"/>
                <w:sz w:val="28"/>
                <w:szCs w:val="28"/>
              </w:rPr>
              <w:t>，发挥地处康南中心必经点优势，立足高原平坦地区农业、牧业、旅游业融合发展的特色优势，打造《大美濯桑艺术小镇》。</w:t>
            </w:r>
          </w:p>
        </w:tc>
      </w:tr>
    </w:tbl>
    <w:p w14:paraId="22EFA6EF">
      <w:pPr>
        <w:pStyle w:val="2"/>
        <w:ind w:firstLineChars="0"/>
        <w:rPr>
          <w:color w:val="FF0000"/>
        </w:rPr>
      </w:pPr>
    </w:p>
    <w:p w14:paraId="04913B5D">
      <w:pPr>
        <w:widowControl/>
        <w:spacing w:before="156" w:beforeLines="50" w:after="156" w:afterLines="50" w:line="580" w:lineRule="exact"/>
        <w:jc w:val="center"/>
        <w:outlineLvl w:val="1"/>
        <w:rPr>
          <w:rFonts w:eastAsia="黑体"/>
          <w:bCs/>
          <w:color w:val="000000"/>
          <w:kern w:val="0"/>
          <w:sz w:val="32"/>
          <w:szCs w:val="32"/>
        </w:rPr>
      </w:pPr>
      <w:bookmarkStart w:id="365" w:name="_Toc218241090"/>
      <w:bookmarkStart w:id="366" w:name="_Toc25343"/>
      <w:bookmarkStart w:id="367" w:name="_Toc214372637"/>
      <w:bookmarkStart w:id="368" w:name="_Toc212814833"/>
      <w:bookmarkStart w:id="369" w:name="_Toc25017"/>
      <w:r>
        <w:rPr>
          <w:rFonts w:hint="eastAsia" w:eastAsia="黑体"/>
          <w:bCs/>
          <w:color w:val="000000"/>
          <w:kern w:val="0"/>
          <w:sz w:val="32"/>
          <w:szCs w:val="32"/>
        </w:rPr>
        <w:t xml:space="preserve">第十五章  </w:t>
      </w:r>
      <w:r>
        <w:rPr>
          <w:rFonts w:eastAsia="黑体"/>
          <w:bCs/>
          <w:color w:val="000000"/>
          <w:kern w:val="0"/>
          <w:sz w:val="32"/>
          <w:szCs w:val="32"/>
        </w:rPr>
        <w:t>建设宜居宜业和美乡村</w:t>
      </w:r>
      <w:bookmarkEnd w:id="365"/>
      <w:bookmarkEnd w:id="366"/>
      <w:bookmarkEnd w:id="367"/>
      <w:bookmarkEnd w:id="368"/>
      <w:bookmarkEnd w:id="369"/>
    </w:p>
    <w:p w14:paraId="5786C068">
      <w:pPr>
        <w:pStyle w:val="15"/>
        <w:numPr>
          <w:ilvl w:val="0"/>
          <w:numId w:val="14"/>
        </w:numPr>
        <w:spacing w:before="156" w:beforeLines="50" w:after="156" w:afterLines="50" w:line="580" w:lineRule="exact"/>
        <w:ind w:left="1080" w:hanging="1080" w:firstLineChars="0"/>
        <w:jc w:val="center"/>
        <w:outlineLvl w:val="2"/>
        <w:rPr>
          <w:rFonts w:eastAsia="楷体_GB2312"/>
          <w:b/>
          <w:color w:val="000000"/>
          <w:kern w:val="0"/>
          <w:sz w:val="32"/>
          <w:szCs w:val="32"/>
        </w:rPr>
      </w:pPr>
      <w:bookmarkStart w:id="370" w:name="_Toc13386"/>
      <w:r>
        <w:rPr>
          <w:rFonts w:hint="eastAsia" w:eastAsia="楷体_GB2312"/>
          <w:b/>
          <w:color w:val="000000"/>
          <w:kern w:val="0"/>
          <w:sz w:val="32"/>
          <w:szCs w:val="32"/>
        </w:rPr>
        <w:t xml:space="preserve"> </w:t>
      </w:r>
      <w:bookmarkStart w:id="371" w:name="_Toc218241091"/>
      <w:r>
        <w:rPr>
          <w:rFonts w:hint="eastAsia" w:eastAsia="楷体_GB2312"/>
          <w:b/>
          <w:color w:val="000000"/>
          <w:kern w:val="0"/>
          <w:sz w:val="32"/>
          <w:szCs w:val="32"/>
        </w:rPr>
        <w:t>提高人居环境舒适度</w:t>
      </w:r>
      <w:bookmarkEnd w:id="370"/>
      <w:bookmarkEnd w:id="371"/>
    </w:p>
    <w:p w14:paraId="19FB5199">
      <w:pPr>
        <w:spacing w:line="580" w:lineRule="exact"/>
        <w:ind w:firstLine="640" w:firstLineChars="200"/>
        <w:rPr>
          <w:rFonts w:eastAsia="仿宋_GB2312"/>
          <w:sz w:val="32"/>
          <w:szCs w:val="32"/>
        </w:rPr>
      </w:pPr>
      <w:r>
        <w:rPr>
          <w:rFonts w:hint="eastAsia" w:eastAsia="仿宋_GB2312"/>
          <w:sz w:val="32"/>
          <w:szCs w:val="32"/>
        </w:rPr>
        <w:t>着力</w:t>
      </w:r>
      <w:r>
        <w:rPr>
          <w:rFonts w:eastAsia="仿宋_GB2312"/>
          <w:sz w:val="32"/>
          <w:szCs w:val="32"/>
        </w:rPr>
        <w:t>推</w:t>
      </w:r>
      <w:r>
        <w:rPr>
          <w:rFonts w:hint="eastAsia" w:eastAsia="仿宋_GB2312"/>
          <w:sz w:val="32"/>
          <w:szCs w:val="32"/>
        </w:rPr>
        <w:t>进</w:t>
      </w:r>
      <w:r>
        <w:rPr>
          <w:rFonts w:eastAsia="仿宋_GB2312"/>
          <w:sz w:val="32"/>
          <w:szCs w:val="32"/>
        </w:rPr>
        <w:t>农村基本具备现代生活条件</w:t>
      </w:r>
      <w:r>
        <w:rPr>
          <w:rFonts w:hint="eastAsia" w:eastAsia="仿宋_GB2312"/>
          <w:sz w:val="32"/>
          <w:szCs w:val="32"/>
        </w:rPr>
        <w:t>，大力实施理塘乡村振兴民生</w:t>
      </w:r>
      <w:r>
        <w:rPr>
          <w:rFonts w:hint="eastAsia" w:eastAsia="仿宋_GB2312"/>
          <w:color w:val="000000"/>
          <w:kern w:val="0"/>
          <w:sz w:val="32"/>
          <w:szCs w:val="32"/>
        </w:rPr>
        <w:t>促进</w:t>
      </w:r>
      <w:r>
        <w:rPr>
          <w:rFonts w:hint="eastAsia" w:eastAsia="仿宋_GB2312"/>
          <w:sz w:val="32"/>
          <w:szCs w:val="32"/>
        </w:rPr>
        <w:t>行动，深入学习运用“千万工程”经验，着力提升基础设施完备度、公共服务便利度、人居环境适宜度。</w:t>
      </w:r>
    </w:p>
    <w:p w14:paraId="443D30D3">
      <w:pPr>
        <w:spacing w:line="580" w:lineRule="exact"/>
        <w:rPr>
          <w:rFonts w:eastAsia="仿宋_GB2312"/>
          <w:sz w:val="32"/>
          <w:szCs w:val="32"/>
        </w:rPr>
      </w:pPr>
      <w:r>
        <w:rPr>
          <w:rFonts w:hint="eastAsia" w:eastAsia="仿宋_GB2312"/>
          <w:sz w:val="32"/>
          <w:szCs w:val="32"/>
        </w:rPr>
        <w:t>加快完善农村道路、农村客运、货运物流“三张网”，统筹推进农村通信、安全饮水等设施建设，完善牧民定居点配套设施，优化重构公共服务体系和模式，提高公共服务覆盖度和便利度。重点打造一批特色鲜明、宜居宜旅、发展水平高、示范带动作用强的特色村寨</w:t>
      </w:r>
      <w:bookmarkStart w:id="372" w:name="OLE_LINK86"/>
      <w:bookmarkStart w:id="373" w:name="OLE_LINK91"/>
      <w:r>
        <w:rPr>
          <w:rFonts w:hint="eastAsia" w:eastAsia="仿宋_GB2312"/>
          <w:sz w:val="32"/>
          <w:szCs w:val="32"/>
        </w:rPr>
        <w:t>乡镇，</w:t>
      </w:r>
      <w:bookmarkEnd w:id="372"/>
      <w:bookmarkEnd w:id="373"/>
      <w:r>
        <w:rPr>
          <w:rFonts w:hint="eastAsia" w:eastAsia="仿宋_GB2312"/>
          <w:sz w:val="32"/>
          <w:szCs w:val="32"/>
        </w:rPr>
        <w:t>大力推进污水、垃圾、厕所三</w:t>
      </w:r>
      <w:r>
        <w:rPr>
          <w:rFonts w:hint="eastAsia" w:eastAsia="仿宋_GB2312"/>
          <w:color w:val="000000"/>
          <w:kern w:val="0"/>
          <w:sz w:val="32"/>
          <w:szCs w:val="32"/>
        </w:rPr>
        <w:t>大革命</w:t>
      </w:r>
      <w:r>
        <w:rPr>
          <w:rFonts w:hint="eastAsia" w:eastAsia="仿宋_GB2312"/>
          <w:sz w:val="32"/>
          <w:szCs w:val="32"/>
        </w:rPr>
        <w:t>，</w:t>
      </w:r>
      <w:bookmarkStart w:id="374" w:name="OLE_LINK94"/>
      <w:bookmarkStart w:id="375" w:name="OLE_LINK95"/>
      <w:r>
        <w:rPr>
          <w:rFonts w:hint="eastAsia" w:eastAsia="仿宋_GB2312"/>
          <w:sz w:val="32"/>
          <w:szCs w:val="32"/>
        </w:rPr>
        <w:t>完</w:t>
      </w:r>
      <w:bookmarkEnd w:id="374"/>
      <w:bookmarkEnd w:id="375"/>
      <w:r>
        <w:rPr>
          <w:rFonts w:hint="eastAsia" w:eastAsia="仿宋_GB2312"/>
          <w:sz w:val="32"/>
          <w:szCs w:val="32"/>
        </w:rPr>
        <w:t>善人居环境整治长效机制，努力争创一批省州级宜居宜业和美示范乡村。</w:t>
      </w:r>
    </w:p>
    <w:p w14:paraId="02E29998">
      <w:pPr>
        <w:pStyle w:val="15"/>
        <w:numPr>
          <w:ilvl w:val="0"/>
          <w:numId w:val="14"/>
        </w:numPr>
        <w:spacing w:before="156" w:beforeLines="50" w:after="156" w:afterLines="50" w:line="580" w:lineRule="exact"/>
        <w:ind w:left="1080" w:hanging="1080" w:firstLineChars="0"/>
        <w:jc w:val="center"/>
        <w:outlineLvl w:val="2"/>
        <w:rPr>
          <w:rFonts w:eastAsia="楷体_GB2312"/>
          <w:b/>
          <w:color w:val="000000"/>
          <w:kern w:val="0"/>
          <w:sz w:val="32"/>
          <w:szCs w:val="32"/>
        </w:rPr>
      </w:pPr>
      <w:bookmarkStart w:id="376" w:name="_Toc14444"/>
      <w:r>
        <w:rPr>
          <w:rFonts w:hint="eastAsia" w:eastAsia="楷体_GB2312"/>
          <w:b/>
          <w:color w:val="000000"/>
          <w:kern w:val="0"/>
          <w:sz w:val="32"/>
          <w:szCs w:val="32"/>
        </w:rPr>
        <w:t xml:space="preserve"> </w:t>
      </w:r>
      <w:bookmarkStart w:id="377" w:name="_Toc218241092"/>
      <w:r>
        <w:rPr>
          <w:rFonts w:hint="eastAsia" w:eastAsia="楷体_GB2312"/>
          <w:b/>
          <w:color w:val="000000"/>
          <w:kern w:val="0"/>
          <w:sz w:val="32"/>
          <w:szCs w:val="32"/>
        </w:rPr>
        <w:t>提高农村产业兴旺度</w:t>
      </w:r>
      <w:bookmarkEnd w:id="376"/>
      <w:bookmarkEnd w:id="377"/>
    </w:p>
    <w:p w14:paraId="6FFACDC1">
      <w:pPr>
        <w:spacing w:line="580" w:lineRule="exact"/>
        <w:ind w:firstLine="640" w:firstLineChars="200"/>
        <w:rPr>
          <w:rFonts w:eastAsia="仿宋_GB2312"/>
          <w:spacing w:val="-6"/>
          <w:sz w:val="32"/>
          <w:szCs w:val="32"/>
        </w:rPr>
      </w:pPr>
      <w:r>
        <w:rPr>
          <w:rFonts w:hint="eastAsia" w:eastAsia="仿宋_GB2312"/>
          <w:color w:val="000000"/>
          <w:kern w:val="0"/>
          <w:sz w:val="32"/>
          <w:szCs w:val="32"/>
        </w:rPr>
        <w:t>深入实施村集体经济发展壮大和农民合作社高质量发展计划，继续推进“一村一品、一村一业或多村一业”，集中发展理塘牦牛、极地果蔬、道地中药材、生鲜菌菇等特色农牧业，</w:t>
      </w:r>
      <w:r>
        <w:rPr>
          <w:rFonts w:eastAsia="仿宋_GB2312"/>
          <w:color w:val="000000"/>
          <w:kern w:val="0"/>
          <w:sz w:val="32"/>
          <w:szCs w:val="32"/>
        </w:rPr>
        <w:t>持续提升“理塘牦牛”“极地果蔬”等品牌影响力，打</w:t>
      </w:r>
      <w:r>
        <w:rPr>
          <w:rFonts w:hint="eastAsia" w:eastAsia="仿宋_GB2312"/>
          <w:color w:val="000000"/>
          <w:spacing w:val="-6"/>
          <w:kern w:val="0"/>
          <w:sz w:val="32"/>
          <w:szCs w:val="32"/>
        </w:rPr>
        <w:t>造高品质有机农产品供应基地。深入挖掘农牧业的生态、文化、教育等功能，发展观光农业（牧场）、农事体验、科普教育、藏医药体验、农牧文化体验等新业态，打造集观光、休闲、体验为一体的乡村旅游项目，实现乡村产业多元化发展。拓宽农产品销售渠道，实现线上线下融合发展，促进三产协同共进。</w:t>
      </w:r>
    </w:p>
    <w:p w14:paraId="13F8ACE4">
      <w:pPr>
        <w:pStyle w:val="15"/>
        <w:numPr>
          <w:ilvl w:val="0"/>
          <w:numId w:val="14"/>
        </w:numPr>
        <w:spacing w:before="156" w:beforeLines="50" w:after="156" w:afterLines="50" w:line="580" w:lineRule="exact"/>
        <w:ind w:left="1080" w:hanging="1080" w:firstLineChars="0"/>
        <w:jc w:val="center"/>
        <w:outlineLvl w:val="2"/>
        <w:rPr>
          <w:rFonts w:eastAsia="楷体_GB2312"/>
          <w:b/>
          <w:color w:val="000000"/>
          <w:kern w:val="0"/>
          <w:sz w:val="32"/>
          <w:szCs w:val="32"/>
        </w:rPr>
      </w:pPr>
      <w:bookmarkStart w:id="378" w:name="_Toc6201"/>
      <w:r>
        <w:rPr>
          <w:rFonts w:hint="eastAsia" w:eastAsia="楷体_GB2312"/>
          <w:b/>
          <w:color w:val="000000"/>
          <w:kern w:val="0"/>
          <w:sz w:val="32"/>
          <w:szCs w:val="32"/>
        </w:rPr>
        <w:t xml:space="preserve"> </w:t>
      </w:r>
      <w:bookmarkStart w:id="379" w:name="_Toc218241093"/>
      <w:r>
        <w:rPr>
          <w:rFonts w:hint="eastAsia" w:eastAsia="楷体_GB2312"/>
          <w:b/>
          <w:color w:val="000000"/>
          <w:kern w:val="0"/>
          <w:sz w:val="32"/>
          <w:szCs w:val="32"/>
        </w:rPr>
        <w:t>巩固拓展脱贫攻坚成果</w:t>
      </w:r>
      <w:bookmarkEnd w:id="378"/>
      <w:bookmarkEnd w:id="379"/>
    </w:p>
    <w:p w14:paraId="18327910">
      <w:pPr>
        <w:spacing w:line="580" w:lineRule="exact"/>
        <w:ind w:firstLine="640" w:firstLineChars="200"/>
        <w:rPr>
          <w:rFonts w:eastAsia="仿宋_GB2312"/>
          <w:color w:val="000000"/>
          <w:kern w:val="0"/>
          <w:sz w:val="32"/>
          <w:szCs w:val="32"/>
        </w:rPr>
      </w:pPr>
      <w:r>
        <w:rPr>
          <w:rFonts w:hint="eastAsia" w:eastAsia="仿宋_GB2312"/>
          <w:color w:val="000000"/>
          <w:kern w:val="0"/>
          <w:sz w:val="32"/>
          <w:szCs w:val="32"/>
        </w:rPr>
        <w:t>守住不发生规模性返贫底线，常态化开展农村低收入人口帮扶，完善覆盖农村人口的常态化防止返贫致贫机制，优化监测方式，完善帮扶措施库，提升监测帮扶效能。</w:t>
      </w:r>
      <w:r>
        <w:rPr>
          <w:rFonts w:hint="eastAsia" w:ascii="Times New Roman" w:eastAsia="仿宋_GB2312"/>
          <w:color w:val="000000"/>
          <w:kern w:val="0"/>
          <w:sz w:val="32"/>
          <w:szCs w:val="32"/>
        </w:rPr>
        <w:t>高标准高质量推进以工代赈项目建设三年实施方案</w:t>
      </w:r>
      <w:r>
        <w:rPr>
          <w:rFonts w:hint="eastAsia" w:eastAsia="仿宋_GB2312"/>
          <w:color w:val="000000"/>
          <w:kern w:val="0"/>
          <w:sz w:val="32"/>
          <w:szCs w:val="32"/>
        </w:rPr>
        <w:t>，增强帮扶车间就业吸纳能力，促进脱贫群众持续增收。</w:t>
      </w:r>
      <w:r>
        <w:rPr>
          <w:rFonts w:eastAsia="仿宋_GB2312"/>
          <w:sz w:val="32"/>
          <w:szCs w:val="32"/>
        </w:rPr>
        <w:t>全面落实各类支农惠农富农政策，切实提高农</w:t>
      </w:r>
      <w:r>
        <w:rPr>
          <w:rFonts w:hint="eastAsia" w:eastAsia="仿宋_GB2312"/>
          <w:sz w:val="32"/>
          <w:szCs w:val="32"/>
        </w:rPr>
        <w:t>牧</w:t>
      </w:r>
      <w:r>
        <w:rPr>
          <w:rFonts w:eastAsia="仿宋_GB2312"/>
          <w:sz w:val="32"/>
          <w:szCs w:val="32"/>
        </w:rPr>
        <w:t>民转移性收入。</w:t>
      </w:r>
      <w:r>
        <w:rPr>
          <w:rFonts w:hint="eastAsia" w:eastAsia="仿宋_GB2312"/>
          <w:color w:val="000000"/>
          <w:kern w:val="0"/>
          <w:sz w:val="32"/>
          <w:szCs w:val="32"/>
        </w:rPr>
        <w:t>统筹抓好搬迁后续扶持产业发展、搬迁群众增收和搬迁地社会治理。</w:t>
      </w:r>
    </w:p>
    <w:tbl>
      <w:tblPr>
        <w:tblStyle w:val="11"/>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42F26B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tcBorders>
              <w:top w:val="single" w:color="auto" w:sz="4" w:space="0"/>
              <w:left w:val="single" w:color="auto" w:sz="4" w:space="0"/>
              <w:bottom w:val="single" w:color="auto" w:sz="4" w:space="0"/>
              <w:right w:val="single" w:color="auto" w:sz="4" w:space="0"/>
            </w:tcBorders>
            <w:shd w:val="clear" w:color="auto" w:fill="auto"/>
          </w:tcPr>
          <w:p w14:paraId="7F8771C2">
            <w:pPr>
              <w:pStyle w:val="10"/>
              <w:snapToGrid w:val="0"/>
              <w:spacing w:before="156" w:beforeLines="50" w:after="156" w:afterLines="50" w:line="440" w:lineRule="exact"/>
              <w:ind w:left="0" w:leftChars="0" w:firstLine="643" w:firstLineChars="0"/>
              <w:jc w:val="center"/>
              <w:rPr>
                <w:rFonts w:eastAsia="楷体_GB2312"/>
                <w:b/>
                <w:sz w:val="32"/>
                <w:szCs w:val="32"/>
              </w:rPr>
            </w:pPr>
            <w:r>
              <w:rPr>
                <w:rFonts w:hint="eastAsia" w:ascii="Times New Roman" w:hAnsi="Times New Roman" w:eastAsia="楷体_GB2312" w:cs="Times New Roman"/>
                <w:b/>
                <w:sz w:val="28"/>
                <w:szCs w:val="28"/>
              </w:rPr>
              <w:t>专栏23  “十五五”时期和美乡村建设重点</w:t>
            </w:r>
          </w:p>
        </w:tc>
      </w:tr>
      <w:tr w14:paraId="6A10D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tcBorders>
              <w:top w:val="single" w:color="auto" w:sz="4" w:space="0"/>
              <w:left w:val="single" w:color="auto" w:sz="4" w:space="0"/>
              <w:bottom w:val="single" w:color="auto" w:sz="4" w:space="0"/>
              <w:right w:val="single" w:color="auto" w:sz="4" w:space="0"/>
            </w:tcBorders>
            <w:shd w:val="clear" w:color="auto" w:fill="auto"/>
          </w:tcPr>
          <w:p w14:paraId="68052FA8">
            <w:pPr>
              <w:snapToGrid w:val="0"/>
              <w:spacing w:line="440" w:lineRule="exact"/>
              <w:ind w:firstLine="562" w:firstLineChars="200"/>
              <w:jc w:val="left"/>
              <w:rPr>
                <w:rFonts w:eastAsia="楷体_GB2312"/>
                <w:color w:val="000000"/>
                <w:sz w:val="28"/>
                <w:szCs w:val="28"/>
              </w:rPr>
            </w:pPr>
            <w:r>
              <w:rPr>
                <w:rFonts w:eastAsia="楷体_GB2312"/>
                <w:b/>
                <w:color w:val="000000"/>
                <w:sz w:val="28"/>
                <w:szCs w:val="28"/>
              </w:rPr>
              <w:t>1.</w:t>
            </w:r>
            <w:r>
              <w:rPr>
                <w:rFonts w:hint="eastAsia" w:eastAsia="楷体_GB2312"/>
                <w:b/>
                <w:color w:val="000000"/>
                <w:sz w:val="28"/>
                <w:szCs w:val="28"/>
              </w:rPr>
              <w:t>提升基础设施完备度</w:t>
            </w:r>
            <w:r>
              <w:rPr>
                <w:rFonts w:hint="eastAsia" w:eastAsia="楷体_GB2312"/>
                <w:color w:val="000000"/>
                <w:sz w:val="28"/>
                <w:szCs w:val="28"/>
              </w:rPr>
              <w:t>。开展农村道路建设养护、供水管网提升，持续实施农村安全饮水工程维修维护，实施“快递进村”工程，建设数字冷链物流集散中心，支持有条件的居民屋顶实现光伏全覆盖。同步推进电力、通信管线建设，实施“双千兆”网络工程，力争行政村</w:t>
            </w:r>
            <w:r>
              <w:rPr>
                <w:rFonts w:eastAsia="楷体_GB2312"/>
                <w:color w:val="000000"/>
                <w:sz w:val="28"/>
                <w:szCs w:val="28"/>
              </w:rPr>
              <w:t xml:space="preserve">5G </w:t>
            </w:r>
            <w:r>
              <w:rPr>
                <w:rFonts w:hint="eastAsia" w:eastAsia="楷体_GB2312"/>
                <w:color w:val="000000"/>
                <w:sz w:val="28"/>
                <w:szCs w:val="28"/>
              </w:rPr>
              <w:t>覆盖率和千兆光纤通达率达</w:t>
            </w:r>
            <w:r>
              <w:rPr>
                <w:rFonts w:eastAsia="楷体_GB2312"/>
                <w:color w:val="000000"/>
                <w:sz w:val="28"/>
                <w:szCs w:val="28"/>
              </w:rPr>
              <w:t>80%</w:t>
            </w:r>
            <w:r>
              <w:rPr>
                <w:rFonts w:hint="eastAsia" w:eastAsia="楷体_GB2312"/>
                <w:color w:val="000000"/>
                <w:sz w:val="28"/>
                <w:szCs w:val="28"/>
              </w:rPr>
              <w:t>，高海拔自然村组实现</w:t>
            </w:r>
            <w:r>
              <w:rPr>
                <w:rFonts w:eastAsia="楷体_GB2312"/>
                <w:color w:val="000000"/>
                <w:sz w:val="28"/>
                <w:szCs w:val="28"/>
              </w:rPr>
              <w:t>4G</w:t>
            </w:r>
            <w:r>
              <w:rPr>
                <w:rFonts w:hint="eastAsia" w:eastAsia="楷体_GB2312"/>
                <w:color w:val="000000"/>
                <w:sz w:val="28"/>
                <w:szCs w:val="28"/>
              </w:rPr>
              <w:t>网络全覆盖。老旧基础设施设备改造提升（路面、路灯、厕所等）。</w:t>
            </w:r>
          </w:p>
          <w:p w14:paraId="73118011">
            <w:pPr>
              <w:snapToGrid w:val="0"/>
              <w:spacing w:line="440" w:lineRule="exact"/>
              <w:ind w:firstLine="562" w:firstLineChars="200"/>
              <w:jc w:val="left"/>
              <w:rPr>
                <w:rFonts w:eastAsia="楷体_GB2312"/>
                <w:color w:val="000000"/>
                <w:sz w:val="28"/>
                <w:szCs w:val="28"/>
              </w:rPr>
            </w:pPr>
            <w:r>
              <w:rPr>
                <w:rFonts w:eastAsia="楷体_GB2312"/>
                <w:b/>
                <w:color w:val="000000"/>
                <w:sz w:val="28"/>
                <w:szCs w:val="28"/>
              </w:rPr>
              <w:t>2.</w:t>
            </w:r>
            <w:r>
              <w:rPr>
                <w:rFonts w:hint="eastAsia" w:eastAsia="楷体_GB2312"/>
                <w:b/>
                <w:color w:val="000000"/>
                <w:sz w:val="28"/>
                <w:szCs w:val="28"/>
              </w:rPr>
              <w:t>提升公共服务便利度</w:t>
            </w:r>
            <w:r>
              <w:rPr>
                <w:rFonts w:hint="eastAsia" w:eastAsia="楷体_GB2312"/>
                <w:color w:val="000000"/>
                <w:sz w:val="28"/>
                <w:szCs w:val="28"/>
              </w:rPr>
              <w:t>。巩固“一村一幼”，加强乡村医生队伍建设，推广“5G+远程医疗”，通过布局优化、空间下沉、流程再造、数字赋能、服务延伸等方式，不断提升公共服务下沉就近办事效率。</w:t>
            </w:r>
          </w:p>
          <w:p w14:paraId="5881AE6C">
            <w:pPr>
              <w:snapToGrid w:val="0"/>
              <w:spacing w:line="440" w:lineRule="exact"/>
              <w:ind w:firstLine="562" w:firstLineChars="200"/>
              <w:jc w:val="left"/>
              <w:rPr>
                <w:rFonts w:eastAsia="楷体_GB2312"/>
                <w:color w:val="000000"/>
                <w:sz w:val="28"/>
                <w:szCs w:val="28"/>
              </w:rPr>
            </w:pPr>
            <w:r>
              <w:rPr>
                <w:rFonts w:eastAsia="楷体_GB2312"/>
                <w:b/>
                <w:color w:val="000000"/>
                <w:sz w:val="28"/>
                <w:szCs w:val="28"/>
              </w:rPr>
              <w:t>3.</w:t>
            </w:r>
            <w:r>
              <w:rPr>
                <w:rFonts w:hint="eastAsia" w:eastAsia="楷体_GB2312"/>
                <w:b/>
                <w:color w:val="000000"/>
                <w:sz w:val="28"/>
                <w:szCs w:val="28"/>
              </w:rPr>
              <w:t>提升人居环境适宜度</w:t>
            </w:r>
            <w:r>
              <w:rPr>
                <w:rFonts w:hint="eastAsia" w:eastAsia="楷体_GB2312"/>
                <w:color w:val="000000"/>
                <w:sz w:val="28"/>
                <w:szCs w:val="28"/>
              </w:rPr>
              <w:t>。开展村容村貌提升、“全域无垃圾”行动、农村生活污水治理、农村厕所革命、人畜分离工程、建筑功能改造提升行动等。</w:t>
            </w:r>
          </w:p>
          <w:p w14:paraId="3D531FFA">
            <w:pPr>
              <w:snapToGrid w:val="0"/>
              <w:spacing w:line="440" w:lineRule="exact"/>
              <w:ind w:firstLine="562" w:firstLineChars="200"/>
              <w:jc w:val="left"/>
              <w:rPr>
                <w:rFonts w:eastAsia="楷体_GB2312"/>
                <w:color w:val="000000"/>
                <w:sz w:val="28"/>
                <w:szCs w:val="28"/>
              </w:rPr>
            </w:pPr>
            <w:r>
              <w:rPr>
                <w:rFonts w:eastAsia="楷体_GB2312"/>
                <w:b/>
                <w:color w:val="000000"/>
                <w:sz w:val="28"/>
                <w:szCs w:val="28"/>
              </w:rPr>
              <w:t>4.</w:t>
            </w:r>
            <w:r>
              <w:rPr>
                <w:rFonts w:hint="eastAsia" w:eastAsia="楷体_GB2312"/>
                <w:b/>
                <w:color w:val="000000"/>
                <w:sz w:val="28"/>
                <w:szCs w:val="28"/>
              </w:rPr>
              <w:t>提升农村产业兴旺度</w:t>
            </w:r>
            <w:r>
              <w:rPr>
                <w:rFonts w:hint="eastAsia" w:eastAsia="楷体_GB2312"/>
                <w:color w:val="000000"/>
                <w:sz w:val="28"/>
                <w:szCs w:val="28"/>
              </w:rPr>
              <w:t>。继续推进“一村一品、一村一业或多村一业”，通过文旅融合赋能，拓展农牧业多种功能形态，推进格聂、村戈、奔戈等乡镇温泉产业项目，推进极地果蔬、道地中藏药零碳产业集群等项目建设。鼓励农业生产适度规模经营，壮大农村集体经济（专业合作社、家庭农场等），不断完善供销合作社综合改革，提高服务能力。</w:t>
            </w:r>
          </w:p>
        </w:tc>
      </w:tr>
    </w:tbl>
    <w:p w14:paraId="235CBA2A">
      <w:pPr>
        <w:widowControl/>
        <w:spacing w:before="156" w:beforeLines="50" w:after="156" w:afterLines="50" w:line="580" w:lineRule="exact"/>
        <w:jc w:val="center"/>
        <w:outlineLvl w:val="1"/>
        <w:rPr>
          <w:rFonts w:eastAsia="黑体"/>
          <w:bCs/>
          <w:color w:val="000000"/>
          <w:kern w:val="0"/>
          <w:sz w:val="32"/>
          <w:szCs w:val="32"/>
        </w:rPr>
      </w:pPr>
      <w:bookmarkStart w:id="380" w:name="_Toc21799"/>
      <w:bookmarkStart w:id="381" w:name="_Toc212814834"/>
      <w:bookmarkStart w:id="382" w:name="_Toc214372638"/>
      <w:bookmarkStart w:id="383" w:name="_Toc218241094"/>
      <w:bookmarkStart w:id="384" w:name="_Toc2956"/>
      <w:r>
        <w:rPr>
          <w:rFonts w:hint="eastAsia" w:eastAsia="黑体"/>
          <w:bCs/>
          <w:color w:val="000000"/>
          <w:kern w:val="0"/>
          <w:sz w:val="32"/>
          <w:szCs w:val="32"/>
        </w:rPr>
        <w:t>第十六章  深入推进城乡融合发展</w:t>
      </w:r>
      <w:bookmarkEnd w:id="380"/>
      <w:bookmarkEnd w:id="381"/>
      <w:bookmarkEnd w:id="382"/>
      <w:bookmarkEnd w:id="383"/>
      <w:bookmarkEnd w:id="384"/>
    </w:p>
    <w:p w14:paraId="3448A07F">
      <w:pPr>
        <w:pStyle w:val="15"/>
        <w:numPr>
          <w:ilvl w:val="0"/>
          <w:numId w:val="15"/>
        </w:numPr>
        <w:spacing w:before="156" w:beforeLines="50" w:after="156" w:afterLines="50" w:line="440" w:lineRule="exact"/>
        <w:ind w:left="1080" w:hanging="1080" w:firstLineChars="0"/>
        <w:jc w:val="center"/>
        <w:outlineLvl w:val="2"/>
        <w:rPr>
          <w:rFonts w:eastAsia="楷体_GB2312"/>
          <w:b/>
          <w:color w:val="000000"/>
          <w:kern w:val="0"/>
          <w:sz w:val="32"/>
          <w:szCs w:val="32"/>
        </w:rPr>
      </w:pPr>
      <w:bookmarkStart w:id="385" w:name="_Toc26252"/>
      <w:r>
        <w:rPr>
          <w:rFonts w:hint="eastAsia" w:eastAsia="楷体_GB2312"/>
          <w:b/>
          <w:color w:val="000000"/>
          <w:kern w:val="0"/>
          <w:sz w:val="32"/>
          <w:szCs w:val="32"/>
        </w:rPr>
        <w:t xml:space="preserve"> </w:t>
      </w:r>
      <w:bookmarkStart w:id="386" w:name="_Toc218241095"/>
      <w:r>
        <w:rPr>
          <w:rFonts w:hint="eastAsia" w:eastAsia="楷体_GB2312"/>
          <w:b/>
          <w:color w:val="000000"/>
          <w:kern w:val="0"/>
          <w:sz w:val="32"/>
          <w:szCs w:val="32"/>
        </w:rPr>
        <w:t>推动城乡设施畅连畅通</w:t>
      </w:r>
      <w:bookmarkEnd w:id="385"/>
      <w:bookmarkEnd w:id="386"/>
    </w:p>
    <w:p w14:paraId="7E150DC4">
      <w:pPr>
        <w:spacing w:line="580" w:lineRule="exact"/>
        <w:ind w:firstLine="620" w:firstLineChars="200"/>
        <w:rPr>
          <w:rFonts w:eastAsia="仿宋_GB2312"/>
          <w:color w:val="000000"/>
          <w:kern w:val="0"/>
          <w:sz w:val="31"/>
          <w:szCs w:val="31"/>
        </w:rPr>
      </w:pPr>
      <w:r>
        <w:rPr>
          <w:rFonts w:hint="eastAsia" w:eastAsia="仿宋_GB2312"/>
          <w:color w:val="000000"/>
          <w:kern w:val="0"/>
          <w:sz w:val="31"/>
          <w:szCs w:val="31"/>
        </w:rPr>
        <w:t>统筹规划城乡市政设施建设，推动城市市政设施向城市郊区乡村和规模较大的乡镇延伸，逐步提升乡村生活品质。统筹城乡道路规划建设，延伸农村公路畅达偏远牧区，实现城乡道路联通、城乡客运一体。统筹城乡能源开发建设，扩大乡村光伏、风电等分布式能源应用，有效解决偏远牧区用电问题。统筹推进城乡水利设施建设，推动乡镇集中供水向周边人口较多村庄供水。统筹城乡</w:t>
      </w:r>
      <w:r>
        <w:rPr>
          <w:rFonts w:eastAsia="仿宋_GB2312"/>
          <w:color w:val="000000"/>
          <w:kern w:val="0"/>
          <w:sz w:val="31"/>
          <w:szCs w:val="31"/>
        </w:rPr>
        <w:t>5G基站建设，推动信息网络由县城向重点乡镇、景区和乡村延伸覆盖，消除信号盲区。</w:t>
      </w:r>
    </w:p>
    <w:p w14:paraId="53ADA235">
      <w:pPr>
        <w:pStyle w:val="15"/>
        <w:numPr>
          <w:ilvl w:val="0"/>
          <w:numId w:val="15"/>
        </w:numPr>
        <w:spacing w:before="156" w:beforeLines="50" w:after="156" w:afterLines="50" w:line="580" w:lineRule="exact"/>
        <w:ind w:left="1080" w:hanging="1080" w:firstLineChars="0"/>
        <w:jc w:val="center"/>
        <w:outlineLvl w:val="2"/>
        <w:rPr>
          <w:rFonts w:eastAsia="楷体_GB2312"/>
          <w:b/>
          <w:color w:val="000000"/>
          <w:kern w:val="0"/>
          <w:sz w:val="32"/>
          <w:szCs w:val="32"/>
        </w:rPr>
      </w:pPr>
      <w:bookmarkStart w:id="387" w:name="_Toc575"/>
      <w:r>
        <w:rPr>
          <w:rFonts w:hint="eastAsia" w:eastAsia="楷体_GB2312"/>
          <w:b/>
          <w:color w:val="000000"/>
          <w:kern w:val="0"/>
          <w:sz w:val="32"/>
          <w:szCs w:val="32"/>
        </w:rPr>
        <w:t xml:space="preserve"> </w:t>
      </w:r>
      <w:bookmarkStart w:id="388" w:name="_Toc218241096"/>
      <w:r>
        <w:rPr>
          <w:rFonts w:hint="eastAsia" w:eastAsia="楷体_GB2312"/>
          <w:b/>
          <w:color w:val="000000"/>
          <w:kern w:val="0"/>
          <w:sz w:val="32"/>
          <w:szCs w:val="32"/>
        </w:rPr>
        <w:t>推动城乡公共服务普及共享</w:t>
      </w:r>
      <w:bookmarkEnd w:id="387"/>
      <w:bookmarkEnd w:id="388"/>
    </w:p>
    <w:p w14:paraId="655F1735">
      <w:pPr>
        <w:spacing w:line="580" w:lineRule="exact"/>
        <w:ind w:firstLine="620" w:firstLineChars="200"/>
        <w:rPr>
          <w:rFonts w:eastAsia="仿宋_GB2312"/>
          <w:color w:val="000000"/>
          <w:kern w:val="0"/>
          <w:sz w:val="31"/>
          <w:szCs w:val="31"/>
        </w:rPr>
      </w:pPr>
      <w:r>
        <w:rPr>
          <w:rFonts w:hint="eastAsia" w:eastAsia="仿宋_GB2312"/>
          <w:color w:val="000000"/>
          <w:kern w:val="0"/>
          <w:sz w:val="31"/>
          <w:szCs w:val="31"/>
        </w:rPr>
        <w:t>推行县城教师“县管校聘”轮岗制度和乡村教师“定向培养”计划，加强城乡教育结对帮扶，推广“</w:t>
      </w:r>
      <w:r>
        <w:rPr>
          <w:rFonts w:eastAsia="仿宋_GB2312"/>
          <w:color w:val="000000"/>
          <w:kern w:val="0"/>
          <w:sz w:val="31"/>
          <w:szCs w:val="31"/>
        </w:rPr>
        <w:t>5G+AI”智慧课堂，实施“双师课堂”全覆盖工程，利用智慧教育平台让城乡学校共享优质课程资源，推动城乡教育优质均衡发展。推动城乡医共体、医联体建设，建立县医院-中心镇分院-村卫生室“三级联动”体系，配置移动医疗车实现巡回诊疗全覆盖，确保医疗巡回车覆盖100%行政村。统一完善城乡基本医疗保险、大病保险、基本养老保险制度和社会救助、社会福利政策。</w:t>
      </w:r>
    </w:p>
    <w:p w14:paraId="7B48E8BC">
      <w:pPr>
        <w:pStyle w:val="15"/>
        <w:numPr>
          <w:ilvl w:val="0"/>
          <w:numId w:val="15"/>
        </w:numPr>
        <w:spacing w:before="156" w:beforeLines="50" w:after="156" w:afterLines="50" w:line="580" w:lineRule="exact"/>
        <w:ind w:left="1080" w:hanging="1080" w:firstLineChars="0"/>
        <w:jc w:val="center"/>
        <w:outlineLvl w:val="2"/>
        <w:rPr>
          <w:rFonts w:eastAsia="楷体_GB2312"/>
          <w:b/>
          <w:color w:val="000000"/>
          <w:kern w:val="0"/>
          <w:sz w:val="32"/>
          <w:szCs w:val="32"/>
        </w:rPr>
      </w:pPr>
      <w:bookmarkStart w:id="389" w:name="_Toc1583"/>
      <w:r>
        <w:rPr>
          <w:rFonts w:hint="eastAsia" w:eastAsia="楷体_GB2312"/>
          <w:b/>
          <w:color w:val="000000"/>
          <w:kern w:val="0"/>
          <w:sz w:val="32"/>
          <w:szCs w:val="32"/>
        </w:rPr>
        <w:t xml:space="preserve"> </w:t>
      </w:r>
      <w:bookmarkStart w:id="390" w:name="_Toc218241097"/>
      <w:r>
        <w:rPr>
          <w:rFonts w:hint="eastAsia" w:eastAsia="楷体_GB2312"/>
          <w:b/>
          <w:color w:val="000000"/>
          <w:kern w:val="0"/>
          <w:sz w:val="32"/>
          <w:szCs w:val="32"/>
        </w:rPr>
        <w:t>促进城乡要素双向自由流动</w:t>
      </w:r>
      <w:bookmarkEnd w:id="389"/>
      <w:bookmarkEnd w:id="390"/>
    </w:p>
    <w:p w14:paraId="72C1D36C">
      <w:pPr>
        <w:spacing w:line="580" w:lineRule="exact"/>
        <w:ind w:firstLine="640" w:firstLineChars="200"/>
        <w:rPr>
          <w:rFonts w:eastAsia="仿宋_GB2312"/>
          <w:color w:val="000000"/>
          <w:kern w:val="0"/>
          <w:sz w:val="32"/>
          <w:szCs w:val="32"/>
        </w:rPr>
      </w:pPr>
      <w:r>
        <w:rPr>
          <w:rFonts w:hint="eastAsia" w:eastAsia="仿宋_GB2312"/>
          <w:color w:val="000000"/>
          <w:kern w:val="0"/>
          <w:sz w:val="32"/>
          <w:szCs w:val="32"/>
        </w:rPr>
        <w:t>建立城乡建设用地增减挂钩节余指标跨省交易机制，试点农村集体经营性建设用地入市，探索宅基地“三权分置”改革，通过以资入股、单项租赁等模式，盘活闲置宅基地。实施“城市人才下乡、乡村人才进城”的人才“双向挂职”计划，每年选派机关干部、教师、医生到乡村挂职，同时选拔“土专家”到县城实训，力争</w:t>
      </w:r>
      <w:r>
        <w:rPr>
          <w:rFonts w:eastAsia="仿宋_GB2312"/>
          <w:color w:val="000000"/>
          <w:kern w:val="0"/>
          <w:sz w:val="32"/>
          <w:szCs w:val="32"/>
        </w:rPr>
        <w:t>2028年前培育1000名“田秀才”“藏医传承人”。加大资金支持力度，设立“乡村振兴产业基金”、风险补偿基金、返乡创业基金，鼓励国有大行在县域增设网点开发“惠农贷”“小微快贷”等线上产品，降低授信门槛，扩大牦牛活体抵押贷款覆盖面。</w:t>
      </w:r>
    </w:p>
    <w:p w14:paraId="69CBDEC2">
      <w:pPr>
        <w:pStyle w:val="17"/>
        <w:numPr>
          <w:ilvl w:val="0"/>
          <w:numId w:val="1"/>
        </w:numPr>
        <w:autoSpaceDE/>
        <w:autoSpaceDN/>
        <w:spacing w:before="156" w:beforeLines="50" w:after="156" w:afterLines="50" w:line="580" w:lineRule="exact"/>
        <w:ind w:left="1080" w:hanging="1080"/>
        <w:jc w:val="center"/>
        <w:outlineLvl w:val="0"/>
        <w:rPr>
          <w:rFonts w:ascii="Times New Roman" w:hAnsi="Times New Roman" w:eastAsia="方正大标宋简体"/>
          <w:sz w:val="32"/>
          <w:szCs w:val="32"/>
        </w:rPr>
      </w:pPr>
      <w:bookmarkStart w:id="391" w:name="_Toc24881"/>
      <w:bookmarkStart w:id="392" w:name="_Toc24373"/>
      <w:bookmarkStart w:id="393" w:name="_Toc214372639"/>
      <w:bookmarkStart w:id="394" w:name="_Toc212814835"/>
      <w:r>
        <w:rPr>
          <w:rFonts w:hint="eastAsia" w:ascii="Times New Roman" w:hAnsi="Times New Roman" w:eastAsia="方正大标宋简体"/>
          <w:sz w:val="32"/>
          <w:szCs w:val="32"/>
        </w:rPr>
        <w:t xml:space="preserve"> </w:t>
      </w:r>
      <w:bookmarkStart w:id="395" w:name="_Toc218241098"/>
      <w:r>
        <w:rPr>
          <w:rFonts w:hint="eastAsia" w:ascii="Times New Roman" w:hAnsi="Times New Roman" w:eastAsia="方正大标宋简体"/>
          <w:sz w:val="32"/>
          <w:szCs w:val="32"/>
        </w:rPr>
        <w:t>供需协同  充分激发市场活力和内需潜力</w:t>
      </w:r>
      <w:bookmarkEnd w:id="391"/>
      <w:bookmarkEnd w:id="392"/>
      <w:bookmarkEnd w:id="393"/>
      <w:bookmarkEnd w:id="394"/>
      <w:bookmarkEnd w:id="395"/>
    </w:p>
    <w:p w14:paraId="1F090471">
      <w:pPr>
        <w:pStyle w:val="17"/>
        <w:spacing w:line="580" w:lineRule="exact"/>
        <w:ind w:left="105" w:leftChars="50" w:firstLine="640" w:firstLineChars="200"/>
        <w:rPr>
          <w:rFonts w:ascii="Times New Roman" w:hAnsi="Times New Roman"/>
          <w:sz w:val="32"/>
          <w:szCs w:val="32"/>
        </w:rPr>
      </w:pPr>
      <w:r>
        <w:rPr>
          <w:rFonts w:ascii="Times New Roman" w:hAnsi="Times New Roman"/>
          <w:sz w:val="32"/>
          <w:szCs w:val="32"/>
        </w:rPr>
        <w:t>统筹推进消费扩容提质与投资结构优化，推动投资与消费形成良性互动，通过增强内需为经济增长注入稳定动能。</w:t>
      </w:r>
    </w:p>
    <w:p w14:paraId="54ECAC64">
      <w:pPr>
        <w:widowControl/>
        <w:spacing w:before="156" w:beforeLines="50" w:after="156" w:afterLines="50" w:line="580" w:lineRule="exact"/>
        <w:jc w:val="center"/>
        <w:outlineLvl w:val="1"/>
        <w:rPr>
          <w:rFonts w:eastAsia="黑体"/>
          <w:bCs/>
          <w:color w:val="000000"/>
          <w:kern w:val="0"/>
          <w:sz w:val="32"/>
          <w:szCs w:val="32"/>
        </w:rPr>
      </w:pPr>
      <w:bookmarkStart w:id="396" w:name="_Toc212814836"/>
      <w:bookmarkStart w:id="397" w:name="_Toc6121"/>
      <w:bookmarkStart w:id="398" w:name="_Toc218241099"/>
      <w:bookmarkStart w:id="399" w:name="_Toc214372640"/>
      <w:bookmarkStart w:id="400" w:name="_Toc9405"/>
      <w:r>
        <w:rPr>
          <w:rFonts w:hint="eastAsia" w:eastAsia="黑体"/>
          <w:bCs/>
          <w:color w:val="000000"/>
          <w:kern w:val="0"/>
          <w:sz w:val="32"/>
          <w:szCs w:val="32"/>
        </w:rPr>
        <w:t>第十七章  持续释放消费潜能</w:t>
      </w:r>
      <w:bookmarkEnd w:id="396"/>
      <w:bookmarkEnd w:id="397"/>
      <w:bookmarkEnd w:id="398"/>
      <w:bookmarkEnd w:id="399"/>
      <w:bookmarkEnd w:id="400"/>
    </w:p>
    <w:p w14:paraId="5EDA3D9A">
      <w:pPr>
        <w:pStyle w:val="15"/>
        <w:numPr>
          <w:ilvl w:val="0"/>
          <w:numId w:val="16"/>
        </w:numPr>
        <w:spacing w:before="156" w:beforeLines="50" w:after="156" w:afterLines="50" w:line="580" w:lineRule="exact"/>
        <w:ind w:left="1080" w:hanging="1080" w:firstLineChars="0"/>
        <w:jc w:val="center"/>
        <w:outlineLvl w:val="2"/>
        <w:rPr>
          <w:sz w:val="32"/>
          <w:szCs w:val="32"/>
        </w:rPr>
      </w:pPr>
      <w:bookmarkStart w:id="401" w:name="_Toc26619"/>
      <w:r>
        <w:rPr>
          <w:rFonts w:hint="eastAsia" w:eastAsia="楷体_GB2312"/>
          <w:b/>
          <w:color w:val="000000"/>
          <w:kern w:val="0"/>
          <w:sz w:val="32"/>
          <w:szCs w:val="32"/>
        </w:rPr>
        <w:t xml:space="preserve"> </w:t>
      </w:r>
      <w:bookmarkStart w:id="402" w:name="_Toc218241100"/>
      <w:r>
        <w:rPr>
          <w:rFonts w:hint="eastAsia" w:eastAsia="楷体_GB2312"/>
          <w:b/>
          <w:color w:val="000000"/>
          <w:kern w:val="0"/>
          <w:sz w:val="32"/>
          <w:szCs w:val="32"/>
        </w:rPr>
        <w:t>打造康南区域消费中心城市</w:t>
      </w:r>
      <w:bookmarkEnd w:id="401"/>
      <w:bookmarkEnd w:id="402"/>
    </w:p>
    <w:p w14:paraId="2DC053A0">
      <w:pPr>
        <w:pStyle w:val="17"/>
        <w:spacing w:line="580" w:lineRule="exact"/>
        <w:ind w:left="105" w:leftChars="50" w:firstLine="640" w:firstLineChars="200"/>
        <w:rPr>
          <w:rFonts w:ascii="Times New Roman" w:hAnsi="Times New Roman"/>
          <w:sz w:val="32"/>
          <w:szCs w:val="32"/>
        </w:rPr>
      </w:pPr>
      <w:r>
        <w:rPr>
          <w:rFonts w:hint="eastAsia" w:ascii="Times New Roman" w:hAnsi="Times New Roman"/>
          <w:sz w:val="32"/>
          <w:szCs w:val="32"/>
        </w:rPr>
        <w:t>深入实施大宗消费品更新换代，扩围推进汽车、家电、家居等以旧换新，联动车企、金融机构举办消费节。持续推进品质供给、</w:t>
      </w:r>
      <w:r>
        <w:rPr>
          <w:rFonts w:ascii="Times New Roman" w:hAnsi="Times New Roman"/>
          <w:sz w:val="32"/>
          <w:szCs w:val="32"/>
        </w:rPr>
        <w:t>品</w:t>
      </w:r>
      <w:r>
        <w:rPr>
          <w:rFonts w:hint="eastAsia" w:ascii="Times New Roman" w:hAnsi="Times New Roman"/>
          <w:sz w:val="32"/>
          <w:szCs w:val="32"/>
        </w:rPr>
        <w:t>牌</w:t>
      </w:r>
      <w:r>
        <w:rPr>
          <w:rFonts w:ascii="Times New Roman" w:hAnsi="Times New Roman"/>
          <w:sz w:val="32"/>
          <w:szCs w:val="32"/>
        </w:rPr>
        <w:t>引领、品味生活</w:t>
      </w:r>
      <w:r>
        <w:rPr>
          <w:rFonts w:hint="eastAsia" w:ascii="Times New Roman" w:hAnsi="Times New Roman"/>
          <w:sz w:val="32"/>
          <w:szCs w:val="32"/>
        </w:rPr>
        <w:t>及创建一流消费环境的“三品一创”消费提质工程，加快建设特色餐饮街区，支持农家乐、藏家乐等特色餐饮业发展，促进餐饮与休闲娱乐、文化旅游等产业相融合，打造特色餐饮“名片”。强化“极地果蔬”“理塘牦牛”等品牌效应，通过线上线下和节会展销，扩大特色产品消费影响力。突出“天空之城”独特IP，推进高原文化、生态资源转化为差异化消费优势，增强消费吸附力，建成服务康南、辐射周边的区域消费中心城市。</w:t>
      </w:r>
    </w:p>
    <w:p w14:paraId="03C2949F">
      <w:pPr>
        <w:pStyle w:val="15"/>
        <w:numPr>
          <w:ilvl w:val="0"/>
          <w:numId w:val="16"/>
        </w:numPr>
        <w:spacing w:before="156" w:beforeLines="50" w:after="156" w:afterLines="50" w:line="440" w:lineRule="exact"/>
        <w:ind w:left="1080" w:hanging="1080" w:firstLineChars="0"/>
        <w:jc w:val="center"/>
        <w:outlineLvl w:val="2"/>
        <w:rPr>
          <w:sz w:val="32"/>
          <w:szCs w:val="32"/>
        </w:rPr>
      </w:pPr>
      <w:bookmarkStart w:id="403" w:name="_Toc30915"/>
      <w:r>
        <w:rPr>
          <w:rFonts w:hint="eastAsia" w:eastAsia="楷体_GB2312"/>
          <w:b/>
          <w:color w:val="000000"/>
          <w:kern w:val="0"/>
          <w:sz w:val="32"/>
          <w:szCs w:val="32"/>
        </w:rPr>
        <w:t xml:space="preserve"> </w:t>
      </w:r>
      <w:bookmarkStart w:id="404" w:name="_Toc218241101"/>
      <w:r>
        <w:rPr>
          <w:rFonts w:hint="eastAsia" w:eastAsia="楷体_GB2312"/>
          <w:b/>
          <w:color w:val="000000"/>
          <w:kern w:val="0"/>
          <w:sz w:val="32"/>
          <w:szCs w:val="32"/>
        </w:rPr>
        <w:t>培育消费新业态新模式</w:t>
      </w:r>
      <w:bookmarkEnd w:id="403"/>
      <w:bookmarkEnd w:id="404"/>
    </w:p>
    <w:p w14:paraId="0036E868">
      <w:pPr>
        <w:pStyle w:val="17"/>
        <w:spacing w:line="580" w:lineRule="exact"/>
        <w:ind w:left="105" w:leftChars="50" w:firstLine="640" w:firstLineChars="200"/>
        <w:rPr>
          <w:rFonts w:ascii="Times New Roman" w:hAnsi="Times New Roman"/>
          <w:sz w:val="32"/>
          <w:szCs w:val="32"/>
        </w:rPr>
      </w:pPr>
      <w:r>
        <w:rPr>
          <w:rFonts w:ascii="Times New Roman" w:hAnsi="Times New Roman"/>
          <w:sz w:val="32"/>
          <w:szCs w:val="32"/>
        </w:rPr>
        <w:t>顺应居民消费需求变化新趋势，优化和扩大服务供给，释放服务消费潜力，更好满足居民个性化、多样化、品质化服务消费需求。</w:t>
      </w:r>
      <w:r>
        <w:rPr>
          <w:rFonts w:hint="eastAsia" w:ascii="Times New Roman" w:hAnsi="Times New Roman"/>
          <w:sz w:val="32"/>
          <w:szCs w:val="32"/>
        </w:rPr>
        <w:t>扩容提质文旅消费，打造一批文创商店、微剧场、艺术展览等新型文旅消费场景，探索空中观光、飞行体验、滑翔伞、热气球等低空旅游新模式。繁荣文娱演艺、赛事经济，推动非遗集市、艺术展演、沉浸式剧场等集聚式发展，开发云展览、云演出等产品。培育夜购、夜食、夜游、夜娱、夜宿、夜展、夜读等夜间经济，建设夜间文旅消费集聚区。支持发展首店经济和品牌经济，建设“智慧商圈”“智慧商店”，推广“云逛街”“直播带货”等模式。</w:t>
      </w:r>
    </w:p>
    <w:p w14:paraId="59EDC436">
      <w:pPr>
        <w:pStyle w:val="15"/>
        <w:numPr>
          <w:ilvl w:val="0"/>
          <w:numId w:val="16"/>
        </w:numPr>
        <w:spacing w:before="156" w:beforeLines="50" w:after="156" w:afterLines="50" w:line="580" w:lineRule="exact"/>
        <w:ind w:left="1080" w:hanging="1080" w:firstLineChars="0"/>
        <w:jc w:val="center"/>
        <w:outlineLvl w:val="2"/>
        <w:rPr>
          <w:sz w:val="32"/>
          <w:szCs w:val="32"/>
        </w:rPr>
      </w:pPr>
      <w:bookmarkStart w:id="405" w:name="_Toc27237"/>
      <w:r>
        <w:rPr>
          <w:rFonts w:hint="eastAsia" w:eastAsia="楷体_GB2312"/>
          <w:b/>
          <w:sz w:val="32"/>
          <w:szCs w:val="32"/>
        </w:rPr>
        <w:t xml:space="preserve"> </w:t>
      </w:r>
      <w:bookmarkStart w:id="406" w:name="_Toc218241102"/>
      <w:r>
        <w:rPr>
          <w:rFonts w:hint="eastAsia" w:eastAsia="楷体_GB2312"/>
          <w:b/>
          <w:sz w:val="32"/>
          <w:szCs w:val="32"/>
        </w:rPr>
        <w:t>营造放心舒心消费环境</w:t>
      </w:r>
      <w:bookmarkEnd w:id="405"/>
      <w:bookmarkEnd w:id="406"/>
    </w:p>
    <w:p w14:paraId="340BE60C">
      <w:pPr>
        <w:pStyle w:val="17"/>
        <w:spacing w:line="580" w:lineRule="exact"/>
        <w:ind w:left="105" w:leftChars="50" w:firstLine="640" w:firstLineChars="200"/>
        <w:rPr>
          <w:rFonts w:ascii="Times New Roman" w:hAnsi="Times New Roman"/>
          <w:sz w:val="32"/>
          <w:szCs w:val="32"/>
        </w:rPr>
      </w:pPr>
      <w:bookmarkStart w:id="407" w:name="OLE_LINK145"/>
      <w:r>
        <w:rPr>
          <w:rFonts w:ascii="Times New Roman" w:hAnsi="Times New Roman"/>
          <w:sz w:val="32"/>
          <w:szCs w:val="32"/>
        </w:rPr>
        <w:t>贯彻落实优化消费环境三年行动</w:t>
      </w:r>
      <w:bookmarkEnd w:id="407"/>
      <w:r>
        <w:rPr>
          <w:rFonts w:ascii="Times New Roman" w:hAnsi="Times New Roman"/>
          <w:sz w:val="32"/>
          <w:szCs w:val="32"/>
        </w:rPr>
        <w:t>，全方位优化消费环境，切实提振消费信心和预期，激发消费市场活力。严守消费安全底线，</w:t>
      </w:r>
      <w:r>
        <w:rPr>
          <w:rFonts w:hint="eastAsia" w:ascii="Times New Roman" w:hAnsi="Times New Roman"/>
          <w:sz w:val="32"/>
          <w:szCs w:val="32"/>
        </w:rPr>
        <w:t>聚焦食品安全等重点领域实施精细化管理，围绕旅游节庆与美食街等场景，严格审核商户资质、加强食材溯源监管与操作流程规范，筑牢“舌尖安全”防线。强化市场监管与维权保障，严厉打击无证经营及销售假冒伪劣商品等行为，提升消费者维权能力。着力提升服务质量与消费体验，加强对旅游、餐饮等从业人员的系统培训，推广微笑服务与诚信经营。</w:t>
      </w:r>
    </w:p>
    <w:tbl>
      <w:tblPr>
        <w:tblStyle w:val="11"/>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14BB71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2" w:hRule="atLeast"/>
          <w:jc w:val="center"/>
        </w:trPr>
        <w:tc>
          <w:tcPr>
            <w:tcW w:w="5000" w:type="pct"/>
            <w:tcBorders>
              <w:top w:val="single" w:color="auto" w:sz="4" w:space="0"/>
              <w:left w:val="single" w:color="auto" w:sz="4" w:space="0"/>
              <w:bottom w:val="single" w:color="auto" w:sz="4" w:space="0"/>
              <w:right w:val="single" w:color="auto" w:sz="4" w:space="0"/>
            </w:tcBorders>
          </w:tcPr>
          <w:p w14:paraId="115B21C3">
            <w:pPr>
              <w:pStyle w:val="10"/>
              <w:snapToGrid w:val="0"/>
              <w:spacing w:before="156" w:beforeLines="50" w:after="156" w:afterLines="50" w:line="440" w:lineRule="exact"/>
              <w:ind w:left="0" w:leftChars="0" w:firstLine="643" w:firstLineChars="0"/>
              <w:jc w:val="center"/>
              <w:rPr>
                <w:rFonts w:eastAsia="楷体_GB2312"/>
                <w:b/>
                <w:sz w:val="32"/>
                <w:szCs w:val="32"/>
              </w:rPr>
            </w:pPr>
            <w:bookmarkStart w:id="408" w:name="OLE_LINK69"/>
            <w:bookmarkStart w:id="409" w:name="OLE_LINK192"/>
            <w:bookmarkStart w:id="410" w:name="OLE_LINK193"/>
            <w:r>
              <w:rPr>
                <w:rFonts w:hint="eastAsia" w:ascii="Times New Roman" w:hAnsi="Times New Roman" w:eastAsia="楷体_GB2312" w:cs="Times New Roman"/>
                <w:b/>
                <w:sz w:val="28"/>
                <w:szCs w:val="28"/>
              </w:rPr>
              <w:t>专栏24  “十五五”时期释放消费潜能推进重点</w:t>
            </w:r>
          </w:p>
        </w:tc>
      </w:tr>
      <w:tr w14:paraId="1DA3A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tcBorders>
              <w:top w:val="single" w:color="auto" w:sz="4" w:space="0"/>
              <w:left w:val="single" w:color="auto" w:sz="4" w:space="0"/>
              <w:bottom w:val="single" w:color="auto" w:sz="4" w:space="0"/>
              <w:right w:val="single" w:color="auto" w:sz="4" w:space="0"/>
            </w:tcBorders>
          </w:tcPr>
          <w:p w14:paraId="62CD5776">
            <w:pPr>
              <w:snapToGrid w:val="0"/>
              <w:spacing w:line="440" w:lineRule="exact"/>
              <w:ind w:firstLine="562" w:firstLineChars="200"/>
              <w:jc w:val="left"/>
              <w:rPr>
                <w:rFonts w:eastAsia="楷体_GB2312"/>
                <w:color w:val="000000"/>
                <w:sz w:val="28"/>
                <w:szCs w:val="28"/>
              </w:rPr>
            </w:pPr>
            <w:r>
              <w:rPr>
                <w:rFonts w:hint="eastAsia" w:eastAsia="楷体_GB2312"/>
                <w:b/>
                <w:color w:val="000000"/>
                <w:sz w:val="28"/>
                <w:szCs w:val="28"/>
              </w:rPr>
              <w:t>1.区域消费中心城市建设</w:t>
            </w:r>
            <w:r>
              <w:rPr>
                <w:rFonts w:hint="eastAsia" w:eastAsia="楷体_GB2312"/>
                <w:color w:val="000000"/>
                <w:sz w:val="28"/>
                <w:szCs w:val="28"/>
              </w:rPr>
              <w:t>。实施“三品一创”消费提质扩容工程，打造文旅消费引力圈、时尚文化消费圈、夜间经济热力带，推进千户藏寨、仁康古街等多业态融合特色商业街区建设。</w:t>
            </w:r>
          </w:p>
          <w:p w14:paraId="700D6D8C">
            <w:pPr>
              <w:snapToGrid w:val="0"/>
              <w:spacing w:line="440" w:lineRule="exact"/>
              <w:ind w:firstLine="562" w:firstLineChars="200"/>
              <w:jc w:val="left"/>
              <w:rPr>
                <w:rFonts w:eastAsia="楷体_GB2312"/>
                <w:color w:val="000000"/>
                <w:sz w:val="28"/>
                <w:szCs w:val="28"/>
              </w:rPr>
            </w:pPr>
            <w:r>
              <w:rPr>
                <w:rFonts w:hint="eastAsia" w:eastAsia="楷体_GB2312"/>
                <w:b/>
                <w:color w:val="000000"/>
                <w:sz w:val="28"/>
                <w:szCs w:val="28"/>
              </w:rPr>
              <w:t>2.激发服务消费潜能</w:t>
            </w:r>
            <w:r>
              <w:rPr>
                <w:rFonts w:hint="eastAsia" w:eastAsia="楷体_GB2312"/>
                <w:color w:val="000000"/>
                <w:sz w:val="28"/>
                <w:szCs w:val="28"/>
              </w:rPr>
              <w:t>。围绕贴近群众生活、需求潜力大、带动作用强的重点领域开展服务消费促消费活动。开展服务消费品牌培育行动，培育一批服务质量好、创新动能足、带动作用强的服务业品牌。</w:t>
            </w:r>
          </w:p>
          <w:p w14:paraId="3C5DFAA3">
            <w:pPr>
              <w:snapToGrid w:val="0"/>
              <w:spacing w:line="440" w:lineRule="exact"/>
              <w:ind w:firstLine="562" w:firstLineChars="200"/>
              <w:jc w:val="left"/>
              <w:rPr>
                <w:rFonts w:eastAsia="楷体_GB2312"/>
                <w:color w:val="000000"/>
                <w:sz w:val="28"/>
                <w:szCs w:val="28"/>
              </w:rPr>
            </w:pPr>
            <w:r>
              <w:rPr>
                <w:rFonts w:hint="eastAsia" w:eastAsia="楷体_GB2312"/>
                <w:b/>
                <w:color w:val="000000"/>
                <w:sz w:val="28"/>
                <w:szCs w:val="28"/>
              </w:rPr>
              <w:t>3.营造放心舒心消费环境</w:t>
            </w:r>
            <w:r>
              <w:rPr>
                <w:rFonts w:hint="eastAsia" w:eastAsia="楷体_GB2312"/>
                <w:color w:val="000000"/>
                <w:sz w:val="28"/>
                <w:szCs w:val="28"/>
              </w:rPr>
              <w:t>。贯彻落实优化消费环境三年行动，实施消费秩序优化行动、消费维权提效行动、消费环境共治行动、消费环境引领行动等。</w:t>
            </w:r>
          </w:p>
        </w:tc>
      </w:tr>
      <w:bookmarkEnd w:id="408"/>
      <w:bookmarkEnd w:id="409"/>
      <w:bookmarkEnd w:id="410"/>
    </w:tbl>
    <w:p w14:paraId="301506A3">
      <w:pPr>
        <w:widowControl/>
        <w:spacing w:before="156" w:beforeLines="50" w:after="156" w:afterLines="50" w:line="580" w:lineRule="exact"/>
        <w:jc w:val="center"/>
        <w:outlineLvl w:val="1"/>
        <w:rPr>
          <w:rFonts w:eastAsia="楷体_GB2312"/>
          <w:b/>
          <w:color w:val="000000"/>
          <w:kern w:val="0"/>
          <w:sz w:val="32"/>
          <w:szCs w:val="32"/>
        </w:rPr>
      </w:pPr>
      <w:bookmarkStart w:id="411" w:name="_Toc29892"/>
      <w:bookmarkStart w:id="412" w:name="_Toc218241103"/>
      <w:bookmarkStart w:id="413" w:name="_Toc214372641"/>
      <w:bookmarkStart w:id="414" w:name="_Toc22862"/>
      <w:r>
        <w:rPr>
          <w:rFonts w:hint="eastAsia" w:eastAsia="黑体"/>
          <w:bCs/>
          <w:color w:val="000000"/>
          <w:kern w:val="0"/>
          <w:sz w:val="32"/>
          <w:szCs w:val="32"/>
        </w:rPr>
        <w:t xml:space="preserve">第十八章  </w:t>
      </w:r>
      <w:r>
        <w:rPr>
          <w:rFonts w:eastAsia="黑体"/>
          <w:bCs/>
          <w:color w:val="000000"/>
          <w:kern w:val="0"/>
          <w:sz w:val="32"/>
          <w:szCs w:val="32"/>
        </w:rPr>
        <w:t>精准扩大有效益的投资</w:t>
      </w:r>
      <w:bookmarkEnd w:id="411"/>
      <w:bookmarkEnd w:id="412"/>
      <w:bookmarkEnd w:id="413"/>
      <w:bookmarkEnd w:id="414"/>
    </w:p>
    <w:p w14:paraId="7A520E87">
      <w:pPr>
        <w:pStyle w:val="15"/>
        <w:widowControl/>
        <w:numPr>
          <w:ilvl w:val="0"/>
          <w:numId w:val="17"/>
        </w:numPr>
        <w:spacing w:before="156" w:beforeLines="50" w:after="156" w:afterLines="50" w:line="580" w:lineRule="exact"/>
        <w:ind w:left="1080" w:hanging="1080" w:firstLineChars="0"/>
        <w:jc w:val="center"/>
        <w:outlineLvl w:val="1"/>
        <w:rPr>
          <w:rFonts w:eastAsia="仿宋_GB2312"/>
          <w:sz w:val="32"/>
          <w:szCs w:val="32"/>
        </w:rPr>
      </w:pPr>
      <w:bookmarkStart w:id="415" w:name="_Toc214372642"/>
      <w:bookmarkStart w:id="416" w:name="_Toc213938235"/>
      <w:bookmarkStart w:id="417" w:name="_Toc5704"/>
      <w:bookmarkStart w:id="418" w:name="_Toc212814837"/>
      <w:bookmarkStart w:id="419" w:name="_Toc7489"/>
      <w:bookmarkStart w:id="420" w:name="_Toc213845621"/>
      <w:r>
        <w:rPr>
          <w:rFonts w:hint="eastAsia" w:eastAsia="楷体_GB2312"/>
          <w:b/>
          <w:color w:val="000000"/>
          <w:kern w:val="0"/>
          <w:sz w:val="32"/>
          <w:szCs w:val="32"/>
        </w:rPr>
        <w:t xml:space="preserve"> </w:t>
      </w:r>
      <w:bookmarkStart w:id="421" w:name="_Toc218241104"/>
      <w:r>
        <w:rPr>
          <w:rFonts w:hint="eastAsia" w:eastAsia="楷体_GB2312"/>
          <w:b/>
          <w:color w:val="000000"/>
          <w:kern w:val="0"/>
          <w:sz w:val="32"/>
          <w:szCs w:val="32"/>
        </w:rPr>
        <w:t>优化政府投资结构</w:t>
      </w:r>
      <w:bookmarkEnd w:id="415"/>
      <w:bookmarkEnd w:id="416"/>
      <w:bookmarkEnd w:id="417"/>
      <w:bookmarkEnd w:id="418"/>
      <w:bookmarkEnd w:id="419"/>
      <w:bookmarkEnd w:id="420"/>
      <w:bookmarkEnd w:id="421"/>
    </w:p>
    <w:p w14:paraId="3E975F58">
      <w:pPr>
        <w:pStyle w:val="17"/>
        <w:spacing w:line="580" w:lineRule="exact"/>
        <w:ind w:left="105" w:leftChars="50" w:firstLine="640" w:firstLineChars="200"/>
        <w:rPr>
          <w:rFonts w:ascii="Times New Roman" w:hAnsi="Times New Roman"/>
          <w:sz w:val="32"/>
          <w:szCs w:val="32"/>
        </w:rPr>
      </w:pPr>
      <w:r>
        <w:rPr>
          <w:rFonts w:hint="eastAsia" w:ascii="Times New Roman" w:hAnsi="Times New Roman"/>
          <w:sz w:val="32"/>
          <w:szCs w:val="32"/>
        </w:rPr>
        <w:t>紧紧围绕国、省、州战略导向、产业升级方向和人民群众需求，大力实施理塘政策争取“突围”行动，精准把握一揽子增量财政政策导向和资金投向，用足用好政府债券、专项资金、贷款贴息等政策工具，围绕产业链延链补链强链，强化清洁能源、特色农牧、文旅产业投资关键支撑作用。紧盯国家“两重”建设机遇，锚定新质生产力培育方向，统筹新型基础设施和传统基建升级，补齐县域交通、水利、信息、供暖、供氧等短板。坚持“投资于人”理念，突出以人定量、以需定供，科学分配公共服务资源，增加优质教育、医疗、文化、“一老一小”等民生领域有效投资。加大生态保护修复、应急管理、防灾减灾、“平急两用”等公共基础设施领域投资。</w:t>
      </w:r>
    </w:p>
    <w:p w14:paraId="54E45059">
      <w:pPr>
        <w:pStyle w:val="15"/>
        <w:widowControl/>
        <w:numPr>
          <w:ilvl w:val="0"/>
          <w:numId w:val="17"/>
        </w:numPr>
        <w:spacing w:before="156" w:beforeLines="50" w:after="156" w:afterLines="50" w:line="580" w:lineRule="exact"/>
        <w:ind w:left="1080" w:hanging="1080" w:firstLineChars="0"/>
        <w:jc w:val="center"/>
        <w:outlineLvl w:val="1"/>
        <w:rPr>
          <w:rFonts w:eastAsia="楷体_GB2312"/>
          <w:b/>
          <w:color w:val="000000"/>
          <w:kern w:val="0"/>
          <w:sz w:val="32"/>
          <w:szCs w:val="32"/>
        </w:rPr>
      </w:pPr>
      <w:bookmarkStart w:id="422" w:name="_Toc5255"/>
      <w:bookmarkStart w:id="423" w:name="_Toc213938236"/>
      <w:bookmarkStart w:id="424" w:name="_Toc26025"/>
      <w:bookmarkStart w:id="425" w:name="_Toc213845622"/>
      <w:bookmarkStart w:id="426" w:name="_Toc214372643"/>
      <w:r>
        <w:rPr>
          <w:rFonts w:hint="eastAsia" w:eastAsia="楷体_GB2312"/>
          <w:b/>
          <w:color w:val="000000"/>
          <w:kern w:val="0"/>
          <w:sz w:val="32"/>
          <w:szCs w:val="32"/>
        </w:rPr>
        <w:t xml:space="preserve"> </w:t>
      </w:r>
      <w:bookmarkStart w:id="427" w:name="_Toc218241105"/>
      <w:r>
        <w:rPr>
          <w:rFonts w:eastAsia="楷体_GB2312"/>
          <w:b/>
          <w:color w:val="000000"/>
          <w:kern w:val="0"/>
          <w:sz w:val="32"/>
          <w:szCs w:val="32"/>
        </w:rPr>
        <w:t>拓展社会投资新渠道</w:t>
      </w:r>
      <w:bookmarkEnd w:id="422"/>
      <w:bookmarkEnd w:id="423"/>
      <w:bookmarkEnd w:id="424"/>
      <w:bookmarkEnd w:id="425"/>
      <w:bookmarkEnd w:id="426"/>
      <w:bookmarkEnd w:id="427"/>
    </w:p>
    <w:p w14:paraId="53BA56C2">
      <w:pPr>
        <w:pStyle w:val="2"/>
        <w:spacing w:line="580" w:lineRule="exact"/>
        <w:ind w:firstLine="640"/>
        <w:rPr>
          <w:rFonts w:eastAsia="仿宋_GB2312"/>
          <w:sz w:val="32"/>
          <w:szCs w:val="32"/>
        </w:rPr>
      </w:pPr>
      <w:r>
        <w:rPr>
          <w:rFonts w:hint="eastAsia" w:eastAsia="仿宋_GB2312"/>
          <w:sz w:val="32"/>
          <w:szCs w:val="32"/>
        </w:rPr>
        <w:t>支持民间资本拓宽投资领域，全面落实市场准入负面清单制度，定期评估、排查、清理各类显性和隐性壁垒，梳理形成民间资本“鼓励参与、重点推介、已落地”三张清单，</w:t>
      </w:r>
      <w:r>
        <w:rPr>
          <w:rFonts w:eastAsia="仿宋_GB2312"/>
          <w:sz w:val="32"/>
          <w:szCs w:val="32"/>
        </w:rPr>
        <w:t>搭建统一民间资本推介项目平台，吸引更多民间资本参与重大工程和补短板项目、</w:t>
      </w:r>
      <w:r>
        <w:rPr>
          <w:rFonts w:hint="eastAsia" w:eastAsia="仿宋_GB2312"/>
          <w:sz w:val="32"/>
          <w:szCs w:val="32"/>
        </w:rPr>
        <w:t>公用事业</w:t>
      </w:r>
      <w:r>
        <w:rPr>
          <w:rFonts w:eastAsia="仿宋_GB2312"/>
          <w:sz w:val="32"/>
          <w:szCs w:val="32"/>
        </w:rPr>
        <w:t>项目、特许经营项目等建设</w:t>
      </w:r>
      <w:r>
        <w:rPr>
          <w:rFonts w:hint="eastAsia" w:eastAsia="仿宋_GB2312"/>
          <w:sz w:val="32"/>
          <w:szCs w:val="32"/>
        </w:rPr>
        <w:t>。创新融资服务模式，搭建项目与资本对接平台，推广政府与社会资本合作（PPP）、产业基金等模式，满足中小企业融资需求。落实招商引资优惠政策，简化重点民企项目环评审批，加大民营企业权益保护，切实解决民企投资顾虑。</w:t>
      </w:r>
    </w:p>
    <w:p w14:paraId="509E5BA6">
      <w:pPr>
        <w:pStyle w:val="15"/>
        <w:widowControl/>
        <w:numPr>
          <w:ilvl w:val="0"/>
          <w:numId w:val="17"/>
        </w:numPr>
        <w:spacing w:before="156" w:beforeLines="50" w:after="156" w:afterLines="50" w:line="580" w:lineRule="exact"/>
        <w:ind w:left="1080" w:hanging="1080" w:firstLineChars="0"/>
        <w:jc w:val="center"/>
        <w:outlineLvl w:val="1"/>
        <w:rPr>
          <w:rFonts w:eastAsia="楷体_GB2312"/>
          <w:b/>
          <w:color w:val="000000"/>
          <w:kern w:val="0"/>
          <w:sz w:val="32"/>
          <w:szCs w:val="32"/>
        </w:rPr>
      </w:pPr>
      <w:bookmarkStart w:id="428" w:name="_Toc214372644"/>
      <w:bookmarkStart w:id="429" w:name="_Toc213938237"/>
      <w:bookmarkStart w:id="430" w:name="_Toc17240"/>
      <w:bookmarkStart w:id="431" w:name="_Toc25961"/>
      <w:bookmarkStart w:id="432" w:name="_Toc213845623"/>
      <w:r>
        <w:rPr>
          <w:rFonts w:hint="eastAsia" w:eastAsia="楷体_GB2312"/>
          <w:b/>
          <w:color w:val="000000"/>
          <w:kern w:val="0"/>
          <w:sz w:val="32"/>
          <w:szCs w:val="32"/>
        </w:rPr>
        <w:t xml:space="preserve"> </w:t>
      </w:r>
      <w:bookmarkStart w:id="433" w:name="_Toc218241106"/>
      <w:r>
        <w:rPr>
          <w:rFonts w:hint="eastAsia" w:eastAsia="楷体_GB2312"/>
          <w:b/>
          <w:color w:val="000000"/>
          <w:kern w:val="0"/>
          <w:sz w:val="32"/>
          <w:szCs w:val="32"/>
        </w:rPr>
        <w:t>加强全生命周期项目管理</w:t>
      </w:r>
      <w:bookmarkEnd w:id="428"/>
      <w:bookmarkEnd w:id="429"/>
      <w:bookmarkEnd w:id="430"/>
      <w:bookmarkEnd w:id="431"/>
      <w:bookmarkEnd w:id="432"/>
      <w:bookmarkEnd w:id="433"/>
    </w:p>
    <w:p w14:paraId="4311C570">
      <w:pPr>
        <w:pStyle w:val="2"/>
        <w:spacing w:line="580" w:lineRule="exact"/>
        <w:ind w:firstLine="640"/>
      </w:pPr>
      <w:r>
        <w:rPr>
          <w:rFonts w:eastAsia="仿宋_GB2312"/>
          <w:sz w:val="32"/>
          <w:szCs w:val="32"/>
        </w:rPr>
        <w:t>按照“全周期、全流程、全要素、全覆盖”原则</w:t>
      </w:r>
      <w:r>
        <w:rPr>
          <w:rFonts w:hint="eastAsia" w:eastAsia="仿宋_GB2312"/>
          <w:sz w:val="32"/>
          <w:szCs w:val="32"/>
        </w:rPr>
        <w:t>，大力实施理塘项目集装集成管理行动。做深做实项目前期，聚焦州域副中心（康南中心）定位，围绕康南中心、</w:t>
      </w:r>
      <w:r>
        <w:rPr>
          <w:rFonts w:eastAsia="仿宋_GB2312"/>
          <w:sz w:val="32"/>
          <w:szCs w:val="32"/>
        </w:rPr>
        <w:t>G318</w:t>
      </w:r>
      <w:r>
        <w:rPr>
          <w:rFonts w:hint="eastAsia" w:eastAsia="仿宋_GB2312"/>
          <w:sz w:val="32"/>
          <w:szCs w:val="32"/>
        </w:rPr>
        <w:t>现代商贸城、全国最大赛马文旅区、清洁能源、百年民生改善、飞地实体经济</w:t>
      </w:r>
      <w:r>
        <w:rPr>
          <w:rFonts w:eastAsia="仿宋_GB2312"/>
          <w:sz w:val="32"/>
          <w:szCs w:val="32"/>
        </w:rPr>
        <w:t>等重点领域谋划储备一批项目。加强项目全流程管控，科学设置项目全生命周期节点，强化关键节点管控，实现项目管理闭环，做到有效调度。强化项目要素保障，及时收集重点项目用地、用</w:t>
      </w:r>
      <w:r>
        <w:rPr>
          <w:rFonts w:hint="eastAsia" w:eastAsia="仿宋_GB2312"/>
          <w:sz w:val="32"/>
          <w:szCs w:val="32"/>
        </w:rPr>
        <w:t>能</w:t>
      </w:r>
      <w:r>
        <w:rPr>
          <w:rFonts w:eastAsia="仿宋_GB2312"/>
          <w:sz w:val="32"/>
          <w:szCs w:val="32"/>
        </w:rPr>
        <w:t>、资金等要素需求，保障项目全力推进。建立节点预警提醒机制，开展入库项目多维度分析评价，完善激励机制，实现项目督考全闭环。</w:t>
      </w:r>
    </w:p>
    <w:p w14:paraId="7E7E231F">
      <w:pPr>
        <w:pStyle w:val="15"/>
        <w:widowControl/>
        <w:numPr>
          <w:ilvl w:val="0"/>
          <w:numId w:val="17"/>
        </w:numPr>
        <w:spacing w:before="156" w:beforeLines="50" w:after="156" w:afterLines="50" w:line="580" w:lineRule="exact"/>
        <w:ind w:left="1080" w:hanging="1080" w:firstLineChars="0"/>
        <w:jc w:val="center"/>
        <w:outlineLvl w:val="1"/>
        <w:rPr>
          <w:rFonts w:eastAsia="楷体_GB2312"/>
          <w:b/>
          <w:color w:val="000000"/>
          <w:kern w:val="0"/>
          <w:sz w:val="32"/>
          <w:szCs w:val="32"/>
        </w:rPr>
      </w:pPr>
      <w:bookmarkStart w:id="434" w:name="_Toc213938238"/>
      <w:bookmarkStart w:id="435" w:name="_Toc1134"/>
      <w:bookmarkStart w:id="436" w:name="_Toc214372645"/>
      <w:bookmarkStart w:id="437" w:name="_Toc213845624"/>
      <w:bookmarkStart w:id="438" w:name="_Toc1779"/>
      <w:r>
        <w:rPr>
          <w:rFonts w:hint="eastAsia" w:eastAsia="楷体_GB2312"/>
          <w:b/>
          <w:color w:val="000000"/>
          <w:kern w:val="0"/>
          <w:sz w:val="32"/>
          <w:szCs w:val="32"/>
        </w:rPr>
        <w:t xml:space="preserve"> </w:t>
      </w:r>
      <w:bookmarkStart w:id="439" w:name="_Toc218241107"/>
      <w:r>
        <w:rPr>
          <w:rFonts w:hint="eastAsia" w:eastAsia="楷体_GB2312"/>
          <w:b/>
          <w:color w:val="000000"/>
          <w:kern w:val="0"/>
          <w:sz w:val="32"/>
          <w:szCs w:val="32"/>
        </w:rPr>
        <w:t>构建高效投融资机制</w:t>
      </w:r>
      <w:bookmarkEnd w:id="434"/>
      <w:bookmarkEnd w:id="435"/>
      <w:bookmarkEnd w:id="436"/>
      <w:bookmarkEnd w:id="437"/>
      <w:bookmarkEnd w:id="438"/>
      <w:bookmarkEnd w:id="439"/>
    </w:p>
    <w:p w14:paraId="71D5AA56">
      <w:pPr>
        <w:pStyle w:val="2"/>
        <w:spacing w:line="580" w:lineRule="exact"/>
        <w:ind w:firstLine="640"/>
      </w:pPr>
      <w:r>
        <w:rPr>
          <w:rFonts w:hint="eastAsia" w:eastAsia="仿宋_GB2312"/>
          <w:sz w:val="32"/>
          <w:szCs w:val="32"/>
        </w:rPr>
        <w:t>建立多元化投融资体系，积极争取中央预算内投资、省级专项资金支持，</w:t>
      </w:r>
      <w:r>
        <w:rPr>
          <w:rFonts w:eastAsia="仿宋_GB2312"/>
          <w:sz w:val="32"/>
          <w:szCs w:val="32"/>
        </w:rPr>
        <w:t>用好专项债券作项目资本金政策</w:t>
      </w:r>
      <w:r>
        <w:rPr>
          <w:rFonts w:hint="eastAsia" w:eastAsia="仿宋_GB2312"/>
          <w:sz w:val="32"/>
          <w:szCs w:val="32"/>
        </w:rPr>
        <w:t>，</w:t>
      </w:r>
      <w:r>
        <w:rPr>
          <w:rFonts w:eastAsia="仿宋_GB2312"/>
          <w:sz w:val="32"/>
          <w:szCs w:val="32"/>
        </w:rPr>
        <w:t>支持更多符合条件的民间资本项目发行基础设施REITs</w:t>
      </w:r>
      <w:r>
        <w:rPr>
          <w:rFonts w:hint="eastAsia" w:eastAsia="仿宋_GB2312"/>
          <w:sz w:val="32"/>
          <w:szCs w:val="32"/>
        </w:rPr>
        <w:t>，吸引社会资本重点投向文旅基础设施、清洁能源及数字基建等领域。鼓励金融机构开发“文旅贷”“乡村振兴贷”等定制化产品，依托牦牛等特色资产探索活体抵押、应收账款融资等业务。完善融资担保体系，设立风险补偿基金，构建“政策引导、市场运作、风险共担”的投融资新格局。</w:t>
      </w:r>
    </w:p>
    <w:p w14:paraId="2AD28FF4">
      <w:pPr>
        <w:spacing w:before="156" w:beforeLines="50" w:after="156" w:afterLines="50" w:line="580" w:lineRule="exact"/>
        <w:ind w:firstLine="640" w:firstLineChars="200"/>
        <w:outlineLvl w:val="0"/>
        <w:rPr>
          <w:rFonts w:eastAsia="方正大标宋简体"/>
          <w:sz w:val="32"/>
          <w:szCs w:val="32"/>
        </w:rPr>
      </w:pPr>
      <w:bookmarkStart w:id="440" w:name="_Toc212814838"/>
      <w:bookmarkStart w:id="441" w:name="_Toc17069"/>
      <w:bookmarkStart w:id="442" w:name="_Toc214372646"/>
      <w:bookmarkStart w:id="443" w:name="_Toc14847"/>
      <w:bookmarkStart w:id="444" w:name="_Toc218241108"/>
      <w:bookmarkStart w:id="445" w:name="OLE_LINK89"/>
      <w:bookmarkStart w:id="446" w:name="OLE_LINK90"/>
      <w:r>
        <w:rPr>
          <w:rFonts w:hint="eastAsia" w:eastAsia="方正大标宋简体"/>
          <w:sz w:val="32"/>
          <w:szCs w:val="32"/>
        </w:rPr>
        <w:t xml:space="preserve">第七篇 </w:t>
      </w:r>
      <w:r>
        <w:rPr>
          <w:rFonts w:eastAsia="方正大标宋简体"/>
          <w:sz w:val="32"/>
          <w:szCs w:val="32"/>
        </w:rPr>
        <w:t>激发活力</w:t>
      </w:r>
      <w:r>
        <w:rPr>
          <w:rFonts w:hint="eastAsia" w:eastAsia="方正大标宋简体"/>
          <w:sz w:val="32"/>
          <w:szCs w:val="32"/>
        </w:rPr>
        <w:t xml:space="preserve">  </w:t>
      </w:r>
      <w:bookmarkEnd w:id="440"/>
      <w:bookmarkEnd w:id="441"/>
      <w:bookmarkEnd w:id="442"/>
      <w:bookmarkEnd w:id="443"/>
      <w:bookmarkStart w:id="447" w:name="OLE_LINK14"/>
      <w:r>
        <w:rPr>
          <w:rFonts w:eastAsia="方正大标宋简体"/>
          <w:sz w:val="32"/>
          <w:szCs w:val="32"/>
        </w:rPr>
        <w:t>进一步全面深化改革和开放协作</w:t>
      </w:r>
      <w:bookmarkEnd w:id="444"/>
      <w:bookmarkEnd w:id="447"/>
    </w:p>
    <w:bookmarkEnd w:id="445"/>
    <w:bookmarkEnd w:id="446"/>
    <w:p w14:paraId="0A63BEA7">
      <w:pPr>
        <w:spacing w:line="580" w:lineRule="exact"/>
        <w:ind w:firstLine="640" w:firstLineChars="200"/>
        <w:jc w:val="left"/>
      </w:pPr>
      <w:r>
        <w:rPr>
          <w:rFonts w:hint="eastAsia" w:eastAsia="仿宋_GB2312"/>
          <w:sz w:val="32"/>
          <w:szCs w:val="32"/>
        </w:rPr>
        <w:t>突出深化改革引领作用，坚持引进来和走出去并重，扩大高水平对外开放，提升跨区域协作水平，提升在更大范围、更宽领域、更深层次配置资源能力，打造东西部创新协同发展示范样本。</w:t>
      </w:r>
    </w:p>
    <w:p w14:paraId="1060BD72">
      <w:pPr>
        <w:widowControl/>
        <w:spacing w:before="156" w:beforeLines="50" w:after="156" w:afterLines="50" w:line="580" w:lineRule="exact"/>
        <w:jc w:val="center"/>
        <w:outlineLvl w:val="1"/>
        <w:rPr>
          <w:rFonts w:eastAsia="黑体"/>
          <w:bCs/>
          <w:color w:val="000000"/>
          <w:kern w:val="0"/>
          <w:sz w:val="32"/>
          <w:szCs w:val="32"/>
        </w:rPr>
      </w:pPr>
      <w:bookmarkStart w:id="448" w:name="_Toc214372647"/>
      <w:bookmarkStart w:id="449" w:name="_Toc212814839"/>
      <w:bookmarkStart w:id="450" w:name="_Toc19073"/>
      <w:bookmarkStart w:id="451" w:name="_Toc22951"/>
      <w:bookmarkStart w:id="452" w:name="_Toc218241109"/>
      <w:r>
        <w:rPr>
          <w:rFonts w:hint="eastAsia" w:eastAsia="黑体"/>
          <w:bCs/>
          <w:color w:val="000000"/>
          <w:kern w:val="0"/>
          <w:sz w:val="32"/>
          <w:szCs w:val="32"/>
        </w:rPr>
        <w:t xml:space="preserve">第十九章  </w:t>
      </w:r>
      <w:r>
        <w:rPr>
          <w:rFonts w:eastAsia="黑体"/>
          <w:bCs/>
          <w:color w:val="000000"/>
          <w:kern w:val="0"/>
          <w:sz w:val="32"/>
          <w:szCs w:val="32"/>
        </w:rPr>
        <w:t>深化重点领域改革引领</w:t>
      </w:r>
      <w:bookmarkEnd w:id="448"/>
      <w:bookmarkEnd w:id="449"/>
      <w:bookmarkEnd w:id="450"/>
      <w:bookmarkEnd w:id="451"/>
      <w:bookmarkEnd w:id="452"/>
    </w:p>
    <w:p w14:paraId="5CE3EDF8">
      <w:pPr>
        <w:pStyle w:val="15"/>
        <w:widowControl/>
        <w:numPr>
          <w:ilvl w:val="0"/>
          <w:numId w:val="18"/>
        </w:numPr>
        <w:spacing w:before="156" w:beforeLines="50" w:after="156" w:afterLines="50" w:line="580" w:lineRule="exact"/>
        <w:ind w:left="1080" w:hanging="1080" w:firstLineChars="0"/>
        <w:jc w:val="center"/>
        <w:outlineLvl w:val="1"/>
        <w:rPr>
          <w:rFonts w:eastAsia="楷体_GB2312"/>
          <w:b/>
          <w:color w:val="000000"/>
          <w:kern w:val="0"/>
          <w:sz w:val="32"/>
          <w:szCs w:val="32"/>
        </w:rPr>
      </w:pPr>
      <w:bookmarkStart w:id="453" w:name="_Toc29256"/>
      <w:bookmarkStart w:id="454" w:name="_Toc213938241"/>
      <w:bookmarkStart w:id="455" w:name="_Toc214372648"/>
      <w:bookmarkStart w:id="456" w:name="_Toc213845627"/>
      <w:bookmarkStart w:id="457" w:name="_Toc1432"/>
      <w:bookmarkStart w:id="458" w:name="OLE_LINK79"/>
      <w:bookmarkStart w:id="459" w:name="OLE_LINK78"/>
      <w:r>
        <w:rPr>
          <w:rFonts w:hint="eastAsia" w:eastAsia="楷体_GB2312"/>
          <w:b/>
          <w:color w:val="000000"/>
          <w:kern w:val="0"/>
          <w:sz w:val="32"/>
          <w:szCs w:val="32"/>
        </w:rPr>
        <w:t xml:space="preserve"> </w:t>
      </w:r>
      <w:bookmarkStart w:id="460" w:name="_Toc218241110"/>
      <w:r>
        <w:rPr>
          <w:rFonts w:hint="eastAsia" w:eastAsia="楷体_GB2312"/>
          <w:b/>
          <w:color w:val="000000"/>
          <w:kern w:val="0"/>
          <w:sz w:val="32"/>
          <w:szCs w:val="32"/>
        </w:rPr>
        <w:t>深化要素市场化配置改革</w:t>
      </w:r>
      <w:bookmarkEnd w:id="453"/>
      <w:bookmarkEnd w:id="454"/>
      <w:bookmarkEnd w:id="455"/>
      <w:bookmarkEnd w:id="456"/>
      <w:bookmarkEnd w:id="457"/>
      <w:bookmarkEnd w:id="460"/>
    </w:p>
    <w:p w14:paraId="28043C2B">
      <w:pPr>
        <w:spacing w:line="580" w:lineRule="exact"/>
        <w:ind w:firstLine="640" w:firstLineChars="200"/>
        <w:jc w:val="left"/>
        <w:rPr>
          <w:rFonts w:eastAsia="仿宋_GB2312"/>
          <w:sz w:val="32"/>
          <w:szCs w:val="32"/>
        </w:rPr>
      </w:pPr>
      <w:r>
        <w:rPr>
          <w:rFonts w:hint="eastAsia" w:eastAsia="仿宋_GB2312"/>
          <w:sz w:val="32"/>
          <w:szCs w:val="32"/>
        </w:rPr>
        <w:t>紧扣全国统一大市场建设“五统一、一开放”核心要求，大力实施理塘制度“破冰”行动，以改革攻发展堵点、机制障碍之坚，完善要素市场制度和规则，聚焦“飞地经济”“三资融合”等关键领域，着力破除制约资源要素跨区域流动的制度壁垒，促进各种所有制经济依法平等使用生产要素、公平参与市场竞争、同等受到法律保护。深度融入成渝一体化等区域市场，着力推进</w:t>
      </w:r>
      <w:r>
        <w:rPr>
          <w:rFonts w:eastAsia="仿宋_GB2312"/>
          <w:sz w:val="32"/>
          <w:szCs w:val="32"/>
        </w:rPr>
        <w:t>要素跨区域协同配置</w:t>
      </w:r>
      <w:r>
        <w:rPr>
          <w:rFonts w:hint="eastAsia" w:eastAsia="仿宋_GB2312"/>
          <w:sz w:val="32"/>
          <w:szCs w:val="32"/>
        </w:rPr>
        <w:t>，创新盘活闲置低效要素利用，促进各类资源高效配置、市场潜力充分释放，</w:t>
      </w:r>
    </w:p>
    <w:p w14:paraId="5231AF80">
      <w:pPr>
        <w:pStyle w:val="2"/>
      </w:pPr>
    </w:p>
    <w:p w14:paraId="4DAF659F">
      <w:pPr>
        <w:pStyle w:val="10"/>
        <w:snapToGrid w:val="0"/>
        <w:spacing w:before="156" w:beforeLines="50" w:after="156" w:afterLines="50"/>
        <w:ind w:left="0" w:leftChars="0" w:firstLine="643" w:firstLineChars="0"/>
        <w:jc w:val="center"/>
        <w:rPr>
          <w:rFonts w:ascii="Times New Roman" w:hAnsi="Times New Roman" w:eastAsia="楷体_GB2312" w:cs="Times New Roman"/>
          <w:b/>
          <w:sz w:val="28"/>
          <w:szCs w:val="28"/>
        </w:rPr>
      </w:pPr>
      <w:bookmarkStart w:id="461" w:name="OLE_LINK7"/>
      <w:bookmarkStart w:id="462" w:name="OLE_LINK8"/>
      <w:r>
        <w:rPr>
          <w:rFonts w:hint="eastAsia" w:ascii="Times New Roman" w:hAnsi="Times New Roman" w:eastAsia="楷体_GB2312" w:cs="Times New Roman"/>
          <w:b/>
          <w:sz w:val="28"/>
          <w:szCs w:val="28"/>
        </w:rPr>
        <w:br w:type="page"/>
      </w:r>
    </w:p>
    <w:tbl>
      <w:tblPr>
        <w:tblStyle w:val="11"/>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3BA3A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2" w:hRule="atLeast"/>
          <w:jc w:val="center"/>
        </w:trPr>
        <w:tc>
          <w:tcPr>
            <w:tcW w:w="5000" w:type="pct"/>
            <w:tcBorders>
              <w:top w:val="single" w:color="auto" w:sz="4" w:space="0"/>
              <w:left w:val="single" w:color="auto" w:sz="4" w:space="0"/>
              <w:bottom w:val="single" w:color="auto" w:sz="4" w:space="0"/>
              <w:right w:val="single" w:color="auto" w:sz="4" w:space="0"/>
            </w:tcBorders>
          </w:tcPr>
          <w:p w14:paraId="7C6ED590">
            <w:pPr>
              <w:pStyle w:val="10"/>
              <w:snapToGrid w:val="0"/>
              <w:spacing w:before="156" w:beforeLines="50" w:after="156" w:afterLines="50" w:line="440" w:lineRule="exact"/>
              <w:ind w:left="0" w:leftChars="0" w:firstLine="643" w:firstLineChars="0"/>
              <w:jc w:val="center"/>
              <w:rPr>
                <w:rFonts w:eastAsia="楷体_GB2312"/>
                <w:b/>
                <w:sz w:val="32"/>
                <w:szCs w:val="32"/>
              </w:rPr>
            </w:pPr>
            <w:r>
              <w:rPr>
                <w:rFonts w:hint="eastAsia" w:ascii="Times New Roman" w:hAnsi="Times New Roman" w:eastAsia="楷体_GB2312" w:cs="Times New Roman"/>
                <w:b/>
                <w:sz w:val="28"/>
                <w:szCs w:val="28"/>
              </w:rPr>
              <w:t>专栏25  “十五五”时期融入全国统一大市场推进重点</w:t>
            </w:r>
          </w:p>
        </w:tc>
      </w:tr>
      <w:tr w14:paraId="59C31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tcBorders>
              <w:top w:val="single" w:color="auto" w:sz="4" w:space="0"/>
              <w:left w:val="single" w:color="auto" w:sz="4" w:space="0"/>
              <w:bottom w:val="single" w:color="auto" w:sz="4" w:space="0"/>
              <w:right w:val="single" w:color="auto" w:sz="4" w:space="0"/>
            </w:tcBorders>
          </w:tcPr>
          <w:p w14:paraId="11C1579F">
            <w:pPr>
              <w:snapToGrid w:val="0"/>
              <w:spacing w:line="440" w:lineRule="exact"/>
              <w:ind w:firstLine="562" w:firstLineChars="200"/>
              <w:jc w:val="left"/>
              <w:rPr>
                <w:rFonts w:eastAsia="楷体_GB2312"/>
                <w:color w:val="000000"/>
                <w:sz w:val="28"/>
                <w:szCs w:val="28"/>
              </w:rPr>
            </w:pPr>
            <w:r>
              <w:rPr>
                <w:rFonts w:hint="eastAsia" w:eastAsia="楷体_GB2312"/>
                <w:b/>
                <w:color w:val="000000"/>
                <w:sz w:val="28"/>
                <w:szCs w:val="28"/>
              </w:rPr>
              <w:t>1.推进市场基础制度统一</w:t>
            </w:r>
            <w:r>
              <w:rPr>
                <w:rFonts w:hint="eastAsia" w:eastAsia="楷体_GB2312"/>
                <w:color w:val="000000"/>
                <w:sz w:val="28"/>
                <w:szCs w:val="28"/>
              </w:rPr>
              <w:t>。产权保护方面推进平等保护、依法保护，市场准入方面推进“负面清单、隐性清零”，公平竞争方面推进“刚性约束、全面覆盖”，社会信用方面推进“统一平台、联合惩戒”等。</w:t>
            </w:r>
          </w:p>
          <w:p w14:paraId="5F6E1483">
            <w:pPr>
              <w:snapToGrid w:val="0"/>
              <w:spacing w:line="440" w:lineRule="exact"/>
              <w:ind w:firstLine="562" w:firstLineChars="200"/>
              <w:jc w:val="left"/>
              <w:rPr>
                <w:rFonts w:eastAsia="楷体_GB2312"/>
                <w:color w:val="000000"/>
                <w:sz w:val="28"/>
                <w:szCs w:val="28"/>
              </w:rPr>
            </w:pPr>
            <w:r>
              <w:rPr>
                <w:rFonts w:eastAsia="楷体_GB2312"/>
                <w:b/>
                <w:color w:val="000000"/>
                <w:sz w:val="28"/>
                <w:szCs w:val="28"/>
              </w:rPr>
              <w:t>2.</w:t>
            </w:r>
            <w:r>
              <w:rPr>
                <w:rFonts w:hint="eastAsia" w:eastAsia="楷体_GB2312"/>
                <w:b/>
                <w:color w:val="000000"/>
                <w:sz w:val="28"/>
                <w:szCs w:val="28"/>
              </w:rPr>
              <w:t>推进市场基础设施统一</w:t>
            </w:r>
            <w:r>
              <w:rPr>
                <w:rFonts w:hint="eastAsia" w:eastAsia="楷体_GB2312"/>
                <w:color w:val="000000"/>
                <w:sz w:val="28"/>
                <w:szCs w:val="28"/>
              </w:rPr>
              <w:t>。交通设施方面推进“网络衔接、多式联运”，能源基础设施方面推进“绿色低碳、管网互联、智能调度”，信息基础设施方面推进“数字智能、标准统一、算力协同”。</w:t>
            </w:r>
          </w:p>
          <w:p w14:paraId="006AB718">
            <w:pPr>
              <w:snapToGrid w:val="0"/>
              <w:spacing w:line="440" w:lineRule="exact"/>
              <w:ind w:firstLine="562" w:firstLineChars="200"/>
              <w:jc w:val="left"/>
              <w:rPr>
                <w:rFonts w:eastAsia="楷体_GB2312"/>
                <w:color w:val="000000"/>
                <w:sz w:val="28"/>
                <w:szCs w:val="28"/>
              </w:rPr>
            </w:pPr>
            <w:r>
              <w:rPr>
                <w:rFonts w:eastAsia="楷体_GB2312"/>
                <w:b/>
                <w:color w:val="000000"/>
                <w:sz w:val="28"/>
                <w:szCs w:val="28"/>
              </w:rPr>
              <w:t>3.</w:t>
            </w:r>
            <w:r>
              <w:rPr>
                <w:rFonts w:hint="eastAsia" w:eastAsia="楷体_GB2312"/>
                <w:b/>
                <w:color w:val="000000"/>
                <w:sz w:val="28"/>
                <w:szCs w:val="28"/>
              </w:rPr>
              <w:t>推进政府行为尺度统一</w:t>
            </w:r>
            <w:r>
              <w:rPr>
                <w:rFonts w:hint="eastAsia" w:eastAsia="楷体_GB2312"/>
                <w:color w:val="000000"/>
                <w:sz w:val="28"/>
                <w:szCs w:val="28"/>
              </w:rPr>
              <w:t>。推动有效市场与有为政府实现更好结合，让“无形之手”与“有形之手”协同发力。推进决策环节“统一规则、杜绝歧视”、执行环节“规范流程、避免偏差”、服务环节“标准统一、便捷高效”。</w:t>
            </w:r>
          </w:p>
          <w:p w14:paraId="4B6924BC">
            <w:pPr>
              <w:snapToGrid w:val="0"/>
              <w:spacing w:line="440" w:lineRule="exact"/>
              <w:ind w:firstLine="562" w:firstLineChars="200"/>
              <w:jc w:val="left"/>
              <w:rPr>
                <w:rFonts w:eastAsia="楷体_GB2312"/>
                <w:color w:val="000000"/>
                <w:sz w:val="28"/>
                <w:szCs w:val="28"/>
              </w:rPr>
            </w:pPr>
            <w:r>
              <w:rPr>
                <w:rFonts w:eastAsia="楷体_GB2312"/>
                <w:b/>
                <w:color w:val="000000"/>
                <w:sz w:val="28"/>
                <w:szCs w:val="28"/>
              </w:rPr>
              <w:t>4.</w:t>
            </w:r>
            <w:r>
              <w:rPr>
                <w:rFonts w:hint="eastAsia" w:eastAsia="楷体_GB2312"/>
                <w:b/>
                <w:color w:val="000000"/>
                <w:sz w:val="28"/>
                <w:szCs w:val="28"/>
              </w:rPr>
              <w:t>推进市场监管执法统一</w:t>
            </w:r>
            <w:r>
              <w:rPr>
                <w:rFonts w:hint="eastAsia" w:eastAsia="楷体_GB2312"/>
                <w:color w:val="000000"/>
                <w:sz w:val="28"/>
                <w:szCs w:val="28"/>
              </w:rPr>
              <w:t>。监管规则方面推进“全国统一、衔接协调”，监管平台方面推进“全国一体、协同联动”，监管方式方面推动“综合执法、智能精准”，监管协同方面强化“协同联动、社会参与”。</w:t>
            </w:r>
          </w:p>
          <w:p w14:paraId="7E82A093">
            <w:pPr>
              <w:snapToGrid w:val="0"/>
              <w:spacing w:line="440" w:lineRule="exact"/>
              <w:ind w:firstLine="562" w:firstLineChars="200"/>
              <w:jc w:val="left"/>
              <w:rPr>
                <w:rFonts w:eastAsia="楷体_GB2312"/>
                <w:color w:val="000000"/>
                <w:sz w:val="28"/>
                <w:szCs w:val="28"/>
              </w:rPr>
            </w:pPr>
            <w:r>
              <w:rPr>
                <w:rFonts w:eastAsia="楷体_GB2312"/>
                <w:b/>
                <w:color w:val="000000"/>
                <w:sz w:val="28"/>
                <w:szCs w:val="28"/>
              </w:rPr>
              <w:t>5.</w:t>
            </w:r>
            <w:r>
              <w:rPr>
                <w:rFonts w:hint="eastAsia" w:eastAsia="楷体_GB2312"/>
                <w:b/>
                <w:color w:val="000000"/>
                <w:sz w:val="28"/>
                <w:szCs w:val="28"/>
              </w:rPr>
              <w:t>推进要素资源市场统一</w:t>
            </w:r>
            <w:r>
              <w:rPr>
                <w:rFonts w:hint="eastAsia" w:eastAsia="楷体_GB2312"/>
                <w:color w:val="000000"/>
                <w:sz w:val="28"/>
                <w:szCs w:val="28"/>
              </w:rPr>
              <w:t>。土地要素市场方面推进“城乡统一、规则衔接”，劳动力要素市场方面推进“消除壁垒、服务均等”，资本要素市场方面推进“多层次、高效率”，技术要素市场方面推进“打破割据、促进转化”，数据要素市场方面推进“规则统一、安全有序”。</w:t>
            </w:r>
          </w:p>
          <w:p w14:paraId="67A3D988">
            <w:pPr>
              <w:snapToGrid w:val="0"/>
              <w:spacing w:line="440" w:lineRule="exact"/>
              <w:ind w:firstLine="562" w:firstLineChars="200"/>
              <w:jc w:val="left"/>
              <w:rPr>
                <w:rFonts w:eastAsia="楷体_GB2312"/>
                <w:color w:val="000000"/>
                <w:sz w:val="28"/>
                <w:szCs w:val="28"/>
              </w:rPr>
            </w:pPr>
            <w:r>
              <w:rPr>
                <w:rFonts w:eastAsia="楷体_GB2312"/>
                <w:b/>
                <w:color w:val="000000"/>
                <w:sz w:val="28"/>
                <w:szCs w:val="28"/>
              </w:rPr>
              <w:t>6.</w:t>
            </w:r>
            <w:r>
              <w:rPr>
                <w:rFonts w:hint="eastAsia" w:eastAsia="楷体_GB2312"/>
                <w:b/>
                <w:color w:val="000000"/>
                <w:sz w:val="28"/>
                <w:szCs w:val="28"/>
              </w:rPr>
              <w:t>持续扩大市场开放</w:t>
            </w:r>
            <w:r>
              <w:rPr>
                <w:rFonts w:hint="eastAsia" w:eastAsia="楷体_GB2312"/>
                <w:color w:val="000000"/>
                <w:sz w:val="28"/>
                <w:szCs w:val="28"/>
              </w:rPr>
              <w:t>。对内开放方面推进“打破封锁、区域协同”，对外开放方面推进“制度接轨、全球配置”，内外融合方面推进“双向赋能、循环畅通”。</w:t>
            </w:r>
          </w:p>
        </w:tc>
      </w:tr>
      <w:bookmarkEnd w:id="461"/>
      <w:bookmarkEnd w:id="462"/>
    </w:tbl>
    <w:p w14:paraId="6A990638">
      <w:pPr>
        <w:pStyle w:val="15"/>
        <w:numPr>
          <w:ilvl w:val="0"/>
          <w:numId w:val="18"/>
        </w:numPr>
        <w:spacing w:before="156" w:beforeLines="50" w:after="156" w:afterLines="50" w:line="580" w:lineRule="exact"/>
        <w:ind w:left="1080" w:hanging="1080" w:firstLineChars="0"/>
        <w:jc w:val="center"/>
        <w:outlineLvl w:val="2"/>
        <w:rPr>
          <w:rFonts w:eastAsia="楷体_GB2312"/>
          <w:b/>
          <w:color w:val="000000"/>
          <w:kern w:val="0"/>
          <w:sz w:val="32"/>
          <w:szCs w:val="32"/>
        </w:rPr>
      </w:pPr>
      <w:bookmarkStart w:id="463" w:name="_Toc26686"/>
      <w:r>
        <w:rPr>
          <w:rFonts w:hint="eastAsia" w:eastAsia="楷体_GB2312"/>
          <w:b/>
          <w:color w:val="000000"/>
          <w:kern w:val="0"/>
          <w:sz w:val="32"/>
          <w:szCs w:val="32"/>
        </w:rPr>
        <w:t xml:space="preserve"> </w:t>
      </w:r>
      <w:bookmarkStart w:id="464" w:name="_Toc218241111"/>
      <w:r>
        <w:rPr>
          <w:rFonts w:hint="eastAsia" w:eastAsia="楷体_GB2312"/>
          <w:b/>
          <w:color w:val="000000"/>
          <w:kern w:val="0"/>
          <w:sz w:val="32"/>
          <w:szCs w:val="32"/>
        </w:rPr>
        <w:t>提升国有资本配置效率</w:t>
      </w:r>
      <w:bookmarkEnd w:id="463"/>
      <w:bookmarkEnd w:id="464"/>
    </w:p>
    <w:p w14:paraId="660F7AA1">
      <w:pPr>
        <w:spacing w:line="580" w:lineRule="exact"/>
        <w:ind w:firstLine="640" w:firstLineChars="200"/>
        <w:rPr>
          <w:rFonts w:eastAsia="仿宋_GB2312"/>
          <w:sz w:val="32"/>
          <w:szCs w:val="32"/>
        </w:rPr>
      </w:pPr>
      <w:r>
        <w:rPr>
          <w:rFonts w:hint="eastAsia" w:eastAsia="仿宋_GB2312"/>
          <w:sz w:val="32"/>
          <w:szCs w:val="32"/>
        </w:rPr>
        <w:t>聚焦国有资源资产资金运作改革，</w:t>
      </w:r>
      <w:r>
        <w:rPr>
          <w:rFonts w:eastAsia="仿宋_GB2312"/>
          <w:sz w:val="32"/>
          <w:szCs w:val="32"/>
        </w:rPr>
        <w:t>持续实施“国资国企改革深化提升”行动，以增强核心功能、提升核心竞争力为重点，</w:t>
      </w:r>
      <w:r>
        <w:rPr>
          <w:rFonts w:hint="eastAsia" w:eastAsia="仿宋_GB2312"/>
          <w:sz w:val="32"/>
          <w:szCs w:val="32"/>
        </w:rPr>
        <w:t>有序推进国有企业战略性重组和专业化整合，提高国有经济核心竞争力。</w:t>
      </w:r>
      <w:r>
        <w:rPr>
          <w:rFonts w:eastAsia="仿宋_GB2312"/>
          <w:sz w:val="32"/>
          <w:szCs w:val="32"/>
        </w:rPr>
        <w:t>引导</w:t>
      </w:r>
      <w:r>
        <w:rPr>
          <w:rFonts w:hint="eastAsia" w:eastAsia="仿宋_GB2312"/>
          <w:sz w:val="32"/>
          <w:szCs w:val="32"/>
        </w:rPr>
        <w:t>县</w:t>
      </w:r>
      <w:r>
        <w:rPr>
          <w:rFonts w:eastAsia="仿宋_GB2312"/>
          <w:sz w:val="32"/>
          <w:szCs w:val="32"/>
        </w:rPr>
        <w:t>属国有企业深度参与优势资源开发利用，扎实推动国有资本“三个集中”，</w:t>
      </w:r>
      <w:r>
        <w:rPr>
          <w:rFonts w:hint="eastAsia" w:eastAsia="仿宋_GB2312"/>
          <w:sz w:val="32"/>
          <w:szCs w:val="32"/>
        </w:rPr>
        <w:t>推进混合所有制改革与市场化运营，通过“引进来”与“走出去”双向发力，提升国有资本在清洁能源、文旅融合等领域的配置效率。</w:t>
      </w:r>
      <w:r>
        <w:rPr>
          <w:rFonts w:eastAsia="仿宋_GB2312"/>
          <w:sz w:val="32"/>
          <w:szCs w:val="32"/>
        </w:rPr>
        <w:t>强化国有企业履行战略使命评价，推进国有企业分类考核评价。建立健全违规经营投资责任追究工作体系，强化</w:t>
      </w:r>
      <w:r>
        <w:rPr>
          <w:rFonts w:hint="eastAsia" w:eastAsia="仿宋_GB2312"/>
          <w:sz w:val="32"/>
          <w:szCs w:val="32"/>
        </w:rPr>
        <w:t>县外</w:t>
      </w:r>
      <w:r>
        <w:rPr>
          <w:rFonts w:eastAsia="仿宋_GB2312"/>
          <w:sz w:val="32"/>
          <w:szCs w:val="32"/>
        </w:rPr>
        <w:t>投资监管。</w:t>
      </w:r>
    </w:p>
    <w:p w14:paraId="01706206">
      <w:pPr>
        <w:pStyle w:val="15"/>
        <w:numPr>
          <w:ilvl w:val="0"/>
          <w:numId w:val="18"/>
        </w:numPr>
        <w:spacing w:before="156" w:beforeLines="50" w:after="156" w:afterLines="50" w:line="580" w:lineRule="exact"/>
        <w:ind w:left="1080" w:hanging="1080" w:firstLineChars="0"/>
        <w:jc w:val="center"/>
        <w:outlineLvl w:val="2"/>
        <w:rPr>
          <w:rFonts w:eastAsia="楷体_GB2312"/>
          <w:b/>
          <w:color w:val="000000"/>
          <w:kern w:val="0"/>
          <w:sz w:val="32"/>
          <w:szCs w:val="32"/>
        </w:rPr>
      </w:pPr>
      <w:bookmarkStart w:id="465" w:name="_Toc4844"/>
      <w:r>
        <w:rPr>
          <w:rFonts w:hint="eastAsia" w:eastAsia="楷体_GB2312"/>
          <w:b/>
          <w:color w:val="000000"/>
          <w:kern w:val="0"/>
          <w:sz w:val="32"/>
          <w:szCs w:val="32"/>
        </w:rPr>
        <w:t xml:space="preserve"> </w:t>
      </w:r>
      <w:bookmarkStart w:id="466" w:name="_Toc218241112"/>
      <w:r>
        <w:rPr>
          <w:rFonts w:hint="eastAsia" w:eastAsia="楷体_GB2312"/>
          <w:b/>
          <w:color w:val="000000"/>
          <w:kern w:val="0"/>
          <w:sz w:val="32"/>
          <w:szCs w:val="32"/>
        </w:rPr>
        <w:t>强化财税金融双轮驱动</w:t>
      </w:r>
      <w:bookmarkEnd w:id="465"/>
      <w:bookmarkEnd w:id="466"/>
    </w:p>
    <w:p w14:paraId="5D3E6253">
      <w:pPr>
        <w:spacing w:line="580" w:lineRule="exact"/>
        <w:ind w:firstLine="640" w:firstLineChars="200"/>
        <w:rPr>
          <w:rFonts w:eastAsia="仿宋_GB2312"/>
          <w:sz w:val="32"/>
          <w:szCs w:val="32"/>
        </w:rPr>
      </w:pPr>
      <w:r>
        <w:rPr>
          <w:rFonts w:hint="eastAsia" w:eastAsia="仿宋_GB2312"/>
          <w:sz w:val="32"/>
          <w:szCs w:val="32"/>
        </w:rPr>
        <w:t>进一步深化财税体制</w:t>
      </w:r>
      <w:r>
        <w:rPr>
          <w:rFonts w:eastAsia="仿宋_GB2312"/>
          <w:sz w:val="32"/>
          <w:szCs w:val="32"/>
        </w:rPr>
        <w:t>改革</w:t>
      </w:r>
      <w:r>
        <w:rPr>
          <w:rFonts w:hint="eastAsia" w:eastAsia="仿宋_GB2312"/>
          <w:sz w:val="32"/>
          <w:szCs w:val="32"/>
        </w:rPr>
        <w:t>，探索县财政收入分配改革，完善“集中财力办大事”保障机制。深入推进乡镇扩权赋能，提高重点乡镇发展动力活力。</w:t>
      </w:r>
      <w:r>
        <w:rPr>
          <w:rFonts w:eastAsia="仿宋_GB2312"/>
          <w:sz w:val="32"/>
          <w:szCs w:val="32"/>
        </w:rPr>
        <w:t>完善预算管理制度，全面实施零基预算。优化财政资源配置，强化县级财政统筹能力，建立民生保障与产业发展协同的支出结构。加强预算绩效管理，强化绩效评价结果应用，全面落实减税降费、援企稳岗等系列政策。完善税收征管机制，深化跨部门税费征管协同，推进税收征管信息化建设。创新投融资体制机制，有序推动重大经营性项目贷款融资及争取财政贴息补助。</w:t>
      </w:r>
    </w:p>
    <w:p w14:paraId="161AB8CF">
      <w:pPr>
        <w:pStyle w:val="15"/>
        <w:numPr>
          <w:ilvl w:val="0"/>
          <w:numId w:val="18"/>
        </w:numPr>
        <w:spacing w:before="156" w:beforeLines="50" w:after="156" w:afterLines="50" w:line="580" w:lineRule="exact"/>
        <w:ind w:left="1080" w:hanging="1080" w:firstLineChars="0"/>
        <w:jc w:val="center"/>
        <w:outlineLvl w:val="2"/>
        <w:rPr>
          <w:rFonts w:eastAsia="楷体_GB2312"/>
          <w:b/>
          <w:color w:val="000000"/>
          <w:kern w:val="0"/>
          <w:sz w:val="32"/>
          <w:szCs w:val="32"/>
        </w:rPr>
      </w:pPr>
      <w:bookmarkStart w:id="467" w:name="_Toc12255"/>
      <w:bookmarkStart w:id="468" w:name="OLE_LINK136"/>
      <w:bookmarkStart w:id="469" w:name="OLE_LINK137"/>
      <w:r>
        <w:rPr>
          <w:rFonts w:hint="eastAsia" w:eastAsia="楷体_GB2312"/>
          <w:b/>
          <w:color w:val="000000"/>
          <w:kern w:val="0"/>
          <w:sz w:val="32"/>
          <w:szCs w:val="32"/>
        </w:rPr>
        <w:t xml:space="preserve"> </w:t>
      </w:r>
      <w:bookmarkStart w:id="470" w:name="_Toc218241113"/>
      <w:r>
        <w:rPr>
          <w:rFonts w:eastAsia="楷体_GB2312"/>
          <w:b/>
          <w:color w:val="000000"/>
          <w:kern w:val="0"/>
          <w:sz w:val="32"/>
          <w:szCs w:val="32"/>
        </w:rPr>
        <w:t>持续打造一流营商环境</w:t>
      </w:r>
      <w:bookmarkEnd w:id="467"/>
      <w:bookmarkEnd w:id="470"/>
    </w:p>
    <w:bookmarkEnd w:id="458"/>
    <w:bookmarkEnd w:id="459"/>
    <w:bookmarkEnd w:id="468"/>
    <w:bookmarkEnd w:id="469"/>
    <w:p w14:paraId="6E68400E">
      <w:pPr>
        <w:spacing w:line="580" w:lineRule="exact"/>
        <w:ind w:firstLine="640" w:firstLineChars="200"/>
        <w:rPr>
          <w:rFonts w:eastAsia="仿宋_GB2312"/>
          <w:sz w:val="32"/>
          <w:szCs w:val="32"/>
        </w:rPr>
      </w:pPr>
      <w:r>
        <w:rPr>
          <w:rFonts w:hint="eastAsia" w:eastAsia="仿宋_GB2312"/>
          <w:sz w:val="32"/>
          <w:szCs w:val="32"/>
        </w:rPr>
        <w:t>坚持</w:t>
      </w:r>
      <w:r>
        <w:rPr>
          <w:rFonts w:eastAsia="仿宋_GB2312"/>
          <w:sz w:val="32"/>
          <w:szCs w:val="32"/>
        </w:rPr>
        <w:t>市场化、法治化、国际化方向</w:t>
      </w:r>
      <w:r>
        <w:rPr>
          <w:rFonts w:hint="eastAsia" w:eastAsia="仿宋_GB2312"/>
          <w:sz w:val="32"/>
          <w:szCs w:val="32"/>
        </w:rPr>
        <w:t>，着力营造便捷优质政务环境、配置高效要素环境、公平公正法治环境、开放包容创新环境，构建与高质量发展相适应的制度环境。做优“有需必应、无事不扰”服务品牌，纵深推进“一网通办”下“一件事情一次办”改革，大力提升行政服务效能。强化政策集</w:t>
      </w:r>
      <w:r>
        <w:rPr>
          <w:rFonts w:hint="eastAsia" w:eastAsia="仿宋_GB2312"/>
          <w:spacing w:val="-6"/>
          <w:sz w:val="32"/>
          <w:szCs w:val="32"/>
        </w:rPr>
        <w:t>成发布、宣传推广，提升有效触达率，实现惠企政策一码查询、一键申报，健全“进万企、解难题、优环境、促发展”常态长效机制。完善涉企收费长效监管机制，开展拖欠企业账款专项治理，推动涉企纠纷高效化解，优化提升企业体验感满意度。</w:t>
      </w:r>
    </w:p>
    <w:p w14:paraId="0C727736">
      <w:pPr>
        <w:widowControl/>
        <w:spacing w:before="156" w:beforeLines="50" w:after="156" w:afterLines="50" w:line="580" w:lineRule="exact"/>
        <w:jc w:val="center"/>
        <w:outlineLvl w:val="1"/>
        <w:rPr>
          <w:rFonts w:eastAsia="黑体"/>
          <w:bCs/>
          <w:color w:val="000000"/>
          <w:kern w:val="0"/>
          <w:sz w:val="32"/>
          <w:szCs w:val="32"/>
        </w:rPr>
      </w:pPr>
      <w:bookmarkStart w:id="471" w:name="_Toc218241114"/>
      <w:bookmarkStart w:id="472" w:name="_Toc214372649"/>
      <w:bookmarkStart w:id="473" w:name="_Toc212814840"/>
      <w:bookmarkStart w:id="474" w:name="_Toc11736"/>
      <w:bookmarkStart w:id="475" w:name="_Toc31232"/>
      <w:r>
        <w:rPr>
          <w:rFonts w:hint="eastAsia" w:eastAsia="黑体"/>
          <w:bCs/>
          <w:color w:val="000000"/>
          <w:kern w:val="0"/>
          <w:sz w:val="32"/>
          <w:szCs w:val="32"/>
        </w:rPr>
        <w:t>第二十章  打好开放协作主动战</w:t>
      </w:r>
      <w:bookmarkEnd w:id="471"/>
      <w:bookmarkEnd w:id="472"/>
      <w:bookmarkEnd w:id="473"/>
      <w:bookmarkEnd w:id="474"/>
      <w:bookmarkEnd w:id="475"/>
    </w:p>
    <w:p w14:paraId="61DC7302">
      <w:pPr>
        <w:pStyle w:val="15"/>
        <w:numPr>
          <w:ilvl w:val="0"/>
          <w:numId w:val="19"/>
        </w:numPr>
        <w:spacing w:before="156" w:beforeLines="50" w:after="156" w:afterLines="50" w:line="580" w:lineRule="exact"/>
        <w:ind w:left="1080" w:hanging="1080" w:firstLineChars="0"/>
        <w:jc w:val="center"/>
        <w:outlineLvl w:val="2"/>
        <w:rPr>
          <w:rFonts w:eastAsia="楷体_GB2312"/>
          <w:b/>
          <w:color w:val="000000"/>
          <w:kern w:val="0"/>
          <w:sz w:val="32"/>
          <w:szCs w:val="32"/>
        </w:rPr>
      </w:pPr>
      <w:bookmarkStart w:id="476" w:name="_Toc4324"/>
      <w:r>
        <w:rPr>
          <w:rFonts w:hint="eastAsia" w:eastAsia="楷体_GB2312"/>
          <w:b/>
          <w:color w:val="000000"/>
          <w:kern w:val="0"/>
          <w:sz w:val="32"/>
          <w:szCs w:val="32"/>
        </w:rPr>
        <w:t xml:space="preserve"> </w:t>
      </w:r>
      <w:bookmarkStart w:id="477" w:name="_Toc218241115"/>
      <w:r>
        <w:rPr>
          <w:rFonts w:hint="eastAsia" w:eastAsia="楷体_GB2312"/>
          <w:b/>
          <w:color w:val="000000"/>
          <w:kern w:val="0"/>
          <w:sz w:val="32"/>
          <w:szCs w:val="32"/>
        </w:rPr>
        <w:t>深化对口支援与协作帮扶</w:t>
      </w:r>
      <w:bookmarkEnd w:id="476"/>
      <w:bookmarkEnd w:id="477"/>
    </w:p>
    <w:p w14:paraId="7C7EFB95">
      <w:pPr>
        <w:spacing w:line="580" w:lineRule="exact"/>
        <w:ind w:firstLine="640" w:firstLineChars="200"/>
        <w:rPr>
          <w:rFonts w:eastAsia="仿宋_GB2312"/>
          <w:sz w:val="32"/>
          <w:szCs w:val="32"/>
        </w:rPr>
      </w:pPr>
      <w:r>
        <w:rPr>
          <w:rFonts w:hint="eastAsia" w:eastAsia="仿宋_GB2312"/>
          <w:sz w:val="32"/>
          <w:szCs w:val="32"/>
        </w:rPr>
        <w:t>深入贯彻落实国、省深化东西部协作要求，有机融合中央、省内、省外各帮扶力量，大力推动外部资金、技术、人才、管理、信息、市场等优势与理塘的自然资源、人文资源、</w:t>
      </w:r>
      <w:r>
        <w:rPr>
          <w:rFonts w:hint="eastAsia" w:eastAsia="仿宋_GB2312"/>
          <w:spacing w:val="-6"/>
          <w:sz w:val="32"/>
          <w:szCs w:val="32"/>
        </w:rPr>
        <w:t>劳动力等优势深度结合，加强产业合作、资源互补、劳务对接、乡村建设及人才交流</w:t>
      </w:r>
      <w:bookmarkStart w:id="478" w:name="OLE_LINK168"/>
      <w:bookmarkStart w:id="479" w:name="OLE_LINK169"/>
      <w:r>
        <w:rPr>
          <w:rFonts w:hint="eastAsia" w:eastAsia="仿宋_GB2312"/>
          <w:spacing w:val="-6"/>
          <w:sz w:val="32"/>
          <w:szCs w:val="32"/>
        </w:rPr>
        <w:t>。拓展帮扶领域，健全帮扶机制，优化帮扶方式，</w:t>
      </w:r>
      <w:bookmarkEnd w:id="478"/>
      <w:bookmarkEnd w:id="479"/>
      <w:r>
        <w:rPr>
          <w:rFonts w:hint="eastAsia" w:eastAsia="仿宋_GB2312"/>
          <w:spacing w:val="-6"/>
          <w:sz w:val="32"/>
          <w:szCs w:val="32"/>
        </w:rPr>
        <w:t>推动对口帮扶由单点帮扶向合力帮扶转化、单一帮扶向多元帮扶转化、单边帮扶向双向赋能转化，构建优势互补、互惠互利、共同发展新格局，奋力打造东西部协作创新示范区，为全省乃至全国提供东西部协作和对口支援新样板。</w:t>
      </w:r>
    </w:p>
    <w:p w14:paraId="0F668DC9">
      <w:pPr>
        <w:pStyle w:val="15"/>
        <w:numPr>
          <w:ilvl w:val="0"/>
          <w:numId w:val="19"/>
        </w:numPr>
        <w:spacing w:before="156" w:beforeLines="50" w:after="156" w:afterLines="50" w:line="580" w:lineRule="exact"/>
        <w:ind w:left="1080" w:hanging="1080" w:firstLineChars="0"/>
        <w:jc w:val="center"/>
        <w:outlineLvl w:val="2"/>
        <w:rPr>
          <w:rFonts w:eastAsia="楷体_GB2312"/>
          <w:b/>
          <w:color w:val="000000"/>
          <w:kern w:val="0"/>
          <w:sz w:val="32"/>
          <w:szCs w:val="32"/>
        </w:rPr>
      </w:pPr>
      <w:bookmarkStart w:id="480" w:name="_Toc9171"/>
      <w:r>
        <w:rPr>
          <w:rFonts w:hint="eastAsia" w:eastAsia="楷体_GB2312"/>
          <w:b/>
          <w:color w:val="000000"/>
          <w:kern w:val="0"/>
          <w:sz w:val="32"/>
          <w:szCs w:val="32"/>
        </w:rPr>
        <w:t xml:space="preserve"> </w:t>
      </w:r>
      <w:bookmarkStart w:id="481" w:name="_Toc218241116"/>
      <w:r>
        <w:rPr>
          <w:rFonts w:hint="eastAsia" w:eastAsia="楷体_GB2312"/>
          <w:b/>
          <w:color w:val="000000"/>
          <w:kern w:val="0"/>
          <w:sz w:val="32"/>
          <w:szCs w:val="32"/>
        </w:rPr>
        <w:t>创新区域开放协作新模式</w:t>
      </w:r>
      <w:bookmarkEnd w:id="480"/>
      <w:bookmarkEnd w:id="481"/>
    </w:p>
    <w:p w14:paraId="600C2D67">
      <w:pPr>
        <w:ind w:firstLine="640" w:firstLineChars="200"/>
        <w:rPr>
          <w:rFonts w:eastAsia="仿宋_GB2312"/>
          <w:sz w:val="32"/>
          <w:szCs w:val="32"/>
        </w:rPr>
      </w:pPr>
      <w:r>
        <w:rPr>
          <w:rFonts w:hint="eastAsia" w:eastAsia="仿宋_GB2312"/>
          <w:sz w:val="32"/>
          <w:szCs w:val="32"/>
        </w:rPr>
        <w:t>聚焦深化产业、就业、消费协作等重点领域，以东西部协作为主线，以飞地实体经济为着力点，着力完善与长三角、珠三角、成渝地区双城经济圈的战略对接，创新“飞楼”“飞地”等跨区域产业协作模式，探索建立“东部技术+高原资源”“东部市场+高原产品”“东部研发+高原转化”新机制。</w:t>
      </w:r>
      <w:r>
        <w:rPr>
          <w:rFonts w:hint="eastAsia" w:eastAsia="仿宋_GB2312"/>
          <w:kern w:val="0"/>
          <w:sz w:val="32"/>
          <w:szCs w:val="32"/>
        </w:rPr>
        <w:t>搭建多方国有资本互融合作平台，推动理塘国资走进资本市场</w:t>
      </w:r>
      <w:r>
        <w:rPr>
          <w:rFonts w:hint="eastAsia" w:eastAsia="仿宋_GB2312"/>
          <w:color w:val="FF0000"/>
          <w:kern w:val="0"/>
          <w:sz w:val="32"/>
          <w:szCs w:val="32"/>
        </w:rPr>
        <w:t>。</w:t>
      </w:r>
      <w:r>
        <w:rPr>
          <w:rFonts w:hint="eastAsia" w:eastAsia="仿宋_GB2312"/>
          <w:sz w:val="32"/>
          <w:szCs w:val="32"/>
        </w:rPr>
        <w:t>拓展深化产业、劳务、消费、人才等协作方式，探索财税分成、统计核算、要素保障等创新模式，推动跨区域利益共享与责任共担。加强与川藏经济走廊沿线和康南周边区域在文化旅游、商贸物流、民生共享、应急救援等方面的联动协作，切实增强</w:t>
      </w:r>
      <w:r>
        <w:rPr>
          <w:rFonts w:eastAsia="仿宋_GB2312"/>
          <w:sz w:val="32"/>
          <w:szCs w:val="32"/>
        </w:rPr>
        <w:t>康南区域副中心集聚辐射</w:t>
      </w:r>
      <w:r>
        <w:rPr>
          <w:rFonts w:hint="eastAsia" w:eastAsia="仿宋_GB2312"/>
          <w:sz w:val="32"/>
          <w:szCs w:val="32"/>
        </w:rPr>
        <w:t>带动作用。积极参与“一带一路”建设，依托尼泊尔国家馆等平台，拓展国际文旅与商贸合作，打造“世界屋脊上的国际橱窗”，构建开放型经济新优势。</w:t>
      </w:r>
    </w:p>
    <w:p w14:paraId="309ACDB5">
      <w:pPr>
        <w:pStyle w:val="15"/>
        <w:widowControl/>
        <w:numPr>
          <w:ilvl w:val="0"/>
          <w:numId w:val="19"/>
        </w:numPr>
        <w:spacing w:before="156" w:beforeLines="50" w:after="156" w:afterLines="50" w:line="580" w:lineRule="exact"/>
        <w:ind w:left="1080" w:hanging="1080" w:firstLineChars="0"/>
        <w:jc w:val="center"/>
        <w:outlineLvl w:val="2"/>
        <w:rPr>
          <w:rFonts w:eastAsia="楷体_GB2312"/>
          <w:b/>
          <w:color w:val="000000"/>
          <w:kern w:val="0"/>
          <w:sz w:val="32"/>
          <w:szCs w:val="32"/>
        </w:rPr>
      </w:pPr>
      <w:bookmarkStart w:id="482" w:name="_Toc212814841"/>
      <w:bookmarkStart w:id="483" w:name="_Toc32230"/>
      <w:r>
        <w:rPr>
          <w:rFonts w:hint="eastAsia" w:eastAsia="楷体_GB2312"/>
          <w:b/>
          <w:color w:val="000000"/>
          <w:kern w:val="0"/>
          <w:sz w:val="32"/>
          <w:szCs w:val="32"/>
        </w:rPr>
        <w:t xml:space="preserve"> </w:t>
      </w:r>
      <w:bookmarkStart w:id="484" w:name="_Toc218241117"/>
      <w:r>
        <w:rPr>
          <w:rFonts w:hint="eastAsia" w:eastAsia="楷体_GB2312"/>
          <w:b/>
          <w:color w:val="000000"/>
          <w:kern w:val="0"/>
          <w:sz w:val="32"/>
          <w:szCs w:val="32"/>
        </w:rPr>
        <w:t>加强科技引进吸收和创新</w:t>
      </w:r>
      <w:bookmarkEnd w:id="482"/>
      <w:bookmarkEnd w:id="483"/>
      <w:bookmarkEnd w:id="484"/>
    </w:p>
    <w:p w14:paraId="157C030E">
      <w:pPr>
        <w:spacing w:line="580" w:lineRule="exact"/>
        <w:ind w:firstLine="640" w:firstLineChars="200"/>
        <w:rPr>
          <w:rFonts w:eastAsia="仿宋_GB2312"/>
          <w:sz w:val="32"/>
          <w:szCs w:val="32"/>
        </w:rPr>
      </w:pPr>
      <w:r>
        <w:rPr>
          <w:rFonts w:hint="eastAsia" w:eastAsia="仿宋_GB2312"/>
          <w:sz w:val="32"/>
          <w:szCs w:val="32"/>
        </w:rPr>
        <w:t>坚持创新驱动发展战略，围绕高原特色农牧、中藏医药、清洁能源等优势资源，强化产学研用协同创新。依托东西部协作平台，共建高原特色农业实验室、中藏药研发中心等“飞地”载体，突破高寒种植、牦牛产品深加工等技术瓶颈。鼓励企业加大研发投入，指导企业积极申报州企业技术中心，支持链主龙头企业自建或联合高校、科研院所、产业链上下游企业共建研发平台。实施科技成果转移转化专项行动，推广应用成熟适用技术成果，力争建成甘孜州科技创新成果转移转化南部中心。积极推进县科技馆、孵化中心等建设，以线上和线下、固定和流动相结合方式建强科普宣传阵地，打造甘孜州南部区域型科普基地。</w:t>
      </w:r>
    </w:p>
    <w:p w14:paraId="2CC34C8B">
      <w:pPr>
        <w:widowControl/>
        <w:spacing w:before="156" w:beforeLines="50" w:after="156" w:afterLines="50" w:line="580" w:lineRule="exact"/>
        <w:ind w:firstLine="1687" w:firstLineChars="525"/>
        <w:outlineLvl w:val="1"/>
        <w:rPr>
          <w:rFonts w:eastAsia="黑体"/>
          <w:bCs/>
          <w:color w:val="000000"/>
          <w:kern w:val="0"/>
          <w:sz w:val="32"/>
          <w:szCs w:val="32"/>
        </w:rPr>
      </w:pPr>
      <w:bookmarkStart w:id="485" w:name="_Toc213845629"/>
      <w:bookmarkStart w:id="486" w:name="_Toc213938243"/>
      <w:bookmarkStart w:id="487" w:name="_Toc214372650"/>
      <w:bookmarkStart w:id="488" w:name="_Toc10748"/>
      <w:bookmarkStart w:id="489" w:name="_Toc7632"/>
      <w:bookmarkStart w:id="490" w:name="_Toc212814842"/>
      <w:bookmarkStart w:id="491" w:name="_Toc218241118"/>
      <w:r>
        <w:rPr>
          <w:rFonts w:hint="eastAsia" w:eastAsia="楷体_GB2312"/>
          <w:b/>
          <w:color w:val="000000"/>
          <w:kern w:val="0"/>
          <w:sz w:val="32"/>
          <w:szCs w:val="32"/>
        </w:rPr>
        <w:t>第四节  健全协作保障机制</w:t>
      </w:r>
      <w:bookmarkEnd w:id="485"/>
      <w:bookmarkEnd w:id="486"/>
      <w:bookmarkEnd w:id="487"/>
      <w:bookmarkEnd w:id="488"/>
      <w:bookmarkEnd w:id="489"/>
      <w:bookmarkEnd w:id="490"/>
      <w:bookmarkEnd w:id="491"/>
      <w:bookmarkStart w:id="492" w:name="_Toc3293"/>
    </w:p>
    <w:p w14:paraId="6435A89E">
      <w:pPr>
        <w:autoSpaceDE w:val="0"/>
        <w:autoSpaceDN w:val="0"/>
        <w:adjustRightInd w:val="0"/>
        <w:ind w:firstLine="640" w:firstLineChars="200"/>
        <w:jc w:val="left"/>
        <w:rPr>
          <w:rFonts w:eastAsia="仿宋_GB2312"/>
          <w:sz w:val="32"/>
          <w:szCs w:val="32"/>
        </w:rPr>
      </w:pPr>
      <w:r>
        <w:rPr>
          <w:rFonts w:hint="eastAsia" w:eastAsia="仿宋_GB2312"/>
          <w:sz w:val="32"/>
          <w:szCs w:val="32"/>
        </w:rPr>
        <w:t>坚定落实国、省东西部协作部署，着力谋划一批优质项目，推动中长期国债等向“飞地”实体经济倾斜，支持土地、能耗、排污等指标在“飞地”给予统筹使用和倾斜补助。加强财政协作资金投入，加快建立协作项目竞争性申报制度，探索“以奖代补”、异地政府采购服务等方式，拓展资金的使用范围和功能。建立东西部协同各方常态化交流机制，推动重大问题有效解决。</w:t>
      </w:r>
    </w:p>
    <w:tbl>
      <w:tblPr>
        <w:tblStyle w:val="11"/>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0399E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2" w:hRule="atLeast"/>
          <w:jc w:val="center"/>
        </w:trPr>
        <w:tc>
          <w:tcPr>
            <w:tcW w:w="5000" w:type="pct"/>
            <w:tcBorders>
              <w:top w:val="single" w:color="auto" w:sz="4" w:space="0"/>
              <w:left w:val="single" w:color="auto" w:sz="4" w:space="0"/>
              <w:bottom w:val="single" w:color="auto" w:sz="4" w:space="0"/>
              <w:right w:val="single" w:color="auto" w:sz="4" w:space="0"/>
            </w:tcBorders>
          </w:tcPr>
          <w:p w14:paraId="4225879E">
            <w:pPr>
              <w:pStyle w:val="10"/>
              <w:snapToGrid w:val="0"/>
              <w:spacing w:before="156" w:beforeLines="50" w:after="156" w:afterLines="50" w:line="440" w:lineRule="exact"/>
              <w:ind w:left="0" w:leftChars="0" w:firstLine="643" w:firstLineChars="0"/>
              <w:jc w:val="center"/>
              <w:rPr>
                <w:rFonts w:eastAsia="楷体_GB2312"/>
                <w:b/>
                <w:sz w:val="32"/>
                <w:szCs w:val="32"/>
              </w:rPr>
            </w:pPr>
            <w:bookmarkStart w:id="493" w:name="OLE_LINK20"/>
            <w:bookmarkStart w:id="494" w:name="OLE_LINK21"/>
            <w:r>
              <w:rPr>
                <w:rFonts w:hint="eastAsia" w:ascii="Times New Roman" w:hAnsi="Times New Roman" w:eastAsia="楷体_GB2312" w:cs="Times New Roman"/>
                <w:b/>
                <w:sz w:val="28"/>
                <w:szCs w:val="28"/>
              </w:rPr>
              <w:t>专栏26  “十五五”时期东西部协同示范区建设推进重点</w:t>
            </w:r>
          </w:p>
        </w:tc>
      </w:tr>
      <w:tr w14:paraId="53516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tcBorders>
              <w:top w:val="single" w:color="auto" w:sz="4" w:space="0"/>
              <w:left w:val="single" w:color="auto" w:sz="4" w:space="0"/>
              <w:bottom w:val="single" w:color="auto" w:sz="4" w:space="0"/>
              <w:right w:val="single" w:color="auto" w:sz="4" w:space="0"/>
            </w:tcBorders>
          </w:tcPr>
          <w:p w14:paraId="68747272">
            <w:pPr>
              <w:snapToGrid w:val="0"/>
              <w:spacing w:line="440" w:lineRule="exact"/>
              <w:ind w:firstLine="562" w:firstLineChars="200"/>
              <w:jc w:val="left"/>
              <w:rPr>
                <w:rFonts w:eastAsia="楷体_GB2312"/>
                <w:b/>
                <w:bCs/>
                <w:color w:val="000000"/>
                <w:sz w:val="28"/>
                <w:szCs w:val="28"/>
              </w:rPr>
            </w:pPr>
            <w:r>
              <w:rPr>
                <w:rFonts w:hint="eastAsia" w:eastAsia="楷体_GB2312"/>
                <w:b/>
                <w:bCs/>
                <w:color w:val="000000"/>
                <w:sz w:val="28"/>
                <w:szCs w:val="28"/>
              </w:rPr>
              <w:t>1.创新产业协作。</w:t>
            </w:r>
          </w:p>
          <w:p w14:paraId="78835527">
            <w:pPr>
              <w:snapToGrid w:val="0"/>
              <w:spacing w:line="440" w:lineRule="exact"/>
              <w:ind w:firstLine="562" w:firstLineChars="200"/>
              <w:jc w:val="left"/>
              <w:rPr>
                <w:rFonts w:eastAsia="楷体_GB2312"/>
                <w:b/>
                <w:bCs/>
                <w:color w:val="000000"/>
                <w:sz w:val="28"/>
                <w:szCs w:val="28"/>
              </w:rPr>
            </w:pPr>
            <w:r>
              <w:rPr>
                <w:rFonts w:hint="eastAsia" w:eastAsia="楷体_GB2312"/>
                <w:b/>
                <w:bCs/>
                <w:color w:val="000000"/>
                <w:sz w:val="28"/>
                <w:szCs w:val="28"/>
              </w:rPr>
              <w:t>推进建设“三资融合型”“飞地”园区。</w:t>
            </w:r>
          </w:p>
          <w:p w14:paraId="11D1B578">
            <w:pPr>
              <w:snapToGrid w:val="0"/>
              <w:spacing w:line="440" w:lineRule="exact"/>
              <w:ind w:firstLine="560" w:firstLineChars="200"/>
              <w:jc w:val="left"/>
              <w:rPr>
                <w:rFonts w:eastAsia="楷体_GB2312"/>
                <w:color w:val="000000"/>
                <w:sz w:val="28"/>
                <w:szCs w:val="28"/>
              </w:rPr>
            </w:pPr>
            <w:r>
              <w:rPr>
                <w:rFonts w:hint="eastAsia" w:eastAsia="楷体_GB2312"/>
                <w:color w:val="000000"/>
                <w:sz w:val="28"/>
                <w:szCs w:val="28"/>
              </w:rPr>
              <w:t>创新资源整合机制。以“东部技术</w:t>
            </w:r>
            <w:r>
              <w:rPr>
                <w:rFonts w:eastAsia="楷体_GB2312"/>
                <w:color w:val="000000"/>
                <w:sz w:val="28"/>
                <w:szCs w:val="28"/>
              </w:rPr>
              <w:t>+</w:t>
            </w:r>
            <w:r>
              <w:rPr>
                <w:rFonts w:hint="eastAsia" w:eastAsia="楷体_GB2312"/>
                <w:color w:val="000000"/>
                <w:sz w:val="28"/>
                <w:szCs w:val="28"/>
              </w:rPr>
              <w:t>理塘资源”为核心，依托杭州钱塘金砖国家特殊经济区中国合作中心、“一带一路”中非合作产业园、钱塘区“中国医药港”等载体，建立跨区域资源要素配置平台，实现资源资产化流转。</w:t>
            </w:r>
          </w:p>
          <w:p w14:paraId="7C94667E">
            <w:pPr>
              <w:snapToGrid w:val="0"/>
              <w:spacing w:line="440" w:lineRule="exact"/>
              <w:ind w:firstLine="560" w:firstLineChars="200"/>
              <w:jc w:val="left"/>
              <w:rPr>
                <w:rFonts w:eastAsia="楷体_GB2312"/>
                <w:color w:val="000000"/>
                <w:sz w:val="28"/>
                <w:szCs w:val="28"/>
              </w:rPr>
            </w:pPr>
            <w:r>
              <w:rPr>
                <w:rFonts w:hint="eastAsia" w:eastAsia="楷体_GB2312"/>
                <w:color w:val="000000"/>
                <w:sz w:val="28"/>
                <w:szCs w:val="28"/>
              </w:rPr>
              <w:t>推进资产盘活资本联动。通过“资产确权</w:t>
            </w:r>
            <w:r>
              <w:rPr>
                <w:rFonts w:eastAsia="楷体_GB2312"/>
                <w:color w:val="000000"/>
                <w:sz w:val="28"/>
                <w:szCs w:val="28"/>
              </w:rPr>
              <w:t>+</w:t>
            </w:r>
            <w:r>
              <w:rPr>
                <w:rFonts w:hint="eastAsia" w:eastAsia="楷体_GB2312"/>
                <w:color w:val="000000"/>
                <w:sz w:val="28"/>
                <w:szCs w:val="28"/>
              </w:rPr>
              <w:t>资本撬动”双轮驱动，整合理塘分散的国有土地、基础设施等资产，以股权量化形式注入飞地园区。采用“财政资金</w:t>
            </w:r>
            <w:r>
              <w:rPr>
                <w:rFonts w:eastAsia="楷体_GB2312"/>
                <w:color w:val="000000"/>
                <w:sz w:val="28"/>
                <w:szCs w:val="28"/>
              </w:rPr>
              <w:t>+</w:t>
            </w:r>
            <w:r>
              <w:rPr>
                <w:rFonts w:hint="eastAsia" w:eastAsia="楷体_GB2312"/>
                <w:color w:val="000000"/>
                <w:sz w:val="28"/>
                <w:szCs w:val="28"/>
              </w:rPr>
              <w:t>政策性金融</w:t>
            </w:r>
            <w:r>
              <w:rPr>
                <w:rFonts w:eastAsia="楷体_GB2312"/>
                <w:color w:val="000000"/>
                <w:sz w:val="28"/>
                <w:szCs w:val="28"/>
              </w:rPr>
              <w:t>+</w:t>
            </w:r>
            <w:r>
              <w:rPr>
                <w:rFonts w:hint="eastAsia" w:eastAsia="楷体_GB2312"/>
                <w:color w:val="000000"/>
                <w:sz w:val="28"/>
                <w:szCs w:val="28"/>
              </w:rPr>
              <w:t>社会资本”组合模式，吸引东部社会资本参与开发。支持理塘国有资本以“混投”“跟投”等方式提升资本配置和运营效率。</w:t>
            </w:r>
          </w:p>
          <w:p w14:paraId="0D285A37">
            <w:pPr>
              <w:snapToGrid w:val="0"/>
              <w:spacing w:line="440" w:lineRule="exact"/>
              <w:ind w:firstLine="562" w:firstLineChars="200"/>
              <w:jc w:val="left"/>
              <w:rPr>
                <w:rFonts w:eastAsia="楷体_GB2312"/>
                <w:color w:val="000000"/>
                <w:sz w:val="28"/>
                <w:szCs w:val="28"/>
              </w:rPr>
            </w:pPr>
            <w:r>
              <w:rPr>
                <w:rFonts w:hint="eastAsia" w:eastAsia="楷体_GB2312"/>
                <w:b/>
                <w:color w:val="000000"/>
                <w:sz w:val="28"/>
                <w:szCs w:val="28"/>
              </w:rPr>
              <w:t>推动产业梯度转移</w:t>
            </w:r>
            <w:r>
              <w:rPr>
                <w:rFonts w:hint="eastAsia" w:eastAsia="楷体_GB2312"/>
                <w:color w:val="000000"/>
                <w:sz w:val="28"/>
                <w:szCs w:val="28"/>
              </w:rPr>
              <w:t>。依托已建成的四川省内甘眉、成甘工业园区及理塘康藏农牧产业加工贸易园区等载体，吸引东部企业布局高原适应性制造细分领域。建立“东部技术赋能—本地标准化生产—全国品牌化营销”传统产业升级路径。依托理塘清洁能源优势，吸引算力、数据标注、云端运维服务等企业。</w:t>
            </w:r>
          </w:p>
          <w:p w14:paraId="6D7265D1">
            <w:pPr>
              <w:adjustRightInd w:val="0"/>
              <w:snapToGrid w:val="0"/>
              <w:spacing w:line="440" w:lineRule="exact"/>
              <w:ind w:firstLine="562" w:firstLineChars="200"/>
              <w:jc w:val="left"/>
              <w:rPr>
                <w:rFonts w:eastAsia="楷体_GB2312"/>
                <w:color w:val="000000"/>
                <w:sz w:val="28"/>
                <w:szCs w:val="28"/>
              </w:rPr>
            </w:pPr>
            <w:r>
              <w:rPr>
                <w:rFonts w:hint="eastAsia" w:eastAsia="楷体_GB2312"/>
                <w:b/>
                <w:bCs/>
                <w:color w:val="000000"/>
                <w:sz w:val="28"/>
                <w:szCs w:val="28"/>
              </w:rPr>
              <w:t>推进特色资源合作开发。</w:t>
            </w:r>
            <w:r>
              <w:rPr>
                <w:rFonts w:hint="eastAsia" w:eastAsia="楷体_GB2312"/>
                <w:color w:val="000000"/>
                <w:sz w:val="28"/>
                <w:szCs w:val="28"/>
              </w:rPr>
              <w:t>加大极地果蔬、勒通牦牛、道地中藏药等特色资源合作开发力度，延伸产业链、提升价值链，打响知名度。建立“东部研发中心</w:t>
            </w:r>
            <w:r>
              <w:rPr>
                <w:rFonts w:eastAsia="楷体_GB2312"/>
                <w:color w:val="000000"/>
                <w:sz w:val="28"/>
                <w:szCs w:val="28"/>
              </w:rPr>
              <w:t>+</w:t>
            </w:r>
            <w:r>
              <w:rPr>
                <w:rFonts w:hint="eastAsia" w:eastAsia="楷体_GB2312"/>
                <w:color w:val="000000"/>
                <w:sz w:val="28"/>
                <w:szCs w:val="28"/>
              </w:rPr>
              <w:t>理塘试验基地”双向赋能机制，做强特色产业发展科技支撑。</w:t>
            </w:r>
          </w:p>
          <w:p w14:paraId="4CAB9E2C">
            <w:pPr>
              <w:adjustRightInd w:val="0"/>
              <w:snapToGrid w:val="0"/>
              <w:spacing w:line="440" w:lineRule="exact"/>
              <w:ind w:firstLine="562" w:firstLineChars="200"/>
              <w:jc w:val="left"/>
              <w:rPr>
                <w:rFonts w:eastAsia="楷体_GB2312"/>
                <w:color w:val="000000"/>
                <w:sz w:val="28"/>
                <w:szCs w:val="28"/>
              </w:rPr>
            </w:pPr>
            <w:r>
              <w:rPr>
                <w:rFonts w:hint="eastAsia" w:eastAsia="楷体_GB2312"/>
                <w:b/>
                <w:bCs/>
                <w:color w:val="000000"/>
                <w:sz w:val="28"/>
                <w:szCs w:val="28"/>
              </w:rPr>
              <w:t>2.深化劳务协作。</w:t>
            </w:r>
            <w:r>
              <w:rPr>
                <w:rFonts w:hint="eastAsia" w:eastAsia="楷体_GB2312"/>
                <w:color w:val="000000"/>
                <w:sz w:val="28"/>
                <w:szCs w:val="28"/>
              </w:rPr>
              <w:t>搭建跨区域劳务协作联盟，加强化职业技能培训和专业人才交流等。</w:t>
            </w:r>
          </w:p>
          <w:p w14:paraId="67745175">
            <w:pPr>
              <w:adjustRightInd w:val="0"/>
              <w:snapToGrid w:val="0"/>
              <w:spacing w:line="440" w:lineRule="exact"/>
              <w:ind w:firstLine="562" w:firstLineChars="200"/>
              <w:jc w:val="left"/>
              <w:rPr>
                <w:rFonts w:eastAsia="楷体_GB2312"/>
                <w:color w:val="000000"/>
                <w:sz w:val="28"/>
                <w:szCs w:val="28"/>
              </w:rPr>
            </w:pPr>
            <w:r>
              <w:rPr>
                <w:rFonts w:hint="eastAsia" w:eastAsia="楷体_GB2312"/>
                <w:b/>
                <w:bCs/>
                <w:color w:val="000000"/>
                <w:sz w:val="28"/>
                <w:szCs w:val="28"/>
              </w:rPr>
              <w:t>3.拓展消费协作。</w:t>
            </w:r>
            <w:r>
              <w:rPr>
                <w:rFonts w:hint="eastAsia" w:eastAsia="楷体_GB2312"/>
                <w:color w:val="000000"/>
                <w:sz w:val="28"/>
                <w:szCs w:val="28"/>
              </w:rPr>
              <w:t>推进共建农产品质量联合检测中心，协同攻坚特色产品“出山达海堵点”，构建“线上线下融合、域内域外联动”营销矩阵，推进跨区域品牌推广等。</w:t>
            </w:r>
          </w:p>
          <w:p w14:paraId="14F78430">
            <w:pPr>
              <w:autoSpaceDE w:val="0"/>
              <w:autoSpaceDN w:val="0"/>
              <w:adjustRightInd w:val="0"/>
              <w:snapToGrid w:val="0"/>
              <w:spacing w:line="440" w:lineRule="exact"/>
              <w:ind w:firstLine="562" w:firstLineChars="200"/>
              <w:jc w:val="left"/>
              <w:rPr>
                <w:rFonts w:eastAsia="楷体_GB2312"/>
                <w:color w:val="000000"/>
                <w:sz w:val="28"/>
                <w:szCs w:val="28"/>
              </w:rPr>
            </w:pPr>
            <w:r>
              <w:rPr>
                <w:rFonts w:hint="eastAsia" w:eastAsia="楷体_GB2312"/>
                <w:b/>
                <w:bCs/>
                <w:color w:val="000000"/>
                <w:sz w:val="28"/>
                <w:szCs w:val="28"/>
              </w:rPr>
              <w:t>4.协作改善民生</w:t>
            </w:r>
            <w:r>
              <w:rPr>
                <w:rFonts w:hint="eastAsia" w:eastAsia="楷体_GB2312"/>
                <w:color w:val="000000"/>
                <w:sz w:val="28"/>
                <w:szCs w:val="28"/>
              </w:rPr>
              <w:t>。持续推进就业、交易、医疗等民生领域协作。</w:t>
            </w:r>
          </w:p>
        </w:tc>
      </w:tr>
      <w:bookmarkEnd w:id="492"/>
      <w:bookmarkEnd w:id="493"/>
      <w:bookmarkEnd w:id="494"/>
    </w:tbl>
    <w:p w14:paraId="245AA51E">
      <w:pPr>
        <w:widowControl/>
        <w:spacing w:before="156" w:beforeLines="50" w:after="156" w:afterLines="50" w:line="580" w:lineRule="exact"/>
        <w:jc w:val="center"/>
        <w:outlineLvl w:val="1"/>
        <w:rPr>
          <w:rFonts w:eastAsia="黑体"/>
          <w:bCs/>
          <w:color w:val="000000"/>
          <w:kern w:val="0"/>
          <w:sz w:val="32"/>
          <w:szCs w:val="32"/>
        </w:rPr>
      </w:pPr>
      <w:bookmarkStart w:id="495" w:name="_Toc24058"/>
      <w:bookmarkStart w:id="496" w:name="_Toc10289"/>
      <w:bookmarkStart w:id="497" w:name="_Toc218241119"/>
      <w:bookmarkStart w:id="498" w:name="_Toc212814843"/>
      <w:bookmarkStart w:id="499" w:name="_Toc214372651"/>
      <w:r>
        <w:rPr>
          <w:rFonts w:hint="eastAsia" w:eastAsia="黑体"/>
          <w:bCs/>
          <w:color w:val="000000"/>
          <w:kern w:val="0"/>
          <w:sz w:val="32"/>
          <w:szCs w:val="32"/>
        </w:rPr>
        <w:t>第二十一章  强化人才引育发展</w:t>
      </w:r>
      <w:bookmarkEnd w:id="495"/>
      <w:bookmarkEnd w:id="496"/>
      <w:bookmarkEnd w:id="497"/>
      <w:bookmarkEnd w:id="498"/>
      <w:bookmarkEnd w:id="499"/>
    </w:p>
    <w:p w14:paraId="2523FCC3">
      <w:pPr>
        <w:pStyle w:val="15"/>
        <w:numPr>
          <w:ilvl w:val="0"/>
          <w:numId w:val="20"/>
        </w:numPr>
        <w:spacing w:before="156" w:beforeLines="50" w:after="156" w:afterLines="50" w:line="580" w:lineRule="exact"/>
        <w:ind w:left="1080" w:hanging="1080" w:firstLineChars="0"/>
        <w:jc w:val="center"/>
        <w:outlineLvl w:val="2"/>
        <w:rPr>
          <w:rFonts w:eastAsia="仿宋_GB2312"/>
          <w:sz w:val="32"/>
          <w:szCs w:val="32"/>
        </w:rPr>
      </w:pPr>
      <w:bookmarkStart w:id="500" w:name="_Toc9136"/>
      <w:r>
        <w:rPr>
          <w:rFonts w:hint="eastAsia" w:eastAsia="楷体_GB2312"/>
          <w:b/>
          <w:color w:val="000000"/>
          <w:kern w:val="0"/>
          <w:sz w:val="32"/>
          <w:szCs w:val="32"/>
        </w:rPr>
        <w:t xml:space="preserve"> </w:t>
      </w:r>
      <w:bookmarkStart w:id="501" w:name="_Toc218241120"/>
      <w:r>
        <w:rPr>
          <w:rFonts w:hint="eastAsia" w:eastAsia="楷体_GB2312"/>
          <w:b/>
          <w:color w:val="000000"/>
          <w:kern w:val="0"/>
          <w:sz w:val="32"/>
          <w:szCs w:val="32"/>
        </w:rPr>
        <w:t>壮大紧缺人才队伍</w:t>
      </w:r>
      <w:bookmarkEnd w:id="500"/>
      <w:bookmarkEnd w:id="501"/>
    </w:p>
    <w:p w14:paraId="466709E8">
      <w:pPr>
        <w:spacing w:before="156" w:beforeLines="50" w:after="156" w:afterLines="50" w:line="580" w:lineRule="exact"/>
        <w:ind w:firstLine="640" w:firstLineChars="200"/>
        <w:jc w:val="left"/>
        <w:rPr>
          <w:rFonts w:eastAsia="仿宋_GB2312"/>
          <w:color w:val="000000"/>
          <w:kern w:val="0"/>
          <w:sz w:val="32"/>
          <w:szCs w:val="32"/>
        </w:rPr>
      </w:pPr>
      <w:r>
        <w:rPr>
          <w:rFonts w:hint="eastAsia" w:eastAsia="仿宋_GB2312"/>
          <w:color w:val="000000"/>
          <w:kern w:val="0"/>
          <w:sz w:val="32"/>
          <w:szCs w:val="32"/>
        </w:rPr>
        <w:t>紧扣全县经济社会发展目标，制定年度急需紧缺专业人才目录，加快培养集聚优秀人才。依托东西部协作资源，柔性引进科技高层次人才，建立“候鸟型”专家工作站。与支援方共建实训基地、订单班，培养本土技能型人才与“土专家”，有计划选派专业技术人才赴外研修学习。加强院地合作，帮扶合作，制定高层次人才培养方案，完善高层次人才定向培养、订单式培养机制。鼓励用人单位自主引进急需紧缺人才，完善人才体系建设。</w:t>
      </w:r>
    </w:p>
    <w:p w14:paraId="5795B58C">
      <w:pPr>
        <w:pStyle w:val="15"/>
        <w:numPr>
          <w:ilvl w:val="0"/>
          <w:numId w:val="20"/>
        </w:numPr>
        <w:spacing w:before="156" w:beforeLines="50" w:after="156" w:afterLines="50" w:line="580" w:lineRule="exact"/>
        <w:ind w:firstLineChars="0"/>
        <w:jc w:val="center"/>
        <w:outlineLvl w:val="2"/>
        <w:rPr>
          <w:rFonts w:eastAsia="楷体_GB2312"/>
          <w:b/>
          <w:color w:val="000000"/>
          <w:kern w:val="0"/>
          <w:sz w:val="32"/>
          <w:szCs w:val="32"/>
        </w:rPr>
      </w:pPr>
      <w:bookmarkStart w:id="502" w:name="_Toc20012"/>
      <w:r>
        <w:rPr>
          <w:rFonts w:hint="eastAsia" w:eastAsia="楷体_GB2312"/>
          <w:b/>
          <w:color w:val="000000"/>
          <w:kern w:val="0"/>
          <w:sz w:val="32"/>
          <w:szCs w:val="32"/>
        </w:rPr>
        <w:t xml:space="preserve"> </w:t>
      </w:r>
      <w:bookmarkStart w:id="503" w:name="_Toc218241121"/>
      <w:r>
        <w:rPr>
          <w:rFonts w:hint="eastAsia" w:eastAsia="楷体_GB2312"/>
          <w:b/>
          <w:color w:val="000000"/>
          <w:kern w:val="0"/>
          <w:sz w:val="32"/>
          <w:szCs w:val="32"/>
        </w:rPr>
        <w:t>加强业务素质提升</w:t>
      </w:r>
      <w:bookmarkEnd w:id="502"/>
      <w:bookmarkEnd w:id="503"/>
    </w:p>
    <w:p w14:paraId="4478B531">
      <w:pPr>
        <w:spacing w:line="580" w:lineRule="exact"/>
        <w:ind w:firstLine="640" w:firstLineChars="200"/>
        <w:jc w:val="left"/>
        <w:rPr>
          <w:rFonts w:eastAsia="仿宋_GB2312"/>
          <w:color w:val="000000"/>
          <w:kern w:val="0"/>
          <w:sz w:val="32"/>
          <w:szCs w:val="32"/>
        </w:rPr>
      </w:pPr>
      <w:r>
        <w:rPr>
          <w:rFonts w:hint="eastAsia" w:eastAsia="仿宋_GB2312"/>
          <w:color w:val="000000"/>
          <w:kern w:val="0"/>
          <w:sz w:val="32"/>
          <w:szCs w:val="32"/>
        </w:rPr>
        <w:t>按照需求人才先培养、现有人才再提升总体思路，构建以外地高校、科研机构、县委党校、职业技术学校为依托，以市场为导向的多层次、多形式培训和实践教育体系，实现专业技能、管理创新水平再提升。借助东西部协作、省内对口帮扶、省直定点帮扶机制，积极联系、选派优秀年轻干部到东部和省内发达城市挂职锻炼、跟岗学习。围绕创新创业大提质，鼓励支持优质创新创业项目，加强创新型人才队伍建设。</w:t>
      </w:r>
    </w:p>
    <w:p w14:paraId="50F382AC">
      <w:pPr>
        <w:pStyle w:val="15"/>
        <w:numPr>
          <w:ilvl w:val="0"/>
          <w:numId w:val="20"/>
        </w:numPr>
        <w:spacing w:before="156" w:beforeLines="50" w:after="156" w:afterLines="50" w:line="580" w:lineRule="exact"/>
        <w:ind w:left="1080" w:hanging="1080" w:firstLineChars="0"/>
        <w:jc w:val="center"/>
        <w:outlineLvl w:val="2"/>
        <w:rPr>
          <w:rFonts w:eastAsia="楷体_GB2312"/>
          <w:b/>
          <w:color w:val="000000"/>
          <w:kern w:val="0"/>
          <w:sz w:val="32"/>
          <w:szCs w:val="32"/>
        </w:rPr>
      </w:pPr>
      <w:r>
        <w:rPr>
          <w:rFonts w:hint="eastAsia" w:eastAsia="楷体_GB2312"/>
          <w:b/>
          <w:color w:val="000000"/>
          <w:kern w:val="0"/>
          <w:sz w:val="32"/>
          <w:szCs w:val="32"/>
        </w:rPr>
        <w:t xml:space="preserve"> </w:t>
      </w:r>
      <w:bookmarkStart w:id="504" w:name="_Toc218241122"/>
      <w:r>
        <w:rPr>
          <w:rFonts w:hint="eastAsia" w:eastAsia="楷体_GB2312"/>
          <w:b/>
          <w:color w:val="000000"/>
          <w:kern w:val="0"/>
          <w:sz w:val="32"/>
          <w:szCs w:val="32"/>
        </w:rPr>
        <w:t>完善引育用留机制</w:t>
      </w:r>
      <w:bookmarkEnd w:id="504"/>
    </w:p>
    <w:p w14:paraId="7BE4E066">
      <w:pPr>
        <w:spacing w:before="156" w:beforeLines="50" w:after="156" w:afterLines="50" w:line="580" w:lineRule="exact"/>
        <w:ind w:firstLine="640" w:firstLineChars="200"/>
        <w:jc w:val="left"/>
        <w:rPr>
          <w:rFonts w:eastAsia="仿宋_GB2312"/>
          <w:sz w:val="32"/>
          <w:szCs w:val="32"/>
        </w:rPr>
      </w:pPr>
      <w:r>
        <w:rPr>
          <w:rFonts w:hint="eastAsia" w:eastAsia="仿宋_GB2312"/>
          <w:sz w:val="32"/>
          <w:szCs w:val="32"/>
        </w:rPr>
        <w:t>完善人才引进机制，加大对重点领域产业人才的引进和扶持力度，开通高层次人才引进“绿色通道”，完善柔性引进体制机制。建立政府主导、市场化运作的人才资源培养机制，优先培养紧缺人才队伍。全面落实用人单位自主权，建立人才流动竞争机制，强化激励与考核，完善“岗位适配+激励创新”制度设计。优化“留才”环境，完善人才保障机制，增强人才荣誉感和获得感。</w:t>
      </w:r>
    </w:p>
    <w:p w14:paraId="28CE4083">
      <w:pPr>
        <w:pStyle w:val="15"/>
        <w:numPr>
          <w:ilvl w:val="0"/>
          <w:numId w:val="20"/>
        </w:numPr>
        <w:spacing w:before="156" w:beforeLines="50" w:after="156" w:afterLines="50" w:line="580" w:lineRule="exact"/>
        <w:ind w:left="1080" w:hanging="1080" w:firstLineChars="0"/>
        <w:jc w:val="center"/>
        <w:outlineLvl w:val="2"/>
        <w:rPr>
          <w:rFonts w:eastAsia="楷体_GB2312"/>
          <w:b/>
          <w:color w:val="000000"/>
          <w:kern w:val="0"/>
          <w:sz w:val="32"/>
          <w:szCs w:val="32"/>
        </w:rPr>
      </w:pPr>
      <w:bookmarkStart w:id="505" w:name="_Toc14798"/>
      <w:r>
        <w:rPr>
          <w:rFonts w:hint="eastAsia" w:eastAsia="楷体_GB2312"/>
          <w:b/>
          <w:color w:val="000000"/>
          <w:kern w:val="0"/>
          <w:sz w:val="32"/>
          <w:szCs w:val="32"/>
        </w:rPr>
        <w:t xml:space="preserve"> </w:t>
      </w:r>
      <w:bookmarkStart w:id="506" w:name="_Toc218241123"/>
      <w:r>
        <w:rPr>
          <w:rFonts w:hint="eastAsia" w:eastAsia="楷体_GB2312"/>
          <w:b/>
          <w:color w:val="000000"/>
          <w:kern w:val="0"/>
          <w:sz w:val="32"/>
          <w:szCs w:val="32"/>
        </w:rPr>
        <w:t>激活干事创业激情</w:t>
      </w:r>
      <w:bookmarkEnd w:id="505"/>
      <w:bookmarkEnd w:id="506"/>
    </w:p>
    <w:p w14:paraId="13E328A9">
      <w:pPr>
        <w:spacing w:before="156" w:beforeLines="50" w:after="156" w:afterLines="50" w:line="580" w:lineRule="exact"/>
        <w:ind w:firstLine="640" w:firstLineChars="200"/>
        <w:jc w:val="left"/>
        <w:rPr>
          <w:rFonts w:eastAsia="仿宋_GB2312"/>
          <w:sz w:val="32"/>
          <w:szCs w:val="32"/>
        </w:rPr>
      </w:pPr>
      <w:r>
        <w:rPr>
          <w:rFonts w:hint="eastAsia" w:eastAsia="仿宋_GB2312"/>
          <w:sz w:val="32"/>
          <w:szCs w:val="32"/>
        </w:rPr>
        <w:t>加快人才管理体制创新，改革完善人才引进、选拔、评价与激励办法，建立以成果为导向的人才评价机制，消除人才流通机制障碍，支持知识产权、无形资产、技术要素和管理要素参与收益分配。进一步完善支持人才发展配套政策措施，在人才落户、住房保障、子女入学、配偶就业等方面给予全力支持。加强人才文化建设，弘扬科学家精神、工匠精神和企业家精神，营造尊重人才、鼓励创新的良好氛围。</w:t>
      </w:r>
    </w:p>
    <w:tbl>
      <w:tblPr>
        <w:tblStyle w:val="11"/>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0ACE13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2" w:hRule="atLeast"/>
          <w:jc w:val="center"/>
        </w:trPr>
        <w:tc>
          <w:tcPr>
            <w:tcW w:w="5000" w:type="pct"/>
            <w:tcBorders>
              <w:top w:val="single" w:color="auto" w:sz="4" w:space="0"/>
              <w:left w:val="single" w:color="auto" w:sz="4" w:space="0"/>
              <w:bottom w:val="single" w:color="auto" w:sz="4" w:space="0"/>
              <w:right w:val="single" w:color="auto" w:sz="4" w:space="0"/>
            </w:tcBorders>
          </w:tcPr>
          <w:p w14:paraId="2EB19FF9">
            <w:pPr>
              <w:pStyle w:val="10"/>
              <w:snapToGrid w:val="0"/>
              <w:spacing w:before="156" w:beforeLines="50" w:after="156" w:afterLines="50" w:line="440" w:lineRule="exact"/>
              <w:ind w:left="0" w:leftChars="0" w:firstLine="643" w:firstLineChars="0"/>
              <w:jc w:val="center"/>
              <w:rPr>
                <w:rFonts w:eastAsia="楷体_GB2312"/>
                <w:b/>
                <w:sz w:val="32"/>
                <w:szCs w:val="32"/>
              </w:rPr>
            </w:pPr>
            <w:bookmarkStart w:id="507" w:name="OLE_LINK154"/>
            <w:bookmarkStart w:id="508" w:name="OLE_LINK153"/>
            <w:r>
              <w:rPr>
                <w:rFonts w:hint="eastAsia" w:ascii="Times New Roman" w:hAnsi="Times New Roman" w:eastAsia="楷体_GB2312" w:cs="Times New Roman"/>
                <w:b/>
                <w:sz w:val="28"/>
                <w:szCs w:val="28"/>
              </w:rPr>
              <w:t>专栏27  “十五五”时期人才保障推进重点</w:t>
            </w:r>
          </w:p>
        </w:tc>
      </w:tr>
      <w:tr w14:paraId="60A04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5000" w:type="pct"/>
            <w:tcBorders>
              <w:top w:val="single" w:color="auto" w:sz="4" w:space="0"/>
              <w:left w:val="single" w:color="auto" w:sz="4" w:space="0"/>
              <w:bottom w:val="single" w:color="auto" w:sz="4" w:space="0"/>
              <w:right w:val="single" w:color="auto" w:sz="4" w:space="0"/>
            </w:tcBorders>
          </w:tcPr>
          <w:p w14:paraId="744F9AB2">
            <w:pPr>
              <w:snapToGrid w:val="0"/>
              <w:spacing w:line="440" w:lineRule="exact"/>
              <w:ind w:firstLine="562" w:firstLineChars="200"/>
              <w:jc w:val="left"/>
              <w:rPr>
                <w:rFonts w:eastAsia="楷体_GB2312"/>
                <w:color w:val="000000"/>
                <w:sz w:val="28"/>
                <w:szCs w:val="28"/>
              </w:rPr>
            </w:pPr>
            <w:r>
              <w:rPr>
                <w:rFonts w:eastAsia="楷体_GB2312"/>
                <w:b/>
                <w:color w:val="000000"/>
                <w:sz w:val="28"/>
                <w:szCs w:val="28"/>
              </w:rPr>
              <w:t>1.</w:t>
            </w:r>
            <w:r>
              <w:rPr>
                <w:rFonts w:hint="eastAsia" w:eastAsia="楷体_GB2312"/>
                <w:b/>
                <w:color w:val="000000"/>
                <w:sz w:val="28"/>
                <w:szCs w:val="28"/>
              </w:rPr>
              <w:t>人才总量持续增长。</w:t>
            </w:r>
            <w:r>
              <w:rPr>
                <w:rFonts w:hint="eastAsia" w:eastAsia="楷体_GB2312"/>
                <w:color w:val="000000"/>
                <w:sz w:val="28"/>
                <w:szCs w:val="28"/>
              </w:rPr>
              <w:t>到</w:t>
            </w:r>
            <w:r>
              <w:rPr>
                <w:rFonts w:eastAsia="楷体_GB2312"/>
                <w:color w:val="000000"/>
                <w:sz w:val="28"/>
                <w:szCs w:val="28"/>
              </w:rPr>
              <w:t>2030</w:t>
            </w:r>
            <w:r>
              <w:rPr>
                <w:rFonts w:hint="eastAsia" w:eastAsia="楷体_GB2312"/>
                <w:color w:val="000000"/>
                <w:sz w:val="28"/>
                <w:szCs w:val="28"/>
              </w:rPr>
              <w:t>年，全县人才总量力争突破</w:t>
            </w:r>
            <w:r>
              <w:rPr>
                <w:rFonts w:eastAsia="楷体_GB2312"/>
                <w:color w:val="000000"/>
                <w:sz w:val="28"/>
                <w:szCs w:val="28"/>
              </w:rPr>
              <w:t>0.5</w:t>
            </w:r>
            <w:r>
              <w:rPr>
                <w:rFonts w:hint="eastAsia" w:eastAsia="楷体_GB2312"/>
                <w:color w:val="000000"/>
                <w:sz w:val="28"/>
                <w:szCs w:val="28"/>
              </w:rPr>
              <w:t>万人，高学历、高职称、高层次人才</w:t>
            </w:r>
            <w:r>
              <w:rPr>
                <w:rFonts w:eastAsia="楷体_GB2312"/>
                <w:color w:val="000000"/>
                <w:sz w:val="28"/>
                <w:szCs w:val="28"/>
              </w:rPr>
              <w:t>5</w:t>
            </w:r>
            <w:r>
              <w:rPr>
                <w:rFonts w:hint="eastAsia" w:eastAsia="楷体_GB2312"/>
                <w:color w:val="000000"/>
                <w:sz w:val="28"/>
                <w:szCs w:val="28"/>
              </w:rPr>
              <w:t>年内整体增幅保持在</w:t>
            </w:r>
            <w:r>
              <w:rPr>
                <w:rFonts w:eastAsia="楷体_GB2312"/>
                <w:color w:val="000000"/>
                <w:sz w:val="28"/>
                <w:szCs w:val="28"/>
              </w:rPr>
              <w:t>3%</w:t>
            </w:r>
            <w:r>
              <w:rPr>
                <w:rFonts w:hint="eastAsia" w:eastAsia="楷体_GB2312"/>
                <w:color w:val="000000"/>
                <w:sz w:val="28"/>
                <w:szCs w:val="28"/>
              </w:rPr>
              <w:t>以上。</w:t>
            </w:r>
          </w:p>
          <w:p w14:paraId="5194A467">
            <w:pPr>
              <w:snapToGrid w:val="0"/>
              <w:spacing w:line="440" w:lineRule="exact"/>
              <w:ind w:firstLine="562" w:firstLineChars="200"/>
              <w:jc w:val="left"/>
              <w:rPr>
                <w:rFonts w:eastAsia="楷体_GB2312"/>
                <w:color w:val="000000"/>
                <w:sz w:val="28"/>
                <w:szCs w:val="28"/>
              </w:rPr>
            </w:pPr>
            <w:r>
              <w:rPr>
                <w:rFonts w:eastAsia="楷体_GB2312"/>
                <w:b/>
                <w:color w:val="000000"/>
                <w:sz w:val="28"/>
                <w:szCs w:val="28"/>
              </w:rPr>
              <w:t>2.</w:t>
            </w:r>
            <w:r>
              <w:rPr>
                <w:rFonts w:hint="eastAsia" w:eastAsia="楷体_GB2312"/>
                <w:b/>
                <w:color w:val="000000"/>
                <w:sz w:val="28"/>
                <w:szCs w:val="28"/>
              </w:rPr>
              <w:t>人才结构持续优化</w:t>
            </w:r>
            <w:r>
              <w:rPr>
                <w:rFonts w:hint="eastAsia" w:eastAsia="楷体_GB2312"/>
                <w:color w:val="000000"/>
                <w:sz w:val="28"/>
                <w:szCs w:val="28"/>
              </w:rPr>
              <w:t>。到</w:t>
            </w:r>
            <w:r>
              <w:rPr>
                <w:rFonts w:eastAsia="楷体_GB2312"/>
                <w:color w:val="000000"/>
                <w:sz w:val="28"/>
                <w:szCs w:val="28"/>
              </w:rPr>
              <w:t>2030</w:t>
            </w:r>
            <w:r>
              <w:rPr>
                <w:rFonts w:hint="eastAsia" w:eastAsia="楷体_GB2312"/>
                <w:color w:val="000000"/>
                <w:sz w:val="28"/>
                <w:szCs w:val="28"/>
              </w:rPr>
              <w:t>年，全县各类人才本科学历占比不低于</w:t>
            </w:r>
            <w:r>
              <w:rPr>
                <w:rFonts w:eastAsia="楷体_GB2312"/>
                <w:color w:val="000000"/>
                <w:sz w:val="28"/>
                <w:szCs w:val="28"/>
              </w:rPr>
              <w:t>60%</w:t>
            </w:r>
            <w:r>
              <w:rPr>
                <w:rFonts w:hint="eastAsia" w:eastAsia="楷体_GB2312"/>
                <w:color w:val="000000"/>
                <w:sz w:val="28"/>
                <w:szCs w:val="28"/>
              </w:rPr>
              <w:t>，研究生学历力争达到</w:t>
            </w:r>
            <w:r>
              <w:rPr>
                <w:rFonts w:eastAsia="楷体_GB2312"/>
                <w:color w:val="000000"/>
                <w:sz w:val="28"/>
                <w:szCs w:val="28"/>
              </w:rPr>
              <w:t>20</w:t>
            </w:r>
            <w:r>
              <w:rPr>
                <w:rFonts w:hint="eastAsia" w:eastAsia="楷体_GB2312"/>
                <w:color w:val="000000"/>
                <w:sz w:val="28"/>
                <w:szCs w:val="28"/>
              </w:rPr>
              <w:t>人，鼓励人才向乡镇、村流动，缩小城乡人才占比差距，乡镇人才占比与城区缩小</w:t>
            </w:r>
            <w:r>
              <w:rPr>
                <w:rFonts w:eastAsia="楷体_GB2312"/>
                <w:color w:val="000000"/>
                <w:sz w:val="28"/>
                <w:szCs w:val="28"/>
              </w:rPr>
              <w:t>5</w:t>
            </w:r>
            <w:r>
              <w:rPr>
                <w:rFonts w:hint="eastAsia" w:eastAsia="楷体_GB2312"/>
                <w:color w:val="000000"/>
                <w:sz w:val="28"/>
                <w:szCs w:val="28"/>
              </w:rPr>
              <w:t>个百分点。</w:t>
            </w:r>
          </w:p>
          <w:p w14:paraId="3B2ADAE2">
            <w:pPr>
              <w:snapToGrid w:val="0"/>
              <w:spacing w:line="440" w:lineRule="exact"/>
              <w:ind w:firstLine="562" w:firstLineChars="200"/>
              <w:jc w:val="left"/>
              <w:rPr>
                <w:rFonts w:eastAsia="楷体_GB2312"/>
                <w:color w:val="000000"/>
                <w:sz w:val="28"/>
                <w:szCs w:val="28"/>
              </w:rPr>
            </w:pPr>
            <w:r>
              <w:rPr>
                <w:rFonts w:eastAsia="楷体_GB2312"/>
                <w:b/>
                <w:color w:val="000000"/>
                <w:sz w:val="28"/>
                <w:szCs w:val="28"/>
              </w:rPr>
              <w:t>3.</w:t>
            </w:r>
            <w:r>
              <w:rPr>
                <w:rFonts w:hint="eastAsia" w:eastAsia="楷体_GB2312"/>
                <w:b/>
                <w:color w:val="000000"/>
                <w:sz w:val="28"/>
                <w:szCs w:val="28"/>
              </w:rPr>
              <w:t>人才引进培育</w:t>
            </w:r>
            <w:r>
              <w:rPr>
                <w:rFonts w:hint="eastAsia" w:eastAsia="楷体_GB2312"/>
                <w:color w:val="000000"/>
                <w:sz w:val="28"/>
                <w:szCs w:val="28"/>
              </w:rPr>
              <w:t>。实施“乡村振兴人才培育计划”，每年培育高素质农牧民40名，培育基层农技人才20名，培育新型职业农民2名以上。每年招聘、引进3名以上紧缺学科教师。每年实施优秀校园长、教研员、教师能力提升培训达75人次。实施“创新创业人才培育计划”，每年选拔3名优秀创新创业人才重点培养。实施“名医培养工程”，培养一批在州内有影响力的学科带头人和名医。</w:t>
            </w:r>
          </w:p>
          <w:p w14:paraId="481BBDC1">
            <w:pPr>
              <w:snapToGrid w:val="0"/>
              <w:spacing w:line="440" w:lineRule="exact"/>
              <w:ind w:firstLine="562" w:firstLineChars="200"/>
              <w:jc w:val="left"/>
              <w:rPr>
                <w:rFonts w:eastAsia="楷体_GB2312"/>
                <w:color w:val="000000"/>
                <w:sz w:val="28"/>
                <w:szCs w:val="28"/>
              </w:rPr>
            </w:pPr>
            <w:r>
              <w:rPr>
                <w:rFonts w:eastAsia="楷体_GB2312"/>
                <w:b/>
                <w:color w:val="000000"/>
                <w:sz w:val="28"/>
                <w:szCs w:val="28"/>
              </w:rPr>
              <w:t>4.</w:t>
            </w:r>
            <w:r>
              <w:rPr>
                <w:rFonts w:hint="eastAsia" w:eastAsia="楷体_GB2312"/>
                <w:b/>
                <w:color w:val="000000"/>
                <w:sz w:val="28"/>
                <w:szCs w:val="28"/>
              </w:rPr>
              <w:t>培训能力建设</w:t>
            </w:r>
            <w:r>
              <w:rPr>
                <w:rFonts w:hint="eastAsia" w:eastAsia="楷体_GB2312"/>
                <w:color w:val="000000"/>
                <w:sz w:val="28"/>
                <w:szCs w:val="28"/>
              </w:rPr>
              <w:t>。依托产业园区和企业，建立创新创业孵化基地、众创空间等平台。与科研院校合作，建立专家工作站和实训基地。与能源企业合作，开展订单式人才培养。鼓励企业建立研发中心，吸引高层次科研人才开展技术攻关。</w:t>
            </w:r>
          </w:p>
          <w:p w14:paraId="27A27073">
            <w:pPr>
              <w:snapToGrid w:val="0"/>
              <w:spacing w:line="440" w:lineRule="exact"/>
              <w:ind w:firstLine="562" w:firstLineChars="200"/>
              <w:jc w:val="left"/>
              <w:rPr>
                <w:rFonts w:eastAsia="楷体_GB2312"/>
                <w:sz w:val="28"/>
                <w:szCs w:val="28"/>
              </w:rPr>
            </w:pPr>
            <w:r>
              <w:rPr>
                <w:rFonts w:eastAsia="楷体_GB2312"/>
                <w:b/>
                <w:color w:val="000000"/>
                <w:sz w:val="28"/>
                <w:szCs w:val="28"/>
              </w:rPr>
              <w:t>5.</w:t>
            </w:r>
            <w:r>
              <w:rPr>
                <w:rFonts w:hint="eastAsia" w:eastAsia="楷体_GB2312"/>
                <w:b/>
                <w:color w:val="000000"/>
                <w:sz w:val="28"/>
                <w:szCs w:val="28"/>
              </w:rPr>
              <w:t>管理体制创新</w:t>
            </w:r>
            <w:r>
              <w:rPr>
                <w:rFonts w:hint="eastAsia" w:eastAsia="楷体_GB2312"/>
                <w:color w:val="000000"/>
                <w:sz w:val="28"/>
                <w:szCs w:val="28"/>
              </w:rPr>
              <w:t>。针对高端人才开通“绿色通道”。制定出台创新创业优惠支持政策，设立创新创业专项资金。鼓励引导各类人才到农村开展技术服务。完善人才服务保障体系。完善柔性引进人才机制。</w:t>
            </w:r>
          </w:p>
        </w:tc>
      </w:tr>
      <w:bookmarkEnd w:id="507"/>
      <w:bookmarkEnd w:id="508"/>
    </w:tbl>
    <w:p w14:paraId="242FB6DA">
      <w:pPr>
        <w:pStyle w:val="2"/>
      </w:pPr>
    </w:p>
    <w:p w14:paraId="6DD9D5BC">
      <w:pPr>
        <w:spacing w:before="156" w:beforeLines="50" w:after="156" w:afterLines="50" w:line="580" w:lineRule="exact"/>
        <w:jc w:val="center"/>
        <w:outlineLvl w:val="0"/>
        <w:rPr>
          <w:rFonts w:eastAsia="方正大标宋简体"/>
        </w:rPr>
      </w:pPr>
      <w:bookmarkStart w:id="509" w:name="_Toc2936"/>
      <w:bookmarkStart w:id="510" w:name="_Toc23516"/>
      <w:bookmarkStart w:id="511" w:name="OLE_LINK93"/>
      <w:bookmarkStart w:id="512" w:name="_Toc212814844"/>
      <w:bookmarkStart w:id="513" w:name="OLE_LINK92"/>
      <w:bookmarkStart w:id="514" w:name="_Toc218241124"/>
      <w:bookmarkStart w:id="515" w:name="_Toc214372652"/>
      <w:r>
        <w:rPr>
          <w:rFonts w:hint="eastAsia" w:eastAsia="方正大标宋简体"/>
          <w:sz w:val="32"/>
          <w:szCs w:val="32"/>
        </w:rPr>
        <w:t>第八篇  全龄友好  打造共同富裕美好理塘</w:t>
      </w:r>
      <w:bookmarkEnd w:id="509"/>
      <w:bookmarkEnd w:id="510"/>
      <w:bookmarkEnd w:id="511"/>
      <w:bookmarkEnd w:id="512"/>
      <w:bookmarkEnd w:id="513"/>
      <w:bookmarkEnd w:id="514"/>
      <w:bookmarkEnd w:id="515"/>
    </w:p>
    <w:p w14:paraId="54EF386E">
      <w:pPr>
        <w:numPr>
          <w:ilvl w:val="255"/>
          <w:numId w:val="0"/>
        </w:numPr>
        <w:spacing w:before="156" w:beforeLines="50" w:after="156" w:afterLines="50" w:line="580" w:lineRule="exact"/>
        <w:ind w:firstLine="640" w:firstLineChars="200"/>
        <w:jc w:val="left"/>
        <w:rPr>
          <w:rFonts w:eastAsia="仿宋_GB2312"/>
          <w:sz w:val="32"/>
          <w:szCs w:val="32"/>
        </w:rPr>
      </w:pPr>
      <w:r>
        <w:rPr>
          <w:rFonts w:hint="eastAsia" w:eastAsia="仿宋_GB2312"/>
          <w:sz w:val="32"/>
          <w:szCs w:val="32"/>
        </w:rPr>
        <w:t>坚持以人民为中心的发展思想，加强普惠性、基础性、兜底性民生建设，构建与人口变化相协调的公共服务供给体系，推进公共服务供给向“以人定量”“以需定供”转变，着力解决群众急难愁盼问题，稳步推动共同富裕。</w:t>
      </w:r>
    </w:p>
    <w:p w14:paraId="43CB67E7">
      <w:pPr>
        <w:widowControl/>
        <w:spacing w:before="156" w:beforeLines="50" w:after="156" w:afterLines="50" w:line="580" w:lineRule="exact"/>
        <w:jc w:val="center"/>
        <w:outlineLvl w:val="1"/>
        <w:rPr>
          <w:rFonts w:eastAsia="楷体_GB2312"/>
          <w:b/>
          <w:color w:val="000000"/>
          <w:kern w:val="0"/>
          <w:sz w:val="32"/>
          <w:szCs w:val="32"/>
        </w:rPr>
      </w:pPr>
      <w:bookmarkStart w:id="516" w:name="_Toc218241125"/>
      <w:bookmarkStart w:id="517" w:name="_Toc26256"/>
      <w:bookmarkStart w:id="518" w:name="_Toc5187"/>
      <w:bookmarkStart w:id="519" w:name="_Toc212814845"/>
      <w:bookmarkStart w:id="520" w:name="_Toc214372653"/>
      <w:r>
        <w:rPr>
          <w:rFonts w:hint="eastAsia" w:eastAsia="黑体"/>
          <w:bCs/>
          <w:color w:val="000000"/>
          <w:kern w:val="0"/>
          <w:sz w:val="32"/>
          <w:szCs w:val="32"/>
        </w:rPr>
        <w:t>第二十二章  促进高质量充分就业创业</w:t>
      </w:r>
      <w:bookmarkEnd w:id="516"/>
      <w:bookmarkEnd w:id="517"/>
      <w:bookmarkEnd w:id="518"/>
      <w:bookmarkEnd w:id="519"/>
      <w:bookmarkEnd w:id="520"/>
    </w:p>
    <w:p w14:paraId="158DE6A7">
      <w:pPr>
        <w:pStyle w:val="15"/>
        <w:numPr>
          <w:ilvl w:val="0"/>
          <w:numId w:val="21"/>
        </w:numPr>
        <w:spacing w:before="156" w:beforeLines="50" w:after="156" w:afterLines="50" w:line="500" w:lineRule="exact"/>
        <w:ind w:left="1080" w:hanging="1080" w:firstLineChars="0"/>
        <w:jc w:val="center"/>
        <w:outlineLvl w:val="2"/>
        <w:rPr>
          <w:rFonts w:eastAsia="楷体_GB2312"/>
          <w:b/>
          <w:color w:val="000000"/>
          <w:kern w:val="0"/>
          <w:sz w:val="32"/>
          <w:szCs w:val="32"/>
        </w:rPr>
      </w:pPr>
      <w:bookmarkStart w:id="521" w:name="_Toc26375"/>
      <w:r>
        <w:rPr>
          <w:rFonts w:hint="eastAsia" w:eastAsia="楷体_GB2312"/>
          <w:b/>
          <w:color w:val="000000"/>
          <w:kern w:val="0"/>
          <w:sz w:val="32"/>
          <w:szCs w:val="32"/>
        </w:rPr>
        <w:t xml:space="preserve"> </w:t>
      </w:r>
      <w:bookmarkStart w:id="522" w:name="_Toc218241126"/>
      <w:r>
        <w:rPr>
          <w:rFonts w:hint="eastAsia" w:eastAsia="楷体_GB2312"/>
          <w:b/>
          <w:color w:val="000000"/>
          <w:kern w:val="0"/>
          <w:sz w:val="32"/>
          <w:szCs w:val="32"/>
        </w:rPr>
        <w:t>完善就业创业公共服务体系</w:t>
      </w:r>
      <w:bookmarkEnd w:id="521"/>
      <w:bookmarkEnd w:id="522"/>
    </w:p>
    <w:p w14:paraId="5C8CC072">
      <w:pPr>
        <w:numPr>
          <w:ilvl w:val="255"/>
          <w:numId w:val="0"/>
        </w:numPr>
        <w:spacing w:before="156" w:beforeLines="50" w:after="156" w:afterLines="50" w:line="580" w:lineRule="exact"/>
        <w:ind w:firstLine="640" w:firstLineChars="200"/>
        <w:jc w:val="left"/>
        <w:rPr>
          <w:rFonts w:eastAsia="仿宋_GB2312"/>
          <w:sz w:val="32"/>
          <w:szCs w:val="32"/>
        </w:rPr>
      </w:pPr>
      <w:r>
        <w:rPr>
          <w:rFonts w:hint="eastAsia" w:eastAsia="仿宋_GB2312"/>
          <w:sz w:val="32"/>
          <w:szCs w:val="32"/>
        </w:rPr>
        <w:t>坚持劳动者自主就业、市场调节就业、政府促进就业和鼓励创业并重，以“大就业、大培训、信息化”为抓手，健全完善县乡村三级就业服务体系，建立“人社部门</w:t>
      </w:r>
      <w:r>
        <w:rPr>
          <w:rFonts w:eastAsia="仿宋_GB2312"/>
          <w:sz w:val="32"/>
          <w:szCs w:val="32"/>
        </w:rPr>
        <w:t>+</w:t>
      </w:r>
      <w:r>
        <w:rPr>
          <w:rFonts w:hint="eastAsia" w:eastAsia="仿宋_GB2312"/>
          <w:sz w:val="32"/>
          <w:szCs w:val="32"/>
        </w:rPr>
        <w:t>专业机构</w:t>
      </w:r>
      <w:r>
        <w:rPr>
          <w:rFonts w:eastAsia="仿宋_GB2312"/>
          <w:sz w:val="32"/>
          <w:szCs w:val="32"/>
        </w:rPr>
        <w:t>+</w:t>
      </w:r>
      <w:r>
        <w:rPr>
          <w:rFonts w:hint="eastAsia" w:eastAsia="仿宋_GB2312"/>
          <w:sz w:val="32"/>
          <w:szCs w:val="32"/>
        </w:rPr>
        <w:t>服务站点”模式，布局“家门口”就业服务站。常态化开展技能培训、就业实训、创业指导，办好用好康南就业实训基地，积极搭建青年创业平台，推动创业带动就业。加强劳动保障监察和争议调解仲裁，进一步强化灵活就业和新就业形态群体权益保障，促进劳动关系和谐稳定。</w:t>
      </w:r>
    </w:p>
    <w:p w14:paraId="7288EB75">
      <w:pPr>
        <w:jc w:val="left"/>
        <w:rPr>
          <w:rFonts w:eastAsia="楷体_GB2312"/>
          <w:b/>
          <w:color w:val="000000"/>
          <w:kern w:val="0"/>
          <w:sz w:val="32"/>
          <w:szCs w:val="32"/>
        </w:rPr>
      </w:pPr>
      <w:r>
        <w:rPr>
          <w:rFonts w:hint="eastAsia" w:eastAsia="楷体_GB2312"/>
          <w:b/>
          <w:color w:val="000000"/>
          <w:kern w:val="0"/>
          <w:sz w:val="32"/>
          <w:szCs w:val="32"/>
        </w:rPr>
        <w:br w:type="page"/>
      </w:r>
    </w:p>
    <w:p w14:paraId="1F888DC6">
      <w:pPr>
        <w:pStyle w:val="15"/>
        <w:numPr>
          <w:ilvl w:val="0"/>
          <w:numId w:val="21"/>
        </w:numPr>
        <w:spacing w:before="156" w:beforeLines="50" w:after="156" w:afterLines="50" w:line="500" w:lineRule="exact"/>
        <w:ind w:left="1080" w:hanging="1080" w:firstLineChars="0"/>
        <w:jc w:val="center"/>
        <w:outlineLvl w:val="2"/>
        <w:rPr>
          <w:rFonts w:eastAsia="楷体_GB2312"/>
          <w:b/>
          <w:color w:val="000000"/>
          <w:kern w:val="0"/>
          <w:sz w:val="32"/>
          <w:szCs w:val="32"/>
        </w:rPr>
      </w:pPr>
      <w:bookmarkStart w:id="523" w:name="_Toc13248"/>
      <w:r>
        <w:rPr>
          <w:rFonts w:hint="eastAsia" w:eastAsia="楷体_GB2312"/>
          <w:b/>
          <w:color w:val="000000"/>
          <w:kern w:val="0"/>
          <w:sz w:val="32"/>
          <w:szCs w:val="32"/>
        </w:rPr>
        <w:t xml:space="preserve"> </w:t>
      </w:r>
      <w:bookmarkStart w:id="524" w:name="_Toc218241127"/>
      <w:r>
        <w:rPr>
          <w:rFonts w:hint="eastAsia" w:eastAsia="楷体_GB2312"/>
          <w:b/>
          <w:color w:val="000000"/>
          <w:kern w:val="0"/>
          <w:sz w:val="32"/>
          <w:szCs w:val="32"/>
        </w:rPr>
        <w:t>保障重点群体就业</w:t>
      </w:r>
      <w:bookmarkEnd w:id="523"/>
      <w:bookmarkEnd w:id="524"/>
    </w:p>
    <w:p w14:paraId="0FA32E53">
      <w:pPr>
        <w:pStyle w:val="2"/>
        <w:spacing w:line="580" w:lineRule="exact"/>
        <w:ind w:firstLine="640"/>
        <w:rPr>
          <w:rFonts w:eastAsia="仿宋_GB2312"/>
          <w:sz w:val="32"/>
          <w:szCs w:val="32"/>
        </w:rPr>
      </w:pPr>
      <w:r>
        <w:rPr>
          <w:rFonts w:hint="eastAsia" w:eastAsia="仿宋_GB2312"/>
          <w:sz w:val="32"/>
          <w:szCs w:val="32"/>
        </w:rPr>
        <w:t>坚持分类施策、精准帮扶，健全高校毕业生、农民工、退役军人、残疾人和</w:t>
      </w:r>
      <w:r>
        <w:rPr>
          <w:rFonts w:hint="eastAsia" w:eastAsia="仿宋_GB2312"/>
          <w:sz w:val="30"/>
          <w:szCs w:val="30"/>
        </w:rPr>
        <w:t>高半山、边远牧区农牧民</w:t>
      </w:r>
      <w:r>
        <w:rPr>
          <w:rFonts w:hint="eastAsia" w:eastAsia="仿宋_GB2312"/>
          <w:sz w:val="32"/>
          <w:szCs w:val="32"/>
        </w:rPr>
        <w:t>等重点群体就业支持体系，构建从登记到就业的全链条帮扶机制。实施高校毕业生就业促进计划，拓展企业吸纳、基层项目、实习见习、自主创业等多元渠道，强化离校未就业和困难毕业生“一人一策”帮扶。健全跨区域劳务协作机制，</w:t>
      </w:r>
      <w:r>
        <w:rPr>
          <w:rFonts w:eastAsia="仿宋_GB2312"/>
          <w:sz w:val="32"/>
          <w:szCs w:val="32"/>
        </w:rPr>
        <w:t>不断完善就业服务载体功能，促进农民工就近就地就业和转移输出就业</w:t>
      </w:r>
      <w:r>
        <w:rPr>
          <w:rFonts w:hint="eastAsia" w:eastAsia="仿宋_GB2312"/>
          <w:sz w:val="32"/>
          <w:szCs w:val="32"/>
        </w:rPr>
        <w:t>。</w:t>
      </w:r>
      <w:r>
        <w:rPr>
          <w:rFonts w:eastAsia="仿宋_GB2312"/>
          <w:sz w:val="32"/>
          <w:szCs w:val="32"/>
        </w:rPr>
        <w:t>实施农民工返乡创业</w:t>
      </w:r>
      <w:r>
        <w:rPr>
          <w:rFonts w:hint="eastAsia" w:eastAsia="仿宋_GB2312"/>
          <w:sz w:val="32"/>
          <w:szCs w:val="32"/>
        </w:rPr>
        <w:t>支持</w:t>
      </w:r>
      <w:r>
        <w:rPr>
          <w:rFonts w:eastAsia="仿宋_GB2312"/>
          <w:sz w:val="32"/>
          <w:szCs w:val="32"/>
        </w:rPr>
        <w:t>计划，鼓励农民工返乡创业，带动就业增收</w:t>
      </w:r>
      <w:r>
        <w:rPr>
          <w:rFonts w:hint="eastAsia" w:eastAsia="仿宋_GB2312"/>
          <w:sz w:val="32"/>
          <w:szCs w:val="32"/>
        </w:rPr>
        <w:t>。加强对脱贫人口、残疾人、退役军人等就业困难群体的帮扶，统筹用好以工代赈政策和公益性岗位托底安置，确保零就业家庭动态清零。</w:t>
      </w:r>
    </w:p>
    <w:p w14:paraId="34F08402">
      <w:pPr>
        <w:pStyle w:val="15"/>
        <w:numPr>
          <w:ilvl w:val="0"/>
          <w:numId w:val="21"/>
        </w:numPr>
        <w:spacing w:before="156" w:beforeLines="50" w:after="156" w:afterLines="50" w:line="580" w:lineRule="exact"/>
        <w:ind w:left="1080" w:hanging="1080" w:firstLineChars="0"/>
        <w:jc w:val="center"/>
        <w:outlineLvl w:val="2"/>
        <w:rPr>
          <w:rFonts w:eastAsia="楷体_GB2312"/>
          <w:b/>
          <w:color w:val="000000"/>
          <w:kern w:val="0"/>
          <w:sz w:val="32"/>
          <w:szCs w:val="32"/>
        </w:rPr>
      </w:pPr>
      <w:bookmarkStart w:id="525" w:name="_Toc5050"/>
      <w:r>
        <w:rPr>
          <w:rFonts w:hint="eastAsia" w:eastAsia="楷体_GB2312"/>
          <w:b/>
          <w:color w:val="000000"/>
          <w:kern w:val="0"/>
          <w:sz w:val="32"/>
          <w:szCs w:val="32"/>
        </w:rPr>
        <w:t xml:space="preserve"> </w:t>
      </w:r>
      <w:bookmarkStart w:id="526" w:name="_Toc218241128"/>
      <w:r>
        <w:rPr>
          <w:rFonts w:hint="eastAsia" w:eastAsia="楷体_GB2312"/>
          <w:b/>
          <w:color w:val="000000"/>
          <w:kern w:val="0"/>
          <w:sz w:val="32"/>
          <w:szCs w:val="32"/>
        </w:rPr>
        <w:t>全力促进居民增收</w:t>
      </w:r>
      <w:bookmarkEnd w:id="525"/>
      <w:bookmarkEnd w:id="526"/>
    </w:p>
    <w:p w14:paraId="1970790D">
      <w:pPr>
        <w:pStyle w:val="2"/>
        <w:spacing w:line="580" w:lineRule="exact"/>
        <w:ind w:firstLine="640"/>
      </w:pPr>
      <w:r>
        <w:rPr>
          <w:rFonts w:hint="eastAsia" w:eastAsia="仿宋_GB2312"/>
          <w:sz w:val="32"/>
          <w:szCs w:val="32"/>
        </w:rPr>
        <w:t>深化收入分配制度改革，推动企业健全工资决定和正常增长机制，多渠道增加城乡居民经营性、财产性收入，逐步缩小城乡和牧区、农区收入差距，推动更多低收入群体跨入中等收入行列。实施农牧民增收“双轮驱动”计划，深化产业富民工程，依托“有机农牧业集中发展区”建设，推动牦牛、青稞等高原特色产业全链条升级，盘活农村土地、草地等资源要素，形成“土地流转收益</w:t>
      </w:r>
      <w:r>
        <w:rPr>
          <w:rFonts w:eastAsia="仿宋_GB2312"/>
          <w:sz w:val="32"/>
          <w:szCs w:val="32"/>
        </w:rPr>
        <w:t>+</w:t>
      </w:r>
      <w:r>
        <w:rPr>
          <w:rFonts w:hint="eastAsia" w:eastAsia="仿宋_GB2312"/>
          <w:sz w:val="32"/>
          <w:szCs w:val="32"/>
        </w:rPr>
        <w:t>合作社分红</w:t>
      </w:r>
      <w:r>
        <w:rPr>
          <w:rFonts w:eastAsia="仿宋_GB2312"/>
          <w:sz w:val="32"/>
          <w:szCs w:val="32"/>
        </w:rPr>
        <w:t>+</w:t>
      </w:r>
      <w:r>
        <w:rPr>
          <w:rFonts w:hint="eastAsia" w:eastAsia="仿宋_GB2312"/>
          <w:sz w:val="32"/>
          <w:szCs w:val="32"/>
        </w:rPr>
        <w:t>务工收入”三重增收体系。全面落实国家惠民扶农补贴政策，切实保障农牧民转移性收入。</w:t>
      </w:r>
    </w:p>
    <w:p w14:paraId="429AC8EA">
      <w:pPr>
        <w:pStyle w:val="10"/>
        <w:snapToGrid w:val="0"/>
        <w:spacing w:before="156" w:beforeLines="50" w:after="156" w:afterLines="50" w:line="440" w:lineRule="exact"/>
        <w:ind w:left="0" w:leftChars="0" w:firstLine="643" w:firstLineChars="0"/>
        <w:jc w:val="center"/>
        <w:rPr>
          <w:rFonts w:ascii="Times New Roman" w:hAnsi="Times New Roman" w:eastAsia="楷体_GB2312" w:cs="Times New Roman"/>
          <w:b/>
          <w:sz w:val="28"/>
          <w:szCs w:val="28"/>
        </w:rPr>
      </w:pPr>
      <w:bookmarkStart w:id="527" w:name="_Toc6259"/>
      <w:r>
        <w:rPr>
          <w:rFonts w:hint="eastAsia" w:ascii="Times New Roman" w:hAnsi="Times New Roman" w:eastAsia="楷体_GB2312" w:cs="Times New Roman"/>
          <w:b/>
          <w:sz w:val="28"/>
          <w:szCs w:val="28"/>
        </w:rPr>
        <w:br w:type="page"/>
      </w:r>
    </w:p>
    <w:tbl>
      <w:tblPr>
        <w:tblStyle w:val="11"/>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52BF7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42" w:hRule="atLeast"/>
          <w:jc w:val="center"/>
        </w:trPr>
        <w:tc>
          <w:tcPr>
            <w:tcW w:w="5000" w:type="pct"/>
            <w:tcBorders>
              <w:top w:val="single" w:color="auto" w:sz="4" w:space="0"/>
              <w:left w:val="single" w:color="auto" w:sz="4" w:space="0"/>
              <w:bottom w:val="single" w:color="auto" w:sz="4" w:space="0"/>
              <w:right w:val="single" w:color="auto" w:sz="4" w:space="0"/>
            </w:tcBorders>
          </w:tcPr>
          <w:p w14:paraId="144B4666">
            <w:pPr>
              <w:pStyle w:val="10"/>
              <w:snapToGrid w:val="0"/>
              <w:spacing w:before="156" w:beforeLines="50" w:after="156" w:afterLines="50" w:line="440" w:lineRule="exact"/>
              <w:ind w:left="0" w:leftChars="0" w:firstLine="643" w:firstLineChars="0"/>
              <w:jc w:val="center"/>
              <w:rPr>
                <w:rFonts w:eastAsia="楷体_GB2312"/>
                <w:b/>
                <w:sz w:val="32"/>
                <w:szCs w:val="32"/>
              </w:rPr>
            </w:pPr>
            <w:r>
              <w:rPr>
                <w:rFonts w:hint="eastAsia" w:ascii="Times New Roman" w:hAnsi="Times New Roman" w:eastAsia="楷体_GB2312" w:cs="Times New Roman"/>
                <w:b/>
                <w:sz w:val="28"/>
                <w:szCs w:val="28"/>
              </w:rPr>
              <w:t>专栏28  “十五五”时期就业创业推进重点</w:t>
            </w:r>
          </w:p>
        </w:tc>
      </w:tr>
      <w:tr w14:paraId="3FDDD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tcBorders>
              <w:top w:val="single" w:color="auto" w:sz="4" w:space="0"/>
              <w:left w:val="single" w:color="auto" w:sz="4" w:space="0"/>
              <w:bottom w:val="single" w:color="auto" w:sz="4" w:space="0"/>
              <w:right w:val="single" w:color="auto" w:sz="4" w:space="0"/>
            </w:tcBorders>
          </w:tcPr>
          <w:p w14:paraId="2752EC73">
            <w:pPr>
              <w:snapToGrid w:val="0"/>
              <w:spacing w:line="440" w:lineRule="exact"/>
              <w:ind w:firstLine="562" w:firstLineChars="200"/>
              <w:jc w:val="left"/>
              <w:rPr>
                <w:rFonts w:eastAsia="楷体_GB2312"/>
                <w:color w:val="000000"/>
                <w:sz w:val="28"/>
                <w:szCs w:val="28"/>
              </w:rPr>
            </w:pPr>
            <w:r>
              <w:rPr>
                <w:rFonts w:eastAsia="楷体_GB2312"/>
                <w:b/>
                <w:color w:val="000000"/>
                <w:sz w:val="28"/>
                <w:szCs w:val="28"/>
              </w:rPr>
              <w:t>1.</w:t>
            </w:r>
            <w:r>
              <w:rPr>
                <w:rFonts w:hint="eastAsia" w:eastAsia="楷体_GB2312"/>
                <w:b/>
                <w:color w:val="000000"/>
                <w:sz w:val="28"/>
                <w:szCs w:val="28"/>
              </w:rPr>
              <w:t>能力培训。</w:t>
            </w:r>
            <w:r>
              <w:rPr>
                <w:rFonts w:hint="eastAsia" w:eastAsia="楷体_GB2312"/>
                <w:color w:val="000000"/>
                <w:sz w:val="28"/>
                <w:szCs w:val="28"/>
              </w:rPr>
              <w:t>深化与省直部门定点帮扶、省内对口帮扶、浙江对口支援等的劳务协作，开展“订单式”职业培训。加强高校毕业生等职业指导、就业创业培训与企业用工对接，提升就业能力与市场需求的匹配度。</w:t>
            </w:r>
          </w:p>
          <w:p w14:paraId="68B412D9">
            <w:pPr>
              <w:snapToGrid w:val="0"/>
              <w:spacing w:line="440" w:lineRule="exact"/>
              <w:ind w:firstLine="562" w:firstLineChars="200"/>
              <w:jc w:val="left"/>
              <w:rPr>
                <w:rFonts w:eastAsia="楷体_GB2312"/>
                <w:b/>
                <w:color w:val="000000"/>
                <w:sz w:val="28"/>
                <w:szCs w:val="28"/>
              </w:rPr>
            </w:pPr>
            <w:r>
              <w:rPr>
                <w:rFonts w:eastAsia="楷体_GB2312"/>
                <w:b/>
                <w:color w:val="000000"/>
                <w:sz w:val="28"/>
                <w:szCs w:val="28"/>
              </w:rPr>
              <w:t>2.</w:t>
            </w:r>
            <w:r>
              <w:rPr>
                <w:rFonts w:hint="eastAsia" w:eastAsia="楷体_GB2312"/>
                <w:b/>
                <w:color w:val="000000"/>
                <w:sz w:val="28"/>
                <w:szCs w:val="28"/>
              </w:rPr>
              <w:t>就业援助。</w:t>
            </w:r>
            <w:bookmarkStart w:id="528" w:name="OLE_LINK161"/>
            <w:bookmarkStart w:id="529" w:name="OLE_LINK160"/>
            <w:r>
              <w:rPr>
                <w:rFonts w:hint="eastAsia" w:eastAsia="楷体_GB2312"/>
                <w:color w:val="000000"/>
                <w:sz w:val="28"/>
                <w:szCs w:val="28"/>
              </w:rPr>
              <w:t>持续实施</w:t>
            </w:r>
            <w:r>
              <w:rPr>
                <w:rFonts w:eastAsia="楷体_GB2312"/>
                <w:color w:val="000000"/>
                <w:sz w:val="28"/>
                <w:szCs w:val="28"/>
              </w:rPr>
              <w:t>“</w:t>
            </w:r>
            <w:r>
              <w:rPr>
                <w:rFonts w:hint="eastAsia" w:eastAsia="楷体_GB2312"/>
                <w:color w:val="000000"/>
                <w:sz w:val="28"/>
                <w:szCs w:val="28"/>
              </w:rPr>
              <w:t>西部计划</w:t>
            </w:r>
            <w:r>
              <w:rPr>
                <w:rFonts w:eastAsia="楷体_GB2312"/>
                <w:color w:val="000000"/>
                <w:sz w:val="28"/>
                <w:szCs w:val="28"/>
              </w:rPr>
              <w:t>”“</w:t>
            </w:r>
            <w:r>
              <w:rPr>
                <w:rFonts w:hint="eastAsia" w:eastAsia="楷体_GB2312"/>
                <w:color w:val="000000"/>
                <w:sz w:val="28"/>
                <w:szCs w:val="28"/>
              </w:rPr>
              <w:t>三支一扶</w:t>
            </w:r>
            <w:r>
              <w:rPr>
                <w:rFonts w:eastAsia="楷体_GB2312"/>
                <w:color w:val="000000"/>
                <w:sz w:val="28"/>
                <w:szCs w:val="28"/>
              </w:rPr>
              <w:t>”</w:t>
            </w:r>
            <w:bookmarkEnd w:id="528"/>
            <w:bookmarkEnd w:id="529"/>
            <w:r>
              <w:rPr>
                <w:rFonts w:hint="eastAsia" w:eastAsia="楷体_GB2312"/>
                <w:color w:val="000000"/>
                <w:sz w:val="28"/>
                <w:szCs w:val="28"/>
              </w:rPr>
              <w:t>等基层服务项目，推进以工代赈和公益性岗位托底安置，加强政府投资和重大项目建设就业带动。</w:t>
            </w:r>
          </w:p>
          <w:p w14:paraId="31AE3D81">
            <w:pPr>
              <w:snapToGrid w:val="0"/>
              <w:spacing w:line="440" w:lineRule="exact"/>
              <w:ind w:firstLine="562" w:firstLineChars="200"/>
              <w:jc w:val="left"/>
              <w:rPr>
                <w:rFonts w:eastAsia="楷体_GB2312"/>
                <w:color w:val="000000"/>
                <w:sz w:val="28"/>
                <w:szCs w:val="28"/>
              </w:rPr>
            </w:pPr>
            <w:r>
              <w:rPr>
                <w:rFonts w:eastAsia="楷体_GB2312"/>
                <w:b/>
                <w:color w:val="000000"/>
                <w:sz w:val="28"/>
                <w:szCs w:val="28"/>
              </w:rPr>
              <w:t>3.</w:t>
            </w:r>
            <w:r>
              <w:rPr>
                <w:rFonts w:hint="eastAsia" w:eastAsia="楷体_GB2312"/>
                <w:b/>
                <w:color w:val="000000"/>
                <w:sz w:val="28"/>
                <w:szCs w:val="28"/>
              </w:rPr>
              <w:t>服务平台建设。建设</w:t>
            </w:r>
            <w:r>
              <w:rPr>
                <w:rFonts w:hint="eastAsia" w:eastAsia="楷体_GB2312"/>
                <w:color w:val="000000"/>
                <w:sz w:val="28"/>
                <w:szCs w:val="28"/>
              </w:rPr>
              <w:t>就业公共服务数字化平台、人力资源市场、孵化基地及人才发展、就业促进等平台建设，畅通政企对接沟通渠道。</w:t>
            </w:r>
          </w:p>
          <w:p w14:paraId="7F1C6DA4">
            <w:pPr>
              <w:snapToGrid w:val="0"/>
              <w:spacing w:line="440" w:lineRule="exact"/>
              <w:ind w:firstLine="562" w:firstLineChars="200"/>
              <w:jc w:val="left"/>
              <w:rPr>
                <w:rFonts w:eastAsia="楷体_GB2312"/>
                <w:color w:val="000000"/>
                <w:sz w:val="28"/>
                <w:szCs w:val="28"/>
              </w:rPr>
            </w:pPr>
            <w:r>
              <w:rPr>
                <w:rFonts w:eastAsia="楷体_GB2312"/>
                <w:b/>
                <w:color w:val="000000"/>
                <w:sz w:val="28"/>
                <w:szCs w:val="28"/>
              </w:rPr>
              <w:t>4.</w:t>
            </w:r>
            <w:r>
              <w:rPr>
                <w:rFonts w:hint="eastAsia" w:eastAsia="楷体_GB2312"/>
                <w:b/>
                <w:color w:val="000000"/>
                <w:sz w:val="28"/>
                <w:szCs w:val="28"/>
              </w:rPr>
              <w:t>劳动者权益维护</w:t>
            </w:r>
            <w:r>
              <w:rPr>
                <w:rFonts w:hint="eastAsia" w:eastAsia="楷体_GB2312"/>
                <w:color w:val="000000"/>
                <w:sz w:val="28"/>
                <w:szCs w:val="28"/>
              </w:rPr>
              <w:t>。强化劳动保障监察和争议调解仲裁，保障新就业形态群体权益。</w:t>
            </w:r>
          </w:p>
          <w:p w14:paraId="50C4CC5A">
            <w:pPr>
              <w:snapToGrid w:val="0"/>
              <w:spacing w:line="440" w:lineRule="exact"/>
              <w:ind w:firstLine="562" w:firstLineChars="200"/>
              <w:jc w:val="left"/>
              <w:rPr>
                <w:rFonts w:eastAsia="楷体_GB2312"/>
                <w:color w:val="000000"/>
                <w:sz w:val="28"/>
                <w:szCs w:val="28"/>
              </w:rPr>
            </w:pPr>
            <w:r>
              <w:rPr>
                <w:rFonts w:eastAsia="楷体_GB2312"/>
                <w:b/>
                <w:color w:val="000000"/>
                <w:sz w:val="28"/>
                <w:szCs w:val="28"/>
              </w:rPr>
              <w:t>5.</w:t>
            </w:r>
            <w:r>
              <w:rPr>
                <w:rFonts w:hint="eastAsia" w:eastAsia="楷体_GB2312"/>
                <w:b/>
                <w:color w:val="000000"/>
                <w:sz w:val="28"/>
                <w:szCs w:val="28"/>
              </w:rPr>
              <w:t>政策支持</w:t>
            </w:r>
            <w:r>
              <w:rPr>
                <w:rFonts w:hint="eastAsia" w:eastAsia="楷体_GB2312"/>
                <w:color w:val="000000"/>
                <w:sz w:val="28"/>
                <w:szCs w:val="28"/>
              </w:rPr>
              <w:t>。落实国家对大学毕业生、返乡农民工、退役军人等支持政策。</w:t>
            </w:r>
          </w:p>
        </w:tc>
      </w:tr>
    </w:tbl>
    <w:p w14:paraId="5E80E524">
      <w:pPr>
        <w:widowControl/>
        <w:spacing w:before="156" w:beforeLines="50" w:after="156" w:afterLines="50" w:line="580" w:lineRule="exact"/>
        <w:jc w:val="center"/>
        <w:outlineLvl w:val="1"/>
        <w:rPr>
          <w:rFonts w:eastAsia="黑体"/>
          <w:bCs/>
          <w:color w:val="000000"/>
          <w:kern w:val="0"/>
          <w:sz w:val="32"/>
          <w:szCs w:val="32"/>
        </w:rPr>
      </w:pPr>
      <w:bookmarkStart w:id="530" w:name="_Toc212814846"/>
      <w:bookmarkStart w:id="531" w:name="_Toc8652"/>
      <w:bookmarkStart w:id="532" w:name="_Toc214372654"/>
      <w:bookmarkStart w:id="533" w:name="_Toc218241129"/>
      <w:r>
        <w:rPr>
          <w:rFonts w:hint="eastAsia" w:eastAsia="黑体"/>
          <w:bCs/>
          <w:color w:val="000000"/>
          <w:kern w:val="0"/>
          <w:sz w:val="32"/>
          <w:szCs w:val="32"/>
        </w:rPr>
        <w:t>第二十三章</w:t>
      </w:r>
      <w:bookmarkEnd w:id="527"/>
      <w:bookmarkStart w:id="534" w:name="OLE_LINK80"/>
      <w:bookmarkEnd w:id="534"/>
      <w:r>
        <w:rPr>
          <w:rFonts w:hint="eastAsia" w:eastAsia="黑体"/>
          <w:bCs/>
          <w:color w:val="000000"/>
          <w:kern w:val="0"/>
          <w:sz w:val="32"/>
          <w:szCs w:val="32"/>
        </w:rPr>
        <w:t xml:space="preserve">  办好人民满意教育</w:t>
      </w:r>
      <w:bookmarkEnd w:id="530"/>
      <w:bookmarkEnd w:id="531"/>
      <w:bookmarkEnd w:id="532"/>
      <w:bookmarkEnd w:id="533"/>
    </w:p>
    <w:p w14:paraId="31F75278">
      <w:pPr>
        <w:pStyle w:val="15"/>
        <w:numPr>
          <w:ilvl w:val="0"/>
          <w:numId w:val="22"/>
        </w:numPr>
        <w:spacing w:before="156" w:beforeLines="50" w:after="156" w:afterLines="50" w:line="580" w:lineRule="exact"/>
        <w:ind w:left="1080" w:hanging="1080" w:firstLineChars="0"/>
        <w:jc w:val="center"/>
        <w:outlineLvl w:val="2"/>
        <w:rPr>
          <w:rFonts w:eastAsia="楷体_GB2312"/>
          <w:b/>
          <w:color w:val="000000"/>
          <w:kern w:val="0"/>
          <w:sz w:val="32"/>
          <w:szCs w:val="32"/>
        </w:rPr>
      </w:pPr>
      <w:bookmarkStart w:id="535" w:name="_Toc11333"/>
      <w:r>
        <w:rPr>
          <w:rFonts w:hint="eastAsia" w:eastAsia="楷体_GB2312"/>
          <w:b/>
          <w:color w:val="000000"/>
          <w:kern w:val="0"/>
          <w:sz w:val="32"/>
          <w:szCs w:val="32"/>
        </w:rPr>
        <w:t xml:space="preserve"> </w:t>
      </w:r>
      <w:bookmarkStart w:id="536" w:name="_Toc218241130"/>
      <w:r>
        <w:rPr>
          <w:rFonts w:hint="eastAsia" w:eastAsia="楷体_GB2312"/>
          <w:b/>
          <w:color w:val="000000"/>
          <w:kern w:val="0"/>
          <w:sz w:val="32"/>
          <w:szCs w:val="32"/>
        </w:rPr>
        <w:t>优化教育资源配置</w:t>
      </w:r>
      <w:bookmarkEnd w:id="535"/>
      <w:bookmarkEnd w:id="536"/>
    </w:p>
    <w:p w14:paraId="12681FB0">
      <w:pPr>
        <w:spacing w:line="580" w:lineRule="exact"/>
        <w:ind w:firstLine="640" w:firstLineChars="200"/>
        <w:jc w:val="left"/>
        <w:rPr>
          <w:rFonts w:eastAsia="仿宋_GB2312"/>
          <w:sz w:val="32"/>
          <w:szCs w:val="32"/>
        </w:rPr>
      </w:pPr>
      <w:r>
        <w:rPr>
          <w:rFonts w:hint="eastAsia" w:eastAsia="仿宋_GB2312"/>
          <w:sz w:val="32"/>
          <w:szCs w:val="32"/>
        </w:rPr>
        <w:t>根据县域人口变化和城镇化发展趋势，按照城区学前划片入园，乡镇学前就近入园，村级学前一村或多村模式全覆盖办园；小学城区大集中，片区小集中，乡镇打基础模式办学；以及初中向县城和副中心镇集中办学思路，优化中小学和幼儿园布局。加强近期和中长期教育资源统筹配置，因地制宜打通使用各学段教育资源，加强跨学段动态调整和余缺调配，扩大学龄人口净流入城镇教育资源供给。更好发挥集中规模办学效益，促进县域资源合理配置。突出寄宿制集中办学特色，按照“农村向乡镇集中、乡镇向片区集中、片区向县城集中”思路，建设一批高质量的城镇或片区义务教育阶段寄宿制学校，扩大优质教育资源。</w:t>
      </w:r>
    </w:p>
    <w:p w14:paraId="0CF98AD3">
      <w:pPr>
        <w:pStyle w:val="15"/>
        <w:numPr>
          <w:ilvl w:val="0"/>
          <w:numId w:val="22"/>
        </w:numPr>
        <w:spacing w:before="156" w:beforeLines="50" w:after="156" w:afterLines="50" w:line="580" w:lineRule="exact"/>
        <w:ind w:left="1080" w:hanging="1080" w:firstLineChars="0"/>
        <w:jc w:val="center"/>
        <w:outlineLvl w:val="2"/>
        <w:rPr>
          <w:rFonts w:eastAsia="楷体_GB2312"/>
          <w:b/>
          <w:color w:val="000000"/>
          <w:kern w:val="0"/>
          <w:sz w:val="32"/>
          <w:szCs w:val="32"/>
        </w:rPr>
      </w:pPr>
      <w:bookmarkStart w:id="537" w:name="_Toc29371"/>
      <w:bookmarkStart w:id="538" w:name="OLE_LINK174"/>
      <w:bookmarkStart w:id="539" w:name="OLE_LINK173"/>
      <w:r>
        <w:rPr>
          <w:rFonts w:hint="eastAsia" w:eastAsia="楷体_GB2312"/>
          <w:b/>
          <w:color w:val="000000"/>
          <w:kern w:val="0"/>
          <w:sz w:val="32"/>
          <w:szCs w:val="32"/>
        </w:rPr>
        <w:t xml:space="preserve"> </w:t>
      </w:r>
      <w:bookmarkStart w:id="540" w:name="_Toc218241131"/>
      <w:r>
        <w:rPr>
          <w:rFonts w:hint="eastAsia" w:eastAsia="楷体_GB2312"/>
          <w:b/>
          <w:color w:val="000000"/>
          <w:kern w:val="0"/>
          <w:sz w:val="32"/>
          <w:szCs w:val="32"/>
        </w:rPr>
        <w:t>全面改善办学条件</w:t>
      </w:r>
      <w:bookmarkEnd w:id="537"/>
      <w:bookmarkEnd w:id="538"/>
      <w:bookmarkEnd w:id="539"/>
      <w:bookmarkEnd w:id="540"/>
    </w:p>
    <w:p w14:paraId="51B633B9">
      <w:pPr>
        <w:spacing w:line="580" w:lineRule="exact"/>
        <w:ind w:firstLine="640" w:firstLineChars="200"/>
        <w:jc w:val="left"/>
        <w:rPr>
          <w:rFonts w:eastAsia="仿宋_GB2312"/>
          <w:sz w:val="32"/>
          <w:szCs w:val="32"/>
        </w:rPr>
      </w:pPr>
      <w:r>
        <w:rPr>
          <w:rFonts w:hint="eastAsia" w:eastAsia="仿宋_GB2312"/>
          <w:sz w:val="32"/>
          <w:szCs w:val="32"/>
        </w:rPr>
        <w:t>以办学条件标准化和教育信息化为抓手，持续优化育人环境。实施民族地区教育振兴计划，继续推进薄弱学校改造，补齐办学条件短板，改善基础教育办学条件，加强未达标学校建设。启动农村寄宿制学校提质工程，重点满足偏远地区学生和留守儿童的寄宿需求。有序扩大城镇学位供给，优化完善区域内义务教育基本办学条件标准，改扩建必要的义务教育学校，满足城镇学生入学需求。加快补齐全县中小学数字化设备，推动全县教育数字化转型和智能化升级。立足德智体美劳五育并举要求，加快配齐所需必要设施设备，着力建设好必要的体育、美育场地和劳动教育场所。</w:t>
      </w:r>
    </w:p>
    <w:p w14:paraId="3FE1149D">
      <w:pPr>
        <w:pStyle w:val="15"/>
        <w:numPr>
          <w:ilvl w:val="0"/>
          <w:numId w:val="22"/>
        </w:numPr>
        <w:spacing w:before="156" w:beforeLines="50" w:after="156" w:afterLines="50" w:line="580" w:lineRule="exact"/>
        <w:ind w:left="1080" w:hanging="1080" w:firstLineChars="0"/>
        <w:jc w:val="center"/>
        <w:outlineLvl w:val="2"/>
        <w:rPr>
          <w:rFonts w:eastAsia="楷体_GB2312"/>
          <w:b/>
          <w:color w:val="000000"/>
          <w:kern w:val="0"/>
          <w:sz w:val="32"/>
          <w:szCs w:val="32"/>
        </w:rPr>
      </w:pPr>
      <w:bookmarkStart w:id="541" w:name="_Toc8683"/>
      <w:r>
        <w:rPr>
          <w:rFonts w:hint="eastAsia" w:eastAsia="楷体_GB2312"/>
          <w:b/>
          <w:color w:val="000000"/>
          <w:kern w:val="0"/>
          <w:sz w:val="32"/>
          <w:szCs w:val="32"/>
        </w:rPr>
        <w:t xml:space="preserve"> </w:t>
      </w:r>
      <w:bookmarkStart w:id="542" w:name="_Toc218241132"/>
      <w:r>
        <w:rPr>
          <w:rFonts w:hint="eastAsia" w:eastAsia="楷体_GB2312"/>
          <w:b/>
          <w:color w:val="000000"/>
          <w:kern w:val="0"/>
          <w:sz w:val="32"/>
          <w:szCs w:val="32"/>
        </w:rPr>
        <w:t>全面推进强师提能</w:t>
      </w:r>
      <w:bookmarkEnd w:id="541"/>
      <w:bookmarkEnd w:id="542"/>
    </w:p>
    <w:p w14:paraId="30DB1405">
      <w:pPr>
        <w:spacing w:line="580" w:lineRule="exact"/>
        <w:ind w:firstLine="640" w:firstLineChars="200"/>
      </w:pPr>
      <w:r>
        <w:rPr>
          <w:rFonts w:hint="eastAsia" w:eastAsia="仿宋_GB2312"/>
          <w:sz w:val="32"/>
          <w:szCs w:val="32"/>
        </w:rPr>
        <w:t>坚持师德师风第一标准，健全师德师风建设长效机制，严格落实师德失范“零容忍”。深化义务教育“县管校聘”管理改革，探索实施“岗编适度分离”机制，畅通城乡教师双向交流渠道。加大紧缺学科教师招聘力度，积极申报优师定向培养计划、公开考试招聘计划，通过对口支援引入优质师资。实施民族地区教育发展优秀教师精准帮培计划，组织全县教师参加国培、省培、州培和欠发达县整县托底性帮扶教师培训项目。深化</w:t>
      </w:r>
      <w:r>
        <w:rPr>
          <w:rFonts w:eastAsia="仿宋_GB2312"/>
          <w:sz w:val="32"/>
          <w:szCs w:val="32"/>
        </w:rPr>
        <w:t>“</w:t>
      </w:r>
      <w:r>
        <w:rPr>
          <w:rFonts w:hint="eastAsia" w:eastAsia="仿宋_GB2312"/>
          <w:sz w:val="32"/>
          <w:szCs w:val="32"/>
        </w:rPr>
        <w:t>对口支援</w:t>
      </w:r>
      <w:r>
        <w:rPr>
          <w:rFonts w:eastAsia="仿宋_GB2312"/>
          <w:sz w:val="32"/>
          <w:szCs w:val="32"/>
        </w:rPr>
        <w:t>”</w:t>
      </w:r>
      <w:r>
        <w:rPr>
          <w:rFonts w:hint="eastAsia" w:eastAsia="仿宋_GB2312"/>
          <w:sz w:val="32"/>
          <w:szCs w:val="32"/>
        </w:rPr>
        <w:t>帮扶和</w:t>
      </w:r>
      <w:r>
        <w:rPr>
          <w:rFonts w:eastAsia="仿宋_GB2312"/>
          <w:sz w:val="32"/>
          <w:szCs w:val="32"/>
        </w:rPr>
        <w:t>“</w:t>
      </w:r>
      <w:r>
        <w:rPr>
          <w:rFonts w:hint="eastAsia" w:eastAsia="仿宋_GB2312"/>
          <w:sz w:val="32"/>
          <w:szCs w:val="32"/>
        </w:rPr>
        <w:t>传帮带</w:t>
      </w:r>
      <w:r>
        <w:rPr>
          <w:rFonts w:eastAsia="仿宋_GB2312"/>
          <w:sz w:val="32"/>
          <w:szCs w:val="32"/>
        </w:rPr>
        <w:t>”</w:t>
      </w:r>
      <w:r>
        <w:rPr>
          <w:rFonts w:hint="eastAsia" w:eastAsia="仿宋_GB2312"/>
          <w:sz w:val="32"/>
          <w:szCs w:val="32"/>
        </w:rPr>
        <w:t>“结对子”实效，提升师资队伍能力水平。</w:t>
      </w:r>
      <w:r>
        <w:rPr>
          <w:rFonts w:hint="eastAsia" w:eastAsia="仿宋_GB2312"/>
          <w:color w:val="000000" w:themeColor="text1"/>
          <w:sz w:val="32"/>
          <w:szCs w:val="32"/>
          <w14:textFill>
            <w14:solidFill>
              <w14:schemeClr w14:val="tx1"/>
            </w14:solidFill>
          </w14:textFill>
        </w:rPr>
        <w:t>完善教师待遇保障制度，健全教师职称、岗位和考核评价机制。</w:t>
      </w:r>
    </w:p>
    <w:p w14:paraId="3C8003F7">
      <w:pPr>
        <w:pStyle w:val="15"/>
        <w:numPr>
          <w:ilvl w:val="0"/>
          <w:numId w:val="22"/>
        </w:numPr>
        <w:spacing w:before="156" w:beforeLines="50" w:after="156" w:afterLines="50" w:line="580" w:lineRule="exact"/>
        <w:ind w:left="1080" w:hanging="1080" w:firstLineChars="0"/>
        <w:jc w:val="center"/>
        <w:outlineLvl w:val="2"/>
        <w:rPr>
          <w:rFonts w:eastAsia="楷体_GB2312"/>
          <w:b/>
          <w:color w:val="000000"/>
          <w:kern w:val="0"/>
          <w:sz w:val="32"/>
          <w:szCs w:val="32"/>
        </w:rPr>
      </w:pPr>
      <w:bookmarkStart w:id="543" w:name="_Toc12308"/>
      <w:r>
        <w:rPr>
          <w:rFonts w:hint="eastAsia" w:eastAsia="楷体_GB2312"/>
          <w:b/>
          <w:color w:val="000000"/>
          <w:kern w:val="0"/>
          <w:sz w:val="32"/>
          <w:szCs w:val="32"/>
        </w:rPr>
        <w:t xml:space="preserve"> </w:t>
      </w:r>
      <w:bookmarkStart w:id="544" w:name="_Toc218241133"/>
      <w:r>
        <w:rPr>
          <w:rFonts w:hint="eastAsia" w:eastAsia="楷体_GB2312"/>
          <w:b/>
          <w:color w:val="000000"/>
          <w:kern w:val="0"/>
          <w:sz w:val="32"/>
          <w:szCs w:val="32"/>
        </w:rPr>
        <w:t>全面促进提质培优</w:t>
      </w:r>
      <w:bookmarkEnd w:id="543"/>
      <w:bookmarkEnd w:id="544"/>
    </w:p>
    <w:p w14:paraId="71807372">
      <w:pPr>
        <w:widowControl/>
        <w:spacing w:line="580" w:lineRule="exact"/>
        <w:ind w:firstLine="640" w:firstLineChars="200"/>
        <w:jc w:val="left"/>
        <w:rPr>
          <w:rFonts w:eastAsia="仿宋_GB2312"/>
          <w:sz w:val="32"/>
          <w:szCs w:val="32"/>
        </w:rPr>
      </w:pPr>
      <w:r>
        <w:rPr>
          <w:rFonts w:hint="eastAsia" w:eastAsia="仿宋_GB2312"/>
          <w:sz w:val="32"/>
          <w:szCs w:val="32"/>
        </w:rPr>
        <w:t>坚持德智体美劳“五育”并举，大力发展素质教育，全面加强国家通用语言文字教育教学，深入实施“学前学普</w:t>
      </w:r>
      <w:r>
        <w:rPr>
          <w:rFonts w:eastAsia="仿宋_GB2312"/>
          <w:sz w:val="32"/>
          <w:szCs w:val="32"/>
        </w:rPr>
        <w:t>2.0</w:t>
      </w:r>
      <w:r>
        <w:rPr>
          <w:rFonts w:hint="eastAsia" w:eastAsia="仿宋_GB2312"/>
          <w:sz w:val="32"/>
          <w:szCs w:val="32"/>
        </w:rPr>
        <w:t>”行动计划。深入实施教学质量提升工程，试点打造县级名师工作室。与省内优质学校开展结对共建，用好</w:t>
      </w:r>
      <w:r>
        <w:rPr>
          <w:rFonts w:eastAsia="仿宋_GB2312"/>
          <w:sz w:val="32"/>
          <w:szCs w:val="32"/>
        </w:rPr>
        <w:t>“</w:t>
      </w:r>
      <w:r>
        <w:rPr>
          <w:rFonts w:hint="eastAsia" w:eastAsia="仿宋_GB2312"/>
          <w:sz w:val="32"/>
          <w:szCs w:val="32"/>
        </w:rPr>
        <w:t>组团式</w:t>
      </w:r>
      <w:r>
        <w:rPr>
          <w:rFonts w:eastAsia="仿宋_GB2312"/>
          <w:sz w:val="32"/>
          <w:szCs w:val="32"/>
        </w:rPr>
        <w:t>”</w:t>
      </w:r>
      <w:r>
        <w:rPr>
          <w:rFonts w:hint="eastAsia" w:eastAsia="仿宋_GB2312"/>
          <w:sz w:val="32"/>
          <w:szCs w:val="32"/>
        </w:rPr>
        <w:t>帮扶资源，积极发展</w:t>
      </w:r>
      <w:r>
        <w:rPr>
          <w:rFonts w:eastAsia="仿宋_GB2312"/>
          <w:sz w:val="32"/>
          <w:szCs w:val="32"/>
        </w:rPr>
        <w:t>“</w:t>
      </w:r>
      <w:r>
        <w:rPr>
          <w:rFonts w:hint="eastAsia" w:eastAsia="仿宋_GB2312"/>
          <w:sz w:val="32"/>
          <w:szCs w:val="32"/>
        </w:rPr>
        <w:t>互联网</w:t>
      </w:r>
      <w:r>
        <w:rPr>
          <w:rFonts w:eastAsia="仿宋_GB2312"/>
          <w:sz w:val="32"/>
          <w:szCs w:val="32"/>
        </w:rPr>
        <w:t>+</w:t>
      </w:r>
      <w:r>
        <w:rPr>
          <w:rFonts w:hint="eastAsia" w:eastAsia="仿宋_GB2312"/>
          <w:sz w:val="32"/>
          <w:szCs w:val="32"/>
        </w:rPr>
        <w:t>教育</w:t>
      </w:r>
      <w:r>
        <w:rPr>
          <w:rFonts w:eastAsia="仿宋_GB2312"/>
          <w:sz w:val="32"/>
          <w:szCs w:val="32"/>
        </w:rPr>
        <w:t>”</w:t>
      </w:r>
      <w:r>
        <w:rPr>
          <w:rFonts w:hint="eastAsia" w:eastAsia="仿宋_GB2312"/>
          <w:sz w:val="32"/>
          <w:szCs w:val="32"/>
        </w:rPr>
        <w:t>，大力实施“网链共享行动计划”，扩大远程网络教学覆盖面，加快推进教育数字化转型和智能升级。统筹推进“双减”和教育教学质量提升，巩固校外培训治理成果，提高课后服务质量，丰富服务内容。</w:t>
      </w:r>
    </w:p>
    <w:p w14:paraId="27E8C088">
      <w:pPr>
        <w:pStyle w:val="15"/>
        <w:numPr>
          <w:ilvl w:val="0"/>
          <w:numId w:val="22"/>
        </w:numPr>
        <w:spacing w:before="156" w:beforeLines="50" w:after="156" w:afterLines="50" w:line="580" w:lineRule="exact"/>
        <w:ind w:left="1080" w:hanging="1080" w:firstLineChars="0"/>
        <w:jc w:val="center"/>
        <w:outlineLvl w:val="2"/>
        <w:rPr>
          <w:rFonts w:eastAsia="楷体_GB2312"/>
          <w:b/>
          <w:color w:val="000000"/>
          <w:kern w:val="0"/>
          <w:sz w:val="32"/>
          <w:szCs w:val="32"/>
        </w:rPr>
      </w:pPr>
      <w:bookmarkStart w:id="545" w:name="_Toc2077"/>
      <w:r>
        <w:rPr>
          <w:rFonts w:hint="eastAsia" w:eastAsia="楷体_GB2312"/>
          <w:b/>
          <w:color w:val="000000"/>
          <w:kern w:val="0"/>
          <w:sz w:val="32"/>
          <w:szCs w:val="32"/>
        </w:rPr>
        <w:t xml:space="preserve"> </w:t>
      </w:r>
      <w:bookmarkStart w:id="546" w:name="_Toc218241134"/>
      <w:r>
        <w:rPr>
          <w:rFonts w:hint="eastAsia" w:eastAsia="楷体_GB2312"/>
          <w:b/>
          <w:color w:val="000000"/>
          <w:kern w:val="0"/>
          <w:sz w:val="32"/>
          <w:szCs w:val="32"/>
        </w:rPr>
        <w:t>全面建设书香型社会</w:t>
      </w:r>
      <w:bookmarkEnd w:id="545"/>
      <w:bookmarkEnd w:id="546"/>
    </w:p>
    <w:p w14:paraId="02FB1CE1">
      <w:pPr>
        <w:spacing w:line="580" w:lineRule="exact"/>
        <w:ind w:firstLine="640" w:firstLineChars="200"/>
        <w:rPr>
          <w:rFonts w:eastAsia="仿宋_GB2312"/>
          <w:sz w:val="32"/>
          <w:szCs w:val="32"/>
        </w:rPr>
      </w:pPr>
      <w:r>
        <w:rPr>
          <w:rFonts w:hint="eastAsia" w:eastAsia="仿宋_GB2312"/>
          <w:sz w:val="32"/>
          <w:szCs w:val="32"/>
        </w:rPr>
        <w:t>深化实践“大教育观”理念，建立政府主导、部门协调配合、社会广泛参与的终身教育格局，形成跨部门终身教育协调机制。健全网络化、数字化、个性化、终身化的全民终身教育体系，推动优质教育资源整合与共享开放，打造全天候、全场域、全覆盖数字化学习空间，推动书香型城市建设。充分利用各级各类学校教育资源、非教育机构教育资源及社会资源，推动社区教育学习资源建设和促进各级各类教育资源共享。加强终身教育理念宣传，鼓励民众参加各类终身教育和学习活动，建设书香社会。</w:t>
      </w:r>
    </w:p>
    <w:p w14:paraId="4587D09F">
      <w:pPr>
        <w:pStyle w:val="10"/>
        <w:snapToGrid w:val="0"/>
        <w:spacing w:before="156" w:beforeLines="50" w:after="156" w:afterLines="50"/>
        <w:ind w:left="0" w:leftChars="0" w:firstLine="643" w:firstLineChars="0"/>
        <w:jc w:val="center"/>
        <w:rPr>
          <w:rFonts w:ascii="Times New Roman" w:hAnsi="Times New Roman" w:eastAsia="楷体_GB2312" w:cs="Times New Roman"/>
          <w:b/>
          <w:sz w:val="28"/>
          <w:szCs w:val="28"/>
        </w:rPr>
      </w:pPr>
      <w:bookmarkStart w:id="547" w:name="OLE_LINK201"/>
      <w:bookmarkStart w:id="548" w:name="OLE_LINK200"/>
      <w:r>
        <w:rPr>
          <w:rFonts w:hint="eastAsia" w:ascii="Times New Roman" w:hAnsi="Times New Roman" w:eastAsia="楷体_GB2312" w:cs="Times New Roman"/>
          <w:b/>
          <w:sz w:val="28"/>
          <w:szCs w:val="28"/>
        </w:rPr>
        <w:br w:type="page"/>
      </w:r>
    </w:p>
    <w:tbl>
      <w:tblPr>
        <w:tblStyle w:val="11"/>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5870B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42" w:hRule="atLeast"/>
          <w:jc w:val="center"/>
        </w:trPr>
        <w:tc>
          <w:tcPr>
            <w:tcW w:w="5000" w:type="pct"/>
            <w:tcBorders>
              <w:top w:val="single" w:color="auto" w:sz="4" w:space="0"/>
              <w:left w:val="single" w:color="auto" w:sz="4" w:space="0"/>
              <w:bottom w:val="single" w:color="auto" w:sz="4" w:space="0"/>
              <w:right w:val="single" w:color="auto" w:sz="4" w:space="0"/>
            </w:tcBorders>
          </w:tcPr>
          <w:p w14:paraId="75AF18DE">
            <w:pPr>
              <w:pStyle w:val="10"/>
              <w:snapToGrid w:val="0"/>
              <w:spacing w:before="156" w:beforeLines="50" w:after="156" w:afterLines="50" w:line="440" w:lineRule="exact"/>
              <w:ind w:left="0" w:leftChars="0" w:firstLine="643" w:firstLineChars="0"/>
              <w:jc w:val="center"/>
              <w:rPr>
                <w:rFonts w:eastAsia="楷体_GB2312"/>
                <w:b/>
                <w:sz w:val="32"/>
                <w:szCs w:val="32"/>
              </w:rPr>
            </w:pPr>
            <w:r>
              <w:rPr>
                <w:rFonts w:hint="eastAsia" w:ascii="Times New Roman" w:hAnsi="Times New Roman" w:eastAsia="楷体_GB2312" w:cs="Times New Roman"/>
                <w:b/>
                <w:sz w:val="28"/>
                <w:szCs w:val="28"/>
              </w:rPr>
              <w:t>专栏29  “十五五”时期教育重点推进工程</w:t>
            </w:r>
          </w:p>
        </w:tc>
      </w:tr>
      <w:tr w14:paraId="68754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tcBorders>
              <w:top w:val="single" w:color="auto" w:sz="4" w:space="0"/>
              <w:left w:val="single" w:color="auto" w:sz="4" w:space="0"/>
              <w:bottom w:val="single" w:color="auto" w:sz="4" w:space="0"/>
              <w:right w:val="single" w:color="auto" w:sz="4" w:space="0"/>
            </w:tcBorders>
          </w:tcPr>
          <w:p w14:paraId="3E40CA86">
            <w:pPr>
              <w:snapToGrid w:val="0"/>
              <w:spacing w:line="440" w:lineRule="exact"/>
              <w:ind w:firstLine="562" w:firstLineChars="200"/>
              <w:rPr>
                <w:rFonts w:eastAsia="楷体_GB2312"/>
                <w:bCs/>
                <w:sz w:val="28"/>
                <w:szCs w:val="28"/>
              </w:rPr>
            </w:pPr>
            <w:r>
              <w:rPr>
                <w:rFonts w:hint="eastAsia" w:eastAsia="楷体_GB2312"/>
                <w:b/>
                <w:sz w:val="28"/>
                <w:szCs w:val="28"/>
              </w:rPr>
              <w:t>1.基础教育学校提升工程。</w:t>
            </w:r>
            <w:r>
              <w:rPr>
                <w:rFonts w:hint="eastAsia" w:eastAsia="楷体_GB2312"/>
                <w:bCs/>
                <w:sz w:val="28"/>
                <w:szCs w:val="28"/>
              </w:rPr>
              <w:t>新（改）建城关第二完全小学、曲登乡小学、禾尼乡小学、曲登乡幼儿园等一批中小学（幼儿园）。加强基础设施和教学仪器配备，推动全县中小学校、幼儿园维修改造。</w:t>
            </w:r>
          </w:p>
          <w:p w14:paraId="1C5F123C">
            <w:pPr>
              <w:snapToGrid w:val="0"/>
              <w:spacing w:line="440" w:lineRule="exact"/>
              <w:ind w:firstLine="562" w:firstLineChars="200"/>
              <w:rPr>
                <w:rFonts w:eastAsia="楷体_GB2312"/>
                <w:bCs/>
                <w:color w:val="FF0000"/>
                <w:sz w:val="28"/>
                <w:szCs w:val="28"/>
              </w:rPr>
            </w:pPr>
            <w:r>
              <w:rPr>
                <w:rFonts w:hint="eastAsia" w:eastAsia="楷体_GB2312"/>
                <w:b/>
                <w:sz w:val="28"/>
                <w:szCs w:val="28"/>
              </w:rPr>
              <w:t>2.职业教育发展工程。</w:t>
            </w:r>
            <w:r>
              <w:rPr>
                <w:rFonts w:hint="eastAsia" w:eastAsia="楷体_GB2312"/>
                <w:bCs/>
                <w:sz w:val="28"/>
                <w:szCs w:val="28"/>
              </w:rPr>
              <w:t>谋划建设康南职业技术实训基地。</w:t>
            </w:r>
          </w:p>
          <w:p w14:paraId="5266A655">
            <w:pPr>
              <w:snapToGrid w:val="0"/>
              <w:spacing w:line="440" w:lineRule="exact"/>
              <w:ind w:firstLine="562" w:firstLineChars="200"/>
              <w:rPr>
                <w:rFonts w:eastAsia="楷体_GB2312"/>
                <w:bCs/>
                <w:sz w:val="28"/>
                <w:szCs w:val="28"/>
              </w:rPr>
            </w:pPr>
            <w:r>
              <w:rPr>
                <w:rFonts w:hint="eastAsia" w:eastAsia="楷体_GB2312"/>
                <w:b/>
                <w:sz w:val="28"/>
                <w:szCs w:val="28"/>
              </w:rPr>
              <w:t>3.教师队伍建设工程。</w:t>
            </w:r>
            <w:r>
              <w:rPr>
                <w:rFonts w:hint="eastAsia" w:eastAsia="楷体_GB2312"/>
                <w:bCs/>
                <w:sz w:val="28"/>
                <w:szCs w:val="28"/>
              </w:rPr>
              <w:t>实施优师共享计划、民族地区教育发展优秀教师精准帮培计划，每年开展各级各类教师培训300人次。加快康南教师发展培训中心建设。加强骨干教师队伍建设，建立一支能力强、素质高的教研队伍。推进教师周转房建设。</w:t>
            </w:r>
          </w:p>
          <w:p w14:paraId="26057400">
            <w:pPr>
              <w:snapToGrid w:val="0"/>
              <w:spacing w:line="440" w:lineRule="exact"/>
              <w:ind w:firstLine="562" w:firstLineChars="200"/>
              <w:rPr>
                <w:rFonts w:eastAsia="楷体_GB2312"/>
                <w:bCs/>
                <w:sz w:val="28"/>
                <w:szCs w:val="28"/>
              </w:rPr>
            </w:pPr>
            <w:r>
              <w:rPr>
                <w:rFonts w:hint="eastAsia" w:eastAsia="楷体_GB2312"/>
                <w:b/>
                <w:bCs/>
                <w:sz w:val="28"/>
                <w:szCs w:val="28"/>
              </w:rPr>
              <w:t>4.教育信息化工程</w:t>
            </w:r>
            <w:r>
              <w:rPr>
                <w:rFonts w:hint="eastAsia" w:eastAsia="楷体_GB2312"/>
                <w:bCs/>
                <w:sz w:val="28"/>
                <w:szCs w:val="28"/>
              </w:rPr>
              <w:t>。加快理塘县教育数字化中心建设，更新改造全县中小学数字化设备，实施“网链共享行动计划”，建设网链联盟。</w:t>
            </w:r>
          </w:p>
          <w:p w14:paraId="479F6F5B">
            <w:pPr>
              <w:snapToGrid w:val="0"/>
              <w:spacing w:line="440" w:lineRule="exact"/>
              <w:ind w:firstLine="562" w:firstLineChars="200"/>
              <w:rPr>
                <w:rFonts w:eastAsia="楷体_GB2312"/>
                <w:color w:val="000000"/>
                <w:sz w:val="28"/>
                <w:szCs w:val="28"/>
              </w:rPr>
            </w:pPr>
            <w:r>
              <w:rPr>
                <w:rFonts w:hint="eastAsia" w:eastAsia="楷体_GB2312"/>
                <w:b/>
                <w:bCs/>
                <w:sz w:val="28"/>
                <w:szCs w:val="28"/>
              </w:rPr>
              <w:t>5.书香型社会建设</w:t>
            </w:r>
            <w:r>
              <w:rPr>
                <w:rFonts w:hint="eastAsia" w:eastAsia="楷体_GB2312"/>
                <w:bCs/>
                <w:sz w:val="28"/>
                <w:szCs w:val="28"/>
              </w:rPr>
              <w:t>。推动全民终生教育体系建设。</w:t>
            </w:r>
          </w:p>
        </w:tc>
      </w:tr>
      <w:bookmarkEnd w:id="547"/>
      <w:bookmarkEnd w:id="548"/>
    </w:tbl>
    <w:p w14:paraId="38844A71">
      <w:pPr>
        <w:widowControl/>
        <w:spacing w:before="156" w:beforeLines="50" w:after="156" w:afterLines="50" w:line="580" w:lineRule="exact"/>
        <w:jc w:val="center"/>
        <w:outlineLvl w:val="1"/>
        <w:rPr>
          <w:rFonts w:eastAsia="黑体"/>
          <w:bCs/>
          <w:color w:val="000000"/>
          <w:kern w:val="0"/>
          <w:sz w:val="32"/>
          <w:szCs w:val="32"/>
        </w:rPr>
      </w:pPr>
      <w:bookmarkStart w:id="549" w:name="_Toc218241135"/>
      <w:bookmarkStart w:id="550" w:name="_Toc214372655"/>
      <w:bookmarkStart w:id="551" w:name="_Toc212814847"/>
      <w:bookmarkStart w:id="552" w:name="_Toc14183"/>
      <w:bookmarkStart w:id="553" w:name="_Toc883"/>
      <w:r>
        <w:rPr>
          <w:rFonts w:hint="eastAsia" w:eastAsia="黑体"/>
          <w:bCs/>
          <w:color w:val="000000"/>
          <w:kern w:val="0"/>
          <w:sz w:val="32"/>
          <w:szCs w:val="32"/>
        </w:rPr>
        <w:t>第二十四章  打造</w:t>
      </w:r>
      <w:bookmarkStart w:id="554" w:name="OLE_LINK124"/>
      <w:bookmarkStart w:id="555" w:name="OLE_LINK125"/>
      <w:r>
        <w:rPr>
          <w:rFonts w:hint="eastAsia" w:eastAsia="黑体"/>
          <w:bCs/>
          <w:color w:val="000000"/>
          <w:kern w:val="0"/>
          <w:sz w:val="32"/>
          <w:szCs w:val="32"/>
        </w:rPr>
        <w:t>州域副中心（康南）医疗中心</w:t>
      </w:r>
      <w:bookmarkEnd w:id="549"/>
      <w:bookmarkEnd w:id="550"/>
      <w:bookmarkEnd w:id="551"/>
      <w:bookmarkEnd w:id="552"/>
      <w:bookmarkEnd w:id="553"/>
      <w:bookmarkEnd w:id="554"/>
      <w:bookmarkEnd w:id="555"/>
    </w:p>
    <w:p w14:paraId="3E44DB10">
      <w:pPr>
        <w:pStyle w:val="15"/>
        <w:numPr>
          <w:ilvl w:val="0"/>
          <w:numId w:val="23"/>
        </w:numPr>
        <w:spacing w:before="156" w:beforeLines="50" w:after="156" w:afterLines="50" w:line="580" w:lineRule="exact"/>
        <w:ind w:left="1080" w:hanging="1080" w:firstLineChars="0"/>
        <w:jc w:val="center"/>
        <w:outlineLvl w:val="2"/>
        <w:rPr>
          <w:rFonts w:eastAsia="楷体_GB2312"/>
          <w:b/>
          <w:color w:val="000000"/>
          <w:kern w:val="0"/>
          <w:sz w:val="32"/>
          <w:szCs w:val="32"/>
        </w:rPr>
      </w:pPr>
      <w:bookmarkStart w:id="556" w:name="_Toc1668"/>
      <w:bookmarkStart w:id="557" w:name="OLE_LINK196"/>
      <w:r>
        <w:rPr>
          <w:rFonts w:hint="eastAsia" w:eastAsia="楷体_GB2312"/>
          <w:b/>
          <w:color w:val="000000"/>
          <w:kern w:val="0"/>
          <w:sz w:val="32"/>
          <w:szCs w:val="32"/>
        </w:rPr>
        <w:t xml:space="preserve"> </w:t>
      </w:r>
      <w:bookmarkStart w:id="558" w:name="_Toc218241136"/>
      <w:r>
        <w:rPr>
          <w:rFonts w:hint="eastAsia" w:eastAsia="楷体_GB2312"/>
          <w:b/>
          <w:color w:val="000000"/>
          <w:kern w:val="0"/>
          <w:sz w:val="32"/>
          <w:szCs w:val="32"/>
        </w:rPr>
        <w:t>重塑医疗卫生服务体系</w:t>
      </w:r>
      <w:bookmarkEnd w:id="556"/>
      <w:bookmarkEnd w:id="558"/>
    </w:p>
    <w:p w14:paraId="6627C0B3">
      <w:pPr>
        <w:spacing w:line="580" w:lineRule="exact"/>
        <w:ind w:firstLine="640" w:firstLineChars="200"/>
        <w:jc w:val="left"/>
        <w:rPr>
          <w:rFonts w:eastAsia="仿宋_GB2312"/>
          <w:sz w:val="32"/>
          <w:szCs w:val="32"/>
        </w:rPr>
      </w:pPr>
      <w:r>
        <w:rPr>
          <w:rFonts w:hint="eastAsia" w:eastAsia="仿宋_GB2312"/>
          <w:sz w:val="32"/>
          <w:szCs w:val="32"/>
        </w:rPr>
        <w:t>持续实施</w:t>
      </w:r>
      <w:r>
        <w:rPr>
          <w:rFonts w:eastAsia="仿宋_GB2312"/>
          <w:sz w:val="32"/>
          <w:szCs w:val="32"/>
        </w:rPr>
        <w:t>“</w:t>
      </w:r>
      <w:r>
        <w:rPr>
          <w:rFonts w:hint="eastAsia" w:eastAsia="仿宋_GB2312"/>
          <w:sz w:val="32"/>
          <w:szCs w:val="32"/>
        </w:rPr>
        <w:t>健康理塘</w:t>
      </w:r>
      <w:r>
        <w:rPr>
          <w:rFonts w:eastAsia="仿宋_GB2312"/>
          <w:sz w:val="32"/>
          <w:szCs w:val="32"/>
        </w:rPr>
        <w:t>2030”</w:t>
      </w:r>
      <w:r>
        <w:rPr>
          <w:rFonts w:hint="eastAsia" w:eastAsia="仿宋_GB2312"/>
          <w:sz w:val="32"/>
          <w:szCs w:val="32"/>
        </w:rPr>
        <w:t>卫生事业跨越发展计划，</w:t>
      </w:r>
      <w:r>
        <w:rPr>
          <w:rFonts w:eastAsia="仿宋_GB2312"/>
          <w:sz w:val="32"/>
          <w:szCs w:val="32"/>
        </w:rPr>
        <w:t>以紧密型县域医共体建设整合优化资源系统，推进县人民医院三级医院创建工作，</w:t>
      </w:r>
      <w:r>
        <w:rPr>
          <w:rFonts w:hint="eastAsia" w:eastAsia="仿宋_GB2312"/>
          <w:sz w:val="32"/>
          <w:szCs w:val="32"/>
        </w:rPr>
        <w:t>统筹推进巡回诊疗、县域次中心建设，加快建设分级诊疗体系，打造州带县连乡镇</w:t>
      </w:r>
      <w:r>
        <w:rPr>
          <w:rFonts w:eastAsia="仿宋_GB2312"/>
          <w:sz w:val="32"/>
          <w:szCs w:val="32"/>
        </w:rPr>
        <w:t>“1+2+N”</w:t>
      </w:r>
      <w:r>
        <w:rPr>
          <w:rFonts w:hint="eastAsia" w:eastAsia="仿宋_GB2312"/>
          <w:sz w:val="32"/>
          <w:szCs w:val="32"/>
        </w:rPr>
        <w:t>紧密型医联体。</w:t>
      </w:r>
      <w:r>
        <w:rPr>
          <w:rFonts w:eastAsia="仿宋_GB2312"/>
          <w:sz w:val="32"/>
          <w:szCs w:val="32"/>
        </w:rPr>
        <w:t>积极争取建设康南应急医疗救援指挥中心、医疗物资储备中心</w:t>
      </w:r>
      <w:r>
        <w:rPr>
          <w:rFonts w:hint="eastAsia" w:eastAsia="仿宋_GB2312"/>
          <w:sz w:val="32"/>
          <w:szCs w:val="32"/>
        </w:rPr>
        <w:t>和康南医疗急救中心，</w:t>
      </w:r>
      <w:r>
        <w:rPr>
          <w:rFonts w:eastAsia="仿宋_GB2312"/>
          <w:sz w:val="32"/>
          <w:szCs w:val="32"/>
        </w:rPr>
        <w:t>加快州域医疗副中心（康南医疗集中区）建设，推动县人民医院达到国家县医院医疗服务能力推荐标准。强化乡镇卫生院枢纽作用，持续推进乡镇医疗卫生机构标准化建设和设备提档升级，补齐医疗卫生领域短板。积极打造智慧医院，实现优质医疗资源下沉和线上线下相融合的一体化服务。</w:t>
      </w:r>
    </w:p>
    <w:p w14:paraId="680400F8">
      <w:pPr>
        <w:pStyle w:val="15"/>
        <w:numPr>
          <w:ilvl w:val="0"/>
          <w:numId w:val="23"/>
        </w:numPr>
        <w:spacing w:before="156" w:beforeLines="50" w:after="156" w:afterLines="50" w:line="580" w:lineRule="exact"/>
        <w:ind w:left="1080" w:hanging="1080" w:firstLineChars="0"/>
        <w:jc w:val="center"/>
        <w:outlineLvl w:val="2"/>
        <w:rPr>
          <w:rFonts w:eastAsia="楷体_GB2312"/>
          <w:b/>
          <w:color w:val="000000"/>
          <w:kern w:val="0"/>
          <w:sz w:val="32"/>
          <w:szCs w:val="32"/>
        </w:rPr>
      </w:pPr>
      <w:bookmarkStart w:id="559" w:name="_Toc14508"/>
      <w:r>
        <w:rPr>
          <w:rFonts w:hint="eastAsia" w:eastAsia="楷体_GB2312"/>
          <w:b/>
          <w:color w:val="000000"/>
          <w:kern w:val="0"/>
          <w:sz w:val="32"/>
          <w:szCs w:val="32"/>
        </w:rPr>
        <w:t xml:space="preserve"> </w:t>
      </w:r>
      <w:bookmarkStart w:id="560" w:name="_Toc218241137"/>
      <w:r>
        <w:rPr>
          <w:rFonts w:hint="eastAsia" w:eastAsia="楷体_GB2312"/>
          <w:b/>
          <w:color w:val="000000"/>
          <w:kern w:val="0"/>
          <w:sz w:val="32"/>
          <w:szCs w:val="32"/>
        </w:rPr>
        <w:t>加快精准高效学科建设</w:t>
      </w:r>
      <w:bookmarkEnd w:id="559"/>
      <w:bookmarkEnd w:id="560"/>
    </w:p>
    <w:p w14:paraId="3F592E35">
      <w:pPr>
        <w:spacing w:line="580" w:lineRule="exact"/>
        <w:ind w:firstLine="640" w:firstLineChars="200"/>
        <w:jc w:val="left"/>
        <w:rPr>
          <w:rFonts w:eastAsia="仿宋_GB2312"/>
          <w:sz w:val="32"/>
          <w:szCs w:val="32"/>
        </w:rPr>
      </w:pPr>
      <w:r>
        <w:rPr>
          <w:rFonts w:eastAsia="仿宋_GB2312"/>
          <w:sz w:val="32"/>
          <w:szCs w:val="32"/>
        </w:rPr>
        <w:t>大力推进重点学科建设专项计划，积极创建省级重点专科、州级重点专科、专科联盟</w:t>
      </w:r>
      <w:r>
        <w:rPr>
          <w:rFonts w:hint="eastAsia" w:eastAsia="仿宋_GB2312"/>
          <w:sz w:val="32"/>
          <w:szCs w:val="32"/>
        </w:rPr>
        <w:t>，提升州域副中心（康南）医疗中心影响力</w:t>
      </w:r>
      <w:r>
        <w:rPr>
          <w:rFonts w:eastAsia="仿宋_GB2312"/>
          <w:sz w:val="32"/>
          <w:szCs w:val="32"/>
        </w:rPr>
        <w:t>。支持县藏医院创建三级民族医院，强化康复、骨伤、针灸等重点专科建设。推进“四川大学华西医院高原医学中心理塘现场研究基地”建设合作，全面提升学科建设质效。依托县医院、藏医院与甘孜州卫校理塘教学点，围绕高原常见病、多发病防治和藏药制剂研发，建设临床医学与藏医药交叉学科</w:t>
      </w:r>
      <w:r>
        <w:rPr>
          <w:rFonts w:hint="eastAsia" w:eastAsia="仿宋_GB2312"/>
          <w:sz w:val="32"/>
          <w:szCs w:val="32"/>
        </w:rPr>
        <w:t>，支持</w:t>
      </w:r>
      <w:r>
        <w:rPr>
          <w:rFonts w:eastAsia="仿宋_GB2312"/>
          <w:sz w:val="32"/>
          <w:szCs w:val="32"/>
        </w:rPr>
        <w:t>县医院创建高原医学重点专科</w:t>
      </w:r>
      <w:r>
        <w:rPr>
          <w:rFonts w:hint="eastAsia" w:eastAsia="仿宋_GB2312"/>
          <w:sz w:val="32"/>
          <w:szCs w:val="32"/>
        </w:rPr>
        <w:t>。</w:t>
      </w:r>
      <w:r>
        <w:rPr>
          <w:rFonts w:eastAsia="仿宋_GB2312"/>
          <w:sz w:val="32"/>
          <w:szCs w:val="32"/>
        </w:rPr>
        <w:t>强化骨干医生培养，培养出一批有实力、有影响力的学科带头人。</w:t>
      </w:r>
    </w:p>
    <w:p w14:paraId="39BE81F6">
      <w:pPr>
        <w:pStyle w:val="15"/>
        <w:numPr>
          <w:ilvl w:val="0"/>
          <w:numId w:val="23"/>
        </w:numPr>
        <w:spacing w:before="156" w:beforeLines="50" w:after="156" w:afterLines="50" w:line="580" w:lineRule="exact"/>
        <w:ind w:left="1080" w:hanging="1080" w:firstLineChars="0"/>
        <w:jc w:val="center"/>
        <w:outlineLvl w:val="2"/>
        <w:rPr>
          <w:rFonts w:eastAsia="楷体_GB2312"/>
          <w:b/>
          <w:color w:val="000000"/>
          <w:kern w:val="0"/>
          <w:sz w:val="32"/>
          <w:szCs w:val="32"/>
        </w:rPr>
      </w:pPr>
      <w:bookmarkStart w:id="561" w:name="_Toc24678"/>
      <w:r>
        <w:rPr>
          <w:rFonts w:hint="eastAsia" w:eastAsia="楷体_GB2312"/>
          <w:b/>
          <w:color w:val="000000"/>
          <w:kern w:val="0"/>
          <w:sz w:val="32"/>
          <w:szCs w:val="32"/>
        </w:rPr>
        <w:t xml:space="preserve"> </w:t>
      </w:r>
      <w:bookmarkStart w:id="562" w:name="_Toc218241138"/>
      <w:r>
        <w:rPr>
          <w:rFonts w:hint="eastAsia" w:eastAsia="楷体_GB2312"/>
          <w:b/>
          <w:color w:val="000000"/>
          <w:kern w:val="0"/>
          <w:sz w:val="32"/>
          <w:szCs w:val="32"/>
        </w:rPr>
        <w:t>提升公共卫生服务水平</w:t>
      </w:r>
      <w:bookmarkEnd w:id="561"/>
      <w:bookmarkEnd w:id="562"/>
    </w:p>
    <w:p w14:paraId="2B3451CE">
      <w:pPr>
        <w:spacing w:line="580" w:lineRule="exact"/>
        <w:ind w:firstLine="640" w:firstLineChars="200"/>
        <w:jc w:val="left"/>
        <w:rPr>
          <w:rFonts w:eastAsia="仿宋_GB2312"/>
          <w:sz w:val="32"/>
          <w:szCs w:val="32"/>
        </w:rPr>
      </w:pPr>
      <w:r>
        <w:rPr>
          <w:rFonts w:eastAsia="仿宋_GB2312"/>
          <w:sz w:val="32"/>
          <w:szCs w:val="32"/>
        </w:rPr>
        <w:t>完善公共卫生服务体系，</w:t>
      </w:r>
      <w:r>
        <w:rPr>
          <w:rFonts w:hint="eastAsia" w:eastAsia="仿宋_GB2312"/>
          <w:sz w:val="32"/>
          <w:szCs w:val="32"/>
        </w:rPr>
        <w:t>支</w:t>
      </w:r>
      <w:r>
        <w:rPr>
          <w:rFonts w:eastAsia="仿宋_GB2312"/>
          <w:sz w:val="32"/>
          <w:szCs w:val="32"/>
        </w:rPr>
        <w:t>持县疾控机构达到“二甲”标准，建立政府主导、多部门联动协同的公共卫生应急机制。一体推进肺结核综合防治集中攻坚，加强包虫病</w:t>
      </w:r>
      <w:r>
        <w:rPr>
          <w:rFonts w:hint="eastAsia" w:eastAsia="仿宋_GB2312"/>
          <w:sz w:val="32"/>
          <w:szCs w:val="32"/>
        </w:rPr>
        <w:t>、</w:t>
      </w:r>
      <w:r>
        <w:rPr>
          <w:rFonts w:eastAsia="仿宋_GB2312"/>
          <w:sz w:val="32"/>
          <w:szCs w:val="32"/>
        </w:rPr>
        <w:t>艾滋病</w:t>
      </w:r>
      <w:r>
        <w:rPr>
          <w:rFonts w:hint="eastAsia" w:eastAsia="仿宋_GB2312"/>
          <w:sz w:val="32"/>
          <w:szCs w:val="32"/>
        </w:rPr>
        <w:t>、</w:t>
      </w:r>
      <w:r>
        <w:rPr>
          <w:rFonts w:eastAsia="仿宋_GB2312"/>
          <w:sz w:val="32"/>
          <w:szCs w:val="32"/>
        </w:rPr>
        <w:t>鼠疫防控等重大传染病防控。加强慢性病综合防治，依托家庭医生签约服务，健全县乡村三级责任包保体系。完善传染病疫情和突发公共卫生事件救治体系，加快急诊急救“五大中心”建设，提高应对突发公共卫生事件的应急救援能力。</w:t>
      </w:r>
      <w:r>
        <w:rPr>
          <w:rFonts w:hint="eastAsia" w:eastAsia="仿宋_GB2312"/>
          <w:sz w:val="32"/>
          <w:szCs w:val="32"/>
        </w:rPr>
        <w:t>提升</w:t>
      </w:r>
      <w:r>
        <w:rPr>
          <w:rFonts w:hint="eastAsia" w:eastAsia="仿宋_GB2312"/>
          <w:spacing w:val="-6"/>
          <w:sz w:val="32"/>
          <w:szCs w:val="32"/>
        </w:rPr>
        <w:t>卫生监督执法能力，强化医防协同，健全基层公共卫生管理机制。加强公共卫生队伍建设，引进培育复合型公共卫生人才。</w:t>
      </w:r>
    </w:p>
    <w:p w14:paraId="30B28039">
      <w:pPr>
        <w:pStyle w:val="15"/>
        <w:numPr>
          <w:ilvl w:val="0"/>
          <w:numId w:val="23"/>
        </w:numPr>
        <w:spacing w:before="156" w:beforeLines="50" w:after="156" w:afterLines="50" w:line="580" w:lineRule="exact"/>
        <w:ind w:left="1080" w:hanging="1080" w:firstLineChars="0"/>
        <w:jc w:val="center"/>
        <w:outlineLvl w:val="2"/>
        <w:rPr>
          <w:rFonts w:eastAsia="楷体_GB2312"/>
          <w:b/>
          <w:color w:val="000000"/>
          <w:kern w:val="0"/>
          <w:sz w:val="32"/>
          <w:szCs w:val="32"/>
        </w:rPr>
      </w:pPr>
      <w:bookmarkStart w:id="563" w:name="_Toc6292"/>
      <w:r>
        <w:rPr>
          <w:rFonts w:hint="eastAsia" w:eastAsia="楷体_GB2312"/>
          <w:b/>
          <w:color w:val="000000"/>
          <w:kern w:val="0"/>
          <w:sz w:val="32"/>
          <w:szCs w:val="32"/>
        </w:rPr>
        <w:t xml:space="preserve"> </w:t>
      </w:r>
      <w:bookmarkStart w:id="564" w:name="_Toc218241139"/>
      <w:r>
        <w:rPr>
          <w:rFonts w:hint="eastAsia" w:eastAsia="楷体_GB2312"/>
          <w:b/>
          <w:color w:val="000000"/>
          <w:kern w:val="0"/>
          <w:sz w:val="32"/>
          <w:szCs w:val="32"/>
        </w:rPr>
        <w:t>推动中藏医药传承创新发展</w:t>
      </w:r>
      <w:bookmarkEnd w:id="563"/>
      <w:bookmarkEnd w:id="564"/>
    </w:p>
    <w:p w14:paraId="2C1E4554">
      <w:pPr>
        <w:spacing w:line="580" w:lineRule="exact"/>
        <w:ind w:firstLine="640" w:firstLineChars="200"/>
        <w:jc w:val="left"/>
        <w:rPr>
          <w:rFonts w:eastAsia="仿宋_GB2312"/>
          <w:sz w:val="32"/>
          <w:szCs w:val="32"/>
        </w:rPr>
      </w:pPr>
      <w:r>
        <w:rPr>
          <w:rFonts w:eastAsia="仿宋_GB2312"/>
          <w:sz w:val="32"/>
          <w:szCs w:val="32"/>
        </w:rPr>
        <w:t>完善县、乡、村三级中藏医药服务体系，以县级藏医医院标准化建设为引领，</w:t>
      </w:r>
      <w:r>
        <w:rPr>
          <w:rFonts w:hint="eastAsia" w:eastAsia="仿宋_GB2312"/>
          <w:sz w:val="32"/>
          <w:szCs w:val="32"/>
        </w:rPr>
        <w:t>推动藏医药服务向乡镇卫生院、社区卫生服务中心、村卫生室全覆盖，</w:t>
      </w:r>
      <w:r>
        <w:rPr>
          <w:rFonts w:eastAsia="仿宋_GB2312"/>
          <w:sz w:val="32"/>
          <w:szCs w:val="32"/>
        </w:rPr>
        <w:t>提升基层中藏医药服务的可及性。加大中藏医药科技研发，加大藏医药经方、验方和保健品开发支持力度</w:t>
      </w:r>
      <w:r>
        <w:rPr>
          <w:rFonts w:hint="eastAsia" w:eastAsia="仿宋_GB2312"/>
          <w:sz w:val="32"/>
          <w:szCs w:val="32"/>
        </w:rPr>
        <w:t>，</w:t>
      </w:r>
      <w:r>
        <w:rPr>
          <w:rFonts w:eastAsia="仿宋_GB2312"/>
          <w:sz w:val="32"/>
          <w:szCs w:val="32"/>
        </w:rPr>
        <w:t>推动常用藏药制剂标准化生产</w:t>
      </w:r>
      <w:r>
        <w:rPr>
          <w:rFonts w:hint="eastAsia" w:eastAsia="仿宋_GB2312"/>
          <w:sz w:val="32"/>
          <w:szCs w:val="32"/>
        </w:rPr>
        <w:t>，</w:t>
      </w:r>
      <w:r>
        <w:rPr>
          <w:rFonts w:eastAsia="仿宋_GB2312"/>
          <w:sz w:val="32"/>
          <w:szCs w:val="32"/>
        </w:rPr>
        <w:t>加强中藏医传统疗法传承创新。推动藏医药与现代医学融合发展，探索藏医药在治未病、慢性病、重大疾病等方面的应用。加强中藏医药人才培养，强化基层人才供给与培训。</w:t>
      </w:r>
    </w:p>
    <w:p w14:paraId="42754211">
      <w:pPr>
        <w:pStyle w:val="15"/>
        <w:numPr>
          <w:ilvl w:val="0"/>
          <w:numId w:val="23"/>
        </w:numPr>
        <w:spacing w:before="156" w:beforeLines="50" w:after="156" w:afterLines="50" w:line="580" w:lineRule="exact"/>
        <w:ind w:left="1080" w:hanging="1080" w:firstLineChars="0"/>
        <w:jc w:val="center"/>
        <w:outlineLvl w:val="2"/>
        <w:rPr>
          <w:rFonts w:eastAsia="楷体_GB2312"/>
          <w:b/>
          <w:color w:val="000000"/>
          <w:kern w:val="0"/>
          <w:sz w:val="32"/>
          <w:szCs w:val="32"/>
        </w:rPr>
      </w:pPr>
      <w:bookmarkStart w:id="565" w:name="_Toc25642"/>
      <w:r>
        <w:rPr>
          <w:rFonts w:hint="eastAsia" w:eastAsia="楷体_GB2312"/>
          <w:b/>
          <w:color w:val="000000"/>
          <w:kern w:val="0"/>
          <w:sz w:val="32"/>
          <w:szCs w:val="32"/>
        </w:rPr>
        <w:t xml:space="preserve"> </w:t>
      </w:r>
      <w:bookmarkStart w:id="566" w:name="_Toc218241140"/>
      <w:r>
        <w:rPr>
          <w:rFonts w:hint="eastAsia" w:eastAsia="楷体_GB2312"/>
          <w:b/>
          <w:color w:val="000000"/>
          <w:kern w:val="0"/>
          <w:sz w:val="32"/>
          <w:szCs w:val="32"/>
        </w:rPr>
        <w:t>全力提高居民健康水平</w:t>
      </w:r>
      <w:bookmarkEnd w:id="565"/>
      <w:bookmarkEnd w:id="566"/>
    </w:p>
    <w:p w14:paraId="1ABD6AC3">
      <w:pPr>
        <w:spacing w:line="580" w:lineRule="exact"/>
        <w:ind w:firstLine="640" w:firstLineChars="200"/>
        <w:rPr>
          <w:rFonts w:eastAsia="仿宋_GB2312"/>
          <w:sz w:val="32"/>
          <w:szCs w:val="32"/>
        </w:rPr>
      </w:pPr>
      <w:r>
        <w:rPr>
          <w:rFonts w:hint="eastAsia" w:eastAsia="仿宋_GB2312"/>
          <w:sz w:val="32"/>
          <w:szCs w:val="32"/>
        </w:rPr>
        <w:t>大力实施理塘健康创新发展行动，落实全民体检</w:t>
      </w:r>
      <w:bookmarkStart w:id="567" w:name="OLE_LINK155"/>
      <w:r>
        <w:rPr>
          <w:rFonts w:hint="eastAsia" w:eastAsia="仿宋_GB2312"/>
          <w:sz w:val="32"/>
          <w:szCs w:val="32"/>
        </w:rPr>
        <w:t>、全民参保</w:t>
      </w:r>
      <w:bookmarkEnd w:id="567"/>
      <w:r>
        <w:rPr>
          <w:rFonts w:hint="eastAsia" w:eastAsia="仿宋_GB2312"/>
          <w:sz w:val="32"/>
          <w:szCs w:val="32"/>
        </w:rPr>
        <w:t>，改善就医体验，加快推进健康村（社区）、健康单位、健康学校、健康家庭等建设。实施全民健身战略，加速构建城市社区15分钟健身圈，加大健康步</w:t>
      </w:r>
      <w:r>
        <w:rPr>
          <w:rFonts w:hint="eastAsia" w:eastAsia="仿宋_GB2312"/>
          <w:spacing w:val="-6"/>
          <w:sz w:val="32"/>
          <w:szCs w:val="32"/>
        </w:rPr>
        <w:t>道、全民健身中心、乡镇多功能运动场等公共体育设施建设，争取落地实施理塘体育公园项目。加强全民健康知识宣传，倡导健康文明生活方式。</w:t>
      </w:r>
    </w:p>
    <w:p w14:paraId="2ED2F06F">
      <w:pPr>
        <w:pStyle w:val="15"/>
        <w:numPr>
          <w:ilvl w:val="0"/>
          <w:numId w:val="23"/>
        </w:numPr>
        <w:spacing w:before="156" w:beforeLines="50" w:after="156" w:afterLines="50" w:line="580" w:lineRule="exact"/>
        <w:ind w:left="1080" w:hanging="1080" w:firstLineChars="0"/>
        <w:jc w:val="center"/>
        <w:outlineLvl w:val="2"/>
        <w:rPr>
          <w:rFonts w:eastAsia="楷体_GB2312"/>
          <w:b/>
          <w:color w:val="000000"/>
          <w:kern w:val="0"/>
          <w:sz w:val="32"/>
          <w:szCs w:val="32"/>
        </w:rPr>
      </w:pPr>
      <w:bookmarkStart w:id="568" w:name="_Toc24185"/>
      <w:r>
        <w:rPr>
          <w:rFonts w:hint="eastAsia" w:eastAsia="楷体_GB2312"/>
          <w:b/>
          <w:color w:val="000000"/>
          <w:kern w:val="0"/>
          <w:sz w:val="32"/>
          <w:szCs w:val="32"/>
        </w:rPr>
        <w:t xml:space="preserve"> </w:t>
      </w:r>
      <w:bookmarkStart w:id="569" w:name="_Toc218241141"/>
      <w:r>
        <w:rPr>
          <w:rFonts w:hint="eastAsia" w:eastAsia="楷体_GB2312"/>
          <w:b/>
          <w:color w:val="000000"/>
          <w:kern w:val="0"/>
          <w:sz w:val="32"/>
          <w:szCs w:val="32"/>
        </w:rPr>
        <w:t>扎实推进医康养协同发展</w:t>
      </w:r>
      <w:bookmarkEnd w:id="568"/>
      <w:bookmarkEnd w:id="569"/>
    </w:p>
    <w:p w14:paraId="0D4DB5DB">
      <w:pPr>
        <w:spacing w:line="580" w:lineRule="exact"/>
        <w:ind w:firstLine="640" w:firstLineChars="200"/>
        <w:jc w:val="left"/>
        <w:rPr>
          <w:rFonts w:eastAsia="仿宋_GB2312"/>
          <w:sz w:val="32"/>
          <w:szCs w:val="32"/>
        </w:rPr>
      </w:pPr>
      <w:r>
        <w:rPr>
          <w:rFonts w:eastAsia="仿宋_GB2312"/>
          <w:sz w:val="32"/>
          <w:szCs w:val="32"/>
        </w:rPr>
        <w:t>做强理塘医康养结合品牌，引进藏医药专家团队、完善县域医疗机构、养老机构协作，大力发展高原康养、草原休闲康养、骑行康养、旅居疗愈、游牧体验等业态</w:t>
      </w:r>
      <w:r>
        <w:rPr>
          <w:rFonts w:hint="eastAsia" w:eastAsia="仿宋_GB2312"/>
          <w:sz w:val="32"/>
          <w:szCs w:val="32"/>
        </w:rPr>
        <w:t>。</w:t>
      </w:r>
      <w:r>
        <w:rPr>
          <w:rFonts w:eastAsia="仿宋_GB2312"/>
          <w:sz w:val="32"/>
          <w:szCs w:val="32"/>
        </w:rPr>
        <w:t>加快康南中心甲洼绿色康养产业项目落地，谋划建设“医、产、研、养”于一体的州域副中心康南医养小镇</w:t>
      </w:r>
      <w:r>
        <w:rPr>
          <w:rFonts w:hint="eastAsia" w:eastAsia="仿宋_GB2312"/>
          <w:sz w:val="32"/>
          <w:szCs w:val="32"/>
        </w:rPr>
        <w:t>。</w:t>
      </w:r>
      <w:r>
        <w:rPr>
          <w:rFonts w:eastAsia="仿宋_GB2312"/>
          <w:sz w:val="32"/>
          <w:szCs w:val="32"/>
        </w:rPr>
        <w:t>开发藏医药特色康养与药食同源产品，丰富“康医养+”服务供给。</w:t>
      </w:r>
    </w:p>
    <w:p w14:paraId="005F72DA">
      <w:pPr>
        <w:pStyle w:val="2"/>
      </w:pPr>
    </w:p>
    <w:tbl>
      <w:tblPr>
        <w:tblStyle w:val="11"/>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21D61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2" w:hRule="atLeast"/>
          <w:jc w:val="center"/>
        </w:trPr>
        <w:tc>
          <w:tcPr>
            <w:tcW w:w="5000" w:type="pct"/>
            <w:tcBorders>
              <w:top w:val="single" w:color="auto" w:sz="4" w:space="0"/>
              <w:left w:val="single" w:color="auto" w:sz="4" w:space="0"/>
              <w:bottom w:val="single" w:color="auto" w:sz="4" w:space="0"/>
              <w:right w:val="single" w:color="auto" w:sz="4" w:space="0"/>
            </w:tcBorders>
          </w:tcPr>
          <w:p w14:paraId="793CC792">
            <w:pPr>
              <w:pStyle w:val="10"/>
              <w:snapToGrid w:val="0"/>
              <w:spacing w:before="156" w:beforeLines="50" w:after="156" w:afterLines="50" w:line="440" w:lineRule="exact"/>
              <w:ind w:left="0" w:leftChars="0" w:firstLine="643" w:firstLineChars="0"/>
              <w:jc w:val="center"/>
              <w:rPr>
                <w:rFonts w:eastAsia="楷体_GB2312"/>
                <w:b/>
                <w:sz w:val="32"/>
                <w:szCs w:val="32"/>
              </w:rPr>
            </w:pPr>
            <w:bookmarkStart w:id="570" w:name="OLE_LINK206"/>
            <w:bookmarkStart w:id="571" w:name="OLE_LINK203"/>
            <w:r>
              <w:rPr>
                <w:rFonts w:hint="eastAsia" w:ascii="Times New Roman" w:hAnsi="Times New Roman" w:eastAsia="楷体_GB2312" w:cs="Times New Roman"/>
                <w:b/>
                <w:sz w:val="28"/>
                <w:szCs w:val="28"/>
              </w:rPr>
              <w:t>专栏30  “十五五”时期健康理塘建设重点工程</w:t>
            </w:r>
          </w:p>
        </w:tc>
      </w:tr>
      <w:tr w14:paraId="3862F9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tcBorders>
              <w:top w:val="single" w:color="auto" w:sz="4" w:space="0"/>
              <w:left w:val="single" w:color="auto" w:sz="4" w:space="0"/>
              <w:bottom w:val="single" w:color="auto" w:sz="4" w:space="0"/>
              <w:right w:val="single" w:color="auto" w:sz="4" w:space="0"/>
            </w:tcBorders>
          </w:tcPr>
          <w:p w14:paraId="2680D804">
            <w:pPr>
              <w:snapToGrid w:val="0"/>
              <w:spacing w:line="440" w:lineRule="exact"/>
              <w:ind w:firstLine="538" w:firstLineChars="200"/>
              <w:rPr>
                <w:rFonts w:eastAsia="楷体_GB2312"/>
                <w:bCs/>
                <w:color w:val="FF0000"/>
                <w:sz w:val="28"/>
                <w:szCs w:val="28"/>
              </w:rPr>
            </w:pPr>
            <w:r>
              <w:rPr>
                <w:rFonts w:hint="eastAsia" w:eastAsia="楷体_GB2312"/>
                <w:b/>
                <w:bCs/>
                <w:color w:val="000000"/>
                <w:spacing w:val="-6"/>
                <w:sz w:val="28"/>
                <w:szCs w:val="28"/>
              </w:rPr>
              <w:t>1.医疗卫生能力提升工程。</w:t>
            </w:r>
            <w:r>
              <w:rPr>
                <w:rFonts w:hint="eastAsia" w:eastAsia="楷体_GB2312"/>
                <w:color w:val="000000"/>
                <w:spacing w:val="-6"/>
                <w:sz w:val="28"/>
                <w:szCs w:val="28"/>
              </w:rPr>
              <w:t>实施甘孜州康南（理塘）区域医疗集中区能力提升建设。推动理塘县人民医院医共体建设，改造、扩建县、乡两级医疗机构计划病房。改扩建高城镇等22个乡镇（2个分院）卫生院，提升基层医疗卫生机构服务能力。</w:t>
            </w:r>
          </w:p>
          <w:p w14:paraId="49F6E594">
            <w:pPr>
              <w:snapToGrid w:val="0"/>
              <w:spacing w:line="440" w:lineRule="exact"/>
              <w:ind w:firstLine="562" w:firstLineChars="200"/>
              <w:rPr>
                <w:rFonts w:eastAsia="楷体_GB2312"/>
                <w:bCs/>
                <w:sz w:val="28"/>
                <w:szCs w:val="28"/>
              </w:rPr>
            </w:pPr>
            <w:r>
              <w:rPr>
                <w:rFonts w:eastAsia="楷体_GB2312"/>
                <w:b/>
                <w:sz w:val="28"/>
                <w:szCs w:val="28"/>
              </w:rPr>
              <w:t>2.</w:t>
            </w:r>
            <w:r>
              <w:rPr>
                <w:rFonts w:hint="eastAsia" w:eastAsia="楷体_GB2312"/>
                <w:b/>
                <w:sz w:val="28"/>
                <w:szCs w:val="28"/>
              </w:rPr>
              <w:t>公共卫生服务体系。</w:t>
            </w:r>
            <w:r>
              <w:rPr>
                <w:rFonts w:hint="eastAsia" w:eastAsia="楷体_GB2312"/>
                <w:bCs/>
                <w:sz w:val="28"/>
                <w:szCs w:val="28"/>
              </w:rPr>
              <w:t>加强理塘县疾控体系设备配备。强化重大传染病监测管理，一体推进肺结核综合防治集中攻坚，包虫病、艾滋病、鼠疫防控等重大传染病防控和卫生应急队伍建设。</w:t>
            </w:r>
          </w:p>
          <w:p w14:paraId="16F8AF17">
            <w:pPr>
              <w:snapToGrid w:val="0"/>
              <w:spacing w:line="440" w:lineRule="exact"/>
              <w:ind w:firstLine="562" w:firstLineChars="200"/>
              <w:rPr>
                <w:rFonts w:eastAsia="楷体_GB2312"/>
                <w:bCs/>
                <w:sz w:val="28"/>
                <w:szCs w:val="28"/>
              </w:rPr>
            </w:pPr>
            <w:r>
              <w:rPr>
                <w:rFonts w:eastAsia="楷体_GB2312"/>
                <w:b/>
                <w:sz w:val="28"/>
                <w:szCs w:val="28"/>
              </w:rPr>
              <w:t>3.</w:t>
            </w:r>
            <w:r>
              <w:rPr>
                <w:rFonts w:hint="eastAsia" w:eastAsia="楷体_GB2312"/>
                <w:b/>
                <w:sz w:val="28"/>
                <w:szCs w:val="28"/>
              </w:rPr>
              <w:t>中藏医药传承创新工程。</w:t>
            </w:r>
            <w:r>
              <w:rPr>
                <w:rFonts w:hint="eastAsia" w:eastAsia="楷体_GB2312"/>
                <w:bCs/>
                <w:sz w:val="28"/>
                <w:szCs w:val="28"/>
              </w:rPr>
              <w:t>加强县中藏医院“两专科、一中心”建设，推动乡镇卫生院中藏医药服务全覆盖。加强中藏医传统疗法传承创新，支持中藏医传统医疗服务项目。</w:t>
            </w:r>
          </w:p>
          <w:p w14:paraId="01A45485">
            <w:pPr>
              <w:snapToGrid w:val="0"/>
              <w:spacing w:line="440" w:lineRule="exact"/>
              <w:ind w:firstLine="562" w:firstLineChars="200"/>
              <w:rPr>
                <w:rFonts w:eastAsia="楷体_GB2312"/>
                <w:bCs/>
                <w:sz w:val="28"/>
                <w:szCs w:val="28"/>
              </w:rPr>
            </w:pPr>
            <w:r>
              <w:rPr>
                <w:rFonts w:eastAsia="楷体_GB2312"/>
                <w:b/>
                <w:sz w:val="28"/>
                <w:szCs w:val="28"/>
              </w:rPr>
              <w:t>4.</w:t>
            </w:r>
            <w:r>
              <w:rPr>
                <w:rFonts w:hint="eastAsia" w:eastAsia="楷体_GB2312"/>
                <w:b/>
                <w:sz w:val="28"/>
                <w:szCs w:val="28"/>
              </w:rPr>
              <w:t>全民体育健身工程。</w:t>
            </w:r>
            <w:r>
              <w:rPr>
                <w:rFonts w:hint="eastAsia" w:eastAsia="楷体_GB2312"/>
                <w:bCs/>
                <w:sz w:val="28"/>
                <w:szCs w:val="28"/>
              </w:rPr>
              <w:t>新建康南体育公园，完善全民健身公共服务体系，加快提升竞技体育综合实力，推动青少年体育健康发展，提升体育产业发展质效，推动全民健身蓬勃发展。</w:t>
            </w:r>
          </w:p>
          <w:p w14:paraId="25F1CDDA">
            <w:pPr>
              <w:snapToGrid w:val="0"/>
              <w:spacing w:line="440" w:lineRule="exact"/>
              <w:ind w:firstLine="562" w:firstLineChars="200"/>
              <w:rPr>
                <w:rFonts w:eastAsia="楷体_GB2312"/>
                <w:bCs/>
                <w:sz w:val="28"/>
                <w:szCs w:val="28"/>
              </w:rPr>
            </w:pPr>
            <w:r>
              <w:rPr>
                <w:rFonts w:eastAsia="楷体_GB2312"/>
                <w:b/>
                <w:bCs/>
                <w:sz w:val="28"/>
                <w:szCs w:val="28"/>
              </w:rPr>
              <w:t>5.</w:t>
            </w:r>
            <w:r>
              <w:rPr>
                <w:rFonts w:hint="eastAsia" w:eastAsia="楷体_GB2312"/>
                <w:b/>
                <w:bCs/>
                <w:sz w:val="28"/>
                <w:szCs w:val="28"/>
              </w:rPr>
              <w:t>健康管理工程</w:t>
            </w:r>
            <w:r>
              <w:rPr>
                <w:rFonts w:hint="eastAsia" w:eastAsia="楷体_GB2312"/>
                <w:bCs/>
                <w:sz w:val="28"/>
                <w:szCs w:val="28"/>
              </w:rPr>
              <w:t>。组建“专科医生+家庭医生+藏医骨干”服务团队，针对老年人、孕产妇、儿童、慢性病患者等重点人群，提供“预防—诊疗—康复”全链条健康管理。</w:t>
            </w:r>
          </w:p>
          <w:p w14:paraId="0805B8BC">
            <w:pPr>
              <w:snapToGrid w:val="0"/>
              <w:spacing w:line="440" w:lineRule="exact"/>
              <w:ind w:firstLine="562" w:firstLineChars="200"/>
              <w:rPr>
                <w:rFonts w:eastAsia="楷体_GB2312"/>
                <w:bCs/>
                <w:sz w:val="28"/>
                <w:szCs w:val="28"/>
              </w:rPr>
            </w:pPr>
            <w:r>
              <w:rPr>
                <w:rFonts w:hint="eastAsia" w:eastAsia="楷体_GB2312"/>
                <w:b/>
                <w:bCs/>
                <w:sz w:val="28"/>
                <w:szCs w:val="28"/>
              </w:rPr>
              <w:t>6.健康知识宣传教育</w:t>
            </w:r>
            <w:r>
              <w:rPr>
                <w:rFonts w:hint="eastAsia" w:eastAsia="楷体_GB2312"/>
                <w:bCs/>
                <w:sz w:val="28"/>
                <w:szCs w:val="28"/>
              </w:rPr>
              <w:t>。建立健全县、乡、村三级健康教育体系，全面普及健康知识，倡导健康生活方式。</w:t>
            </w:r>
          </w:p>
        </w:tc>
      </w:tr>
      <w:bookmarkEnd w:id="557"/>
      <w:bookmarkEnd w:id="570"/>
      <w:bookmarkEnd w:id="571"/>
    </w:tbl>
    <w:p w14:paraId="72231E13">
      <w:pPr>
        <w:widowControl/>
        <w:spacing w:before="156" w:beforeLines="50" w:after="156" w:afterLines="50" w:line="580" w:lineRule="exact"/>
        <w:jc w:val="center"/>
        <w:outlineLvl w:val="1"/>
        <w:rPr>
          <w:rFonts w:eastAsia="黑体"/>
          <w:bCs/>
          <w:color w:val="000000"/>
          <w:kern w:val="0"/>
          <w:sz w:val="32"/>
          <w:szCs w:val="32"/>
        </w:rPr>
      </w:pPr>
      <w:bookmarkStart w:id="572" w:name="_Toc218241142"/>
      <w:bookmarkStart w:id="573" w:name="_Toc8681"/>
      <w:bookmarkStart w:id="574" w:name="_Toc27655"/>
      <w:bookmarkStart w:id="575" w:name="_Toc214372656"/>
      <w:bookmarkStart w:id="576" w:name="_Toc212814848"/>
      <w:r>
        <w:rPr>
          <w:rFonts w:hint="eastAsia" w:eastAsia="黑体"/>
          <w:bCs/>
          <w:color w:val="000000"/>
          <w:kern w:val="0"/>
          <w:sz w:val="32"/>
          <w:szCs w:val="32"/>
        </w:rPr>
        <w:t>第二十五章  织密扎牢社会保障网络</w:t>
      </w:r>
      <w:bookmarkEnd w:id="572"/>
      <w:bookmarkEnd w:id="573"/>
      <w:bookmarkEnd w:id="574"/>
      <w:bookmarkEnd w:id="575"/>
      <w:bookmarkEnd w:id="576"/>
    </w:p>
    <w:p w14:paraId="5D182EC5">
      <w:pPr>
        <w:pStyle w:val="15"/>
        <w:numPr>
          <w:ilvl w:val="0"/>
          <w:numId w:val="24"/>
        </w:numPr>
        <w:spacing w:before="156" w:beforeLines="50" w:after="156" w:afterLines="50" w:line="580" w:lineRule="exact"/>
        <w:ind w:left="1080" w:hanging="1080" w:firstLineChars="0"/>
        <w:jc w:val="center"/>
        <w:outlineLvl w:val="2"/>
        <w:rPr>
          <w:rFonts w:eastAsia="楷体_GB2312"/>
          <w:b/>
          <w:color w:val="000000"/>
          <w:kern w:val="0"/>
          <w:sz w:val="32"/>
          <w:szCs w:val="32"/>
        </w:rPr>
      </w:pPr>
      <w:bookmarkStart w:id="577" w:name="_Toc21209"/>
      <w:r>
        <w:rPr>
          <w:rFonts w:hint="eastAsia" w:eastAsia="楷体_GB2312"/>
          <w:b/>
          <w:color w:val="000000"/>
          <w:kern w:val="0"/>
          <w:sz w:val="32"/>
          <w:szCs w:val="32"/>
        </w:rPr>
        <w:t xml:space="preserve"> </w:t>
      </w:r>
      <w:bookmarkStart w:id="578" w:name="_Toc218241143"/>
      <w:r>
        <w:rPr>
          <w:rFonts w:hint="eastAsia" w:eastAsia="楷体_GB2312"/>
          <w:b/>
          <w:color w:val="000000"/>
          <w:kern w:val="0"/>
          <w:sz w:val="32"/>
          <w:szCs w:val="32"/>
        </w:rPr>
        <w:t>健全社会保险体系</w:t>
      </w:r>
      <w:bookmarkEnd w:id="577"/>
      <w:bookmarkEnd w:id="578"/>
    </w:p>
    <w:p w14:paraId="5AAF90A5">
      <w:pPr>
        <w:spacing w:line="580" w:lineRule="exact"/>
        <w:ind w:firstLine="616" w:firstLineChars="200"/>
        <w:rPr>
          <w:rFonts w:eastAsia="仿宋_GB2312"/>
          <w:spacing w:val="-6"/>
          <w:sz w:val="32"/>
          <w:szCs w:val="32"/>
        </w:rPr>
      </w:pPr>
      <w:r>
        <w:rPr>
          <w:rFonts w:hint="eastAsia" w:eastAsia="仿宋_GB2312"/>
          <w:spacing w:val="-6"/>
          <w:sz w:val="32"/>
          <w:szCs w:val="32"/>
        </w:rPr>
        <w:t>深入实施全民参保计划，完善城镇职工基本医疗保险、养老保险、城乡居民基本医疗保险、养老保险等制度。推动城乡居民基本医疗保险、养老保险适龄参保人员应保尽保，扩大城乡居民困难人员、农民工、灵活就业人员、新业态从业人员等参保覆盖面。加强多层次医疗保障体系建设，完善基本医疗保险、大病保险和医疗救助等三重医疗保障制度，健全失业保险、工伤保险和住房公积金管理制度，着力扩大覆盖范围。</w:t>
      </w:r>
    </w:p>
    <w:p w14:paraId="6E7DDAC9">
      <w:pPr>
        <w:pStyle w:val="15"/>
        <w:numPr>
          <w:ilvl w:val="0"/>
          <w:numId w:val="24"/>
        </w:numPr>
        <w:spacing w:before="156" w:beforeLines="50" w:after="156" w:afterLines="50" w:line="580" w:lineRule="exact"/>
        <w:ind w:left="1080" w:hanging="1080" w:firstLineChars="0"/>
        <w:jc w:val="center"/>
        <w:outlineLvl w:val="2"/>
        <w:rPr>
          <w:rFonts w:eastAsia="楷体_GB2312"/>
          <w:b/>
          <w:color w:val="000000"/>
          <w:kern w:val="0"/>
          <w:sz w:val="32"/>
          <w:szCs w:val="32"/>
        </w:rPr>
      </w:pPr>
      <w:bookmarkStart w:id="579" w:name="_Toc8484"/>
      <w:r>
        <w:rPr>
          <w:rFonts w:hint="eastAsia" w:eastAsia="楷体_GB2312"/>
          <w:b/>
          <w:color w:val="000000"/>
          <w:kern w:val="0"/>
          <w:sz w:val="32"/>
          <w:szCs w:val="32"/>
        </w:rPr>
        <w:t xml:space="preserve"> </w:t>
      </w:r>
      <w:bookmarkStart w:id="580" w:name="_Toc218241144"/>
      <w:r>
        <w:rPr>
          <w:rFonts w:hint="eastAsia" w:eastAsia="楷体_GB2312"/>
          <w:b/>
          <w:color w:val="000000"/>
          <w:kern w:val="0"/>
          <w:sz w:val="32"/>
          <w:szCs w:val="32"/>
        </w:rPr>
        <w:t>优化社会救助体系</w:t>
      </w:r>
      <w:bookmarkEnd w:id="579"/>
      <w:bookmarkEnd w:id="580"/>
    </w:p>
    <w:p w14:paraId="336F5A53">
      <w:pPr>
        <w:spacing w:line="580" w:lineRule="exact"/>
        <w:ind w:firstLine="640" w:firstLineChars="200"/>
        <w:rPr>
          <w:rFonts w:eastAsia="仿宋_GB2312"/>
          <w:sz w:val="32"/>
          <w:szCs w:val="32"/>
        </w:rPr>
      </w:pPr>
      <w:r>
        <w:rPr>
          <w:rFonts w:hint="eastAsia" w:eastAsia="仿宋_GB2312"/>
          <w:sz w:val="32"/>
          <w:szCs w:val="32"/>
        </w:rPr>
        <w:t>以基本生活救助、专项社会救助、急难社会救助为主体，社会力量参与为补充，建立健全分层分类社会救助制度体系，推动社会救助从单一救助向综合救助转变。加强对低收入家庭、因病致贫家庭、受灾人员、失业人员等困难群体的综合救助力度，完善最低生活保障、住房保障、医疗救助、教育资助等社会救助政策，保障困难群众基本生活权益。</w:t>
      </w:r>
    </w:p>
    <w:p w14:paraId="6A5CDA2F">
      <w:pPr>
        <w:pStyle w:val="15"/>
        <w:numPr>
          <w:ilvl w:val="0"/>
          <w:numId w:val="24"/>
        </w:numPr>
        <w:spacing w:before="156" w:beforeLines="50" w:after="156" w:afterLines="50" w:line="580" w:lineRule="exact"/>
        <w:ind w:left="1080" w:hanging="1080" w:firstLineChars="0"/>
        <w:jc w:val="center"/>
        <w:outlineLvl w:val="2"/>
        <w:rPr>
          <w:rFonts w:eastAsia="楷体_GB2312"/>
          <w:b/>
          <w:color w:val="000000"/>
          <w:kern w:val="0"/>
          <w:sz w:val="32"/>
          <w:szCs w:val="32"/>
        </w:rPr>
      </w:pPr>
      <w:bookmarkStart w:id="581" w:name="_Toc23153"/>
      <w:r>
        <w:rPr>
          <w:rFonts w:hint="eastAsia" w:eastAsia="楷体_GB2312"/>
          <w:b/>
          <w:color w:val="000000"/>
          <w:kern w:val="0"/>
          <w:sz w:val="32"/>
          <w:szCs w:val="32"/>
        </w:rPr>
        <w:t xml:space="preserve"> </w:t>
      </w:r>
      <w:bookmarkStart w:id="582" w:name="_Toc218241145"/>
      <w:r>
        <w:rPr>
          <w:rFonts w:hint="eastAsia" w:eastAsia="楷体_GB2312"/>
          <w:b/>
          <w:color w:val="000000"/>
          <w:kern w:val="0"/>
          <w:sz w:val="32"/>
          <w:szCs w:val="32"/>
        </w:rPr>
        <w:t>完善社会福利体系</w:t>
      </w:r>
      <w:bookmarkEnd w:id="581"/>
      <w:bookmarkEnd w:id="582"/>
    </w:p>
    <w:p w14:paraId="6CCBFBB0">
      <w:pPr>
        <w:spacing w:line="580" w:lineRule="exact"/>
        <w:ind w:firstLine="640" w:firstLineChars="200"/>
        <w:rPr>
          <w:rFonts w:eastAsia="仿宋_GB2312"/>
          <w:sz w:val="32"/>
          <w:szCs w:val="32"/>
        </w:rPr>
      </w:pPr>
      <w:r>
        <w:rPr>
          <w:rFonts w:hint="eastAsia" w:eastAsia="仿宋_GB2312"/>
          <w:sz w:val="32"/>
          <w:szCs w:val="32"/>
        </w:rPr>
        <w:t>完善残疾人福利服务，逐年逐级提高困难残疾人生活补贴、重度残疾人护理补贴，优化公共服务设施助残功能。加强孤儿、留守儿童社会关爱，加强儿童福利机构建设管理，深入开展儿童志愿服务活动。建设未成年人救助中心，强化未成年人权益保护。优化退役军人服务保障，</w:t>
      </w:r>
      <w:r>
        <w:rPr>
          <w:rFonts w:hint="eastAsia" w:eastAsia="仿宋_GB2312"/>
          <w:color w:val="000000"/>
          <w:sz w:val="32"/>
          <w:szCs w:val="32"/>
        </w:rPr>
        <w:t>全面落实退役军人移交安置和优抚褒扬各项政策，持续深化双拥模范创建，</w:t>
      </w:r>
      <w:r>
        <w:rPr>
          <w:rFonts w:hint="eastAsia" w:eastAsia="仿宋_GB2312"/>
          <w:sz w:val="32"/>
          <w:szCs w:val="32"/>
        </w:rPr>
        <w:t>加强烈士纪念设施保护修缮。科学规划殡葬服务设施，推进公共殡仪馆、公益性骨灰安放（葬）设施和墓地建设。创新“商业</w:t>
      </w:r>
      <w:r>
        <w:rPr>
          <w:rFonts w:eastAsia="仿宋_GB2312"/>
          <w:sz w:val="32"/>
          <w:szCs w:val="32"/>
        </w:rPr>
        <w:t>+慈善”新模式，引导社会慈善力量合理使用慈善资源，推动慈善事业高质量发展。</w:t>
      </w:r>
    </w:p>
    <w:p w14:paraId="775A3E9C">
      <w:pPr>
        <w:pStyle w:val="15"/>
        <w:widowControl/>
        <w:numPr>
          <w:ilvl w:val="0"/>
          <w:numId w:val="24"/>
        </w:numPr>
        <w:spacing w:before="156" w:beforeLines="50" w:after="156" w:afterLines="50" w:line="580" w:lineRule="exact"/>
        <w:ind w:left="1080" w:hanging="1080" w:firstLineChars="0"/>
        <w:jc w:val="center"/>
        <w:outlineLvl w:val="2"/>
        <w:rPr>
          <w:rFonts w:eastAsia="楷体_GB2312"/>
          <w:b/>
          <w:color w:val="000000"/>
          <w:kern w:val="0"/>
          <w:sz w:val="32"/>
          <w:szCs w:val="32"/>
        </w:rPr>
      </w:pPr>
      <w:bookmarkStart w:id="583" w:name="_Toc31919"/>
      <w:r>
        <w:rPr>
          <w:rFonts w:hint="eastAsia" w:eastAsia="楷体_GB2312"/>
          <w:b/>
          <w:color w:val="000000"/>
          <w:kern w:val="0"/>
          <w:sz w:val="32"/>
          <w:szCs w:val="32"/>
        </w:rPr>
        <w:t xml:space="preserve"> </w:t>
      </w:r>
      <w:bookmarkStart w:id="584" w:name="_Toc218241146"/>
      <w:r>
        <w:rPr>
          <w:rFonts w:hint="eastAsia" w:eastAsia="楷体_GB2312"/>
          <w:b/>
          <w:color w:val="000000"/>
          <w:kern w:val="0"/>
          <w:sz w:val="32"/>
          <w:szCs w:val="32"/>
        </w:rPr>
        <w:t>关心关爱重点人群发展</w:t>
      </w:r>
      <w:bookmarkEnd w:id="583"/>
      <w:bookmarkEnd w:id="584"/>
    </w:p>
    <w:p w14:paraId="224E1EA5">
      <w:pPr>
        <w:spacing w:line="580" w:lineRule="exact"/>
        <w:ind w:firstLine="640" w:firstLineChars="200"/>
        <w:rPr>
          <w:rFonts w:eastAsia="仿宋_GB2312"/>
          <w:sz w:val="32"/>
          <w:szCs w:val="32"/>
        </w:rPr>
      </w:pPr>
      <w:r>
        <w:rPr>
          <w:rFonts w:hint="eastAsia" w:eastAsia="仿宋_GB2312"/>
          <w:sz w:val="32"/>
          <w:szCs w:val="32"/>
        </w:rPr>
        <w:t>聚焦妇女、儿童、青少年、老年人、退役军人、残疾人等重点群体，提升服务保障水平，建设青年发展型、女性友好型城市和儿童友好城市、老年友好型社区、残疾人无障碍环境。推动出台一批符合甘孜特色和青年发展需求的政策措施，打造理塘县青年发展型县域省级试点。加强青年工作专业化平台建设、提升新兴领域团组织覆盖、完善团干部选用和激励约束机制探索创新。</w:t>
      </w:r>
    </w:p>
    <w:p w14:paraId="56782884">
      <w:pPr>
        <w:widowControl/>
        <w:spacing w:before="156" w:beforeLines="50" w:after="156" w:afterLines="50" w:line="580" w:lineRule="exact"/>
        <w:jc w:val="center"/>
        <w:outlineLvl w:val="1"/>
        <w:rPr>
          <w:rFonts w:eastAsia="黑体"/>
          <w:bCs/>
          <w:color w:val="000000"/>
          <w:kern w:val="0"/>
          <w:sz w:val="32"/>
          <w:szCs w:val="32"/>
        </w:rPr>
      </w:pPr>
      <w:bookmarkStart w:id="585" w:name="_Toc214372657"/>
      <w:bookmarkStart w:id="586" w:name="_Toc17373"/>
      <w:bookmarkStart w:id="587" w:name="_Toc218241147"/>
      <w:bookmarkStart w:id="588" w:name="_Toc15226"/>
      <w:bookmarkStart w:id="589" w:name="_Toc212814849"/>
      <w:r>
        <w:rPr>
          <w:rFonts w:hint="eastAsia" w:eastAsia="黑体"/>
          <w:bCs/>
          <w:color w:val="000000"/>
          <w:kern w:val="0"/>
          <w:sz w:val="32"/>
          <w:szCs w:val="32"/>
        </w:rPr>
        <w:t>第二十六章  强化“</w:t>
      </w:r>
      <w:bookmarkStart w:id="590" w:name="OLE_LINK123"/>
      <w:r>
        <w:rPr>
          <w:rFonts w:hint="eastAsia" w:eastAsia="黑体"/>
          <w:bCs/>
          <w:color w:val="000000"/>
          <w:kern w:val="0"/>
          <w:sz w:val="32"/>
          <w:szCs w:val="32"/>
        </w:rPr>
        <w:t>一老一小</w:t>
      </w:r>
      <w:bookmarkEnd w:id="590"/>
      <w:r>
        <w:rPr>
          <w:rFonts w:hint="eastAsia" w:eastAsia="黑体"/>
          <w:bCs/>
          <w:color w:val="000000"/>
          <w:kern w:val="0"/>
          <w:sz w:val="32"/>
          <w:szCs w:val="32"/>
        </w:rPr>
        <w:t>”服务</w:t>
      </w:r>
      <w:bookmarkEnd w:id="585"/>
      <w:bookmarkEnd w:id="586"/>
      <w:bookmarkEnd w:id="587"/>
      <w:bookmarkEnd w:id="588"/>
      <w:bookmarkEnd w:id="589"/>
    </w:p>
    <w:p w14:paraId="2141F0D6">
      <w:pPr>
        <w:pStyle w:val="15"/>
        <w:widowControl/>
        <w:numPr>
          <w:ilvl w:val="0"/>
          <w:numId w:val="25"/>
        </w:numPr>
        <w:spacing w:before="156" w:beforeLines="50" w:after="156" w:afterLines="50" w:line="580" w:lineRule="exact"/>
        <w:ind w:left="1080" w:hanging="1080" w:firstLineChars="0"/>
        <w:jc w:val="center"/>
        <w:outlineLvl w:val="2"/>
        <w:rPr>
          <w:rFonts w:eastAsia="楷体_GB2312"/>
          <w:b/>
          <w:color w:val="000000"/>
          <w:kern w:val="0"/>
          <w:sz w:val="32"/>
          <w:szCs w:val="32"/>
        </w:rPr>
      </w:pPr>
      <w:bookmarkStart w:id="591" w:name="_Toc7860"/>
      <w:r>
        <w:rPr>
          <w:rFonts w:hint="eastAsia" w:eastAsia="楷体_GB2312"/>
          <w:b/>
          <w:color w:val="000000"/>
          <w:kern w:val="0"/>
          <w:sz w:val="32"/>
          <w:szCs w:val="32"/>
        </w:rPr>
        <w:t xml:space="preserve"> </w:t>
      </w:r>
      <w:bookmarkStart w:id="592" w:name="_Toc218241148"/>
      <w:r>
        <w:rPr>
          <w:rFonts w:hint="eastAsia" w:eastAsia="仿宋_GB2312"/>
          <w:b/>
          <w:sz w:val="32"/>
          <w:szCs w:val="32"/>
        </w:rPr>
        <w:t>健全养老</w:t>
      </w:r>
      <w:r>
        <w:rPr>
          <w:rFonts w:hint="eastAsia" w:eastAsia="楷体_GB2312"/>
          <w:b/>
          <w:color w:val="000000"/>
          <w:kern w:val="0"/>
          <w:sz w:val="32"/>
          <w:szCs w:val="32"/>
        </w:rPr>
        <w:t>服务</w:t>
      </w:r>
      <w:r>
        <w:rPr>
          <w:rFonts w:hint="eastAsia" w:eastAsia="仿宋_GB2312"/>
          <w:b/>
          <w:sz w:val="32"/>
          <w:szCs w:val="32"/>
        </w:rPr>
        <w:t>体系</w:t>
      </w:r>
      <w:bookmarkEnd w:id="591"/>
      <w:bookmarkEnd w:id="592"/>
    </w:p>
    <w:p w14:paraId="2CAD1D28">
      <w:pPr>
        <w:spacing w:line="580" w:lineRule="exact"/>
        <w:ind w:firstLine="640" w:firstLineChars="200"/>
        <w:rPr>
          <w:rFonts w:eastAsia="仿宋_GB2312"/>
          <w:sz w:val="32"/>
          <w:szCs w:val="32"/>
        </w:rPr>
      </w:pPr>
      <w:r>
        <w:rPr>
          <w:rFonts w:hint="eastAsia" w:eastAsia="仿宋_GB2312"/>
          <w:sz w:val="32"/>
          <w:szCs w:val="32"/>
        </w:rPr>
        <w:t>深化养老服务改革，加快构建覆盖城乡的“县—乡—村”三级养老服务体系，优化居家为基础、社区为依托、机构为专业支撑、医养结合的养老服务供给格局。高质量建设老年养护院、社区日间照料中心等公益养老服务设施，改造提升公办养老机构，推进智慧化与适老化改造，开发藏医康养、牧家乐旅居等特色养老服务，构建“藏医康养—牧区旅居—智慧养老”三位一体的特色养老模式，打造青藏高原养老服务标杆。在理塘低海拔地区开展医养结合试点。大力发展银发经济，发展高原特色养老产业，推动“养老</w:t>
      </w:r>
      <w:r>
        <w:rPr>
          <w:rFonts w:eastAsia="仿宋_GB2312"/>
          <w:sz w:val="32"/>
          <w:szCs w:val="32"/>
        </w:rPr>
        <w:t>+文旅”融合，吸引康养旅游消费。</w:t>
      </w:r>
    </w:p>
    <w:p w14:paraId="7F57D854">
      <w:pPr>
        <w:pStyle w:val="15"/>
        <w:widowControl/>
        <w:numPr>
          <w:ilvl w:val="0"/>
          <w:numId w:val="25"/>
        </w:numPr>
        <w:spacing w:before="156" w:beforeLines="50" w:after="156" w:afterLines="50" w:line="580" w:lineRule="exact"/>
        <w:ind w:left="1080" w:hanging="1080" w:firstLineChars="0"/>
        <w:jc w:val="center"/>
        <w:outlineLvl w:val="2"/>
        <w:rPr>
          <w:rFonts w:eastAsia="楷体_GB2312"/>
          <w:b/>
          <w:color w:val="000000"/>
          <w:kern w:val="0"/>
          <w:sz w:val="32"/>
          <w:szCs w:val="32"/>
        </w:rPr>
      </w:pPr>
      <w:bookmarkStart w:id="593" w:name="_Toc9631"/>
      <w:r>
        <w:rPr>
          <w:rFonts w:hint="eastAsia" w:eastAsia="楷体_GB2312"/>
          <w:b/>
          <w:color w:val="000000"/>
          <w:kern w:val="0"/>
          <w:sz w:val="32"/>
          <w:szCs w:val="32"/>
        </w:rPr>
        <w:t xml:space="preserve"> </w:t>
      </w:r>
      <w:bookmarkStart w:id="594" w:name="_Toc218241149"/>
      <w:r>
        <w:rPr>
          <w:rFonts w:hint="eastAsia" w:eastAsia="仿宋_GB2312"/>
          <w:b/>
          <w:sz w:val="32"/>
          <w:szCs w:val="32"/>
          <w:lang w:val="zh-CN"/>
        </w:rPr>
        <w:t>完善</w:t>
      </w:r>
      <w:r>
        <w:rPr>
          <w:rFonts w:hint="eastAsia" w:eastAsia="楷体_GB2312"/>
          <w:b/>
          <w:color w:val="000000"/>
          <w:kern w:val="0"/>
          <w:sz w:val="32"/>
          <w:szCs w:val="32"/>
          <w:lang w:val="zh-CN"/>
        </w:rPr>
        <w:t>生育</w:t>
      </w:r>
      <w:r>
        <w:rPr>
          <w:rFonts w:hint="eastAsia" w:eastAsia="仿宋_GB2312"/>
          <w:b/>
          <w:sz w:val="32"/>
          <w:szCs w:val="32"/>
          <w:lang w:val="zh-CN"/>
        </w:rPr>
        <w:t>支持服务体系</w:t>
      </w:r>
      <w:bookmarkEnd w:id="593"/>
      <w:bookmarkEnd w:id="594"/>
    </w:p>
    <w:p w14:paraId="071526DF">
      <w:pPr>
        <w:spacing w:line="580" w:lineRule="exact"/>
        <w:ind w:firstLine="640" w:firstLineChars="200"/>
        <w:rPr>
          <w:rFonts w:eastAsia="仿宋_GB2312"/>
          <w:sz w:val="32"/>
          <w:szCs w:val="32"/>
        </w:rPr>
      </w:pPr>
      <w:r>
        <w:rPr>
          <w:rFonts w:hint="eastAsia" w:eastAsia="仿宋_GB2312"/>
          <w:sz w:val="32"/>
          <w:szCs w:val="32"/>
        </w:rPr>
        <w:t>优化生育医疗保障与托育服务，扩大妇幼保健服务覆盖面，加快普惠托育设施建设，推进公建托育机构覆盖，鼓励支持幼儿园办托、用人单位办托、社区嵌入式托育、家庭托育点等多种模式发展。兼顾“顾老”和“看小”相结合，打造老幼复合型服务区，加快</w:t>
      </w:r>
      <w:bookmarkStart w:id="595" w:name="OLE_LINK166"/>
      <w:bookmarkStart w:id="596" w:name="OLE_LINK165"/>
      <w:r>
        <w:rPr>
          <w:rFonts w:hint="eastAsia" w:eastAsia="仿宋_GB2312"/>
          <w:sz w:val="32"/>
          <w:szCs w:val="32"/>
        </w:rPr>
        <w:t>构建“</w:t>
      </w:r>
      <w:r>
        <w:rPr>
          <w:rFonts w:eastAsia="仿宋_GB2312"/>
          <w:sz w:val="32"/>
          <w:szCs w:val="32"/>
        </w:rPr>
        <w:t>15分钟”养老托育服务圈</w:t>
      </w:r>
      <w:bookmarkEnd w:id="595"/>
      <w:bookmarkEnd w:id="596"/>
      <w:r>
        <w:rPr>
          <w:rFonts w:eastAsia="仿宋_GB2312"/>
          <w:sz w:val="32"/>
          <w:szCs w:val="32"/>
        </w:rPr>
        <w:t>。完善住房、教育、就业等方面的支持政策，完善生育医疗费用报销、生育津贴等配套政策，落实育儿补贴，优化生育休假机制，鼓励用人单位灵活安排工作时间和工作方式，切实维护妇女劳动就业合法权益，构建生育友好型社会环境。</w:t>
      </w:r>
    </w:p>
    <w:tbl>
      <w:tblPr>
        <w:tblStyle w:val="11"/>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3B825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2" w:hRule="atLeast"/>
          <w:jc w:val="center"/>
        </w:trPr>
        <w:tc>
          <w:tcPr>
            <w:tcW w:w="5000" w:type="pct"/>
            <w:tcBorders>
              <w:top w:val="single" w:color="auto" w:sz="4" w:space="0"/>
              <w:left w:val="single" w:color="auto" w:sz="4" w:space="0"/>
              <w:bottom w:val="single" w:color="auto" w:sz="4" w:space="0"/>
              <w:right w:val="single" w:color="auto" w:sz="4" w:space="0"/>
            </w:tcBorders>
          </w:tcPr>
          <w:p w14:paraId="048052F6">
            <w:pPr>
              <w:pStyle w:val="10"/>
              <w:snapToGrid w:val="0"/>
              <w:spacing w:before="156" w:beforeLines="50" w:after="156" w:afterLines="50" w:line="440" w:lineRule="exact"/>
              <w:ind w:left="0" w:leftChars="0" w:firstLine="643" w:firstLineChars="0"/>
              <w:jc w:val="center"/>
              <w:rPr>
                <w:rFonts w:eastAsia="楷体_GB2312"/>
                <w:b/>
                <w:sz w:val="32"/>
                <w:szCs w:val="32"/>
              </w:rPr>
            </w:pPr>
            <w:r>
              <w:rPr>
                <w:rFonts w:hint="eastAsia" w:ascii="Times New Roman" w:hAnsi="Times New Roman" w:eastAsia="楷体_GB2312" w:cs="Times New Roman"/>
                <w:b/>
                <w:sz w:val="28"/>
                <w:szCs w:val="28"/>
              </w:rPr>
              <w:t>专栏31  “十五五”时期社会保障网络重点工程</w:t>
            </w:r>
          </w:p>
        </w:tc>
      </w:tr>
      <w:tr w14:paraId="7492E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tcBorders>
              <w:top w:val="single" w:color="auto" w:sz="4" w:space="0"/>
              <w:left w:val="single" w:color="auto" w:sz="4" w:space="0"/>
              <w:bottom w:val="single" w:color="auto" w:sz="4" w:space="0"/>
              <w:right w:val="single" w:color="auto" w:sz="4" w:space="0"/>
            </w:tcBorders>
          </w:tcPr>
          <w:p w14:paraId="3BB83AAD">
            <w:pPr>
              <w:pStyle w:val="16"/>
              <w:snapToGrid w:val="0"/>
              <w:spacing w:line="440" w:lineRule="exact"/>
              <w:ind w:firstLine="538"/>
              <w:jc w:val="left"/>
              <w:rPr>
                <w:rFonts w:eastAsia="楷体_GB2312" w:cs="Times New Roman"/>
                <w:spacing w:val="-6"/>
                <w:sz w:val="28"/>
                <w:szCs w:val="28"/>
              </w:rPr>
            </w:pPr>
            <w:r>
              <w:rPr>
                <w:rFonts w:hint="eastAsia" w:eastAsia="楷体_GB2312" w:cs="Times New Roman"/>
                <w:b/>
                <w:spacing w:val="-6"/>
                <w:sz w:val="28"/>
                <w:szCs w:val="28"/>
              </w:rPr>
              <w:t>1.社会福利</w:t>
            </w:r>
            <w:r>
              <w:rPr>
                <w:rFonts w:hint="eastAsia" w:eastAsia="楷体_GB2312" w:cs="Times New Roman"/>
                <w:spacing w:val="-6"/>
                <w:sz w:val="28"/>
                <w:szCs w:val="28"/>
              </w:rPr>
              <w:t>。建设理塘县康南中心福利院、青少年宫、殡仪馆等社会福利设施。</w:t>
            </w:r>
          </w:p>
          <w:p w14:paraId="06D628FF">
            <w:pPr>
              <w:pStyle w:val="16"/>
              <w:snapToGrid w:val="0"/>
              <w:spacing w:line="440" w:lineRule="exact"/>
              <w:ind w:firstLine="538"/>
              <w:jc w:val="left"/>
              <w:rPr>
                <w:rFonts w:eastAsia="楷体_GB2312" w:cs="Times New Roman"/>
                <w:spacing w:val="-6"/>
                <w:sz w:val="28"/>
                <w:szCs w:val="28"/>
              </w:rPr>
            </w:pPr>
            <w:r>
              <w:rPr>
                <w:rFonts w:hint="eastAsia" w:eastAsia="楷体_GB2312" w:cs="Times New Roman"/>
                <w:b/>
                <w:spacing w:val="-6"/>
                <w:sz w:val="28"/>
                <w:szCs w:val="28"/>
              </w:rPr>
              <w:t>2.社会救助体系</w:t>
            </w:r>
            <w:r>
              <w:rPr>
                <w:rFonts w:hint="eastAsia" w:eastAsia="楷体_GB2312" w:cs="Times New Roman"/>
                <w:spacing w:val="-6"/>
                <w:sz w:val="28"/>
                <w:szCs w:val="28"/>
              </w:rPr>
              <w:t>。实施救助能力提升项目，开展急难救助保障工程，推动救助信息化建设。</w:t>
            </w:r>
          </w:p>
          <w:p w14:paraId="13ED1586">
            <w:pPr>
              <w:pStyle w:val="16"/>
              <w:snapToGrid w:val="0"/>
              <w:spacing w:line="440" w:lineRule="exact"/>
              <w:ind w:firstLine="538"/>
              <w:jc w:val="left"/>
              <w:rPr>
                <w:rFonts w:eastAsia="楷体_GB2312" w:cs="Times New Roman"/>
                <w:spacing w:val="-6"/>
                <w:sz w:val="28"/>
                <w:szCs w:val="28"/>
              </w:rPr>
            </w:pPr>
            <w:r>
              <w:rPr>
                <w:rFonts w:hint="eastAsia" w:eastAsia="楷体_GB2312" w:cs="Times New Roman"/>
                <w:b/>
                <w:spacing w:val="-6"/>
                <w:sz w:val="28"/>
                <w:szCs w:val="28"/>
              </w:rPr>
              <w:t>3.养老服务</w:t>
            </w:r>
            <w:r>
              <w:rPr>
                <w:rFonts w:hint="eastAsia" w:eastAsia="楷体_GB2312" w:cs="Times New Roman"/>
                <w:spacing w:val="-6"/>
                <w:sz w:val="28"/>
                <w:szCs w:val="28"/>
              </w:rPr>
              <w:t>。建设理塘县社区养老综合服务站、理塘县乡镇日间照料中心提升及配套建设工程等项目，建设覆盖城乡的老年人服务体系。</w:t>
            </w:r>
          </w:p>
          <w:p w14:paraId="694CB9CD">
            <w:pPr>
              <w:pStyle w:val="16"/>
              <w:snapToGrid w:val="0"/>
              <w:spacing w:line="440" w:lineRule="exact"/>
              <w:ind w:firstLine="538"/>
              <w:rPr>
                <w:rFonts w:eastAsia="楷体_GB2312" w:cs="Times New Roman"/>
                <w:spacing w:val="-6"/>
                <w:sz w:val="28"/>
                <w:szCs w:val="28"/>
              </w:rPr>
            </w:pPr>
            <w:r>
              <w:rPr>
                <w:rFonts w:hint="eastAsia" w:eastAsia="楷体_GB2312" w:cs="Times New Roman"/>
                <w:b/>
                <w:spacing w:val="-6"/>
                <w:sz w:val="28"/>
                <w:szCs w:val="28"/>
              </w:rPr>
              <w:t>4.托育服务</w:t>
            </w:r>
            <w:r>
              <w:rPr>
                <w:rFonts w:hint="eastAsia" w:eastAsia="楷体_GB2312" w:cs="Times New Roman"/>
                <w:spacing w:val="-6"/>
                <w:sz w:val="28"/>
                <w:szCs w:val="28"/>
              </w:rPr>
              <w:t>。推动县域医院升级产科与新生儿科，逐步完善托育服务体系。</w:t>
            </w:r>
          </w:p>
          <w:p w14:paraId="2CF9BC9A">
            <w:pPr>
              <w:pStyle w:val="16"/>
              <w:snapToGrid w:val="0"/>
              <w:spacing w:line="440" w:lineRule="exact"/>
              <w:ind w:firstLine="538"/>
              <w:rPr>
                <w:rFonts w:eastAsia="楷体_GB2312" w:cs="Times New Roman"/>
                <w:color w:val="000000"/>
                <w:sz w:val="28"/>
                <w:szCs w:val="28"/>
              </w:rPr>
            </w:pPr>
            <w:r>
              <w:rPr>
                <w:rFonts w:hint="eastAsia" w:eastAsia="楷体_GB2312" w:cs="Times New Roman"/>
                <w:b/>
                <w:spacing w:val="-6"/>
                <w:sz w:val="28"/>
                <w:szCs w:val="28"/>
              </w:rPr>
              <w:t>5.青年服务</w:t>
            </w:r>
            <w:r>
              <w:rPr>
                <w:rFonts w:hint="eastAsia" w:eastAsia="楷体_GB2312" w:cs="Times New Roman"/>
                <w:spacing w:val="-6"/>
                <w:sz w:val="28"/>
                <w:szCs w:val="28"/>
              </w:rPr>
              <w:t>。完善青年就业创业支持，开展青年人才安居保障行动，提升青年文化生活品质。</w:t>
            </w:r>
          </w:p>
        </w:tc>
      </w:tr>
    </w:tbl>
    <w:p w14:paraId="52D42D90">
      <w:pPr>
        <w:pStyle w:val="2"/>
        <w:spacing w:before="156" w:beforeLines="50" w:after="156" w:afterLines="50" w:line="580" w:lineRule="exact"/>
        <w:ind w:firstLine="0" w:firstLineChars="0"/>
        <w:jc w:val="center"/>
        <w:outlineLvl w:val="0"/>
        <w:rPr>
          <w:rFonts w:eastAsia="方正大标宋简体"/>
          <w:sz w:val="32"/>
          <w:szCs w:val="32"/>
        </w:rPr>
      </w:pPr>
      <w:bookmarkStart w:id="597" w:name="_Toc21228"/>
      <w:bookmarkStart w:id="598" w:name="_Toc212814850"/>
      <w:bookmarkStart w:id="599" w:name="OLE_LINK100"/>
      <w:bookmarkStart w:id="600" w:name="OLE_LINK101"/>
    </w:p>
    <w:p w14:paraId="02894FB5">
      <w:pPr>
        <w:pStyle w:val="2"/>
        <w:spacing w:before="156" w:beforeLines="50" w:after="156" w:afterLines="50" w:line="580" w:lineRule="exact"/>
        <w:ind w:firstLine="0" w:firstLineChars="0"/>
        <w:jc w:val="center"/>
        <w:outlineLvl w:val="0"/>
        <w:rPr>
          <w:rFonts w:eastAsia="方正大标宋简体"/>
          <w:sz w:val="32"/>
          <w:szCs w:val="32"/>
        </w:rPr>
      </w:pPr>
      <w:bookmarkStart w:id="601" w:name="_Toc4294"/>
      <w:bookmarkStart w:id="602" w:name="_Toc218241150"/>
      <w:bookmarkStart w:id="603" w:name="_Toc214372658"/>
      <w:r>
        <w:rPr>
          <w:rFonts w:hint="eastAsia" w:eastAsia="方正大标宋简体"/>
          <w:sz w:val="32"/>
          <w:szCs w:val="32"/>
        </w:rPr>
        <w:t>第九篇</w:t>
      </w:r>
      <w:bookmarkStart w:id="604" w:name="OLE_LINK98"/>
      <w:bookmarkStart w:id="605" w:name="OLE_LINK99"/>
      <w:r>
        <w:rPr>
          <w:rFonts w:hint="eastAsia" w:eastAsia="方正大标宋简体"/>
          <w:sz w:val="32"/>
          <w:szCs w:val="32"/>
        </w:rPr>
        <w:t xml:space="preserve">  传承弘扬</w:t>
      </w:r>
      <w:bookmarkStart w:id="606" w:name="OLE_LINK96"/>
      <w:bookmarkStart w:id="607" w:name="OLE_LINK97"/>
      <w:r>
        <w:rPr>
          <w:rFonts w:hint="eastAsia" w:eastAsia="方正大标宋简体"/>
          <w:sz w:val="32"/>
          <w:szCs w:val="32"/>
        </w:rPr>
        <w:t xml:space="preserve">  提升理塘文化软实力和影响力</w:t>
      </w:r>
      <w:bookmarkEnd w:id="597"/>
      <w:bookmarkEnd w:id="598"/>
      <w:bookmarkEnd w:id="599"/>
      <w:bookmarkEnd w:id="600"/>
      <w:bookmarkEnd w:id="601"/>
      <w:bookmarkEnd w:id="602"/>
      <w:bookmarkEnd w:id="603"/>
      <w:bookmarkEnd w:id="604"/>
      <w:bookmarkEnd w:id="605"/>
      <w:bookmarkEnd w:id="606"/>
      <w:bookmarkEnd w:id="607"/>
    </w:p>
    <w:p w14:paraId="2D694231">
      <w:pPr>
        <w:spacing w:line="580" w:lineRule="exact"/>
        <w:ind w:firstLine="640" w:firstLineChars="200"/>
        <w:rPr>
          <w:rFonts w:eastAsia="仿宋_GB2312"/>
          <w:sz w:val="32"/>
          <w:szCs w:val="32"/>
        </w:rPr>
      </w:pPr>
      <w:r>
        <w:rPr>
          <w:rFonts w:eastAsia="仿宋_GB2312"/>
          <w:sz w:val="32"/>
          <w:szCs w:val="32"/>
        </w:rPr>
        <w:t>统筹物质文明与精神文明建设，坚持以文化人、以文兴产、以文聚势，推动文化创造性转化与创新性发展，</w:t>
      </w:r>
      <w:r>
        <w:rPr>
          <w:rFonts w:hint="eastAsia" w:eastAsia="仿宋_GB2312"/>
          <w:sz w:val="32"/>
          <w:szCs w:val="32"/>
        </w:rPr>
        <w:t>在“活起来”上发力，让历史文化遗产在新时代更加出圈出彩、出新出色。</w:t>
      </w:r>
    </w:p>
    <w:p w14:paraId="5FA78B54">
      <w:pPr>
        <w:widowControl/>
        <w:spacing w:before="156" w:beforeLines="50" w:after="156" w:afterLines="50" w:line="580" w:lineRule="exact"/>
        <w:jc w:val="center"/>
        <w:outlineLvl w:val="1"/>
        <w:rPr>
          <w:rFonts w:eastAsia="黑体"/>
          <w:bCs/>
          <w:color w:val="000000"/>
          <w:kern w:val="0"/>
          <w:sz w:val="32"/>
          <w:szCs w:val="32"/>
        </w:rPr>
      </w:pPr>
      <w:bookmarkStart w:id="608" w:name="_Toc214372659"/>
      <w:bookmarkStart w:id="609" w:name="_Toc16424"/>
      <w:bookmarkStart w:id="610" w:name="_Toc212814851"/>
      <w:bookmarkStart w:id="611" w:name="_Toc23183"/>
      <w:bookmarkStart w:id="612" w:name="_Toc218241151"/>
      <w:r>
        <w:rPr>
          <w:rFonts w:hint="eastAsia" w:eastAsia="黑体"/>
          <w:bCs/>
          <w:color w:val="000000"/>
          <w:kern w:val="0"/>
          <w:sz w:val="32"/>
          <w:szCs w:val="32"/>
        </w:rPr>
        <w:t>第二十七章  大力弘扬社会主义核心价值观</w:t>
      </w:r>
      <w:bookmarkEnd w:id="608"/>
      <w:bookmarkEnd w:id="609"/>
      <w:bookmarkEnd w:id="610"/>
      <w:bookmarkEnd w:id="611"/>
      <w:bookmarkEnd w:id="612"/>
    </w:p>
    <w:p w14:paraId="7C957055">
      <w:pPr>
        <w:pStyle w:val="15"/>
        <w:widowControl/>
        <w:numPr>
          <w:ilvl w:val="0"/>
          <w:numId w:val="26"/>
        </w:numPr>
        <w:spacing w:before="156" w:beforeLines="50" w:after="156" w:afterLines="50" w:line="580" w:lineRule="exact"/>
        <w:ind w:left="1080" w:hanging="1080" w:firstLineChars="0"/>
        <w:jc w:val="center"/>
        <w:outlineLvl w:val="2"/>
        <w:rPr>
          <w:rFonts w:eastAsia="楷体_GB2312"/>
          <w:b/>
          <w:color w:val="000000"/>
          <w:kern w:val="0"/>
          <w:sz w:val="32"/>
          <w:szCs w:val="32"/>
        </w:rPr>
      </w:pPr>
      <w:bookmarkStart w:id="613" w:name="_Toc31400"/>
      <w:r>
        <w:rPr>
          <w:rFonts w:hint="eastAsia" w:eastAsia="楷体_GB2312"/>
          <w:b/>
          <w:color w:val="000000"/>
          <w:kern w:val="0"/>
          <w:sz w:val="32"/>
          <w:szCs w:val="32"/>
        </w:rPr>
        <w:t xml:space="preserve"> </w:t>
      </w:r>
      <w:bookmarkStart w:id="614" w:name="_Toc218241152"/>
      <w:r>
        <w:rPr>
          <w:rFonts w:hint="eastAsia" w:eastAsia="楷体_GB2312"/>
          <w:b/>
          <w:color w:val="000000"/>
          <w:kern w:val="0"/>
          <w:sz w:val="32"/>
          <w:szCs w:val="32"/>
        </w:rPr>
        <w:t>开展新时代爱国主义教育</w:t>
      </w:r>
      <w:bookmarkEnd w:id="613"/>
      <w:bookmarkEnd w:id="614"/>
    </w:p>
    <w:p w14:paraId="04E7AADA">
      <w:pPr>
        <w:spacing w:line="580" w:lineRule="exact"/>
        <w:ind w:firstLine="640" w:firstLineChars="200"/>
        <w:rPr>
          <w:rFonts w:eastAsia="仿宋_GB2312"/>
          <w:sz w:val="32"/>
          <w:szCs w:val="32"/>
        </w:rPr>
      </w:pPr>
      <w:r>
        <w:rPr>
          <w:rFonts w:hint="eastAsia" w:eastAsia="仿宋_GB2312"/>
          <w:sz w:val="32"/>
          <w:szCs w:val="32"/>
        </w:rPr>
        <w:t>坚持以习近平新时代中国特色社会主义思想为指导，深入开展中国特色社会主义和中国梦教育。加强甲洼镇红色教育实践基地建设，深入开展爱国主义、集体主义、社会主义教育，大力弘扬以爱国主义为核心的民族精神和以改革创新为核心的时代精神。持续抓好党史、新中国史、改革开放史、社会主义发展史宣传教育，引导人民知史爱党、知史爱国，不断坚定中国特色社会主义共同理想。推进中小学爱国主义教育一体化建设，抓好</w:t>
      </w:r>
      <w:r>
        <w:rPr>
          <w:rFonts w:eastAsia="仿宋_GB2312"/>
          <w:sz w:val="32"/>
          <w:szCs w:val="32"/>
        </w:rPr>
        <w:t>“</w:t>
      </w:r>
      <w:r>
        <w:rPr>
          <w:rFonts w:hint="eastAsia" w:eastAsia="仿宋_GB2312"/>
          <w:sz w:val="32"/>
          <w:szCs w:val="32"/>
        </w:rPr>
        <w:t>大思政</w:t>
      </w:r>
      <w:r>
        <w:rPr>
          <w:rFonts w:eastAsia="仿宋_GB2312"/>
          <w:sz w:val="32"/>
          <w:szCs w:val="32"/>
        </w:rPr>
        <w:t>”</w:t>
      </w:r>
      <w:r>
        <w:rPr>
          <w:rFonts w:hint="eastAsia" w:eastAsia="仿宋_GB2312"/>
          <w:sz w:val="32"/>
          <w:szCs w:val="32"/>
        </w:rPr>
        <w:t>课堂建设。广泛开展网上主题教育活动，推动爱国主义教育、红色旅游与网络传播有机结合。</w:t>
      </w:r>
    </w:p>
    <w:p w14:paraId="53F2D377">
      <w:pPr>
        <w:pStyle w:val="15"/>
        <w:widowControl/>
        <w:numPr>
          <w:ilvl w:val="0"/>
          <w:numId w:val="26"/>
        </w:numPr>
        <w:spacing w:before="156" w:beforeLines="50" w:after="156" w:afterLines="50" w:line="580" w:lineRule="exact"/>
        <w:ind w:left="1080" w:hanging="1080" w:firstLineChars="0"/>
        <w:jc w:val="center"/>
        <w:outlineLvl w:val="2"/>
        <w:rPr>
          <w:rFonts w:eastAsia="楷体_GB2312"/>
          <w:b/>
          <w:color w:val="000000"/>
          <w:kern w:val="0"/>
          <w:sz w:val="32"/>
          <w:szCs w:val="32"/>
        </w:rPr>
      </w:pPr>
      <w:bookmarkStart w:id="615" w:name="_Toc1133"/>
      <w:r>
        <w:rPr>
          <w:rFonts w:hint="eastAsia" w:eastAsia="楷体_GB2312"/>
          <w:b/>
          <w:color w:val="000000"/>
          <w:kern w:val="0"/>
          <w:sz w:val="32"/>
          <w:szCs w:val="32"/>
        </w:rPr>
        <w:t xml:space="preserve"> </w:t>
      </w:r>
      <w:bookmarkStart w:id="616" w:name="_Toc218241153"/>
      <w:r>
        <w:rPr>
          <w:rFonts w:hint="eastAsia" w:eastAsia="楷体_GB2312"/>
          <w:b/>
          <w:color w:val="000000"/>
          <w:kern w:val="0"/>
          <w:sz w:val="32"/>
          <w:szCs w:val="32"/>
        </w:rPr>
        <w:t>加强社会主义精神文明建设</w:t>
      </w:r>
      <w:bookmarkEnd w:id="615"/>
      <w:bookmarkEnd w:id="616"/>
    </w:p>
    <w:p w14:paraId="6DD82B27">
      <w:pPr>
        <w:spacing w:line="580" w:lineRule="exact"/>
        <w:ind w:firstLine="640" w:firstLineChars="200"/>
        <w:rPr>
          <w:rFonts w:eastAsia="仿宋_GB2312"/>
          <w:sz w:val="32"/>
          <w:szCs w:val="32"/>
        </w:rPr>
      </w:pPr>
      <w:r>
        <w:rPr>
          <w:rFonts w:hint="eastAsia" w:eastAsia="仿宋_GB2312"/>
          <w:sz w:val="32"/>
          <w:szCs w:val="32"/>
        </w:rPr>
        <w:t>大力培育和弘扬社会主义核心价值观，统筹推动文明培育、文明实践、文明创建，推进城乡精神文明建设融合发展。实施文明创建工程，持续开展文明村镇、文明单位、文明景区、文明家庭、文明校园创建。积极倡导科学、文明、健康的生活方式，发展壮大主流价值、主流舆论、主流文化，通过文艺作品、文化体验、公共服务等，培育文明新风，加强文明实践。持续推进乡村精神文明建设，弘扬新风正气，推动农村移风易俗，焕发乡村文明新气象。深化拓展新时代文明实践中心（所、站）功能，健全县、乡、村三级志愿服务队伍体系。加强诚信体系建设，构建信用联合惩戒机制，形成全社会重信守诺的良好风尚。</w:t>
      </w:r>
    </w:p>
    <w:p w14:paraId="0101D52B">
      <w:pPr>
        <w:pStyle w:val="15"/>
        <w:widowControl/>
        <w:numPr>
          <w:ilvl w:val="0"/>
          <w:numId w:val="26"/>
        </w:numPr>
        <w:spacing w:before="156" w:beforeLines="50" w:after="156" w:afterLines="50" w:line="580" w:lineRule="exact"/>
        <w:ind w:left="1080" w:hanging="1080" w:firstLineChars="0"/>
        <w:jc w:val="center"/>
        <w:outlineLvl w:val="2"/>
        <w:rPr>
          <w:rFonts w:eastAsia="楷体_GB2312"/>
          <w:b/>
          <w:color w:val="000000"/>
          <w:kern w:val="0"/>
          <w:sz w:val="32"/>
          <w:szCs w:val="32"/>
        </w:rPr>
      </w:pPr>
      <w:bookmarkStart w:id="617" w:name="_Toc16803"/>
      <w:r>
        <w:rPr>
          <w:rFonts w:hint="eastAsia" w:eastAsia="楷体_GB2312"/>
          <w:b/>
          <w:color w:val="000000"/>
          <w:kern w:val="0"/>
          <w:sz w:val="32"/>
          <w:szCs w:val="32"/>
        </w:rPr>
        <w:t xml:space="preserve"> </w:t>
      </w:r>
      <w:bookmarkStart w:id="618" w:name="_Toc218241154"/>
      <w:r>
        <w:rPr>
          <w:rFonts w:hint="eastAsia" w:eastAsia="楷体_GB2312"/>
          <w:b/>
          <w:color w:val="000000"/>
          <w:kern w:val="0"/>
          <w:sz w:val="32"/>
          <w:szCs w:val="32"/>
        </w:rPr>
        <w:t>深入推动公民道德建设</w:t>
      </w:r>
      <w:bookmarkEnd w:id="617"/>
      <w:bookmarkEnd w:id="618"/>
    </w:p>
    <w:p w14:paraId="655D0A8F">
      <w:pPr>
        <w:spacing w:line="580" w:lineRule="exact"/>
        <w:ind w:firstLine="640" w:firstLineChars="200"/>
        <w:jc w:val="left"/>
        <w:rPr>
          <w:rFonts w:eastAsia="仿宋_GB2312"/>
          <w:sz w:val="32"/>
          <w:szCs w:val="32"/>
        </w:rPr>
      </w:pPr>
      <w:r>
        <w:rPr>
          <w:rFonts w:hint="eastAsia" w:eastAsia="仿宋_GB2312"/>
          <w:sz w:val="32"/>
          <w:szCs w:val="32"/>
        </w:rPr>
        <w:t>加强新时代公民道德建设，大力推进社会公德、职业道德、家庭美德、个人品德建设，引导人们自觉明大德、守公德、严私德。完善家庭、学校、政府、社会相结合的思想道德教育体系，突出抓好未成年人思想道德建设，</w:t>
      </w:r>
      <w:r>
        <w:rPr>
          <w:rFonts w:hint="eastAsia" w:eastAsia="仿宋_GB2312"/>
          <w:bCs/>
          <w:color w:val="000000"/>
          <w:sz w:val="32"/>
          <w:szCs w:val="32"/>
        </w:rPr>
        <w:t>引导青少年形成正确人生观、价值观和世界观</w:t>
      </w:r>
      <w:r>
        <w:rPr>
          <w:rFonts w:hint="eastAsia" w:eastAsia="仿宋_GB2312"/>
          <w:sz w:val="32"/>
          <w:szCs w:val="32"/>
        </w:rPr>
        <w:t>。加强家庭、家教、家风建设，用良好家教家风涵育道德品行。发挥先进典型示范作用，推树宣传身边的</w:t>
      </w:r>
      <w:r>
        <w:rPr>
          <w:rFonts w:eastAsia="仿宋_GB2312"/>
          <w:sz w:val="32"/>
          <w:szCs w:val="32"/>
        </w:rPr>
        <w:t>“</w:t>
      </w:r>
      <w:r>
        <w:rPr>
          <w:rFonts w:hint="eastAsia" w:eastAsia="仿宋_GB2312"/>
          <w:sz w:val="32"/>
          <w:szCs w:val="32"/>
        </w:rPr>
        <w:t>理塘好人</w:t>
      </w:r>
      <w:r>
        <w:rPr>
          <w:rFonts w:eastAsia="仿宋_GB2312"/>
          <w:sz w:val="32"/>
          <w:szCs w:val="32"/>
        </w:rPr>
        <w:t>”</w:t>
      </w:r>
      <w:r>
        <w:rPr>
          <w:rFonts w:hint="eastAsia" w:eastAsia="仿宋_GB2312"/>
          <w:sz w:val="32"/>
          <w:szCs w:val="32"/>
        </w:rPr>
        <w:t>，落实身边好人、道德模范帮扶礼遇机制，鲜明</w:t>
      </w:r>
      <w:r>
        <w:rPr>
          <w:rFonts w:eastAsia="仿宋_GB2312"/>
          <w:sz w:val="32"/>
          <w:szCs w:val="32"/>
        </w:rPr>
        <w:t>“</w:t>
      </w:r>
      <w:r>
        <w:rPr>
          <w:rFonts w:hint="eastAsia" w:eastAsia="仿宋_GB2312"/>
          <w:sz w:val="32"/>
          <w:szCs w:val="32"/>
        </w:rPr>
        <w:t>德者有得、好人好报</w:t>
      </w:r>
      <w:r>
        <w:rPr>
          <w:rFonts w:eastAsia="仿宋_GB2312"/>
          <w:sz w:val="32"/>
          <w:szCs w:val="32"/>
        </w:rPr>
        <w:t>”</w:t>
      </w:r>
      <w:r>
        <w:rPr>
          <w:rFonts w:hint="eastAsia" w:eastAsia="仿宋_GB2312"/>
          <w:sz w:val="32"/>
          <w:szCs w:val="32"/>
        </w:rPr>
        <w:t>的价值导向。大力弘扬中华民族传统美德，广泛开展弘扬时代新风行动。充分利用新媒体手段，加大特色公益广告的制作和传播，弘扬个人美德、社会公德。</w:t>
      </w:r>
    </w:p>
    <w:p w14:paraId="5D6DA485">
      <w:pPr>
        <w:widowControl/>
        <w:spacing w:before="156" w:beforeLines="50" w:after="156" w:afterLines="50" w:line="580" w:lineRule="exact"/>
        <w:jc w:val="center"/>
        <w:outlineLvl w:val="1"/>
        <w:rPr>
          <w:rFonts w:eastAsia="黑体"/>
          <w:bCs/>
          <w:color w:val="000000"/>
          <w:kern w:val="0"/>
          <w:sz w:val="32"/>
          <w:szCs w:val="32"/>
        </w:rPr>
      </w:pPr>
      <w:bookmarkStart w:id="619" w:name="_Toc32166"/>
      <w:bookmarkStart w:id="620" w:name="_Toc28771"/>
      <w:bookmarkStart w:id="621" w:name="_Toc212814852"/>
      <w:bookmarkStart w:id="622" w:name="_Toc214372660"/>
      <w:bookmarkStart w:id="623" w:name="_Toc218241155"/>
      <w:r>
        <w:rPr>
          <w:rFonts w:hint="eastAsia" w:eastAsia="黑体"/>
          <w:bCs/>
          <w:color w:val="000000"/>
          <w:kern w:val="0"/>
          <w:sz w:val="32"/>
          <w:szCs w:val="32"/>
        </w:rPr>
        <w:t>第二十八章  传承创新悠远厚重民族文化</w:t>
      </w:r>
      <w:bookmarkEnd w:id="619"/>
      <w:bookmarkEnd w:id="620"/>
      <w:bookmarkEnd w:id="621"/>
      <w:bookmarkEnd w:id="622"/>
      <w:bookmarkEnd w:id="623"/>
    </w:p>
    <w:p w14:paraId="1E27FBC0">
      <w:pPr>
        <w:pStyle w:val="15"/>
        <w:widowControl/>
        <w:numPr>
          <w:ilvl w:val="0"/>
          <w:numId w:val="27"/>
        </w:numPr>
        <w:spacing w:before="156" w:beforeLines="50" w:after="156" w:afterLines="50" w:line="580" w:lineRule="exact"/>
        <w:ind w:left="1080" w:hanging="1080" w:firstLineChars="0"/>
        <w:jc w:val="center"/>
        <w:outlineLvl w:val="2"/>
        <w:rPr>
          <w:rFonts w:eastAsia="楷体_GB2312"/>
          <w:b/>
          <w:color w:val="000000"/>
          <w:kern w:val="0"/>
          <w:sz w:val="32"/>
          <w:szCs w:val="32"/>
        </w:rPr>
      </w:pPr>
      <w:bookmarkStart w:id="624" w:name="_Toc3884"/>
      <w:r>
        <w:rPr>
          <w:rFonts w:hint="eastAsia" w:eastAsia="楷体_GB2312"/>
          <w:b/>
          <w:color w:val="000000"/>
          <w:kern w:val="0"/>
          <w:sz w:val="32"/>
          <w:szCs w:val="32"/>
        </w:rPr>
        <w:t xml:space="preserve"> </w:t>
      </w:r>
      <w:bookmarkStart w:id="625" w:name="_Toc218241156"/>
      <w:r>
        <w:rPr>
          <w:rFonts w:hint="eastAsia" w:eastAsia="楷体_GB2312"/>
          <w:b/>
          <w:color w:val="000000"/>
          <w:kern w:val="0"/>
          <w:sz w:val="32"/>
          <w:szCs w:val="32"/>
        </w:rPr>
        <w:t>深度挖掘民族特色文化内涵</w:t>
      </w:r>
      <w:bookmarkEnd w:id="624"/>
      <w:bookmarkEnd w:id="625"/>
    </w:p>
    <w:p w14:paraId="3390A0E8">
      <w:pPr>
        <w:pStyle w:val="18"/>
        <w:spacing w:after="0" w:line="578" w:lineRule="atLeast"/>
        <w:ind w:firstLine="641"/>
      </w:pPr>
      <w:r>
        <w:rPr>
          <w:rFonts w:hint="eastAsia" w:eastAsia="仿宋_GB2312"/>
          <w:sz w:val="32"/>
          <w:szCs w:val="32"/>
        </w:rPr>
        <w:t>深挖理塘康巴文化、茶马古道文化、情歌文化，弘扬游牧文化、农耕文化，不断</w:t>
      </w:r>
      <w:bookmarkStart w:id="626" w:name="OLE_LINK30"/>
      <w:bookmarkStart w:id="627" w:name="OLE_LINK29"/>
      <w:r>
        <w:rPr>
          <w:rFonts w:hint="eastAsia" w:eastAsia="仿宋_GB2312"/>
          <w:sz w:val="32"/>
          <w:szCs w:val="32"/>
        </w:rPr>
        <w:t>提高文化软实力和影响力</w:t>
      </w:r>
      <w:bookmarkEnd w:id="626"/>
      <w:bookmarkEnd w:id="627"/>
      <w:r>
        <w:rPr>
          <w:rFonts w:hint="eastAsia" w:eastAsia="仿宋_GB2312"/>
          <w:sz w:val="32"/>
          <w:szCs w:val="32"/>
        </w:rPr>
        <w:t>。充分挖掘红色文化，大力推进长征国家文化公园（理塘段）建设。深入挖掘理塘县康南藏文化研究内涵，结合理塘山歌、藏戏、锅庄等表现形式，支持舞台剧幕、文化演艺、影视剧作、美术创作、广播电视等文艺精品创作工程。组建一支高水平文化顾问团队，搭建藏文化交流共享平台，常态化举办理塘文化保护研讨会、非遗技艺传承论坛等活动，深挖理塘藏文化的历史传承脉络和深刻内涵。依托赛马会系列活动、藏历新年民俗展演等重要节庆活动和特色民俗活动，强化理塘</w:t>
      </w:r>
      <w:r>
        <w:rPr>
          <w:rFonts w:eastAsia="仿宋_GB2312"/>
          <w:sz w:val="32"/>
          <w:szCs w:val="32"/>
        </w:rPr>
        <w:t>“</w:t>
      </w:r>
      <w:r>
        <w:rPr>
          <w:rFonts w:hint="eastAsia" w:eastAsia="仿宋_GB2312"/>
          <w:sz w:val="32"/>
          <w:szCs w:val="32"/>
        </w:rPr>
        <w:t>天空之城</w:t>
      </w:r>
      <w:r>
        <w:rPr>
          <w:rFonts w:eastAsia="仿宋_GB2312"/>
          <w:sz w:val="32"/>
          <w:szCs w:val="32"/>
        </w:rPr>
        <w:t>”</w:t>
      </w:r>
      <w:r>
        <w:rPr>
          <w:rFonts w:hint="eastAsia" w:eastAsia="仿宋_GB2312"/>
          <w:sz w:val="32"/>
          <w:szCs w:val="32"/>
        </w:rPr>
        <w:t>文化标识。</w:t>
      </w:r>
    </w:p>
    <w:p w14:paraId="301D764B">
      <w:pPr>
        <w:pStyle w:val="15"/>
        <w:widowControl/>
        <w:numPr>
          <w:ilvl w:val="0"/>
          <w:numId w:val="27"/>
        </w:numPr>
        <w:spacing w:before="156" w:beforeLines="50" w:after="156" w:afterLines="50" w:line="580" w:lineRule="exact"/>
        <w:ind w:left="1080" w:hanging="1080" w:firstLineChars="0"/>
        <w:jc w:val="center"/>
        <w:outlineLvl w:val="2"/>
        <w:rPr>
          <w:rFonts w:eastAsia="楷体_GB2312"/>
          <w:b/>
          <w:color w:val="000000"/>
          <w:kern w:val="0"/>
          <w:sz w:val="32"/>
          <w:szCs w:val="32"/>
        </w:rPr>
      </w:pPr>
      <w:bookmarkStart w:id="628" w:name="_Toc22306"/>
      <w:r>
        <w:rPr>
          <w:rFonts w:hint="eastAsia" w:eastAsia="楷体_GB2312"/>
          <w:b/>
          <w:color w:val="000000"/>
          <w:kern w:val="0"/>
          <w:sz w:val="32"/>
          <w:szCs w:val="32"/>
        </w:rPr>
        <w:t xml:space="preserve"> </w:t>
      </w:r>
      <w:bookmarkStart w:id="629" w:name="_Toc218241157"/>
      <w:r>
        <w:rPr>
          <w:rFonts w:hint="eastAsia" w:eastAsia="楷体_GB2312"/>
          <w:b/>
          <w:color w:val="000000"/>
          <w:kern w:val="0"/>
          <w:sz w:val="32"/>
          <w:szCs w:val="32"/>
        </w:rPr>
        <w:t>推动民族文化融合创新发展</w:t>
      </w:r>
      <w:bookmarkEnd w:id="628"/>
      <w:bookmarkEnd w:id="629"/>
    </w:p>
    <w:p w14:paraId="2A233660">
      <w:pPr>
        <w:spacing w:line="580" w:lineRule="exact"/>
        <w:ind w:firstLine="640" w:firstLineChars="200"/>
        <w:jc w:val="left"/>
        <w:rPr>
          <w:rFonts w:eastAsia="仿宋_GB2312"/>
          <w:sz w:val="32"/>
          <w:szCs w:val="32"/>
        </w:rPr>
      </w:pPr>
      <w:r>
        <w:rPr>
          <w:rFonts w:hint="eastAsia" w:eastAsia="仿宋_GB2312"/>
          <w:sz w:val="32"/>
          <w:szCs w:val="32"/>
        </w:rPr>
        <w:t>坚持文化大传承战略，深度研发旅游文化产品，广泛开展特色锅庄舞、理塘藏戏等文化、体育活动，不断扩大理塘赛马文化旅游季等重大节庆活动影响力。</w:t>
      </w:r>
      <w:r>
        <w:rPr>
          <w:rFonts w:hint="eastAsia" w:eastAsia="仿宋_GB2312"/>
          <w:color w:val="000000"/>
          <w:kern w:val="0"/>
          <w:sz w:val="32"/>
          <w:szCs w:val="32"/>
        </w:rPr>
        <w:t>推动传统文化创造性转化和创新性发展，开展非遗活态展呈、非遗技艺体验、民俗文化研习、历史文化课堂等旅游活动。推动</w:t>
      </w:r>
      <w:r>
        <w:rPr>
          <w:rFonts w:eastAsia="仿宋_GB2312"/>
          <w:color w:val="000000"/>
          <w:kern w:val="0"/>
          <w:sz w:val="32"/>
          <w:szCs w:val="32"/>
        </w:rPr>
        <w:t>“</w:t>
      </w:r>
      <w:r>
        <w:rPr>
          <w:rFonts w:hint="eastAsia" w:eastAsia="仿宋_GB2312"/>
          <w:color w:val="000000"/>
          <w:kern w:val="0"/>
          <w:sz w:val="32"/>
          <w:szCs w:val="32"/>
        </w:rPr>
        <w:t>文化</w:t>
      </w:r>
      <w:r>
        <w:rPr>
          <w:rFonts w:eastAsia="仿宋_GB2312"/>
          <w:color w:val="000000"/>
          <w:kern w:val="0"/>
          <w:sz w:val="32"/>
          <w:szCs w:val="32"/>
        </w:rPr>
        <w:t>+”“+</w:t>
      </w:r>
      <w:r>
        <w:rPr>
          <w:rFonts w:hint="eastAsia" w:eastAsia="仿宋_GB2312"/>
          <w:color w:val="000000"/>
          <w:kern w:val="0"/>
          <w:sz w:val="32"/>
          <w:szCs w:val="32"/>
        </w:rPr>
        <w:t>文化</w:t>
      </w:r>
      <w:r>
        <w:rPr>
          <w:rFonts w:eastAsia="仿宋_GB2312"/>
          <w:color w:val="000000"/>
          <w:kern w:val="0"/>
          <w:sz w:val="32"/>
          <w:szCs w:val="32"/>
        </w:rPr>
        <w:t>”</w:t>
      </w:r>
      <w:r>
        <w:rPr>
          <w:rFonts w:hint="eastAsia" w:eastAsia="仿宋_GB2312"/>
          <w:color w:val="000000"/>
          <w:kern w:val="0"/>
          <w:sz w:val="32"/>
          <w:szCs w:val="32"/>
        </w:rPr>
        <w:t>融合发展，丰富文化游览、非遗体验、沉浸演艺、文化研学、节会活动、主题民宿等文化旅游场景。</w:t>
      </w:r>
      <w:r>
        <w:rPr>
          <w:rFonts w:hint="eastAsia" w:eastAsia="仿宋_GB2312"/>
          <w:sz w:val="32"/>
          <w:szCs w:val="32"/>
        </w:rPr>
        <w:t>鼓励以赛马文化为核心创作歌剧、舞剧、动漫等文艺精品，打造一批反映理塘民族文化的艺术精品。</w:t>
      </w:r>
      <w:r>
        <w:rPr>
          <w:rFonts w:hint="eastAsia" w:eastAsia="仿宋_GB2312"/>
          <w:color w:val="000000"/>
          <w:kern w:val="0"/>
          <w:sz w:val="32"/>
          <w:szCs w:val="32"/>
        </w:rPr>
        <w:t>依托酥油花、刺绣、藏族书法等非遗资源，提高理塘文化产品的创意设计及研发深度，开发具有理塘特色的文创</w:t>
      </w:r>
      <w:r>
        <w:rPr>
          <w:rFonts w:eastAsia="仿宋_GB2312"/>
          <w:color w:val="000000"/>
          <w:kern w:val="0"/>
          <w:sz w:val="32"/>
          <w:szCs w:val="32"/>
        </w:rPr>
        <w:t>IP</w:t>
      </w:r>
      <w:r>
        <w:rPr>
          <w:rFonts w:hint="eastAsia" w:eastAsia="仿宋_GB2312"/>
          <w:color w:val="000000"/>
          <w:kern w:val="0"/>
          <w:sz w:val="32"/>
          <w:szCs w:val="32"/>
        </w:rPr>
        <w:t>。</w:t>
      </w:r>
    </w:p>
    <w:p w14:paraId="2F6D716F">
      <w:pPr>
        <w:pStyle w:val="15"/>
        <w:widowControl/>
        <w:numPr>
          <w:ilvl w:val="0"/>
          <w:numId w:val="27"/>
        </w:numPr>
        <w:spacing w:before="156" w:beforeLines="50" w:after="156" w:afterLines="50" w:line="580" w:lineRule="exact"/>
        <w:ind w:left="1080" w:hanging="1080" w:firstLineChars="0"/>
        <w:jc w:val="center"/>
        <w:outlineLvl w:val="2"/>
        <w:rPr>
          <w:rFonts w:eastAsia="楷体_GB2312"/>
          <w:b/>
          <w:color w:val="000000"/>
          <w:kern w:val="0"/>
          <w:sz w:val="32"/>
          <w:szCs w:val="32"/>
        </w:rPr>
      </w:pPr>
      <w:bookmarkStart w:id="630" w:name="_Toc25087"/>
      <w:r>
        <w:rPr>
          <w:rFonts w:hint="eastAsia" w:eastAsia="楷体_GB2312"/>
          <w:b/>
          <w:color w:val="000000"/>
          <w:kern w:val="0"/>
          <w:sz w:val="32"/>
          <w:szCs w:val="32"/>
        </w:rPr>
        <w:t xml:space="preserve"> </w:t>
      </w:r>
      <w:bookmarkStart w:id="631" w:name="_Toc218241158"/>
      <w:r>
        <w:rPr>
          <w:rFonts w:hint="eastAsia" w:eastAsia="楷体_GB2312"/>
          <w:b/>
          <w:color w:val="000000"/>
          <w:kern w:val="0"/>
          <w:sz w:val="32"/>
          <w:szCs w:val="32"/>
        </w:rPr>
        <w:t>加强非遗文化保护利用</w:t>
      </w:r>
      <w:bookmarkEnd w:id="630"/>
      <w:bookmarkEnd w:id="631"/>
    </w:p>
    <w:p w14:paraId="671EB28B">
      <w:pPr>
        <w:spacing w:line="580" w:lineRule="exact"/>
        <w:ind w:firstLine="640" w:firstLineChars="200"/>
        <w:jc w:val="left"/>
        <w:rPr>
          <w:rFonts w:eastAsia="仿宋_GB2312"/>
          <w:sz w:val="32"/>
          <w:szCs w:val="32"/>
        </w:rPr>
      </w:pPr>
      <w:r>
        <w:rPr>
          <w:rFonts w:hint="eastAsia" w:eastAsia="仿宋_GB2312"/>
          <w:color w:val="000000"/>
          <w:kern w:val="0"/>
          <w:sz w:val="32"/>
          <w:szCs w:val="32"/>
        </w:rPr>
        <w:t>加大各级文物保护单位、革命文物等保护力度，推进国有建筑类文物保护单位</w:t>
      </w:r>
      <w:r>
        <w:rPr>
          <w:rFonts w:eastAsia="仿宋_GB2312"/>
          <w:color w:val="000000"/>
          <w:kern w:val="0"/>
          <w:sz w:val="32"/>
          <w:szCs w:val="32"/>
        </w:rPr>
        <w:t>“</w:t>
      </w:r>
      <w:r>
        <w:rPr>
          <w:rFonts w:hint="eastAsia" w:eastAsia="仿宋_GB2312"/>
          <w:color w:val="000000"/>
          <w:kern w:val="0"/>
          <w:sz w:val="32"/>
          <w:szCs w:val="32"/>
        </w:rPr>
        <w:t>博物馆化</w:t>
      </w:r>
      <w:r>
        <w:rPr>
          <w:rFonts w:eastAsia="仿宋_GB2312"/>
          <w:color w:val="000000"/>
          <w:kern w:val="0"/>
          <w:sz w:val="32"/>
          <w:szCs w:val="32"/>
        </w:rPr>
        <w:t>”</w:t>
      </w:r>
      <w:r>
        <w:rPr>
          <w:rFonts w:hint="eastAsia" w:eastAsia="仿宋_GB2312"/>
          <w:color w:val="000000"/>
          <w:kern w:val="0"/>
          <w:sz w:val="32"/>
          <w:szCs w:val="32"/>
        </w:rPr>
        <w:t>，发挥其社会服务和教育功能。结合县文化馆打造</w:t>
      </w:r>
      <w:r>
        <w:rPr>
          <w:rFonts w:eastAsia="仿宋_GB2312"/>
          <w:color w:val="000000"/>
          <w:kern w:val="0"/>
          <w:sz w:val="32"/>
          <w:szCs w:val="32"/>
        </w:rPr>
        <w:t>“</w:t>
      </w:r>
      <w:r>
        <w:rPr>
          <w:rFonts w:hint="eastAsia" w:eastAsia="仿宋_GB2312"/>
          <w:color w:val="000000"/>
          <w:kern w:val="0"/>
          <w:sz w:val="32"/>
          <w:szCs w:val="32"/>
        </w:rPr>
        <w:t>理塘县非遗保护中心</w:t>
      </w:r>
      <w:r>
        <w:rPr>
          <w:rFonts w:eastAsia="仿宋_GB2312"/>
          <w:color w:val="000000"/>
          <w:kern w:val="0"/>
          <w:sz w:val="32"/>
          <w:szCs w:val="32"/>
        </w:rPr>
        <w:t>”</w:t>
      </w:r>
      <w:r>
        <w:rPr>
          <w:rFonts w:hint="eastAsia" w:eastAsia="仿宋_GB2312"/>
          <w:color w:val="000000"/>
          <w:kern w:val="0"/>
          <w:sz w:val="32"/>
          <w:szCs w:val="32"/>
        </w:rPr>
        <w:t>，完善各级非遗文字、图片和音频资料，搭建全县非遗数据库，</w:t>
      </w:r>
      <w:r>
        <w:rPr>
          <w:rFonts w:hint="eastAsia" w:eastAsia="仿宋_GB2312"/>
          <w:sz w:val="32"/>
          <w:szCs w:val="32"/>
        </w:rPr>
        <w:t>推动理塘锅庄、藏戏等非遗项目提级升格为国家级项目</w:t>
      </w:r>
      <w:r>
        <w:rPr>
          <w:rFonts w:hint="eastAsia" w:eastAsia="仿宋_GB2312"/>
          <w:color w:val="000000"/>
          <w:kern w:val="0"/>
          <w:sz w:val="32"/>
          <w:szCs w:val="32"/>
        </w:rPr>
        <w:t>。加强非遗传承人培养，建立非遗传承人工作室，开展非遗传承人研修、研习和培训，推进代表性传承人队伍的梯队建设。打造一批非遗传习所，促进非遗融入公共文化服务，持续开展非遗进景区、进社区、进校园系列活动。</w:t>
      </w:r>
      <w:r>
        <w:rPr>
          <w:rFonts w:hint="eastAsia" w:eastAsia="仿宋_GB2312"/>
          <w:sz w:val="32"/>
          <w:szCs w:val="32"/>
        </w:rPr>
        <w:t>加强历史文化遗产综合保护利用，塑造</w:t>
      </w:r>
      <w:r>
        <w:rPr>
          <w:rFonts w:eastAsia="仿宋_GB2312"/>
          <w:sz w:val="32"/>
          <w:szCs w:val="32"/>
        </w:rPr>
        <w:t>“</w:t>
      </w:r>
      <w:r>
        <w:rPr>
          <w:rFonts w:hint="eastAsia" w:eastAsia="仿宋_GB2312"/>
          <w:sz w:val="32"/>
          <w:szCs w:val="32"/>
        </w:rPr>
        <w:t>理塘藏戏</w:t>
      </w:r>
      <w:r>
        <w:rPr>
          <w:rFonts w:eastAsia="仿宋_GB2312"/>
          <w:sz w:val="32"/>
          <w:szCs w:val="32"/>
        </w:rPr>
        <w:t>”“</w:t>
      </w:r>
      <w:r>
        <w:rPr>
          <w:rFonts w:hint="eastAsia" w:eastAsia="仿宋_GB2312"/>
          <w:sz w:val="32"/>
          <w:szCs w:val="32"/>
        </w:rPr>
        <w:t>理塘赛马</w:t>
      </w:r>
      <w:r>
        <w:rPr>
          <w:rFonts w:eastAsia="仿宋_GB2312"/>
          <w:sz w:val="32"/>
          <w:szCs w:val="32"/>
        </w:rPr>
        <w:t>”“</w:t>
      </w:r>
      <w:r>
        <w:rPr>
          <w:rFonts w:hint="eastAsia" w:eastAsia="仿宋_GB2312"/>
          <w:sz w:val="32"/>
          <w:szCs w:val="32"/>
        </w:rPr>
        <w:t>理塘丁真家乡</w:t>
      </w:r>
      <w:r>
        <w:rPr>
          <w:rFonts w:eastAsia="仿宋_GB2312"/>
          <w:sz w:val="32"/>
          <w:szCs w:val="32"/>
        </w:rPr>
        <w:t>”“</w:t>
      </w:r>
      <w:r>
        <w:rPr>
          <w:rFonts w:hint="eastAsia" w:eastAsia="仿宋_GB2312"/>
          <w:sz w:val="32"/>
          <w:szCs w:val="32"/>
        </w:rPr>
        <w:t>理塘</w:t>
      </w:r>
      <w:r>
        <w:rPr>
          <w:rFonts w:eastAsia="仿宋_GB2312"/>
          <w:sz w:val="32"/>
          <w:szCs w:val="32"/>
        </w:rPr>
        <w:t>·</w:t>
      </w:r>
      <w:r>
        <w:rPr>
          <w:rFonts w:hint="eastAsia" w:eastAsia="仿宋_GB2312"/>
          <w:sz w:val="32"/>
          <w:szCs w:val="32"/>
        </w:rPr>
        <w:t>康南文化走廊</w:t>
      </w:r>
      <w:r>
        <w:rPr>
          <w:rFonts w:eastAsia="仿宋_GB2312"/>
          <w:sz w:val="32"/>
          <w:szCs w:val="32"/>
        </w:rPr>
        <w:t>”</w:t>
      </w:r>
      <w:r>
        <w:rPr>
          <w:rFonts w:hint="eastAsia" w:eastAsia="仿宋_GB2312"/>
          <w:sz w:val="32"/>
          <w:szCs w:val="32"/>
        </w:rPr>
        <w:t>等具有地域特色的文化品牌。</w:t>
      </w:r>
    </w:p>
    <w:p w14:paraId="37F3FC19">
      <w:pPr>
        <w:widowControl/>
        <w:spacing w:before="156" w:beforeLines="50" w:after="156" w:afterLines="50" w:line="580" w:lineRule="exact"/>
        <w:jc w:val="center"/>
        <w:outlineLvl w:val="1"/>
        <w:rPr>
          <w:rFonts w:eastAsia="黑体"/>
          <w:bCs/>
          <w:color w:val="000000"/>
          <w:kern w:val="0"/>
          <w:sz w:val="32"/>
          <w:szCs w:val="32"/>
        </w:rPr>
      </w:pPr>
      <w:bookmarkStart w:id="632" w:name="_Toc218241159"/>
      <w:bookmarkStart w:id="633" w:name="_Toc212814853"/>
      <w:bookmarkStart w:id="634" w:name="_Toc214372661"/>
      <w:bookmarkStart w:id="635" w:name="_Toc30795"/>
      <w:bookmarkStart w:id="636" w:name="_Toc27163"/>
      <w:r>
        <w:rPr>
          <w:rFonts w:hint="eastAsia" w:eastAsia="黑体"/>
          <w:bCs/>
          <w:color w:val="000000"/>
          <w:kern w:val="0"/>
          <w:sz w:val="32"/>
          <w:szCs w:val="32"/>
        </w:rPr>
        <w:t xml:space="preserve">第二十九章  </w:t>
      </w:r>
      <w:r>
        <w:rPr>
          <w:rFonts w:eastAsia="黑体"/>
          <w:bCs/>
          <w:color w:val="000000"/>
          <w:kern w:val="0"/>
          <w:sz w:val="32"/>
          <w:szCs w:val="32"/>
        </w:rPr>
        <w:t>强化优质公共文化供给</w:t>
      </w:r>
      <w:bookmarkEnd w:id="632"/>
      <w:bookmarkEnd w:id="633"/>
      <w:bookmarkEnd w:id="634"/>
      <w:bookmarkEnd w:id="635"/>
      <w:bookmarkEnd w:id="636"/>
    </w:p>
    <w:p w14:paraId="3397DE93">
      <w:pPr>
        <w:pStyle w:val="15"/>
        <w:widowControl/>
        <w:numPr>
          <w:ilvl w:val="0"/>
          <w:numId w:val="28"/>
        </w:numPr>
        <w:spacing w:before="156" w:beforeLines="50" w:after="156" w:afterLines="50" w:line="580" w:lineRule="exact"/>
        <w:ind w:left="1080" w:hanging="1080" w:firstLineChars="0"/>
        <w:jc w:val="center"/>
        <w:outlineLvl w:val="2"/>
        <w:rPr>
          <w:rFonts w:eastAsia="楷体_GB2312"/>
          <w:b/>
          <w:color w:val="000000"/>
          <w:kern w:val="0"/>
          <w:sz w:val="32"/>
          <w:szCs w:val="32"/>
        </w:rPr>
      </w:pPr>
      <w:bookmarkStart w:id="637" w:name="_Toc9442"/>
      <w:bookmarkStart w:id="638" w:name="OLE_LINK111"/>
      <w:bookmarkStart w:id="639" w:name="OLE_LINK110"/>
      <w:r>
        <w:rPr>
          <w:rFonts w:hint="eastAsia" w:eastAsia="楷体_GB2312"/>
          <w:b/>
          <w:color w:val="000000"/>
          <w:kern w:val="0"/>
          <w:sz w:val="32"/>
          <w:szCs w:val="32"/>
        </w:rPr>
        <w:t xml:space="preserve"> </w:t>
      </w:r>
      <w:bookmarkStart w:id="640" w:name="_Toc218241160"/>
      <w:r>
        <w:rPr>
          <w:rFonts w:hint="eastAsia" w:eastAsia="楷体_GB2312"/>
          <w:b/>
          <w:color w:val="000000"/>
          <w:kern w:val="0"/>
          <w:sz w:val="32"/>
          <w:szCs w:val="32"/>
        </w:rPr>
        <w:t>提升公共文化服务能力</w:t>
      </w:r>
      <w:bookmarkEnd w:id="637"/>
      <w:bookmarkEnd w:id="640"/>
    </w:p>
    <w:p w14:paraId="71621590">
      <w:pPr>
        <w:spacing w:line="580" w:lineRule="exact"/>
        <w:ind w:firstLine="640" w:firstLineChars="200"/>
        <w:jc w:val="left"/>
        <w:rPr>
          <w:rFonts w:eastAsia="仿宋_GB2312"/>
          <w:sz w:val="32"/>
          <w:szCs w:val="32"/>
        </w:rPr>
      </w:pPr>
      <w:r>
        <w:rPr>
          <w:rFonts w:hint="eastAsia" w:eastAsia="仿宋_GB2312"/>
          <w:sz w:val="32"/>
          <w:szCs w:val="32"/>
        </w:rPr>
        <w:t>全力打造县乡村三级公共文化设施网络，新建和改扩建一批图书馆、文化馆、美术馆、乡镇综合文化站等文化场馆，提升设施服务功能与覆盖范围。实施公共文化服务设施</w:t>
      </w:r>
      <w:r>
        <w:rPr>
          <w:rFonts w:eastAsia="仿宋_GB2312"/>
          <w:sz w:val="32"/>
          <w:szCs w:val="32"/>
        </w:rPr>
        <w:t>“</w:t>
      </w:r>
      <w:r>
        <w:rPr>
          <w:rFonts w:hint="eastAsia" w:eastAsia="仿宋_GB2312"/>
          <w:sz w:val="32"/>
          <w:szCs w:val="32"/>
        </w:rPr>
        <w:t>补短板</w:t>
      </w:r>
      <w:r>
        <w:rPr>
          <w:rFonts w:eastAsia="仿宋_GB2312"/>
          <w:sz w:val="32"/>
          <w:szCs w:val="32"/>
        </w:rPr>
        <w:t>”</w:t>
      </w:r>
      <w:r>
        <w:rPr>
          <w:rFonts w:hint="eastAsia" w:eastAsia="仿宋_GB2312"/>
          <w:sz w:val="32"/>
          <w:szCs w:val="32"/>
        </w:rPr>
        <w:t>工程，推动县文化馆、县图书馆积极创建国家二级馆，完善君坝镇、禾尼乡、格聂镇等中心镇健身中心、电子阅览室、小型戏台（舞台）、广播站等设施。以大型公共文化设施为主体、以乡镇、村（社区）基层文化设施为基础，推进文化服务与生产生活、旅游休闲、道路交通等空间</w:t>
      </w:r>
      <w:r>
        <w:rPr>
          <w:rFonts w:eastAsia="仿宋_GB2312"/>
          <w:sz w:val="32"/>
          <w:szCs w:val="32"/>
        </w:rPr>
        <w:t>“</w:t>
      </w:r>
      <w:r>
        <w:rPr>
          <w:rFonts w:hint="eastAsia" w:eastAsia="仿宋_GB2312"/>
          <w:sz w:val="32"/>
          <w:szCs w:val="32"/>
        </w:rPr>
        <w:t>嵌入融合</w:t>
      </w:r>
      <w:r>
        <w:rPr>
          <w:rFonts w:eastAsia="仿宋_GB2312"/>
          <w:sz w:val="32"/>
          <w:szCs w:val="32"/>
        </w:rPr>
        <w:t>”</w:t>
      </w:r>
      <w:r>
        <w:rPr>
          <w:rFonts w:hint="eastAsia" w:eastAsia="仿宋_GB2312"/>
          <w:sz w:val="32"/>
          <w:szCs w:val="32"/>
        </w:rPr>
        <w:t>，创新营造公共文化新场景，打造好仁康古街、康巴游牧文化体验区（濯桑乡）等特色标志性文化设施。主动融入甘孜州</w:t>
      </w:r>
      <w:r>
        <w:rPr>
          <w:rFonts w:eastAsia="仿宋_GB2312"/>
          <w:sz w:val="32"/>
          <w:szCs w:val="32"/>
        </w:rPr>
        <w:t>“</w:t>
      </w:r>
      <w:r>
        <w:rPr>
          <w:rFonts w:hint="eastAsia" w:eastAsia="仿宋_GB2312"/>
          <w:sz w:val="32"/>
          <w:szCs w:val="32"/>
        </w:rPr>
        <w:t>全域博物馆之州</w:t>
      </w:r>
      <w:r>
        <w:rPr>
          <w:rFonts w:eastAsia="仿宋_GB2312"/>
          <w:sz w:val="32"/>
          <w:szCs w:val="32"/>
        </w:rPr>
        <w:t>”</w:t>
      </w:r>
      <w:r>
        <w:rPr>
          <w:rFonts w:hint="eastAsia" w:eastAsia="仿宋_GB2312"/>
          <w:sz w:val="32"/>
          <w:szCs w:val="32"/>
        </w:rPr>
        <w:t>建设布局，打造以赛马文化博物馆为核心，多元微博物馆群为支撑的博物馆体系。</w:t>
      </w:r>
    </w:p>
    <w:p w14:paraId="63BEEA7B">
      <w:pPr>
        <w:pStyle w:val="15"/>
        <w:widowControl/>
        <w:numPr>
          <w:ilvl w:val="0"/>
          <w:numId w:val="28"/>
        </w:numPr>
        <w:spacing w:before="156" w:beforeLines="50" w:after="156" w:afterLines="50" w:line="580" w:lineRule="exact"/>
        <w:ind w:left="1080" w:hanging="1080" w:firstLineChars="0"/>
        <w:jc w:val="center"/>
        <w:outlineLvl w:val="2"/>
        <w:rPr>
          <w:rFonts w:eastAsia="楷体_GB2312"/>
          <w:b/>
          <w:color w:val="000000"/>
          <w:kern w:val="0"/>
          <w:sz w:val="32"/>
          <w:szCs w:val="32"/>
        </w:rPr>
      </w:pPr>
      <w:bookmarkStart w:id="641" w:name="_Toc21418"/>
      <w:r>
        <w:rPr>
          <w:rFonts w:hint="eastAsia" w:eastAsia="楷体_GB2312"/>
          <w:b/>
          <w:color w:val="000000"/>
          <w:kern w:val="0"/>
          <w:sz w:val="32"/>
          <w:szCs w:val="32"/>
        </w:rPr>
        <w:t xml:space="preserve"> </w:t>
      </w:r>
      <w:bookmarkStart w:id="642" w:name="_Toc218241161"/>
      <w:r>
        <w:rPr>
          <w:rFonts w:hint="eastAsia" w:eastAsia="楷体_GB2312"/>
          <w:b/>
          <w:color w:val="000000"/>
          <w:kern w:val="0"/>
          <w:sz w:val="32"/>
          <w:szCs w:val="32"/>
        </w:rPr>
        <w:t>增强公共文化服务效能</w:t>
      </w:r>
      <w:bookmarkEnd w:id="641"/>
      <w:bookmarkEnd w:id="642"/>
    </w:p>
    <w:p w14:paraId="199C9B41">
      <w:pPr>
        <w:spacing w:line="580" w:lineRule="exact"/>
        <w:ind w:firstLine="640" w:firstLineChars="200"/>
        <w:jc w:val="left"/>
        <w:rPr>
          <w:rFonts w:eastAsia="仿宋_GB2312"/>
          <w:sz w:val="32"/>
          <w:szCs w:val="32"/>
        </w:rPr>
      </w:pPr>
      <w:r>
        <w:rPr>
          <w:rFonts w:hint="eastAsia" w:eastAsia="仿宋_GB2312"/>
          <w:color w:val="000000"/>
          <w:kern w:val="0"/>
          <w:sz w:val="32"/>
          <w:szCs w:val="32"/>
        </w:rPr>
        <w:t>全面</w:t>
      </w:r>
      <w:r>
        <w:rPr>
          <w:rFonts w:hint="eastAsia" w:eastAsia="仿宋_GB2312"/>
          <w:sz w:val="32"/>
          <w:szCs w:val="32"/>
        </w:rPr>
        <w:t>推行图书馆、文化馆总分馆制度，实施</w:t>
      </w:r>
      <w:r>
        <w:rPr>
          <w:rFonts w:eastAsia="仿宋_GB2312"/>
          <w:sz w:val="32"/>
          <w:szCs w:val="32"/>
        </w:rPr>
        <w:t>“</w:t>
      </w:r>
      <w:r>
        <w:rPr>
          <w:rFonts w:hint="eastAsia" w:eastAsia="仿宋_GB2312"/>
          <w:sz w:val="32"/>
          <w:szCs w:val="32"/>
        </w:rPr>
        <w:t>家门口文化阵地</w:t>
      </w:r>
      <w:r>
        <w:rPr>
          <w:rFonts w:eastAsia="仿宋_GB2312"/>
          <w:sz w:val="32"/>
          <w:szCs w:val="32"/>
        </w:rPr>
        <w:t>”</w:t>
      </w:r>
      <w:r>
        <w:rPr>
          <w:rFonts w:hint="eastAsia" w:eastAsia="仿宋_GB2312"/>
          <w:sz w:val="32"/>
          <w:szCs w:val="32"/>
        </w:rPr>
        <w:t>精准供给。深入实施智慧广电乡村工程，推动理塘县数字文化馆、数字图书馆建设，完善理塘公共数字文化资源库，提高公共图书馆、文化馆、博物馆服务水平。打造</w:t>
      </w:r>
      <w:r>
        <w:rPr>
          <w:rFonts w:eastAsia="仿宋_GB2312"/>
          <w:sz w:val="32"/>
          <w:szCs w:val="32"/>
        </w:rPr>
        <w:t>“</w:t>
      </w:r>
      <w:r>
        <w:rPr>
          <w:rFonts w:hint="eastAsia" w:eastAsia="仿宋_GB2312"/>
          <w:sz w:val="32"/>
          <w:szCs w:val="32"/>
        </w:rPr>
        <w:t>理塘公共文化云</w:t>
      </w:r>
      <w:r>
        <w:rPr>
          <w:rFonts w:eastAsia="仿宋_GB2312"/>
          <w:sz w:val="32"/>
          <w:szCs w:val="32"/>
        </w:rPr>
        <w:t>”</w:t>
      </w:r>
      <w:r>
        <w:rPr>
          <w:rFonts w:hint="eastAsia" w:eastAsia="仿宋_GB2312"/>
          <w:sz w:val="32"/>
          <w:szCs w:val="32"/>
        </w:rPr>
        <w:t>一站式公共数字文化服务平台，建设线上</w:t>
      </w:r>
      <w:r>
        <w:rPr>
          <w:rFonts w:eastAsia="仿宋_GB2312"/>
          <w:sz w:val="32"/>
          <w:szCs w:val="32"/>
        </w:rPr>
        <w:t>“</w:t>
      </w:r>
      <w:r>
        <w:rPr>
          <w:rFonts w:hint="eastAsia" w:eastAsia="仿宋_GB2312"/>
          <w:sz w:val="32"/>
          <w:szCs w:val="32"/>
        </w:rPr>
        <w:t>公共文化服务超市</w:t>
      </w:r>
      <w:r>
        <w:rPr>
          <w:rFonts w:eastAsia="仿宋_GB2312"/>
          <w:sz w:val="32"/>
          <w:szCs w:val="32"/>
        </w:rPr>
        <w:t>”</w:t>
      </w:r>
      <w:r>
        <w:rPr>
          <w:rFonts w:hint="eastAsia" w:eastAsia="仿宋_GB2312"/>
          <w:sz w:val="32"/>
          <w:szCs w:val="32"/>
        </w:rPr>
        <w:t>，提升公共文化服务便捷性。提升</w:t>
      </w:r>
      <w:r>
        <w:rPr>
          <w:rFonts w:eastAsia="仿宋_GB2312"/>
          <w:color w:val="000000"/>
          <w:kern w:val="0"/>
          <w:sz w:val="32"/>
          <w:szCs w:val="32"/>
        </w:rPr>
        <w:t>“</w:t>
      </w:r>
      <w:r>
        <w:rPr>
          <w:rFonts w:hint="eastAsia" w:eastAsia="仿宋_GB2312"/>
          <w:color w:val="000000"/>
          <w:kern w:val="0"/>
          <w:sz w:val="32"/>
          <w:szCs w:val="32"/>
        </w:rPr>
        <w:t>订单式</w:t>
      </w:r>
      <w:r>
        <w:rPr>
          <w:rFonts w:eastAsia="仿宋_GB2312"/>
          <w:color w:val="000000"/>
          <w:kern w:val="0"/>
          <w:sz w:val="32"/>
          <w:szCs w:val="32"/>
        </w:rPr>
        <w:t>”“</w:t>
      </w:r>
      <w:r>
        <w:rPr>
          <w:rFonts w:hint="eastAsia" w:eastAsia="仿宋_GB2312"/>
          <w:color w:val="000000"/>
          <w:kern w:val="0"/>
          <w:sz w:val="32"/>
          <w:szCs w:val="32"/>
        </w:rPr>
        <w:t>菜单式</w:t>
      </w:r>
      <w:r>
        <w:rPr>
          <w:rFonts w:eastAsia="仿宋_GB2312"/>
          <w:color w:val="000000"/>
          <w:kern w:val="0"/>
          <w:sz w:val="32"/>
          <w:szCs w:val="32"/>
        </w:rPr>
        <w:t>”</w:t>
      </w:r>
      <w:r>
        <w:rPr>
          <w:rFonts w:hint="eastAsia" w:eastAsia="仿宋_GB2312"/>
          <w:color w:val="000000"/>
          <w:kern w:val="0"/>
          <w:sz w:val="32"/>
          <w:szCs w:val="32"/>
        </w:rPr>
        <w:t>服务，完善公共文化需求与供给对接机制，拓展公众沟通渠道。继续做好公共文化</w:t>
      </w:r>
      <w:r>
        <w:rPr>
          <w:rFonts w:eastAsia="仿宋_GB2312"/>
          <w:color w:val="000000"/>
          <w:kern w:val="0"/>
          <w:sz w:val="32"/>
          <w:szCs w:val="32"/>
        </w:rPr>
        <w:t>“</w:t>
      </w:r>
      <w:r>
        <w:rPr>
          <w:rFonts w:hint="eastAsia" w:eastAsia="仿宋_GB2312"/>
          <w:color w:val="000000"/>
          <w:kern w:val="0"/>
          <w:sz w:val="32"/>
          <w:szCs w:val="32"/>
        </w:rPr>
        <w:t>七进</w:t>
      </w:r>
      <w:r>
        <w:rPr>
          <w:rFonts w:eastAsia="仿宋_GB2312"/>
          <w:color w:val="000000"/>
          <w:kern w:val="0"/>
          <w:sz w:val="32"/>
          <w:szCs w:val="32"/>
        </w:rPr>
        <w:t>”</w:t>
      </w:r>
      <w:r>
        <w:rPr>
          <w:rFonts w:hint="eastAsia" w:eastAsia="仿宋_GB2312"/>
          <w:color w:val="000000"/>
          <w:kern w:val="0"/>
          <w:sz w:val="32"/>
          <w:szCs w:val="32"/>
        </w:rPr>
        <w:t>工作，培育</w:t>
      </w:r>
      <w:r>
        <w:rPr>
          <w:rFonts w:eastAsia="仿宋_GB2312"/>
          <w:color w:val="000000"/>
          <w:kern w:val="0"/>
          <w:sz w:val="32"/>
          <w:szCs w:val="32"/>
        </w:rPr>
        <w:t>“</w:t>
      </w:r>
      <w:r>
        <w:rPr>
          <w:rFonts w:hint="eastAsia" w:eastAsia="仿宋_GB2312"/>
          <w:color w:val="000000"/>
          <w:kern w:val="0"/>
          <w:sz w:val="32"/>
          <w:szCs w:val="32"/>
        </w:rPr>
        <w:t>流动公共文化</w:t>
      </w:r>
      <w:r>
        <w:rPr>
          <w:rFonts w:eastAsia="仿宋_GB2312"/>
          <w:color w:val="000000"/>
          <w:kern w:val="0"/>
          <w:sz w:val="32"/>
          <w:szCs w:val="32"/>
        </w:rPr>
        <w:t>”</w:t>
      </w:r>
      <w:r>
        <w:rPr>
          <w:rFonts w:hint="eastAsia" w:eastAsia="仿宋_GB2312"/>
          <w:color w:val="000000"/>
          <w:kern w:val="0"/>
          <w:sz w:val="32"/>
          <w:szCs w:val="32"/>
        </w:rPr>
        <w:t>品牌。建立公共文化服务多元投入机制，</w:t>
      </w:r>
      <w:r>
        <w:rPr>
          <w:rFonts w:hint="eastAsia" w:eastAsia="仿宋_GB2312"/>
          <w:sz w:val="32"/>
          <w:szCs w:val="32"/>
        </w:rPr>
        <w:t>鼓励社会组织和企业参与公共文化服务供给，着力提升公共文化服务的均衡性、可及性、针对性。</w:t>
      </w:r>
    </w:p>
    <w:p w14:paraId="2510325F">
      <w:pPr>
        <w:pStyle w:val="15"/>
        <w:widowControl/>
        <w:numPr>
          <w:ilvl w:val="0"/>
          <w:numId w:val="28"/>
        </w:numPr>
        <w:spacing w:before="156" w:beforeLines="50" w:after="156" w:afterLines="50" w:line="580" w:lineRule="exact"/>
        <w:ind w:left="1080" w:hanging="1080" w:firstLineChars="0"/>
        <w:jc w:val="center"/>
        <w:outlineLvl w:val="2"/>
        <w:rPr>
          <w:rFonts w:eastAsia="楷体_GB2312"/>
          <w:b/>
          <w:color w:val="000000"/>
          <w:kern w:val="0"/>
          <w:sz w:val="32"/>
          <w:szCs w:val="32"/>
        </w:rPr>
      </w:pPr>
      <w:bookmarkStart w:id="643" w:name="_Toc24745"/>
      <w:r>
        <w:rPr>
          <w:rFonts w:hint="eastAsia" w:eastAsia="楷体_GB2312"/>
          <w:b/>
          <w:color w:val="000000"/>
          <w:kern w:val="0"/>
          <w:sz w:val="32"/>
          <w:szCs w:val="32"/>
        </w:rPr>
        <w:t xml:space="preserve"> </w:t>
      </w:r>
      <w:bookmarkStart w:id="644" w:name="_Toc218241162"/>
      <w:r>
        <w:rPr>
          <w:rFonts w:hint="eastAsia" w:eastAsia="楷体_GB2312"/>
          <w:b/>
          <w:color w:val="000000"/>
          <w:kern w:val="0"/>
          <w:sz w:val="32"/>
          <w:szCs w:val="32"/>
        </w:rPr>
        <w:t>丰富群众精神文化生活</w:t>
      </w:r>
      <w:bookmarkEnd w:id="643"/>
      <w:bookmarkEnd w:id="644"/>
    </w:p>
    <w:p w14:paraId="5A09F4CB">
      <w:pPr>
        <w:spacing w:line="580" w:lineRule="exact"/>
        <w:ind w:firstLine="640" w:firstLineChars="200"/>
        <w:jc w:val="left"/>
        <w:rPr>
          <w:rFonts w:eastAsia="仿宋_GB2312"/>
          <w:color w:val="000000"/>
          <w:kern w:val="0"/>
          <w:sz w:val="32"/>
          <w:szCs w:val="32"/>
        </w:rPr>
      </w:pPr>
      <w:r>
        <w:rPr>
          <w:rFonts w:hint="eastAsia" w:eastAsia="仿宋_GB2312"/>
          <w:color w:val="000000"/>
          <w:kern w:val="0"/>
          <w:sz w:val="32"/>
          <w:szCs w:val="32"/>
        </w:rPr>
        <w:t>广泛开展群众文化活动，推动</w:t>
      </w:r>
      <w:r>
        <w:rPr>
          <w:rFonts w:eastAsia="仿宋_GB2312"/>
          <w:color w:val="000000"/>
          <w:kern w:val="0"/>
          <w:sz w:val="32"/>
          <w:szCs w:val="32"/>
        </w:rPr>
        <w:t>“</w:t>
      </w:r>
      <w:r>
        <w:rPr>
          <w:rFonts w:hint="eastAsia" w:eastAsia="仿宋_GB2312"/>
          <w:color w:val="000000"/>
          <w:kern w:val="0"/>
          <w:sz w:val="32"/>
          <w:szCs w:val="32"/>
        </w:rPr>
        <w:t>送文化</w:t>
      </w:r>
      <w:r>
        <w:rPr>
          <w:rFonts w:eastAsia="仿宋_GB2312"/>
          <w:color w:val="000000"/>
          <w:kern w:val="0"/>
          <w:sz w:val="32"/>
          <w:szCs w:val="32"/>
        </w:rPr>
        <w:t>”</w:t>
      </w:r>
      <w:r>
        <w:rPr>
          <w:rFonts w:hint="eastAsia" w:eastAsia="仿宋_GB2312"/>
          <w:color w:val="000000"/>
          <w:kern w:val="0"/>
          <w:sz w:val="32"/>
          <w:szCs w:val="32"/>
        </w:rPr>
        <w:t>与</w:t>
      </w:r>
      <w:r>
        <w:rPr>
          <w:rFonts w:eastAsia="仿宋_GB2312"/>
          <w:color w:val="000000"/>
          <w:kern w:val="0"/>
          <w:sz w:val="32"/>
          <w:szCs w:val="32"/>
        </w:rPr>
        <w:t>“</w:t>
      </w:r>
      <w:r>
        <w:rPr>
          <w:rFonts w:hint="eastAsia" w:eastAsia="仿宋_GB2312"/>
          <w:color w:val="000000"/>
          <w:kern w:val="0"/>
          <w:sz w:val="32"/>
          <w:szCs w:val="32"/>
        </w:rPr>
        <w:t>种文化</w:t>
      </w:r>
      <w:r>
        <w:rPr>
          <w:rFonts w:eastAsia="仿宋_GB2312"/>
          <w:color w:val="000000"/>
          <w:kern w:val="0"/>
          <w:sz w:val="32"/>
          <w:szCs w:val="32"/>
        </w:rPr>
        <w:t>”</w:t>
      </w:r>
      <w:r>
        <w:rPr>
          <w:rFonts w:hint="eastAsia" w:eastAsia="仿宋_GB2312"/>
          <w:color w:val="000000"/>
          <w:kern w:val="0"/>
          <w:sz w:val="32"/>
          <w:szCs w:val="32"/>
        </w:rPr>
        <w:t>相结合，引导和鼓励群众自创自办、自编自演、自娱自乐、自主开展群众性文化活动。积极参与全省组织的各类群众文化活动，常态化开展具有藏族特色的群众文化活动，继续举办浙江甘孜互送文化下基层活动。深度推进全民阅读与艺术普及，积极举办世界读书日、全民阅读月、读书周、阅读季等活动，培育全民阅读活动品牌，积极建设</w:t>
      </w:r>
      <w:r>
        <w:rPr>
          <w:rFonts w:eastAsia="仿宋_GB2312"/>
          <w:color w:val="000000"/>
          <w:kern w:val="0"/>
          <w:sz w:val="32"/>
          <w:szCs w:val="32"/>
        </w:rPr>
        <w:t>“</w:t>
      </w:r>
      <w:r>
        <w:rPr>
          <w:rFonts w:hint="eastAsia" w:eastAsia="仿宋_GB2312"/>
          <w:color w:val="000000"/>
          <w:kern w:val="0"/>
          <w:sz w:val="32"/>
          <w:szCs w:val="32"/>
        </w:rPr>
        <w:t>书香理塘</w:t>
      </w:r>
      <w:r>
        <w:rPr>
          <w:rFonts w:eastAsia="仿宋_GB2312"/>
          <w:color w:val="000000"/>
          <w:kern w:val="0"/>
          <w:sz w:val="32"/>
          <w:szCs w:val="32"/>
        </w:rPr>
        <w:t>”</w:t>
      </w:r>
      <w:r>
        <w:rPr>
          <w:rFonts w:hint="eastAsia" w:eastAsia="仿宋_GB2312"/>
          <w:color w:val="000000"/>
          <w:kern w:val="0"/>
          <w:sz w:val="32"/>
          <w:szCs w:val="32"/>
        </w:rPr>
        <w:t>。常态化开展公益性文化艺术讲座、展演、展览、展示和培训活动。以群众需求为导向，推广</w:t>
      </w:r>
      <w:r>
        <w:rPr>
          <w:rFonts w:eastAsia="仿宋_GB2312"/>
          <w:color w:val="000000"/>
          <w:kern w:val="0"/>
          <w:sz w:val="32"/>
          <w:szCs w:val="32"/>
        </w:rPr>
        <w:t>“</w:t>
      </w:r>
      <w:r>
        <w:rPr>
          <w:rFonts w:hint="eastAsia" w:eastAsia="仿宋_GB2312"/>
          <w:color w:val="000000"/>
          <w:kern w:val="0"/>
          <w:sz w:val="32"/>
          <w:szCs w:val="32"/>
        </w:rPr>
        <w:t>订单式</w:t>
      </w:r>
      <w:r>
        <w:rPr>
          <w:rFonts w:eastAsia="仿宋_GB2312"/>
          <w:color w:val="000000"/>
          <w:kern w:val="0"/>
          <w:sz w:val="32"/>
          <w:szCs w:val="32"/>
        </w:rPr>
        <w:t>”“</w:t>
      </w:r>
      <w:r>
        <w:rPr>
          <w:rFonts w:hint="eastAsia" w:eastAsia="仿宋_GB2312"/>
          <w:color w:val="000000"/>
          <w:kern w:val="0"/>
          <w:sz w:val="32"/>
          <w:szCs w:val="32"/>
        </w:rPr>
        <w:t>菜单式</w:t>
      </w:r>
      <w:r>
        <w:rPr>
          <w:rFonts w:eastAsia="仿宋_GB2312"/>
          <w:color w:val="000000"/>
          <w:kern w:val="0"/>
          <w:sz w:val="32"/>
          <w:szCs w:val="32"/>
        </w:rPr>
        <w:t>”“</w:t>
      </w:r>
      <w:r>
        <w:rPr>
          <w:rFonts w:hint="eastAsia" w:eastAsia="仿宋_GB2312"/>
          <w:color w:val="000000"/>
          <w:kern w:val="0"/>
          <w:sz w:val="32"/>
          <w:szCs w:val="32"/>
        </w:rPr>
        <w:t>预约式</w:t>
      </w:r>
      <w:r>
        <w:rPr>
          <w:rFonts w:eastAsia="仿宋_GB2312"/>
          <w:color w:val="000000"/>
          <w:kern w:val="0"/>
          <w:sz w:val="32"/>
          <w:szCs w:val="32"/>
        </w:rPr>
        <w:t>”</w:t>
      </w:r>
      <w:r>
        <w:rPr>
          <w:rFonts w:hint="eastAsia" w:eastAsia="仿宋_GB2312"/>
          <w:color w:val="000000"/>
          <w:kern w:val="0"/>
          <w:sz w:val="32"/>
          <w:szCs w:val="32"/>
        </w:rPr>
        <w:t>服务，推动优质文化服务向基层延伸覆盖。</w:t>
      </w:r>
    </w:p>
    <w:tbl>
      <w:tblPr>
        <w:tblStyle w:val="11"/>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1E683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42" w:hRule="atLeast"/>
          <w:jc w:val="center"/>
        </w:trPr>
        <w:tc>
          <w:tcPr>
            <w:tcW w:w="5000" w:type="pct"/>
            <w:tcBorders>
              <w:top w:val="single" w:color="auto" w:sz="4" w:space="0"/>
              <w:left w:val="single" w:color="auto" w:sz="4" w:space="0"/>
              <w:bottom w:val="single" w:color="auto" w:sz="4" w:space="0"/>
              <w:right w:val="single" w:color="auto" w:sz="4" w:space="0"/>
            </w:tcBorders>
          </w:tcPr>
          <w:p w14:paraId="5EE472A9">
            <w:pPr>
              <w:pStyle w:val="10"/>
              <w:snapToGrid w:val="0"/>
              <w:spacing w:before="156" w:beforeLines="50" w:after="156" w:afterLines="50" w:line="440" w:lineRule="exact"/>
              <w:ind w:left="0" w:leftChars="0" w:firstLine="643" w:firstLineChars="0"/>
              <w:jc w:val="center"/>
              <w:rPr>
                <w:rFonts w:eastAsia="楷体_GB2312"/>
                <w:b/>
                <w:sz w:val="32"/>
                <w:szCs w:val="32"/>
              </w:rPr>
            </w:pPr>
            <w:bookmarkStart w:id="645" w:name="OLE_LINK221"/>
            <w:bookmarkStart w:id="646" w:name="OLE_LINK220"/>
            <w:r>
              <w:rPr>
                <w:rFonts w:hint="eastAsia" w:ascii="Times New Roman" w:hAnsi="Times New Roman" w:eastAsia="楷体_GB2312" w:cs="Times New Roman"/>
                <w:b/>
                <w:sz w:val="28"/>
                <w:szCs w:val="28"/>
              </w:rPr>
              <w:t>专栏32  “十五五”时期文化繁荣重点工程</w:t>
            </w:r>
          </w:p>
        </w:tc>
      </w:tr>
      <w:tr w14:paraId="0D3CE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tcBorders>
              <w:top w:val="single" w:color="auto" w:sz="4" w:space="0"/>
              <w:left w:val="single" w:color="auto" w:sz="4" w:space="0"/>
              <w:bottom w:val="single" w:color="auto" w:sz="4" w:space="0"/>
              <w:right w:val="single" w:color="auto" w:sz="4" w:space="0"/>
            </w:tcBorders>
          </w:tcPr>
          <w:p w14:paraId="123E1ACD">
            <w:pPr>
              <w:pStyle w:val="16"/>
              <w:snapToGrid w:val="0"/>
              <w:spacing w:line="440" w:lineRule="exact"/>
              <w:ind w:firstLine="538"/>
              <w:jc w:val="left"/>
              <w:rPr>
                <w:rFonts w:eastAsia="楷体_GB2312" w:cs="Times New Roman"/>
                <w:spacing w:val="-6"/>
                <w:sz w:val="28"/>
                <w:szCs w:val="28"/>
              </w:rPr>
            </w:pPr>
            <w:r>
              <w:rPr>
                <w:rFonts w:hint="eastAsia" w:eastAsia="楷体_GB2312" w:cs="Times New Roman"/>
                <w:b/>
                <w:spacing w:val="-6"/>
                <w:sz w:val="28"/>
                <w:szCs w:val="28"/>
              </w:rPr>
              <w:t>1.公共文化设施建设工程</w:t>
            </w:r>
            <w:r>
              <w:rPr>
                <w:rFonts w:hint="eastAsia" w:eastAsia="楷体_GB2312" w:cs="Times New Roman"/>
                <w:spacing w:val="-6"/>
                <w:sz w:val="28"/>
                <w:szCs w:val="28"/>
              </w:rPr>
              <w:t>。扩建县文化馆，推动县文化馆、县图书馆积极创建国家二级馆。改造提升</w:t>
            </w:r>
            <w:r>
              <w:rPr>
                <w:rFonts w:eastAsia="楷体_GB2312" w:cs="Times New Roman"/>
                <w:spacing w:val="-6"/>
                <w:sz w:val="28"/>
                <w:szCs w:val="28"/>
              </w:rPr>
              <w:t>22</w:t>
            </w:r>
            <w:r>
              <w:rPr>
                <w:rFonts w:hint="eastAsia" w:eastAsia="楷体_GB2312" w:cs="Times New Roman"/>
                <w:spacing w:val="-6"/>
                <w:sz w:val="28"/>
                <w:szCs w:val="28"/>
              </w:rPr>
              <w:t>个乡镇文化站、</w:t>
            </w:r>
            <w:r>
              <w:rPr>
                <w:rFonts w:eastAsia="楷体_GB2312" w:cs="Times New Roman"/>
                <w:spacing w:val="-6"/>
                <w:sz w:val="28"/>
                <w:szCs w:val="28"/>
              </w:rPr>
              <w:t>6</w:t>
            </w:r>
            <w:r>
              <w:rPr>
                <w:rFonts w:hint="eastAsia" w:eastAsia="楷体_GB2312" w:cs="Times New Roman"/>
                <w:spacing w:val="-6"/>
                <w:sz w:val="28"/>
                <w:szCs w:val="28"/>
              </w:rPr>
              <w:t>个社区文化站及</w:t>
            </w:r>
            <w:r>
              <w:rPr>
                <w:rFonts w:eastAsia="楷体_GB2312" w:cs="Times New Roman"/>
                <w:spacing w:val="-6"/>
                <w:sz w:val="28"/>
                <w:szCs w:val="28"/>
              </w:rPr>
              <w:t>14</w:t>
            </w:r>
            <w:r>
              <w:rPr>
                <w:rFonts w:hint="eastAsia" w:eastAsia="楷体_GB2312" w:cs="Times New Roman"/>
                <w:spacing w:val="-6"/>
                <w:sz w:val="28"/>
                <w:szCs w:val="28"/>
              </w:rPr>
              <w:t>9个行政村文化室。加快高城镇、奔戈乡、村戈乡等示范性乡村文化礼堂和农民艺术团培育建设。</w:t>
            </w:r>
          </w:p>
          <w:p w14:paraId="161E6CB5">
            <w:pPr>
              <w:pStyle w:val="16"/>
              <w:snapToGrid w:val="0"/>
              <w:spacing w:line="440" w:lineRule="exact"/>
              <w:ind w:firstLine="538"/>
              <w:jc w:val="left"/>
              <w:rPr>
                <w:rFonts w:eastAsia="楷体_GB2312" w:cs="Times New Roman"/>
                <w:spacing w:val="-6"/>
                <w:sz w:val="28"/>
                <w:szCs w:val="28"/>
              </w:rPr>
            </w:pPr>
            <w:r>
              <w:rPr>
                <w:rFonts w:hint="eastAsia" w:eastAsia="楷体_GB2312" w:cs="Times New Roman"/>
                <w:b/>
                <w:spacing w:val="-6"/>
                <w:sz w:val="28"/>
                <w:szCs w:val="28"/>
              </w:rPr>
              <w:t>2.文化传承与保护工程</w:t>
            </w:r>
            <w:r>
              <w:rPr>
                <w:rFonts w:hint="eastAsia" w:eastAsia="楷体_GB2312" w:cs="Times New Roman"/>
                <w:spacing w:val="-6"/>
                <w:sz w:val="28"/>
                <w:szCs w:val="28"/>
              </w:rPr>
              <w:t>。持续激活“勒通古镇</w:t>
            </w:r>
            <w:r>
              <w:rPr>
                <w:rFonts w:eastAsia="楷体_GB2312" w:cs="Times New Roman"/>
                <w:spacing w:val="-6"/>
                <w:sz w:val="28"/>
                <w:szCs w:val="28"/>
              </w:rPr>
              <w:t>·</w:t>
            </w:r>
            <w:r>
              <w:rPr>
                <w:rFonts w:hint="eastAsia" w:eastAsia="楷体_GB2312" w:cs="Times New Roman"/>
                <w:spacing w:val="-6"/>
                <w:sz w:val="28"/>
                <w:szCs w:val="28"/>
              </w:rPr>
              <w:t>千户藏寨”历史遗存，积极推动长青春科尔寺、冷古寺、郭东古碉等文保单位“博物馆化”，高品质建设理塘县雕版文物陈列馆、理塘赛马文化展示馆。建设甲洼镇非遗工坊。</w:t>
            </w:r>
          </w:p>
          <w:p w14:paraId="58826C61">
            <w:pPr>
              <w:pStyle w:val="16"/>
              <w:snapToGrid w:val="0"/>
              <w:spacing w:line="440" w:lineRule="exact"/>
              <w:ind w:firstLine="538"/>
              <w:jc w:val="left"/>
              <w:rPr>
                <w:rFonts w:eastAsia="楷体_GB2312" w:cs="Times New Roman"/>
                <w:spacing w:val="-6"/>
                <w:sz w:val="28"/>
                <w:szCs w:val="28"/>
              </w:rPr>
            </w:pPr>
            <w:r>
              <w:rPr>
                <w:rFonts w:hint="eastAsia" w:eastAsia="楷体_GB2312" w:cs="Times New Roman"/>
                <w:b/>
                <w:spacing w:val="-6"/>
                <w:sz w:val="28"/>
                <w:szCs w:val="28"/>
              </w:rPr>
              <w:t>3.文化惠民工程</w:t>
            </w:r>
            <w:r>
              <w:rPr>
                <w:rFonts w:hint="eastAsia" w:eastAsia="楷体_GB2312" w:cs="Times New Roman"/>
                <w:spacing w:val="-6"/>
                <w:sz w:val="28"/>
                <w:szCs w:val="28"/>
              </w:rPr>
              <w:t>。常态化开展具有藏族特色的群众文化活动，培育有影响力的群众文化品牌。每年开展大型文化活动年均</w:t>
            </w:r>
            <w:r>
              <w:rPr>
                <w:rFonts w:eastAsia="楷体_GB2312" w:cs="Times New Roman"/>
                <w:spacing w:val="-6"/>
                <w:sz w:val="28"/>
                <w:szCs w:val="28"/>
              </w:rPr>
              <w:t>5</w:t>
            </w:r>
            <w:r>
              <w:rPr>
                <w:rFonts w:hint="eastAsia" w:eastAsia="楷体_GB2312" w:cs="Times New Roman"/>
                <w:spacing w:val="-6"/>
                <w:sz w:val="28"/>
                <w:szCs w:val="28"/>
              </w:rPr>
              <w:t>次以上，流动文化服务人次</w:t>
            </w:r>
            <w:r>
              <w:rPr>
                <w:rFonts w:eastAsia="楷体_GB2312" w:cs="Times New Roman"/>
                <w:spacing w:val="-6"/>
                <w:sz w:val="28"/>
                <w:szCs w:val="28"/>
              </w:rPr>
              <w:t>6</w:t>
            </w:r>
            <w:r>
              <w:rPr>
                <w:rFonts w:hint="eastAsia" w:eastAsia="楷体_GB2312" w:cs="Times New Roman"/>
                <w:spacing w:val="-6"/>
                <w:sz w:val="28"/>
                <w:szCs w:val="28"/>
              </w:rPr>
              <w:t>万，指导的群众文艺团队数量</w:t>
            </w:r>
            <w:r>
              <w:rPr>
                <w:rFonts w:eastAsia="楷体_GB2312" w:cs="Times New Roman"/>
                <w:spacing w:val="-6"/>
                <w:sz w:val="28"/>
                <w:szCs w:val="28"/>
              </w:rPr>
              <w:t>20</w:t>
            </w:r>
            <w:r>
              <w:rPr>
                <w:rFonts w:hint="eastAsia" w:eastAsia="楷体_GB2312" w:cs="Times New Roman"/>
                <w:spacing w:val="-6"/>
                <w:sz w:val="28"/>
                <w:szCs w:val="28"/>
              </w:rPr>
              <w:t>个。</w:t>
            </w:r>
          </w:p>
          <w:p w14:paraId="7655DA94">
            <w:pPr>
              <w:pStyle w:val="16"/>
              <w:snapToGrid w:val="0"/>
              <w:spacing w:line="440" w:lineRule="exact"/>
              <w:ind w:firstLine="538"/>
              <w:jc w:val="left"/>
              <w:rPr>
                <w:rFonts w:eastAsia="仿宋_GB2312"/>
                <w:spacing w:val="-6"/>
                <w:sz w:val="28"/>
                <w:szCs w:val="28"/>
              </w:rPr>
            </w:pPr>
            <w:r>
              <w:rPr>
                <w:rFonts w:hint="eastAsia" w:eastAsia="楷体_GB2312" w:cs="Times New Roman"/>
                <w:b/>
                <w:spacing w:val="-6"/>
                <w:sz w:val="28"/>
                <w:szCs w:val="28"/>
              </w:rPr>
              <w:t>4.数字文化工程</w:t>
            </w:r>
            <w:r>
              <w:rPr>
                <w:rFonts w:hint="eastAsia" w:eastAsia="楷体_GB2312" w:cs="Times New Roman"/>
                <w:spacing w:val="-6"/>
                <w:sz w:val="28"/>
                <w:szCs w:val="28"/>
              </w:rPr>
              <w:t>。建设理塘县文化馆、图书馆官网，官网微博、微信公众号和小程序等。推动图书馆、文化馆逐步实现智慧化运营，加快数字艺术、沉浸式体验等新型文化业态应用，打造有声图书馆、文化馆互动体验、数字文物体验等新型文化服务方式。</w:t>
            </w:r>
          </w:p>
        </w:tc>
      </w:tr>
      <w:bookmarkEnd w:id="638"/>
      <w:bookmarkEnd w:id="639"/>
      <w:bookmarkEnd w:id="645"/>
      <w:bookmarkEnd w:id="646"/>
    </w:tbl>
    <w:p w14:paraId="0871A4AC">
      <w:pPr>
        <w:pStyle w:val="2"/>
      </w:pPr>
    </w:p>
    <w:p w14:paraId="61FD3A2B">
      <w:pPr>
        <w:pStyle w:val="2"/>
        <w:spacing w:before="156" w:beforeLines="50" w:after="156" w:afterLines="50" w:line="580" w:lineRule="exact"/>
        <w:ind w:firstLine="0" w:firstLineChars="0"/>
        <w:outlineLvl w:val="0"/>
        <w:rPr>
          <w:rFonts w:eastAsia="方正大标宋简体"/>
          <w:sz w:val="32"/>
          <w:szCs w:val="32"/>
        </w:rPr>
      </w:pPr>
      <w:bookmarkStart w:id="647" w:name="_Toc212814855"/>
      <w:bookmarkStart w:id="648" w:name="_Toc214372663"/>
      <w:bookmarkStart w:id="649" w:name="_Toc22369"/>
      <w:bookmarkStart w:id="650" w:name="_Toc20111"/>
      <w:bookmarkStart w:id="651" w:name="_Toc218241163"/>
      <w:bookmarkStart w:id="652" w:name="OLE_LINK105"/>
      <w:bookmarkStart w:id="653" w:name="OLE_LINK104"/>
      <w:r>
        <w:rPr>
          <w:rFonts w:hint="eastAsia" w:eastAsia="方正大标宋简体"/>
          <w:sz w:val="32"/>
          <w:szCs w:val="32"/>
        </w:rPr>
        <w:t xml:space="preserve">第十篇  </w:t>
      </w:r>
      <w:r>
        <w:rPr>
          <w:rFonts w:eastAsia="方正大标宋简体"/>
          <w:sz w:val="32"/>
          <w:szCs w:val="32"/>
        </w:rPr>
        <w:t>筑牢屏障</w:t>
      </w:r>
      <w:bookmarkStart w:id="654" w:name="OLE_LINK103"/>
      <w:r>
        <w:rPr>
          <w:rFonts w:hint="eastAsia" w:eastAsia="方正大标宋简体"/>
          <w:sz w:val="32"/>
          <w:szCs w:val="32"/>
        </w:rPr>
        <w:t xml:space="preserve">  建设天更蓝山更绿水更清</w:t>
      </w:r>
      <w:bookmarkEnd w:id="647"/>
      <w:bookmarkEnd w:id="648"/>
      <w:bookmarkEnd w:id="649"/>
      <w:bookmarkEnd w:id="650"/>
      <w:bookmarkEnd w:id="654"/>
      <w:r>
        <w:rPr>
          <w:rFonts w:hint="eastAsia" w:eastAsia="方正大标宋简体"/>
          <w:sz w:val="32"/>
          <w:szCs w:val="32"/>
        </w:rPr>
        <w:t>美丽理塘</w:t>
      </w:r>
      <w:bookmarkEnd w:id="651"/>
    </w:p>
    <w:bookmarkEnd w:id="652"/>
    <w:bookmarkEnd w:id="653"/>
    <w:p w14:paraId="6C6BE1F7">
      <w:pPr>
        <w:pStyle w:val="2"/>
        <w:spacing w:before="120" w:after="120" w:line="580" w:lineRule="exact"/>
        <w:ind w:firstLine="640"/>
        <w:rPr>
          <w:rFonts w:eastAsia="仿宋_GB2312"/>
          <w:sz w:val="32"/>
          <w:szCs w:val="32"/>
        </w:rPr>
      </w:pPr>
      <w:bookmarkStart w:id="655" w:name="_Toc212814856"/>
      <w:bookmarkStart w:id="656" w:name="_Toc2130"/>
      <w:r>
        <w:rPr>
          <w:rFonts w:hint="eastAsia" w:eastAsia="仿宋_GB2312"/>
          <w:sz w:val="32"/>
          <w:szCs w:val="32"/>
        </w:rPr>
        <w:t>牢固树立“</w:t>
      </w:r>
      <w:r>
        <w:rPr>
          <w:rFonts w:eastAsia="仿宋_GB2312"/>
          <w:sz w:val="32"/>
          <w:szCs w:val="32"/>
        </w:rPr>
        <w:t>绿水青山就是金山银山</w:t>
      </w:r>
      <w:r>
        <w:rPr>
          <w:rFonts w:hint="eastAsia" w:eastAsia="仿宋_GB2312"/>
          <w:sz w:val="32"/>
          <w:szCs w:val="32"/>
        </w:rPr>
        <w:t>”</w:t>
      </w:r>
      <w:r>
        <w:rPr>
          <w:rFonts w:eastAsia="仿宋_GB2312"/>
          <w:sz w:val="32"/>
          <w:szCs w:val="32"/>
        </w:rPr>
        <w:t>理念</w:t>
      </w:r>
      <w:r>
        <w:rPr>
          <w:rFonts w:hint="eastAsia" w:eastAsia="仿宋_GB2312"/>
          <w:sz w:val="32"/>
          <w:szCs w:val="32"/>
        </w:rPr>
        <w:t>，以“生态优先、绿色发展”为核心，统筹“山水林田湖草沙”系统治理，切实维护长江黄河上游生态安全，努力创建人与自然和谐共生的现代化“美丽理塘”。</w:t>
      </w:r>
    </w:p>
    <w:p w14:paraId="480B7977">
      <w:pPr>
        <w:widowControl/>
        <w:jc w:val="left"/>
        <w:rPr>
          <w:rFonts w:eastAsia="黑体"/>
          <w:bCs/>
          <w:color w:val="000000"/>
          <w:kern w:val="0"/>
          <w:sz w:val="32"/>
          <w:szCs w:val="32"/>
        </w:rPr>
      </w:pPr>
      <w:bookmarkStart w:id="657" w:name="_Toc214372664"/>
      <w:r>
        <w:rPr>
          <w:rFonts w:hint="eastAsia" w:eastAsia="黑体"/>
          <w:bCs/>
          <w:color w:val="000000"/>
          <w:kern w:val="0"/>
          <w:sz w:val="32"/>
          <w:szCs w:val="32"/>
        </w:rPr>
        <w:br w:type="page"/>
      </w:r>
    </w:p>
    <w:p w14:paraId="63CC7906">
      <w:pPr>
        <w:widowControl/>
        <w:spacing w:before="156" w:beforeLines="50" w:after="156" w:afterLines="50" w:line="580" w:lineRule="exact"/>
        <w:jc w:val="center"/>
        <w:outlineLvl w:val="1"/>
        <w:rPr>
          <w:rFonts w:eastAsia="黑体"/>
          <w:bCs/>
          <w:color w:val="000000"/>
          <w:kern w:val="0"/>
          <w:sz w:val="32"/>
          <w:szCs w:val="32"/>
        </w:rPr>
      </w:pPr>
      <w:bookmarkStart w:id="658" w:name="_Toc7989"/>
      <w:bookmarkStart w:id="659" w:name="_Toc218241164"/>
      <w:r>
        <w:rPr>
          <w:rFonts w:hint="eastAsia" w:eastAsia="黑体"/>
          <w:bCs/>
          <w:color w:val="000000"/>
          <w:kern w:val="0"/>
          <w:sz w:val="32"/>
          <w:szCs w:val="32"/>
        </w:rPr>
        <w:t xml:space="preserve">第三十章  </w:t>
      </w:r>
      <w:r>
        <w:rPr>
          <w:rFonts w:eastAsia="黑体"/>
          <w:bCs/>
          <w:color w:val="000000"/>
          <w:kern w:val="0"/>
          <w:sz w:val="32"/>
          <w:szCs w:val="32"/>
        </w:rPr>
        <w:t>持续推进生态修复治理</w:t>
      </w:r>
      <w:bookmarkEnd w:id="655"/>
      <w:bookmarkEnd w:id="656"/>
      <w:bookmarkEnd w:id="657"/>
      <w:bookmarkEnd w:id="658"/>
      <w:bookmarkEnd w:id="659"/>
    </w:p>
    <w:p w14:paraId="53DA9370">
      <w:pPr>
        <w:pStyle w:val="15"/>
        <w:widowControl/>
        <w:numPr>
          <w:ilvl w:val="0"/>
          <w:numId w:val="29"/>
        </w:numPr>
        <w:spacing w:before="156" w:beforeLines="50" w:after="156" w:afterLines="50" w:line="580" w:lineRule="exact"/>
        <w:ind w:left="1080" w:hanging="1080" w:firstLineChars="0"/>
        <w:jc w:val="center"/>
        <w:outlineLvl w:val="2"/>
        <w:rPr>
          <w:rFonts w:eastAsia="楷体_GB2312"/>
          <w:b/>
          <w:color w:val="000000"/>
          <w:kern w:val="0"/>
          <w:sz w:val="32"/>
          <w:szCs w:val="32"/>
        </w:rPr>
      </w:pPr>
      <w:bookmarkStart w:id="660" w:name="_Toc26359"/>
      <w:r>
        <w:rPr>
          <w:rFonts w:hint="eastAsia" w:eastAsia="楷体_GB2312"/>
          <w:b/>
          <w:color w:val="000000"/>
          <w:kern w:val="0"/>
          <w:sz w:val="32"/>
          <w:szCs w:val="32"/>
        </w:rPr>
        <w:t xml:space="preserve"> </w:t>
      </w:r>
      <w:bookmarkStart w:id="661" w:name="_Toc218241165"/>
      <w:r>
        <w:rPr>
          <w:rFonts w:hint="eastAsia" w:eastAsia="楷体_GB2312"/>
          <w:b/>
          <w:color w:val="000000"/>
          <w:kern w:val="0"/>
          <w:sz w:val="32"/>
          <w:szCs w:val="32"/>
        </w:rPr>
        <w:t>科学开展国土绿化行动</w:t>
      </w:r>
      <w:bookmarkEnd w:id="660"/>
      <w:bookmarkEnd w:id="661"/>
    </w:p>
    <w:p w14:paraId="760101C7">
      <w:pPr>
        <w:spacing w:line="580" w:lineRule="exact"/>
        <w:ind w:firstLine="640" w:firstLineChars="200"/>
        <w:jc w:val="left"/>
        <w:rPr>
          <w:rFonts w:eastAsia="仿宋_GB2312"/>
          <w:sz w:val="32"/>
          <w:szCs w:val="32"/>
        </w:rPr>
      </w:pPr>
      <w:r>
        <w:rPr>
          <w:rFonts w:hint="eastAsia" w:eastAsia="仿宋_GB2312"/>
          <w:sz w:val="32"/>
          <w:szCs w:val="32"/>
        </w:rPr>
        <w:t>大力推进美丽理塘建设，围绕美丽城市、美丽乡村、美丽河湖、美丽交通、美丽雪山、美丽草原等细胞工程，打造一批绿色品牌。重点围绕无量河、国道</w:t>
      </w:r>
      <w:r>
        <w:rPr>
          <w:rFonts w:eastAsia="仿宋_GB2312"/>
          <w:sz w:val="32"/>
          <w:szCs w:val="32"/>
        </w:rPr>
        <w:t>“318”“227”</w:t>
      </w:r>
      <w:r>
        <w:rPr>
          <w:rFonts w:hint="eastAsia" w:eastAsia="仿宋_GB2312"/>
          <w:sz w:val="32"/>
          <w:szCs w:val="32"/>
        </w:rPr>
        <w:t>、省道</w:t>
      </w:r>
      <w:r>
        <w:rPr>
          <w:rFonts w:eastAsia="仿宋_GB2312"/>
          <w:sz w:val="32"/>
          <w:szCs w:val="32"/>
        </w:rPr>
        <w:t>“460”</w:t>
      </w:r>
      <w:r>
        <w:rPr>
          <w:rFonts w:hint="eastAsia" w:eastAsia="仿宋_GB2312"/>
          <w:sz w:val="32"/>
          <w:szCs w:val="32"/>
        </w:rPr>
        <w:t>（理章路）沿线实施人工饲草基地建设等绿化、美化工程，打造生态绿道。推进无量河“水—岸—滩—林”一体化修复。持续开展“大规模绿化全川·理塘行动”，深入实施“山植树、路种花、河变湖（湿地）”工程，持续推进“县、乡、村”三级全民义务植树行动，着力实现“百米见绿、一里见园”目标。因地制宜建设城市生态绿道，有序推进城市绿化、农业、园林等生态景观建设。实施乡道、村道、庭院节点绿化，鼓励发展“庭院经济”，构建藏地生态家园。</w:t>
      </w:r>
    </w:p>
    <w:p w14:paraId="64E7B5D4">
      <w:pPr>
        <w:pStyle w:val="15"/>
        <w:widowControl/>
        <w:numPr>
          <w:ilvl w:val="0"/>
          <w:numId w:val="29"/>
        </w:numPr>
        <w:spacing w:before="156" w:beforeLines="50" w:after="156" w:afterLines="50" w:line="580" w:lineRule="exact"/>
        <w:ind w:left="1080" w:hanging="1080" w:firstLineChars="0"/>
        <w:jc w:val="center"/>
        <w:outlineLvl w:val="2"/>
        <w:rPr>
          <w:rFonts w:eastAsia="楷体_GB2312"/>
          <w:b/>
          <w:color w:val="000000"/>
          <w:kern w:val="0"/>
          <w:sz w:val="32"/>
          <w:szCs w:val="32"/>
        </w:rPr>
      </w:pPr>
      <w:bookmarkStart w:id="662" w:name="_Toc29695"/>
      <w:r>
        <w:rPr>
          <w:rFonts w:hint="eastAsia" w:eastAsia="楷体_GB2312"/>
          <w:b/>
          <w:color w:val="000000"/>
          <w:kern w:val="0"/>
          <w:sz w:val="32"/>
          <w:szCs w:val="32"/>
        </w:rPr>
        <w:t xml:space="preserve"> </w:t>
      </w:r>
      <w:bookmarkStart w:id="663" w:name="_Toc218241166"/>
      <w:r>
        <w:rPr>
          <w:rFonts w:hint="eastAsia" w:eastAsia="楷体_GB2312"/>
          <w:b/>
          <w:color w:val="000000"/>
          <w:kern w:val="0"/>
          <w:sz w:val="32"/>
          <w:szCs w:val="32"/>
        </w:rPr>
        <w:t>加强自然生态系统保护</w:t>
      </w:r>
      <w:bookmarkEnd w:id="662"/>
      <w:bookmarkEnd w:id="663"/>
    </w:p>
    <w:p w14:paraId="108ED24A">
      <w:pPr>
        <w:spacing w:line="580" w:lineRule="exact"/>
        <w:ind w:firstLine="640" w:firstLineChars="200"/>
        <w:jc w:val="left"/>
        <w:rPr>
          <w:rFonts w:eastAsia="仿宋_GB2312"/>
          <w:sz w:val="32"/>
          <w:szCs w:val="32"/>
        </w:rPr>
      </w:pPr>
      <w:r>
        <w:rPr>
          <w:rFonts w:eastAsia="仿宋_GB2312"/>
          <w:sz w:val="32"/>
          <w:szCs w:val="32"/>
        </w:rPr>
        <w:t>强化长江、黄河上游生态环境建设和保护，全面落实河</w:t>
      </w:r>
      <w:r>
        <w:rPr>
          <w:rFonts w:hint="eastAsia" w:eastAsia="仿宋_GB2312"/>
          <w:sz w:val="32"/>
          <w:szCs w:val="32"/>
        </w:rPr>
        <w:t>湖长、林草长、田长制。实施天然林保护、森林抚育和封育管护工程，落实重点公益林生态补偿政策，以林（草）制为核心抓手，统筹森林资源保护、培育与利用，推进林业草原现代化建设，强化森林防火体系建设，开展林业有害生物常态化防控。严格落实草畜平衡、草原禁牧、轮牧休牧，加强草原动态监测，落实草场管护责任，力争完成省级草畜平衡示范县、国家级草原虫害防治示范区创建。加强湿地保护，推进毛垭大草原无量河湿地公园建设，积极申报理塘县海子山国际重要湿地，维护湿地水文连通性，实施湿地生态补水，扩大湿地保护面积。加强自然保护地体系建设，推进海子山、扎嘎神山-格木县级等自然保护区规范化建设，持续开展自然保护地“绿盾”行动，加强雪山冰川冻土保护。</w:t>
      </w:r>
    </w:p>
    <w:p w14:paraId="2C64A576">
      <w:pPr>
        <w:pStyle w:val="15"/>
        <w:widowControl/>
        <w:numPr>
          <w:ilvl w:val="0"/>
          <w:numId w:val="29"/>
        </w:numPr>
        <w:spacing w:before="156" w:beforeLines="50" w:after="156" w:afterLines="50" w:line="580" w:lineRule="exact"/>
        <w:ind w:left="1080" w:hanging="1080" w:firstLineChars="0"/>
        <w:jc w:val="center"/>
        <w:outlineLvl w:val="2"/>
        <w:rPr>
          <w:rFonts w:eastAsia="楷体_GB2312"/>
          <w:b/>
          <w:color w:val="000000"/>
          <w:kern w:val="0"/>
          <w:sz w:val="32"/>
          <w:szCs w:val="32"/>
        </w:rPr>
      </w:pPr>
      <w:bookmarkStart w:id="664" w:name="_Toc11179"/>
      <w:r>
        <w:rPr>
          <w:rFonts w:hint="eastAsia" w:eastAsia="楷体_GB2312"/>
          <w:b/>
          <w:color w:val="000000"/>
          <w:kern w:val="0"/>
          <w:sz w:val="32"/>
          <w:szCs w:val="32"/>
        </w:rPr>
        <w:t xml:space="preserve"> </w:t>
      </w:r>
      <w:bookmarkStart w:id="665" w:name="_Toc218241167"/>
      <w:r>
        <w:rPr>
          <w:rFonts w:hint="eastAsia" w:eastAsia="楷体_GB2312"/>
          <w:b/>
          <w:color w:val="000000"/>
          <w:kern w:val="0"/>
          <w:sz w:val="32"/>
          <w:szCs w:val="32"/>
        </w:rPr>
        <w:t>持续修复退化生态系统</w:t>
      </w:r>
      <w:bookmarkEnd w:id="664"/>
      <w:bookmarkEnd w:id="665"/>
    </w:p>
    <w:p w14:paraId="6EAA948A">
      <w:pPr>
        <w:pStyle w:val="2"/>
        <w:spacing w:line="580" w:lineRule="exact"/>
        <w:ind w:firstLine="640"/>
      </w:pPr>
      <w:r>
        <w:rPr>
          <w:rFonts w:hint="eastAsia" w:eastAsia="仿宋_GB2312"/>
          <w:sz w:val="32"/>
          <w:szCs w:val="32"/>
        </w:rPr>
        <w:t>系统</w:t>
      </w:r>
      <w:r>
        <w:rPr>
          <w:rFonts w:eastAsia="仿宋_GB2312"/>
          <w:sz w:val="32"/>
          <w:szCs w:val="32"/>
        </w:rPr>
        <w:t>实施天然林保护修复、退耕还林、退化草原修复、湿地生态修复、自然植被修复等重点生态建设工程</w:t>
      </w:r>
      <w:r>
        <w:rPr>
          <w:rFonts w:hint="eastAsia" w:eastAsia="仿宋_GB2312"/>
          <w:sz w:val="32"/>
          <w:szCs w:val="32"/>
        </w:rPr>
        <w:t>。开展流域治理和流域生态环境保护修复，推进流域水土保持综合治理工程，加强河道整治，限制陡坡垦殖和超载过牧，提升水土保持功能。加强湿地生态功能恢复和植被保护，进行湿地垃圾清理、沉水、浮叶、挺水、湿生植物区的修复和重建。</w:t>
      </w:r>
      <w:r>
        <w:rPr>
          <w:rFonts w:eastAsia="仿宋_GB2312"/>
          <w:sz w:val="32"/>
          <w:szCs w:val="32"/>
        </w:rPr>
        <w:t>加快完成沙化受灾草原以及重点区域生态伤疤修复，</w:t>
      </w:r>
      <w:r>
        <w:rPr>
          <w:rFonts w:hint="eastAsia" w:eastAsia="仿宋_GB2312"/>
          <w:sz w:val="32"/>
          <w:szCs w:val="32"/>
        </w:rPr>
        <w:t>重点实施高城镇、村戈、奔戈、禾尼等区域草原沙化治理、天然草原改良等项目，加强天然草原鼠虫害治理，促进草地生态系统良性循环。</w:t>
      </w:r>
      <w:r>
        <w:rPr>
          <w:rFonts w:eastAsia="仿宋_GB2312"/>
          <w:sz w:val="32"/>
          <w:szCs w:val="32"/>
        </w:rPr>
        <w:t>持续加强低效林改造和迹地恢复修复，</w:t>
      </w:r>
      <w:r>
        <w:rPr>
          <w:rFonts w:hint="eastAsia" w:eastAsia="仿宋_GB2312"/>
          <w:sz w:val="32"/>
          <w:szCs w:val="32"/>
        </w:rPr>
        <w:t>加强矿山生态建设和环境保护，</w:t>
      </w:r>
      <w:r>
        <w:rPr>
          <w:rFonts w:eastAsia="仿宋_GB2312"/>
          <w:sz w:val="32"/>
          <w:szCs w:val="32"/>
        </w:rPr>
        <w:t>不断提升绿色本底。</w:t>
      </w:r>
    </w:p>
    <w:p w14:paraId="5C1176DE">
      <w:pPr>
        <w:pStyle w:val="15"/>
        <w:widowControl/>
        <w:numPr>
          <w:ilvl w:val="0"/>
          <w:numId w:val="29"/>
        </w:numPr>
        <w:spacing w:before="156" w:beforeLines="50" w:after="156" w:afterLines="50" w:line="580" w:lineRule="exact"/>
        <w:ind w:left="1080" w:hanging="1080" w:firstLineChars="0"/>
        <w:jc w:val="center"/>
        <w:outlineLvl w:val="2"/>
        <w:rPr>
          <w:rFonts w:eastAsia="楷体_GB2312"/>
          <w:b/>
          <w:color w:val="000000"/>
          <w:kern w:val="0"/>
          <w:sz w:val="32"/>
          <w:szCs w:val="32"/>
        </w:rPr>
      </w:pPr>
      <w:bookmarkStart w:id="666" w:name="_Toc1359"/>
      <w:r>
        <w:rPr>
          <w:rFonts w:hint="eastAsia" w:eastAsia="楷体_GB2312"/>
          <w:b/>
          <w:color w:val="000000"/>
          <w:kern w:val="0"/>
          <w:sz w:val="32"/>
          <w:szCs w:val="32"/>
        </w:rPr>
        <w:t xml:space="preserve"> </w:t>
      </w:r>
      <w:bookmarkStart w:id="667" w:name="_Toc218241168"/>
      <w:r>
        <w:rPr>
          <w:rFonts w:hint="eastAsia" w:eastAsia="楷体_GB2312"/>
          <w:b/>
          <w:color w:val="000000"/>
          <w:kern w:val="0"/>
          <w:sz w:val="32"/>
          <w:szCs w:val="32"/>
        </w:rPr>
        <w:t>加强生物多样性保护</w:t>
      </w:r>
      <w:bookmarkEnd w:id="666"/>
      <w:bookmarkEnd w:id="667"/>
    </w:p>
    <w:p w14:paraId="759DDF8A">
      <w:pPr>
        <w:pStyle w:val="2"/>
        <w:widowControl/>
        <w:spacing w:line="580" w:lineRule="exact"/>
        <w:ind w:firstLine="640"/>
        <w:jc w:val="left"/>
        <w:rPr>
          <w:rFonts w:eastAsia="黑体"/>
          <w:bCs/>
          <w:color w:val="000000"/>
          <w:kern w:val="0"/>
          <w:sz w:val="32"/>
          <w:szCs w:val="32"/>
        </w:rPr>
      </w:pPr>
      <w:r>
        <w:rPr>
          <w:rFonts w:hint="eastAsia" w:eastAsia="仿宋_GB2312"/>
          <w:sz w:val="32"/>
          <w:szCs w:val="32"/>
        </w:rPr>
        <w:t>完善跨界生物多样性保护网络，强化生态本底调查与动态监测，开展濒危物种保护与栖息地修复，重点关注草原、森林资源和珍稀动植物资源变化。</w:t>
      </w:r>
      <w:r>
        <w:rPr>
          <w:rFonts w:eastAsia="仿宋_GB2312"/>
          <w:sz w:val="32"/>
          <w:szCs w:val="32"/>
        </w:rPr>
        <w:t>实施野生动植物保护、极小植物种群与极度濒危动物物种拯救、水生生物资源保护等工程，推进动植物迁地保护建设。加强高原特有畜禽、珍稀农业物种、野生食用菌资源和中藏药植物资源保护</w:t>
      </w:r>
      <w:r>
        <w:rPr>
          <w:rFonts w:hint="eastAsia" w:eastAsia="仿宋_GB2312"/>
          <w:sz w:val="32"/>
          <w:szCs w:val="32"/>
        </w:rPr>
        <w:t>。加快推进金沙江中上游（南段）高原区生物多样性保护与生态修复项目（理塘县），建设高原种质资源库、基因库和生物多样性标本库。防范外来入侵物种风险，开展外来入侵物种普查和监测，建立健全入侵物种名录和管理台账，制定防控预案。</w:t>
      </w:r>
      <w:bookmarkStart w:id="668" w:name="_Toc212814857"/>
      <w:bookmarkStart w:id="669" w:name="_Toc2177"/>
    </w:p>
    <w:p w14:paraId="5FB51A38">
      <w:pPr>
        <w:widowControl/>
        <w:spacing w:before="156" w:beforeLines="50" w:after="156" w:afterLines="50" w:line="580" w:lineRule="exact"/>
        <w:jc w:val="center"/>
        <w:outlineLvl w:val="1"/>
        <w:rPr>
          <w:rFonts w:eastAsia="黑体"/>
          <w:bCs/>
          <w:color w:val="000000"/>
          <w:kern w:val="0"/>
          <w:sz w:val="32"/>
          <w:szCs w:val="32"/>
        </w:rPr>
      </w:pPr>
      <w:bookmarkStart w:id="670" w:name="_Toc218241169"/>
      <w:bookmarkStart w:id="671" w:name="_Toc214372665"/>
      <w:bookmarkStart w:id="672" w:name="_Toc24473"/>
      <w:r>
        <w:rPr>
          <w:rFonts w:hint="eastAsia" w:eastAsia="黑体"/>
          <w:bCs/>
          <w:color w:val="000000"/>
          <w:kern w:val="0"/>
          <w:sz w:val="32"/>
          <w:szCs w:val="32"/>
        </w:rPr>
        <w:t xml:space="preserve">第三十一章  </w:t>
      </w:r>
      <w:r>
        <w:rPr>
          <w:rFonts w:eastAsia="黑体"/>
          <w:bCs/>
          <w:color w:val="000000"/>
          <w:kern w:val="0"/>
          <w:sz w:val="32"/>
          <w:szCs w:val="32"/>
        </w:rPr>
        <w:t>深入推进环境污染治理</w:t>
      </w:r>
      <w:bookmarkEnd w:id="668"/>
      <w:bookmarkEnd w:id="669"/>
      <w:bookmarkEnd w:id="670"/>
      <w:bookmarkEnd w:id="671"/>
      <w:bookmarkEnd w:id="672"/>
    </w:p>
    <w:p w14:paraId="36DA8807">
      <w:pPr>
        <w:pStyle w:val="15"/>
        <w:widowControl/>
        <w:numPr>
          <w:ilvl w:val="0"/>
          <w:numId w:val="30"/>
        </w:numPr>
        <w:spacing w:before="156" w:beforeLines="50" w:after="156" w:afterLines="50" w:line="580" w:lineRule="exact"/>
        <w:ind w:left="1080" w:hanging="1080" w:firstLineChars="0"/>
        <w:jc w:val="center"/>
        <w:outlineLvl w:val="2"/>
        <w:rPr>
          <w:rFonts w:eastAsia="楷体_GB2312"/>
          <w:b/>
          <w:color w:val="000000"/>
          <w:kern w:val="0"/>
          <w:sz w:val="32"/>
          <w:szCs w:val="32"/>
        </w:rPr>
      </w:pPr>
      <w:bookmarkStart w:id="673" w:name="_Toc8073"/>
      <w:r>
        <w:rPr>
          <w:rFonts w:hint="eastAsia" w:eastAsia="楷体_GB2312"/>
          <w:b/>
          <w:color w:val="000000"/>
          <w:kern w:val="0"/>
          <w:sz w:val="32"/>
          <w:szCs w:val="32"/>
        </w:rPr>
        <w:t xml:space="preserve"> </w:t>
      </w:r>
      <w:bookmarkStart w:id="674" w:name="_Toc218241170"/>
      <w:r>
        <w:rPr>
          <w:rFonts w:hint="eastAsia" w:eastAsia="楷体_GB2312"/>
          <w:b/>
          <w:color w:val="000000"/>
          <w:kern w:val="0"/>
          <w:sz w:val="32"/>
          <w:szCs w:val="32"/>
        </w:rPr>
        <w:t>打好污染防治攻坚战</w:t>
      </w:r>
      <w:bookmarkEnd w:id="673"/>
      <w:bookmarkEnd w:id="674"/>
    </w:p>
    <w:p w14:paraId="17DC62F5">
      <w:pPr>
        <w:pStyle w:val="2"/>
        <w:numPr>
          <w:ilvl w:val="255"/>
          <w:numId w:val="0"/>
        </w:numPr>
        <w:spacing w:line="580" w:lineRule="exact"/>
        <w:ind w:firstLine="640"/>
        <w:rPr>
          <w:rFonts w:eastAsia="仿宋_GB2312"/>
          <w:sz w:val="32"/>
          <w:szCs w:val="32"/>
        </w:rPr>
      </w:pPr>
      <w:r>
        <w:rPr>
          <w:rFonts w:eastAsia="仿宋_GB2312"/>
          <w:sz w:val="32"/>
          <w:szCs w:val="32"/>
        </w:rPr>
        <w:t>深入打好蓝天、碧水、净土保卫战，抓好夏季臭氧污染防治和秋冬季大气污染防治攻坚</w:t>
      </w:r>
      <w:r>
        <w:rPr>
          <w:rFonts w:hint="eastAsia" w:eastAsia="仿宋_GB2312"/>
          <w:sz w:val="32"/>
          <w:szCs w:val="32"/>
        </w:rPr>
        <w:t>，紧抓市政道路和建筑工地扬尘、移动源尾气排放和餐饮油烟等精准管控治理，持续降低重点行业、领域污染排放</w:t>
      </w:r>
      <w:r>
        <w:rPr>
          <w:rFonts w:eastAsia="仿宋_GB2312"/>
          <w:sz w:val="32"/>
          <w:szCs w:val="32"/>
        </w:rPr>
        <w:t>，</w:t>
      </w:r>
      <w:r>
        <w:rPr>
          <w:rFonts w:hint="eastAsia" w:eastAsia="仿宋_GB2312"/>
          <w:sz w:val="32"/>
          <w:szCs w:val="32"/>
        </w:rPr>
        <w:t>维持良好大气环境质量。</w:t>
      </w:r>
      <w:r>
        <w:rPr>
          <w:rFonts w:eastAsia="仿宋_GB2312"/>
          <w:sz w:val="32"/>
          <w:szCs w:val="32"/>
        </w:rPr>
        <w:t>推进水资源、水环境、水生态“三水共治”</w:t>
      </w:r>
      <w:r>
        <w:rPr>
          <w:rFonts w:hint="eastAsia" w:eastAsia="仿宋_GB2312"/>
          <w:sz w:val="32"/>
          <w:szCs w:val="32"/>
        </w:rPr>
        <w:t>，持续推进乡镇和农村生活污水治理，加强地下水污染防治和饮用水水源地规范化建设，实施流域水生态系统保护和修复。加强在产企业土壤污染风险管控，强化“三块地”土壤环境管理，重点治理历史遗留矿区，推广有机肥替代化肥，做好各类土壤污染的预防和控制，保持土壤环境质量安全可控。加强危险废物污染防治，全面落实危险废物全过程管理的有关制度，</w:t>
      </w:r>
      <w:r>
        <w:rPr>
          <w:rFonts w:eastAsia="仿宋_GB2312"/>
          <w:sz w:val="32"/>
          <w:szCs w:val="32"/>
        </w:rPr>
        <w:t>加强危废、医废收集处理设施建设，</w:t>
      </w:r>
      <w:r>
        <w:rPr>
          <w:rFonts w:hint="eastAsia" w:eastAsia="仿宋_GB2312"/>
          <w:sz w:val="32"/>
          <w:szCs w:val="32"/>
        </w:rPr>
        <w:t>降低危险废物环境风险。</w:t>
      </w:r>
    </w:p>
    <w:p w14:paraId="4B0A6E94">
      <w:pPr>
        <w:pStyle w:val="15"/>
        <w:widowControl/>
        <w:numPr>
          <w:ilvl w:val="0"/>
          <w:numId w:val="30"/>
        </w:numPr>
        <w:spacing w:before="156" w:beforeLines="50" w:after="156" w:afterLines="50" w:line="580" w:lineRule="exact"/>
        <w:ind w:left="1080" w:hanging="1080" w:firstLineChars="0"/>
        <w:jc w:val="center"/>
        <w:outlineLvl w:val="2"/>
        <w:rPr>
          <w:rFonts w:eastAsia="楷体_GB2312"/>
          <w:b/>
          <w:color w:val="000000"/>
          <w:kern w:val="0"/>
          <w:sz w:val="32"/>
          <w:szCs w:val="32"/>
        </w:rPr>
      </w:pPr>
      <w:bookmarkStart w:id="675" w:name="_Toc9730"/>
      <w:r>
        <w:rPr>
          <w:rFonts w:hint="eastAsia" w:eastAsia="楷体_GB2312"/>
          <w:b/>
          <w:color w:val="000000"/>
          <w:kern w:val="0"/>
          <w:sz w:val="32"/>
          <w:szCs w:val="32"/>
        </w:rPr>
        <w:t xml:space="preserve"> </w:t>
      </w:r>
      <w:bookmarkStart w:id="676" w:name="_Toc218241171"/>
      <w:r>
        <w:rPr>
          <w:rFonts w:hint="eastAsia" w:eastAsia="楷体_GB2312"/>
          <w:b/>
          <w:color w:val="000000"/>
          <w:kern w:val="0"/>
          <w:sz w:val="32"/>
          <w:szCs w:val="32"/>
        </w:rPr>
        <w:t>加强城乡环境综合治理</w:t>
      </w:r>
      <w:bookmarkEnd w:id="675"/>
      <w:bookmarkEnd w:id="676"/>
    </w:p>
    <w:p w14:paraId="06608817">
      <w:pPr>
        <w:pStyle w:val="2"/>
        <w:spacing w:line="580" w:lineRule="exact"/>
        <w:ind w:firstLine="640"/>
      </w:pPr>
      <w:r>
        <w:rPr>
          <w:rFonts w:eastAsia="仿宋_GB2312"/>
          <w:sz w:val="32"/>
          <w:szCs w:val="32"/>
        </w:rPr>
        <w:t>加大实施城镇、农村垃圾污水处理设施建设力度，</w:t>
      </w:r>
      <w:r>
        <w:rPr>
          <w:rFonts w:hint="eastAsia" w:eastAsia="仿宋_GB2312"/>
          <w:sz w:val="32"/>
          <w:szCs w:val="32"/>
        </w:rPr>
        <w:t>加快城市环线配套自来水厂建设，新建生活污水集中处理设施，合理规划建设服务片区生活污水收集管网，确保生活污水收集能力；推动乡镇污水处理站规范运行，力争实现污水集中收集率和再生水利用率双提升。加快实施现有合流制排水系统雨污分流改造，降低合流制管网溢流污染，推动实现“污水入厂、清水入河”。实施“无废城市”建设，全面推进全域无垃圾活动，优化县乡村三级收转运体系，推进固体废物资源化利用，加快垃圾焚烧发电等环保基础设施建设，提升垃圾无害化处理能力，确保城乡生活垃圾资源化利用率显著提高</w:t>
      </w:r>
      <w:r>
        <w:rPr>
          <w:rFonts w:eastAsia="MS Mincho"/>
          <w:sz w:val="32"/>
          <w:szCs w:val="32"/>
        </w:rPr>
        <w:t>‌</w:t>
      </w:r>
      <w:r>
        <w:rPr>
          <w:rFonts w:hint="eastAsia" w:eastAsia="仿宋_GB2312"/>
          <w:sz w:val="32"/>
          <w:szCs w:val="32"/>
        </w:rPr>
        <w:t>。</w:t>
      </w:r>
      <w:r>
        <w:rPr>
          <w:rFonts w:eastAsia="仿宋_GB2312"/>
          <w:sz w:val="32"/>
          <w:szCs w:val="32"/>
        </w:rPr>
        <w:t>深化农村环境污染综合整治，有效控制农村面源污染</w:t>
      </w:r>
      <w:r>
        <w:rPr>
          <w:rFonts w:hint="eastAsia" w:eastAsia="仿宋_GB2312"/>
          <w:sz w:val="32"/>
          <w:szCs w:val="32"/>
        </w:rPr>
        <w:t>，加大畜禽养殖污染防治力度，实施农田面源污染防治工程</w:t>
      </w:r>
      <w:r>
        <w:rPr>
          <w:rFonts w:eastAsia="仿宋_GB2312"/>
          <w:sz w:val="32"/>
          <w:szCs w:val="32"/>
        </w:rPr>
        <w:t>。</w:t>
      </w:r>
    </w:p>
    <w:p w14:paraId="54D76989">
      <w:pPr>
        <w:pStyle w:val="15"/>
        <w:widowControl/>
        <w:numPr>
          <w:ilvl w:val="0"/>
          <w:numId w:val="30"/>
        </w:numPr>
        <w:spacing w:before="156" w:beforeLines="50" w:after="156" w:afterLines="50" w:line="580" w:lineRule="exact"/>
        <w:ind w:left="1080" w:hanging="1080" w:firstLineChars="0"/>
        <w:jc w:val="center"/>
        <w:outlineLvl w:val="2"/>
        <w:rPr>
          <w:rFonts w:eastAsia="楷体_GB2312"/>
          <w:b/>
          <w:color w:val="000000"/>
          <w:kern w:val="0"/>
          <w:sz w:val="32"/>
          <w:szCs w:val="32"/>
        </w:rPr>
      </w:pPr>
      <w:bookmarkStart w:id="677" w:name="_Toc26540"/>
      <w:r>
        <w:rPr>
          <w:rFonts w:hint="eastAsia" w:eastAsia="楷体_GB2312"/>
          <w:b/>
          <w:color w:val="000000"/>
          <w:kern w:val="0"/>
          <w:sz w:val="32"/>
          <w:szCs w:val="32"/>
        </w:rPr>
        <w:t xml:space="preserve"> </w:t>
      </w:r>
      <w:bookmarkStart w:id="678" w:name="_Toc218241172"/>
      <w:r>
        <w:rPr>
          <w:rFonts w:hint="eastAsia" w:eastAsia="楷体_GB2312"/>
          <w:b/>
          <w:color w:val="000000"/>
          <w:kern w:val="0"/>
          <w:sz w:val="32"/>
          <w:szCs w:val="32"/>
        </w:rPr>
        <w:t>提升环境治理效能</w:t>
      </w:r>
      <w:bookmarkEnd w:id="677"/>
      <w:bookmarkEnd w:id="678"/>
    </w:p>
    <w:p w14:paraId="5BC0834E">
      <w:pPr>
        <w:pStyle w:val="2"/>
        <w:spacing w:line="580" w:lineRule="exact"/>
        <w:ind w:firstLine="640"/>
        <w:rPr>
          <w:rFonts w:eastAsia="仿宋_GB2312"/>
          <w:sz w:val="32"/>
          <w:szCs w:val="32"/>
        </w:rPr>
      </w:pPr>
      <w:r>
        <w:rPr>
          <w:rFonts w:hint="eastAsia" w:eastAsia="仿宋_GB2312"/>
          <w:sz w:val="32"/>
          <w:szCs w:val="32"/>
        </w:rPr>
        <w:t>完善自然保护地、生态保护红线监管制度，加强生物多样性保护监管，守住自然生态安全边界。加快智慧监测体系建设，布设全域生态质量监测网络，推广无人机巡查、AI识别等非现场智慧执法手段，实现环境质量和重点污染源监测全覆盖。严格落实“双随机、一公开”环境监管模式，完善环境监管体制机制。强化对高耗能、高排放企业的常态化监管，严打非法采砂、侵占岸线等行为。推行环境信用评价制度，实施差异化监管与联合惩戒。强化跨区域联合执法，</w:t>
      </w:r>
      <w:r>
        <w:rPr>
          <w:rFonts w:hint="eastAsia" w:eastAsia="仿宋_GB2312"/>
          <w:spacing w:val="-6"/>
          <w:sz w:val="32"/>
          <w:szCs w:val="32"/>
        </w:rPr>
        <w:t>与阿坝州等邻近地区建立生态联防联控机制，协同推进流域治理和大气污染联防联控。加强基层环境监管执法力量建设，完善基层环境执法装备，落实生态环境网格化管理。</w:t>
      </w:r>
    </w:p>
    <w:p w14:paraId="08E6DEB1">
      <w:pPr>
        <w:widowControl/>
        <w:spacing w:before="156" w:beforeLines="50" w:after="156" w:afterLines="50" w:line="580" w:lineRule="exact"/>
        <w:jc w:val="center"/>
        <w:outlineLvl w:val="1"/>
        <w:rPr>
          <w:rFonts w:eastAsia="黑体"/>
          <w:bCs/>
          <w:color w:val="000000"/>
          <w:kern w:val="0"/>
          <w:sz w:val="32"/>
          <w:szCs w:val="32"/>
        </w:rPr>
      </w:pPr>
      <w:bookmarkStart w:id="679" w:name="_Toc218241173"/>
      <w:bookmarkStart w:id="680" w:name="_Toc214372666"/>
      <w:bookmarkStart w:id="681" w:name="_Toc27553"/>
      <w:bookmarkStart w:id="682" w:name="_Toc212814858"/>
      <w:bookmarkStart w:id="683" w:name="_Toc16868"/>
      <w:r>
        <w:rPr>
          <w:rFonts w:hint="eastAsia" w:eastAsia="黑体"/>
          <w:bCs/>
          <w:color w:val="000000"/>
          <w:kern w:val="0"/>
          <w:sz w:val="32"/>
          <w:szCs w:val="32"/>
        </w:rPr>
        <w:t xml:space="preserve">第三十二章  </w:t>
      </w:r>
      <w:r>
        <w:rPr>
          <w:rFonts w:eastAsia="黑体"/>
          <w:bCs/>
          <w:color w:val="000000"/>
          <w:kern w:val="0"/>
          <w:sz w:val="32"/>
          <w:szCs w:val="32"/>
        </w:rPr>
        <w:t>推动发展方式绿色转型</w:t>
      </w:r>
      <w:bookmarkEnd w:id="679"/>
      <w:bookmarkEnd w:id="680"/>
      <w:bookmarkEnd w:id="681"/>
      <w:bookmarkEnd w:id="682"/>
      <w:bookmarkEnd w:id="683"/>
    </w:p>
    <w:p w14:paraId="223B2A72">
      <w:pPr>
        <w:pStyle w:val="15"/>
        <w:widowControl/>
        <w:numPr>
          <w:ilvl w:val="0"/>
          <w:numId w:val="31"/>
        </w:numPr>
        <w:spacing w:before="156" w:beforeLines="50" w:after="156" w:afterLines="50" w:line="580" w:lineRule="exact"/>
        <w:ind w:left="1080" w:hanging="1080" w:firstLineChars="0"/>
        <w:jc w:val="center"/>
        <w:outlineLvl w:val="2"/>
        <w:rPr>
          <w:rFonts w:eastAsia="楷体_GB2312"/>
          <w:b/>
          <w:color w:val="000000"/>
          <w:kern w:val="0"/>
          <w:sz w:val="32"/>
          <w:szCs w:val="32"/>
        </w:rPr>
      </w:pPr>
      <w:bookmarkStart w:id="684" w:name="_Toc27736"/>
      <w:r>
        <w:rPr>
          <w:rFonts w:hint="eastAsia" w:eastAsia="楷体_GB2312"/>
          <w:b/>
          <w:color w:val="000000"/>
          <w:kern w:val="0"/>
          <w:sz w:val="32"/>
          <w:szCs w:val="32"/>
        </w:rPr>
        <w:t xml:space="preserve"> </w:t>
      </w:r>
      <w:bookmarkStart w:id="685" w:name="_Toc218241174"/>
      <w:r>
        <w:rPr>
          <w:rFonts w:hint="eastAsia" w:eastAsia="楷体_GB2312"/>
          <w:b/>
          <w:color w:val="000000"/>
          <w:kern w:val="0"/>
          <w:sz w:val="32"/>
          <w:szCs w:val="32"/>
        </w:rPr>
        <w:t>构建绿色生产方式</w:t>
      </w:r>
      <w:bookmarkEnd w:id="684"/>
      <w:bookmarkEnd w:id="685"/>
    </w:p>
    <w:p w14:paraId="2164139D">
      <w:pPr>
        <w:pStyle w:val="2"/>
        <w:spacing w:line="580" w:lineRule="exact"/>
        <w:ind w:firstLine="640"/>
        <w:rPr>
          <w:rFonts w:eastAsia="仿宋_GB2312"/>
          <w:sz w:val="32"/>
          <w:szCs w:val="32"/>
        </w:rPr>
      </w:pPr>
      <w:r>
        <w:rPr>
          <w:rFonts w:hint="eastAsia" w:eastAsia="仿宋_GB2312"/>
          <w:sz w:val="32"/>
          <w:szCs w:val="32"/>
        </w:rPr>
        <w:t>发展</w:t>
      </w:r>
      <w:r>
        <w:rPr>
          <w:rFonts w:eastAsia="仿宋_GB2312"/>
          <w:sz w:val="32"/>
          <w:szCs w:val="32"/>
        </w:rPr>
        <w:t>“</w:t>
      </w:r>
      <w:r>
        <w:rPr>
          <w:rFonts w:hint="eastAsia" w:eastAsia="仿宋_GB2312"/>
          <w:sz w:val="32"/>
          <w:szCs w:val="32"/>
        </w:rPr>
        <w:t>生态</w:t>
      </w:r>
      <w:r>
        <w:rPr>
          <w:rFonts w:eastAsia="仿宋_GB2312"/>
          <w:sz w:val="32"/>
          <w:szCs w:val="32"/>
        </w:rPr>
        <w:t>+</w:t>
      </w:r>
      <w:r>
        <w:rPr>
          <w:rFonts w:hint="eastAsia" w:eastAsia="仿宋_GB2312"/>
          <w:sz w:val="32"/>
          <w:szCs w:val="32"/>
        </w:rPr>
        <w:t>农业</w:t>
      </w:r>
      <w:r>
        <w:rPr>
          <w:rFonts w:eastAsia="仿宋_GB2312"/>
          <w:sz w:val="32"/>
          <w:szCs w:val="32"/>
        </w:rPr>
        <w:t>”</w:t>
      </w:r>
      <w:r>
        <w:rPr>
          <w:rFonts w:hint="eastAsia" w:eastAsia="仿宋_GB2312"/>
          <w:sz w:val="32"/>
          <w:szCs w:val="32"/>
        </w:rPr>
        <w:t>、培育</w:t>
      </w:r>
      <w:r>
        <w:rPr>
          <w:rFonts w:eastAsia="仿宋_GB2312"/>
          <w:sz w:val="32"/>
          <w:szCs w:val="32"/>
        </w:rPr>
        <w:t>“</w:t>
      </w:r>
      <w:r>
        <w:rPr>
          <w:rFonts w:hint="eastAsia" w:eastAsia="仿宋_GB2312"/>
          <w:sz w:val="32"/>
          <w:szCs w:val="32"/>
        </w:rPr>
        <w:t>生态</w:t>
      </w:r>
      <w:r>
        <w:rPr>
          <w:rFonts w:eastAsia="仿宋_GB2312"/>
          <w:sz w:val="32"/>
          <w:szCs w:val="32"/>
        </w:rPr>
        <w:t>+</w:t>
      </w:r>
      <w:r>
        <w:rPr>
          <w:rFonts w:hint="eastAsia" w:eastAsia="仿宋_GB2312"/>
          <w:sz w:val="32"/>
          <w:szCs w:val="32"/>
        </w:rPr>
        <w:t>商贸</w:t>
      </w:r>
      <w:r>
        <w:rPr>
          <w:rFonts w:eastAsia="仿宋_GB2312"/>
          <w:sz w:val="32"/>
          <w:szCs w:val="32"/>
        </w:rPr>
        <w:t>”</w:t>
      </w:r>
      <w:r>
        <w:rPr>
          <w:rFonts w:hint="eastAsia" w:eastAsia="仿宋_GB2312"/>
          <w:sz w:val="32"/>
          <w:szCs w:val="32"/>
        </w:rPr>
        <w:t>，构建有机农牧业生产加工、绿色循环体系。深化东西部协作，引入低碳技术推动文旅产业绿色升级，打造零碳旅游示范点。大力发展"生态能源"型经济，推广清洁能源替代，优化风、光、水等可再生能源开发布局，构建多能互补、绿色低碳的能源体系。推动绿色电力驱动绿色算力融合发展，服务工业互联网、智慧城市等场景应用</w:t>
      </w:r>
      <w:r>
        <w:rPr>
          <w:rFonts w:eastAsia="MS Mincho"/>
          <w:sz w:val="32"/>
          <w:szCs w:val="32"/>
        </w:rPr>
        <w:t>‌</w:t>
      </w:r>
      <w:r>
        <w:rPr>
          <w:rFonts w:hint="eastAsia" w:eastAsia="仿宋_GB2312"/>
          <w:sz w:val="32"/>
          <w:szCs w:val="32"/>
        </w:rPr>
        <w:t>。积极推进产业结构优化调整，加强生态环境空间分区管控在推动行业绿色转型升级方面的应用，积极引导传统高污染产业实施绿色技术改造。推广绿色建造技术，在城乡建设领域应用节能建材、装配式建筑等技术，优化建筑用能结构，推进可再生能源建筑一体化应用，降低城乡碳足迹。</w:t>
      </w:r>
    </w:p>
    <w:p w14:paraId="229E5431">
      <w:pPr>
        <w:pStyle w:val="15"/>
        <w:widowControl/>
        <w:numPr>
          <w:ilvl w:val="0"/>
          <w:numId w:val="31"/>
        </w:numPr>
        <w:spacing w:before="156" w:beforeLines="50" w:after="156" w:afterLines="50" w:line="580" w:lineRule="exact"/>
        <w:ind w:left="1080" w:hanging="1080" w:firstLineChars="0"/>
        <w:jc w:val="center"/>
        <w:outlineLvl w:val="2"/>
        <w:rPr>
          <w:rFonts w:eastAsia="楷体_GB2312"/>
          <w:b/>
          <w:color w:val="000000"/>
          <w:kern w:val="0"/>
          <w:sz w:val="32"/>
          <w:szCs w:val="32"/>
        </w:rPr>
      </w:pPr>
      <w:bookmarkStart w:id="686" w:name="_Toc19997"/>
      <w:r>
        <w:rPr>
          <w:rFonts w:hint="eastAsia" w:eastAsia="楷体_GB2312"/>
          <w:b/>
          <w:color w:val="000000"/>
          <w:kern w:val="0"/>
          <w:sz w:val="32"/>
          <w:szCs w:val="32"/>
        </w:rPr>
        <w:t xml:space="preserve"> </w:t>
      </w:r>
      <w:bookmarkStart w:id="687" w:name="_Toc218241175"/>
      <w:r>
        <w:rPr>
          <w:rFonts w:hint="eastAsia" w:eastAsia="楷体_GB2312"/>
          <w:b/>
          <w:color w:val="000000"/>
          <w:kern w:val="0"/>
          <w:sz w:val="32"/>
          <w:szCs w:val="32"/>
        </w:rPr>
        <w:t>加强资源节约集约循环利用</w:t>
      </w:r>
      <w:bookmarkEnd w:id="686"/>
      <w:bookmarkEnd w:id="687"/>
    </w:p>
    <w:p w14:paraId="51468B8C">
      <w:pPr>
        <w:pStyle w:val="2"/>
        <w:spacing w:before="156" w:beforeLines="50"/>
        <w:ind w:right="420" w:rightChars="200" w:firstLine="640"/>
        <w:jc w:val="left"/>
        <w:rPr>
          <w:rFonts w:eastAsia="仿宋_GB2312"/>
        </w:rPr>
      </w:pPr>
      <w:r>
        <w:rPr>
          <w:rFonts w:hint="eastAsia" w:eastAsia="仿宋_GB2312"/>
          <w:color w:val="000000"/>
          <w:sz w:val="32"/>
          <w:szCs w:val="32"/>
        </w:rPr>
        <w:t>建立水资源刚性约束机制，优化水资源配置，推进农田灌溉节水改造，发展节水农业；加强城镇节水，推进企业节水改造，建设节水型社会。开展土地集约利用整治，优化土地利用结构与布局，盘活存量建设用地，推进城镇低效用地与农村闲置宅基地再开发，引导有条件的地区有序开发利用地下与山体空间。提高矿产资源开发保护水平，促进矿产资源高效利用，提升矿产资源开采回采率、选矿回收率和综合利用率。</w:t>
      </w:r>
      <w:r>
        <w:rPr>
          <w:rFonts w:hint="eastAsia" w:eastAsia="仿宋_GB2312"/>
          <w:sz w:val="32"/>
          <w:szCs w:val="32"/>
        </w:rPr>
        <w:t>落实能源总量与强度“双控”制度，推动重点领域节能减排，引导企业采用新设备、新材料、新工艺、新技术，降低单位产品能耗水平。健全废旧物资循环利用体系，深度开发“城市矿产”，推进农林废弃物、建筑垃圾、餐厨垃圾等资源化利用，并健全汽车轮胎、纺织品等重点品类回收网络。开展循环经济示范，加快园区循环化改造与循环型产业园区建设。</w:t>
      </w:r>
    </w:p>
    <w:p w14:paraId="42DEF9C3">
      <w:pPr>
        <w:pStyle w:val="15"/>
        <w:widowControl/>
        <w:numPr>
          <w:ilvl w:val="0"/>
          <w:numId w:val="31"/>
        </w:numPr>
        <w:spacing w:before="156" w:beforeLines="50" w:after="156" w:afterLines="50" w:line="580" w:lineRule="exact"/>
        <w:ind w:firstLineChars="0"/>
        <w:jc w:val="center"/>
        <w:outlineLvl w:val="2"/>
        <w:rPr>
          <w:rFonts w:eastAsia="楷体_GB2312"/>
          <w:b/>
          <w:color w:val="000000"/>
          <w:kern w:val="0"/>
          <w:sz w:val="32"/>
          <w:szCs w:val="32"/>
        </w:rPr>
      </w:pPr>
      <w:bookmarkStart w:id="688" w:name="_Toc8187"/>
      <w:r>
        <w:rPr>
          <w:rFonts w:hint="eastAsia" w:eastAsia="楷体_GB2312"/>
          <w:b/>
          <w:color w:val="000000"/>
          <w:kern w:val="0"/>
          <w:sz w:val="32"/>
          <w:szCs w:val="32"/>
        </w:rPr>
        <w:t xml:space="preserve"> </w:t>
      </w:r>
      <w:bookmarkStart w:id="689" w:name="_Toc218241176"/>
      <w:r>
        <w:rPr>
          <w:rFonts w:hint="eastAsia" w:eastAsia="楷体_GB2312"/>
          <w:b/>
          <w:color w:val="000000"/>
          <w:kern w:val="0"/>
          <w:sz w:val="32"/>
          <w:szCs w:val="32"/>
        </w:rPr>
        <w:t>倡导绿色低碳生活方式</w:t>
      </w:r>
      <w:bookmarkEnd w:id="688"/>
      <w:bookmarkEnd w:id="689"/>
    </w:p>
    <w:p w14:paraId="73C0B1E7">
      <w:pPr>
        <w:pStyle w:val="2"/>
        <w:spacing w:line="580" w:lineRule="exact"/>
        <w:ind w:firstLine="640"/>
        <w:rPr>
          <w:rFonts w:eastAsia="仿宋_GB2312"/>
          <w:sz w:val="32"/>
          <w:szCs w:val="32"/>
        </w:rPr>
      </w:pPr>
      <w:r>
        <w:rPr>
          <w:rFonts w:hint="eastAsia" w:eastAsia="仿宋_GB2312"/>
          <w:sz w:val="32"/>
          <w:szCs w:val="32"/>
        </w:rPr>
        <w:t>推进生活领域节能降碳，加强零售批发、餐饮住宿、物流仓储、车站机场等领域和场所节能降碳，建立绿色节能低碳运营管理流程和机制。加快公共机构绿色低碳转型，深入开展节约型机关和绿色学校创建行动，倡导绿色办公，将具有低碳标识、环保标志的产品优先纳入政府采购目录。宣传推广碳普惠制，推进绿色生态小区建设，探索社区低碳化运营管理模式，创建低碳绿色家庭，开展“绿色家庭”示范创建活动。</w:t>
      </w:r>
      <w:r>
        <w:rPr>
          <w:rFonts w:eastAsia="仿宋_GB2312"/>
          <w:sz w:val="32"/>
          <w:szCs w:val="32"/>
        </w:rPr>
        <w:t>推广绿色建筑与交通，</w:t>
      </w:r>
      <w:r>
        <w:rPr>
          <w:rFonts w:hint="eastAsia" w:eastAsia="仿宋_GB2312"/>
          <w:sz w:val="32"/>
          <w:szCs w:val="32"/>
        </w:rPr>
        <w:t>补齐城乡环保设施短板，合理规划建设电动汽车充电网络，推广清洁能源车辆使用，降低交通领域碳排放。分步实施集中或分布式供暖项目，继续扩大稳定电网覆盖范围，持续推进“以电代柴”行动。</w:t>
      </w:r>
      <w:r>
        <w:rPr>
          <w:rFonts w:eastAsia="仿宋_GB2312"/>
          <w:sz w:val="32"/>
          <w:szCs w:val="32"/>
        </w:rPr>
        <w:t>激励绿色消费行为，培育绿色消费市场</w:t>
      </w:r>
      <w:r>
        <w:rPr>
          <w:rFonts w:hint="eastAsia" w:eastAsia="仿宋_GB2312"/>
          <w:sz w:val="32"/>
          <w:szCs w:val="32"/>
        </w:rPr>
        <w:t>，推广“绿色住宿”与“无痕旅游”理念。完善绿色传播网络，多渠道、多媒体宣传环境保护规划，开展环保志愿活动。</w:t>
      </w:r>
    </w:p>
    <w:p w14:paraId="7D6604D6">
      <w:pPr>
        <w:widowControl/>
        <w:spacing w:before="156" w:beforeLines="50" w:after="156" w:afterLines="50" w:line="580" w:lineRule="exact"/>
        <w:jc w:val="center"/>
        <w:outlineLvl w:val="1"/>
        <w:rPr>
          <w:rFonts w:eastAsia="黑体"/>
          <w:bCs/>
          <w:color w:val="000000"/>
          <w:kern w:val="0"/>
          <w:sz w:val="32"/>
          <w:szCs w:val="32"/>
        </w:rPr>
      </w:pPr>
      <w:bookmarkStart w:id="690" w:name="_Toc218241177"/>
      <w:bookmarkStart w:id="691" w:name="_Toc20249"/>
      <w:bookmarkStart w:id="692" w:name="_Toc212814859"/>
      <w:bookmarkStart w:id="693" w:name="_Toc7182"/>
      <w:bookmarkStart w:id="694" w:name="_Toc214372667"/>
      <w:r>
        <w:rPr>
          <w:rFonts w:hint="eastAsia" w:eastAsia="黑体"/>
          <w:bCs/>
          <w:color w:val="000000"/>
          <w:kern w:val="0"/>
          <w:sz w:val="32"/>
          <w:szCs w:val="32"/>
        </w:rPr>
        <w:t xml:space="preserve">第三十三章  </w:t>
      </w:r>
      <w:r>
        <w:rPr>
          <w:rFonts w:eastAsia="黑体"/>
          <w:bCs/>
          <w:color w:val="000000"/>
          <w:kern w:val="0"/>
          <w:sz w:val="32"/>
          <w:szCs w:val="32"/>
        </w:rPr>
        <w:t>加快生态产品价值实现</w:t>
      </w:r>
      <w:bookmarkEnd w:id="690"/>
      <w:bookmarkEnd w:id="691"/>
      <w:bookmarkEnd w:id="692"/>
      <w:bookmarkEnd w:id="693"/>
      <w:bookmarkEnd w:id="694"/>
    </w:p>
    <w:p w14:paraId="694FCA43">
      <w:pPr>
        <w:pStyle w:val="15"/>
        <w:widowControl/>
        <w:numPr>
          <w:ilvl w:val="0"/>
          <w:numId w:val="32"/>
        </w:numPr>
        <w:spacing w:before="156" w:beforeLines="50" w:after="156" w:afterLines="50" w:line="580" w:lineRule="exact"/>
        <w:ind w:left="1080" w:hanging="1080" w:firstLineChars="0"/>
        <w:jc w:val="center"/>
        <w:outlineLvl w:val="2"/>
        <w:rPr>
          <w:rFonts w:eastAsia="楷体_GB2312"/>
          <w:b/>
          <w:color w:val="000000"/>
          <w:kern w:val="0"/>
          <w:sz w:val="32"/>
          <w:szCs w:val="32"/>
        </w:rPr>
      </w:pPr>
      <w:bookmarkStart w:id="695" w:name="_Toc3392"/>
      <w:r>
        <w:rPr>
          <w:rFonts w:hint="eastAsia" w:eastAsia="楷体_GB2312"/>
          <w:b/>
          <w:color w:val="000000"/>
          <w:kern w:val="0"/>
          <w:sz w:val="32"/>
          <w:szCs w:val="32"/>
        </w:rPr>
        <w:t xml:space="preserve"> </w:t>
      </w:r>
      <w:bookmarkStart w:id="696" w:name="_Toc218241178"/>
      <w:r>
        <w:rPr>
          <w:rFonts w:hint="eastAsia" w:eastAsia="楷体_GB2312"/>
          <w:b/>
          <w:color w:val="000000"/>
          <w:kern w:val="0"/>
          <w:sz w:val="32"/>
          <w:szCs w:val="32"/>
        </w:rPr>
        <w:t>完善自然资源有偿使用制度</w:t>
      </w:r>
      <w:bookmarkEnd w:id="695"/>
      <w:bookmarkEnd w:id="696"/>
    </w:p>
    <w:p w14:paraId="5D88878B">
      <w:pPr>
        <w:pStyle w:val="2"/>
        <w:spacing w:line="580" w:lineRule="exact"/>
        <w:ind w:firstLine="640"/>
      </w:pPr>
      <w:r>
        <w:rPr>
          <w:rFonts w:eastAsia="仿宋_GB2312"/>
          <w:sz w:val="32"/>
          <w:szCs w:val="32"/>
        </w:rPr>
        <w:t>健全自然资源资产产权制度和管理制度体系，持续推进</w:t>
      </w:r>
      <w:r>
        <w:rPr>
          <w:rFonts w:hint="eastAsia" w:eastAsia="仿宋_GB2312"/>
          <w:sz w:val="32"/>
          <w:szCs w:val="32"/>
        </w:rPr>
        <w:t>各类自然保护地、大江大河等重要生态空间统一调查监测评价和确权登记工作</w:t>
      </w:r>
      <w:r>
        <w:rPr>
          <w:rFonts w:eastAsia="仿宋_GB2312"/>
          <w:sz w:val="32"/>
          <w:szCs w:val="32"/>
        </w:rPr>
        <w:t>，</w:t>
      </w:r>
      <w:r>
        <w:rPr>
          <w:rFonts w:hint="eastAsia" w:eastAsia="仿宋_GB2312"/>
          <w:sz w:val="32"/>
          <w:szCs w:val="32"/>
        </w:rPr>
        <w:t>厘清生态核心资源、开发潜力资源、碳汇特色资源底数，实施国有经营性资源、集体草原林地、跨区域资源差异化确权登记，明晰权属边界与权责条款，</w:t>
      </w:r>
      <w:r>
        <w:rPr>
          <w:rFonts w:eastAsia="仿宋_GB2312"/>
          <w:sz w:val="32"/>
          <w:szCs w:val="32"/>
        </w:rPr>
        <w:t>推动自然资源资产化管理。</w:t>
      </w:r>
      <w:r>
        <w:rPr>
          <w:rFonts w:hint="eastAsia" w:eastAsia="仿宋_GB2312"/>
          <w:sz w:val="32"/>
          <w:szCs w:val="32"/>
        </w:rPr>
        <w:t>完善自然资源资产用途管制制度，明确各类国土空间开发、利用、保护边界，实现能源、水资源、矿产资源按质量分级、梯级利用。推进自然资源有偿使用制度改革，扩大有偿使用范围，分类建立有偿使用机制。</w:t>
      </w:r>
      <w:r>
        <w:rPr>
          <w:rFonts w:eastAsia="仿宋_GB2312"/>
          <w:sz w:val="32"/>
          <w:szCs w:val="32"/>
        </w:rPr>
        <w:t>探索推动排污权、用能权、用水权、碳排放权市场化交易。</w:t>
      </w:r>
      <w:r>
        <w:rPr>
          <w:rFonts w:hint="eastAsia" w:eastAsia="仿宋_GB2312"/>
          <w:sz w:val="32"/>
          <w:szCs w:val="32"/>
        </w:rPr>
        <w:t>搭建自然资源交易服务体系，提供信息发布、价格评估、合同备案等全链条服务，推动草原经营权、旅游资源开发权等进场交易。</w:t>
      </w:r>
    </w:p>
    <w:p w14:paraId="04B9B994">
      <w:pPr>
        <w:pStyle w:val="15"/>
        <w:widowControl/>
        <w:numPr>
          <w:ilvl w:val="0"/>
          <w:numId w:val="32"/>
        </w:numPr>
        <w:spacing w:before="156" w:beforeLines="50" w:after="156" w:afterLines="50" w:line="580" w:lineRule="exact"/>
        <w:ind w:left="1080" w:hanging="1080" w:firstLineChars="0"/>
        <w:jc w:val="center"/>
        <w:outlineLvl w:val="2"/>
        <w:rPr>
          <w:rFonts w:eastAsia="楷体_GB2312"/>
          <w:b/>
          <w:color w:val="000000"/>
          <w:kern w:val="0"/>
          <w:sz w:val="32"/>
          <w:szCs w:val="32"/>
        </w:rPr>
      </w:pPr>
      <w:bookmarkStart w:id="697" w:name="_Toc6679"/>
      <w:r>
        <w:rPr>
          <w:rFonts w:hint="eastAsia" w:eastAsia="楷体_GB2312"/>
          <w:b/>
          <w:color w:val="000000"/>
          <w:kern w:val="0"/>
          <w:sz w:val="32"/>
          <w:szCs w:val="32"/>
        </w:rPr>
        <w:t xml:space="preserve"> </w:t>
      </w:r>
      <w:bookmarkStart w:id="698" w:name="_Toc218241179"/>
      <w:r>
        <w:rPr>
          <w:rFonts w:hint="eastAsia" w:eastAsia="楷体_GB2312"/>
          <w:b/>
          <w:color w:val="000000"/>
          <w:kern w:val="0"/>
          <w:sz w:val="32"/>
          <w:szCs w:val="32"/>
        </w:rPr>
        <w:t>健全生态保护补偿机制</w:t>
      </w:r>
      <w:bookmarkEnd w:id="697"/>
      <w:bookmarkEnd w:id="698"/>
    </w:p>
    <w:p w14:paraId="2DCFCF27">
      <w:pPr>
        <w:pStyle w:val="2"/>
        <w:spacing w:line="580" w:lineRule="exact"/>
        <w:ind w:firstLine="640"/>
        <w:rPr>
          <w:rFonts w:eastAsia="仿宋_GB2312"/>
        </w:rPr>
      </w:pPr>
      <w:r>
        <w:rPr>
          <w:rFonts w:eastAsia="仿宋_GB2312"/>
          <w:sz w:val="32"/>
          <w:szCs w:val="32"/>
        </w:rPr>
        <w:t>加快构建多元化生态补偿机制</w:t>
      </w:r>
      <w:r>
        <w:rPr>
          <w:rFonts w:hint="eastAsia" w:eastAsia="仿宋_GB2312"/>
          <w:sz w:val="32"/>
          <w:szCs w:val="32"/>
        </w:rPr>
        <w:t>，</w:t>
      </w:r>
      <w:r>
        <w:rPr>
          <w:rFonts w:eastAsia="仿宋_GB2312"/>
          <w:sz w:val="32"/>
          <w:szCs w:val="32"/>
        </w:rPr>
        <w:t>探索开展生态综合补偿，继续实行退耕还林（草）、森林生态效益补偿和草原生态保护补助奖励政策，推动建立水生态保护补偿机制</w:t>
      </w:r>
      <w:r>
        <w:rPr>
          <w:rFonts w:hint="eastAsia" w:eastAsia="仿宋_GB2312"/>
          <w:sz w:val="32"/>
          <w:szCs w:val="32"/>
        </w:rPr>
        <w:t>，提高还湿补偿和湿地管护补偿标准</w:t>
      </w:r>
      <w:r>
        <w:rPr>
          <w:rFonts w:eastAsia="仿宋_GB2312"/>
          <w:sz w:val="32"/>
          <w:szCs w:val="32"/>
        </w:rPr>
        <w:t>。</w:t>
      </w:r>
      <w:r>
        <w:rPr>
          <w:rFonts w:hint="eastAsia" w:eastAsia="仿宋_GB2312"/>
          <w:sz w:val="32"/>
          <w:szCs w:val="32"/>
        </w:rPr>
        <w:t>推动建立流域生态综合补偿和跨区域横向生态补偿机制，依托四川省流域横向生态保护补偿政策框架，推动与流域上下游地区签订补偿协议，按水质达标情况、生态贡献度实施动态奖补。拓展多元化横向补偿方式，在资金补偿基础上，积极探索对口协作、产业转移、人才培训、共建园区、购买生态产品和服务等多元化补偿方式。构建多元资金保障体系，积极对接国家生态综合补偿重点区域县扩围政策，争取中央和省级财政加大重点生态功能区转移支付力度，拓展市场化补偿渠道，探索设立区域性生态保护补偿基金，落实生态环保贷款贴息政策。推进生态环境损害赔偿，落实生态环境损害赔偿制度改革，对发展破坏生态环境相关产业的，减少其补偿资金并追究赔偿责任。</w:t>
      </w:r>
    </w:p>
    <w:p w14:paraId="53175E92">
      <w:pPr>
        <w:pStyle w:val="15"/>
        <w:widowControl/>
        <w:numPr>
          <w:ilvl w:val="0"/>
          <w:numId w:val="32"/>
        </w:numPr>
        <w:spacing w:before="156" w:beforeLines="50" w:after="156" w:afterLines="50" w:line="580" w:lineRule="exact"/>
        <w:ind w:left="1080" w:hanging="1080" w:firstLineChars="0"/>
        <w:jc w:val="center"/>
        <w:outlineLvl w:val="2"/>
        <w:rPr>
          <w:rFonts w:eastAsia="楷体_GB2312"/>
          <w:b/>
          <w:color w:val="000000"/>
          <w:kern w:val="0"/>
          <w:sz w:val="32"/>
          <w:szCs w:val="32"/>
        </w:rPr>
      </w:pPr>
      <w:bookmarkStart w:id="699" w:name="_Toc24642"/>
      <w:r>
        <w:rPr>
          <w:rFonts w:hint="eastAsia" w:eastAsia="楷体_GB2312"/>
          <w:b/>
          <w:color w:val="000000"/>
          <w:kern w:val="0"/>
          <w:sz w:val="32"/>
          <w:szCs w:val="32"/>
        </w:rPr>
        <w:t xml:space="preserve"> </w:t>
      </w:r>
      <w:bookmarkStart w:id="700" w:name="_Toc218241180"/>
      <w:r>
        <w:rPr>
          <w:rFonts w:hint="eastAsia" w:eastAsia="楷体_GB2312"/>
          <w:b/>
          <w:color w:val="000000"/>
          <w:kern w:val="0"/>
          <w:sz w:val="32"/>
          <w:szCs w:val="32"/>
        </w:rPr>
        <w:t>完善生态产品价值实现机制</w:t>
      </w:r>
      <w:bookmarkEnd w:id="699"/>
      <w:bookmarkEnd w:id="700"/>
    </w:p>
    <w:p w14:paraId="3C14E104">
      <w:pPr>
        <w:pStyle w:val="2"/>
        <w:spacing w:line="580" w:lineRule="exact"/>
        <w:ind w:firstLine="640"/>
        <w:rPr>
          <w:rFonts w:eastAsia="仿宋_GB2312"/>
          <w:sz w:val="32"/>
          <w:szCs w:val="32"/>
        </w:rPr>
      </w:pPr>
      <w:r>
        <w:rPr>
          <w:rFonts w:hint="eastAsia" w:eastAsia="仿宋_GB2312"/>
          <w:sz w:val="32"/>
          <w:szCs w:val="32"/>
        </w:rPr>
        <w:t>深化“两山”转化路径创新，探索生态产品与绿色产业、乡村振兴、文旅融合等联动发展模式，推动生态产业化与产业生态化深度融合，着力发展生态旅游，丰富和创新生态旅游产品体系，大力发展乡村旅游、创新发展康养旅游、连片发展森林旅游，持续扩大“极地果蔬”等绿色品牌影响力。扎实</w:t>
      </w:r>
      <w:r>
        <w:rPr>
          <w:rFonts w:eastAsia="仿宋_GB2312"/>
          <w:sz w:val="32"/>
          <w:szCs w:val="32"/>
        </w:rPr>
        <w:t>推进“森林四库”建设，探索“储备林+”生态开发模式，开展高海拔生态产品价值实现科研试点。探索林草碳汇生态产品价值转化路径，试点推进林草碳汇测算入市，推动林草等生态资源集中收储，建立“资源变资产、资产变资本”生态产品交易模式。</w:t>
      </w:r>
      <w:r>
        <w:rPr>
          <w:rFonts w:hint="eastAsia" w:eastAsia="仿宋_GB2312"/>
          <w:sz w:val="32"/>
          <w:szCs w:val="32"/>
        </w:rPr>
        <w:t>探索生态产品交易与融资机制，建立品牌溢价实现路径，通过数字化营销和高端渠道合作，撬动理塘特色产业“杠杆”。</w:t>
      </w:r>
    </w:p>
    <w:p w14:paraId="7CC627D6">
      <w:pPr>
        <w:pStyle w:val="15"/>
        <w:widowControl/>
        <w:numPr>
          <w:ilvl w:val="0"/>
          <w:numId w:val="32"/>
        </w:numPr>
        <w:spacing w:before="156" w:beforeLines="50" w:after="156" w:afterLines="50" w:line="580" w:lineRule="exact"/>
        <w:ind w:left="1080" w:hanging="1080" w:firstLineChars="0"/>
        <w:jc w:val="center"/>
        <w:outlineLvl w:val="2"/>
        <w:rPr>
          <w:rFonts w:eastAsia="楷体_GB2312"/>
          <w:b/>
          <w:color w:val="000000"/>
          <w:kern w:val="0"/>
          <w:sz w:val="32"/>
          <w:szCs w:val="32"/>
        </w:rPr>
      </w:pPr>
      <w:bookmarkStart w:id="701" w:name="_Toc24033"/>
      <w:r>
        <w:rPr>
          <w:rFonts w:hint="eastAsia" w:eastAsia="楷体_GB2312"/>
          <w:b/>
          <w:color w:val="000000"/>
          <w:kern w:val="0"/>
          <w:sz w:val="32"/>
          <w:szCs w:val="32"/>
        </w:rPr>
        <w:t xml:space="preserve"> </w:t>
      </w:r>
      <w:bookmarkStart w:id="702" w:name="_Toc218241181"/>
      <w:r>
        <w:rPr>
          <w:rFonts w:hint="eastAsia" w:eastAsia="楷体_GB2312"/>
          <w:b/>
          <w:color w:val="000000"/>
          <w:kern w:val="0"/>
          <w:sz w:val="32"/>
          <w:szCs w:val="32"/>
        </w:rPr>
        <w:t>探索高原生态保护与绿色经济协同发展路径</w:t>
      </w:r>
      <w:bookmarkEnd w:id="701"/>
      <w:bookmarkEnd w:id="702"/>
    </w:p>
    <w:p w14:paraId="45AE0784">
      <w:pPr>
        <w:spacing w:line="580" w:lineRule="exact"/>
        <w:ind w:firstLine="640" w:firstLineChars="200"/>
        <w:rPr>
          <w:rFonts w:eastAsia="仿宋_GB2312"/>
          <w:sz w:val="32"/>
          <w:szCs w:val="32"/>
        </w:rPr>
      </w:pPr>
      <w:r>
        <w:rPr>
          <w:rFonts w:hint="eastAsia" w:eastAsia="仿宋_GB2312"/>
          <w:sz w:val="32"/>
          <w:szCs w:val="32"/>
        </w:rPr>
        <w:t>积极争取中央专项资金、生态补偿专项资金，加大对污染治理、环境风险管控、生态修复、环保基础能力建设和环境治理体系建立等重点工作的投入力度。创新绿色金融工具，以</w:t>
      </w:r>
      <w:r>
        <w:rPr>
          <w:rFonts w:eastAsia="仿宋_GB2312"/>
          <w:sz w:val="32"/>
          <w:szCs w:val="32"/>
        </w:rPr>
        <w:t>EOD</w:t>
      </w:r>
      <w:r>
        <w:rPr>
          <w:rFonts w:hint="eastAsia" w:eastAsia="仿宋_GB2312"/>
          <w:sz w:val="32"/>
          <w:szCs w:val="32"/>
        </w:rPr>
        <w:t>模式为引擎，探索“生态修复—产业开发—金融创新”的“理塘模式”，针对矿山生态修复，采用“边开采、边治理”机制，同步开发砂石骨料回收、碳汇交易等增值路径；探索退化草原修复、湿地保护与清洁能源开发结合，实施“光伏</w:t>
      </w:r>
      <w:r>
        <w:rPr>
          <w:rFonts w:eastAsia="仿宋_GB2312"/>
          <w:sz w:val="32"/>
          <w:szCs w:val="32"/>
        </w:rPr>
        <w:t xml:space="preserve"> + </w:t>
      </w:r>
      <w:r>
        <w:rPr>
          <w:rFonts w:hint="eastAsia" w:eastAsia="仿宋_GB2312"/>
          <w:sz w:val="32"/>
          <w:szCs w:val="32"/>
        </w:rPr>
        <w:t>牧业”立体开发模式。综合运用绿色信贷、碳汇交易、绿色债券等工具，破解高寒地区生态修复资金瓶颈。完善政府、企业、社会多元化环保投融资机制，积极引导鼓励社会资本参与生态环境保护，保障重大项目落地。强化对环境保护专项资金使用的监督管理，提高环保资金投资效益。</w:t>
      </w:r>
    </w:p>
    <w:tbl>
      <w:tblPr>
        <w:tblStyle w:val="11"/>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7EEB8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2" w:hRule="atLeast"/>
          <w:jc w:val="center"/>
        </w:trPr>
        <w:tc>
          <w:tcPr>
            <w:tcW w:w="5000" w:type="pct"/>
            <w:tcBorders>
              <w:top w:val="single" w:color="auto" w:sz="4" w:space="0"/>
              <w:left w:val="single" w:color="auto" w:sz="4" w:space="0"/>
              <w:bottom w:val="single" w:color="auto" w:sz="4" w:space="0"/>
              <w:right w:val="single" w:color="auto" w:sz="4" w:space="0"/>
            </w:tcBorders>
          </w:tcPr>
          <w:p w14:paraId="243F2597">
            <w:pPr>
              <w:pStyle w:val="10"/>
              <w:snapToGrid w:val="0"/>
              <w:spacing w:before="156" w:beforeLines="50" w:after="156" w:afterLines="50" w:line="440" w:lineRule="exact"/>
              <w:ind w:left="0" w:leftChars="0" w:firstLine="643" w:firstLineChars="0"/>
              <w:jc w:val="center"/>
              <w:rPr>
                <w:rFonts w:eastAsia="楷体_GB2312"/>
                <w:b/>
                <w:bCs/>
                <w:sz w:val="32"/>
                <w:szCs w:val="32"/>
              </w:rPr>
            </w:pPr>
            <w:bookmarkStart w:id="703" w:name="OLE_LINK231"/>
            <w:bookmarkStart w:id="704" w:name="OLE_LINK230"/>
            <w:r>
              <w:rPr>
                <w:rFonts w:hint="eastAsia" w:ascii="Times New Roman" w:hAnsi="Times New Roman" w:eastAsia="楷体_GB2312" w:cs="Times New Roman"/>
                <w:b/>
                <w:sz w:val="28"/>
                <w:szCs w:val="28"/>
              </w:rPr>
              <w:t>专栏33  “十五五”时期生态保护与绿色发展重点工程</w:t>
            </w:r>
          </w:p>
        </w:tc>
      </w:tr>
      <w:tr w14:paraId="5F4E4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tcBorders>
              <w:top w:val="single" w:color="auto" w:sz="4" w:space="0"/>
              <w:left w:val="single" w:color="auto" w:sz="4" w:space="0"/>
              <w:bottom w:val="single" w:color="auto" w:sz="4" w:space="0"/>
              <w:right w:val="single" w:color="auto" w:sz="4" w:space="0"/>
            </w:tcBorders>
          </w:tcPr>
          <w:p w14:paraId="3CC5CF22">
            <w:pPr>
              <w:pStyle w:val="16"/>
              <w:snapToGrid w:val="0"/>
              <w:spacing w:line="440" w:lineRule="exact"/>
              <w:ind w:firstLine="538"/>
              <w:jc w:val="left"/>
              <w:rPr>
                <w:rFonts w:eastAsia="楷体_GB2312" w:cs="Times New Roman"/>
                <w:spacing w:val="-6"/>
                <w:sz w:val="28"/>
                <w:szCs w:val="28"/>
              </w:rPr>
            </w:pPr>
            <w:r>
              <w:rPr>
                <w:rFonts w:eastAsia="楷体_GB2312" w:cs="Times New Roman"/>
                <w:b/>
                <w:spacing w:val="-6"/>
                <w:sz w:val="28"/>
                <w:szCs w:val="28"/>
              </w:rPr>
              <w:t>1.</w:t>
            </w:r>
            <w:r>
              <w:rPr>
                <w:rFonts w:hint="eastAsia" w:eastAsia="楷体_GB2312" w:cs="Times New Roman"/>
                <w:b/>
                <w:spacing w:val="-6"/>
                <w:sz w:val="28"/>
                <w:szCs w:val="28"/>
              </w:rPr>
              <w:t>生态修复治理</w:t>
            </w:r>
            <w:r>
              <w:rPr>
                <w:rFonts w:hint="eastAsia" w:eastAsia="楷体_GB2312" w:cs="Times New Roman"/>
                <w:spacing w:val="-6"/>
                <w:sz w:val="28"/>
                <w:szCs w:val="28"/>
              </w:rPr>
              <w:t>。实施无量河流域生态保护与恢复项目。新建人工造林、森林抚育、退化林修复、林草生态治理等</w:t>
            </w:r>
            <w:r>
              <w:rPr>
                <w:rFonts w:eastAsia="楷体_GB2312" w:cs="Times New Roman"/>
                <w:spacing w:val="-6"/>
                <w:sz w:val="28"/>
                <w:szCs w:val="28"/>
              </w:rPr>
              <w:t>5000</w:t>
            </w:r>
            <w:r>
              <w:rPr>
                <w:rFonts w:hint="eastAsia" w:eastAsia="楷体_GB2312" w:cs="Times New Roman"/>
                <w:spacing w:val="-6"/>
                <w:sz w:val="28"/>
                <w:szCs w:val="28"/>
              </w:rPr>
              <w:t>余亩，沙化治理</w:t>
            </w:r>
            <w:r>
              <w:rPr>
                <w:rFonts w:eastAsia="楷体_GB2312" w:cs="Times New Roman"/>
                <w:spacing w:val="-6"/>
                <w:sz w:val="28"/>
                <w:szCs w:val="28"/>
              </w:rPr>
              <w:t>1.7</w:t>
            </w:r>
            <w:r>
              <w:rPr>
                <w:rFonts w:hint="eastAsia" w:eastAsia="楷体_GB2312" w:cs="Times New Roman"/>
                <w:spacing w:val="-6"/>
                <w:sz w:val="28"/>
                <w:szCs w:val="28"/>
              </w:rPr>
              <w:t>万亩，人工种草生态修复</w:t>
            </w:r>
            <w:r>
              <w:rPr>
                <w:rFonts w:eastAsia="楷体_GB2312" w:cs="Times New Roman"/>
                <w:spacing w:val="-6"/>
                <w:sz w:val="28"/>
                <w:szCs w:val="28"/>
              </w:rPr>
              <w:t>1</w:t>
            </w:r>
            <w:r>
              <w:rPr>
                <w:rFonts w:hint="eastAsia" w:eastAsia="楷体_GB2312" w:cs="Times New Roman"/>
                <w:spacing w:val="-6"/>
                <w:sz w:val="28"/>
                <w:szCs w:val="28"/>
              </w:rPr>
              <w:t>万亩，天然草原改良</w:t>
            </w:r>
            <w:r>
              <w:rPr>
                <w:rFonts w:eastAsia="楷体_GB2312" w:cs="Times New Roman"/>
                <w:spacing w:val="-6"/>
                <w:sz w:val="28"/>
                <w:szCs w:val="28"/>
              </w:rPr>
              <w:t>3.4</w:t>
            </w:r>
            <w:r>
              <w:rPr>
                <w:rFonts w:hint="eastAsia" w:eastAsia="楷体_GB2312" w:cs="Times New Roman"/>
                <w:spacing w:val="-6"/>
                <w:sz w:val="28"/>
                <w:szCs w:val="28"/>
              </w:rPr>
              <w:t>万亩、湿地修复和沙化治理</w:t>
            </w:r>
            <w:r>
              <w:rPr>
                <w:rFonts w:eastAsia="楷体_GB2312" w:cs="Times New Roman"/>
                <w:spacing w:val="-6"/>
                <w:sz w:val="28"/>
                <w:szCs w:val="28"/>
              </w:rPr>
              <w:t>0.2</w:t>
            </w:r>
            <w:r>
              <w:rPr>
                <w:rFonts w:hint="eastAsia" w:eastAsia="楷体_GB2312" w:cs="Times New Roman"/>
                <w:spacing w:val="-6"/>
                <w:sz w:val="28"/>
                <w:szCs w:val="28"/>
              </w:rPr>
              <w:t>万亩。</w:t>
            </w:r>
          </w:p>
          <w:p w14:paraId="311E3423">
            <w:pPr>
              <w:pStyle w:val="16"/>
              <w:snapToGrid w:val="0"/>
              <w:spacing w:line="440" w:lineRule="exact"/>
              <w:ind w:firstLine="538"/>
              <w:jc w:val="left"/>
              <w:rPr>
                <w:rFonts w:eastAsia="楷体_GB2312" w:cs="Times New Roman"/>
                <w:spacing w:val="-6"/>
                <w:sz w:val="28"/>
                <w:szCs w:val="28"/>
              </w:rPr>
            </w:pPr>
            <w:r>
              <w:rPr>
                <w:rFonts w:eastAsia="楷体_GB2312" w:cs="Times New Roman"/>
                <w:b/>
                <w:spacing w:val="-6"/>
                <w:sz w:val="28"/>
                <w:szCs w:val="28"/>
              </w:rPr>
              <w:t>2.</w:t>
            </w:r>
            <w:r>
              <w:rPr>
                <w:rFonts w:hint="eastAsia" w:eastAsia="楷体_GB2312" w:cs="Times New Roman"/>
                <w:b/>
                <w:spacing w:val="-6"/>
                <w:sz w:val="28"/>
                <w:szCs w:val="28"/>
              </w:rPr>
              <w:t>国土绿化</w:t>
            </w:r>
            <w:r>
              <w:rPr>
                <w:rFonts w:hint="eastAsia" w:eastAsia="楷体_GB2312" w:cs="Times New Roman"/>
                <w:spacing w:val="-6"/>
                <w:sz w:val="28"/>
                <w:szCs w:val="28"/>
              </w:rPr>
              <w:t>。打造无量河湿地公园。实施城乡庭院及节点绿化</w:t>
            </w:r>
            <w:r>
              <w:rPr>
                <w:rFonts w:eastAsia="楷体_GB2312" w:cs="Times New Roman"/>
                <w:spacing w:val="-6"/>
                <w:sz w:val="28"/>
                <w:szCs w:val="28"/>
              </w:rPr>
              <w:t>5000</w:t>
            </w:r>
            <w:r>
              <w:rPr>
                <w:rFonts w:hint="eastAsia" w:eastAsia="楷体_GB2312" w:cs="Times New Roman"/>
                <w:spacing w:val="-6"/>
                <w:sz w:val="28"/>
                <w:szCs w:val="28"/>
              </w:rPr>
              <w:t>亩、道路绿化</w:t>
            </w:r>
            <w:r>
              <w:rPr>
                <w:rFonts w:eastAsia="楷体_GB2312" w:cs="Times New Roman"/>
                <w:spacing w:val="-6"/>
                <w:sz w:val="28"/>
                <w:szCs w:val="28"/>
              </w:rPr>
              <w:t>150</w:t>
            </w:r>
            <w:r>
              <w:rPr>
                <w:rFonts w:hint="eastAsia" w:eastAsia="楷体_GB2312" w:cs="Times New Roman"/>
                <w:spacing w:val="-6"/>
                <w:sz w:val="28"/>
                <w:szCs w:val="28"/>
              </w:rPr>
              <w:t>公里、人工造林</w:t>
            </w:r>
            <w:r>
              <w:rPr>
                <w:rFonts w:eastAsia="楷体_GB2312" w:cs="Times New Roman"/>
                <w:spacing w:val="-6"/>
                <w:sz w:val="28"/>
                <w:szCs w:val="28"/>
              </w:rPr>
              <w:t>15000</w:t>
            </w:r>
            <w:r>
              <w:rPr>
                <w:rFonts w:hint="eastAsia" w:eastAsia="楷体_GB2312" w:cs="Times New Roman"/>
                <w:spacing w:val="-6"/>
                <w:sz w:val="28"/>
                <w:szCs w:val="28"/>
              </w:rPr>
              <w:t>亩、封山育林</w:t>
            </w:r>
            <w:r>
              <w:rPr>
                <w:rFonts w:eastAsia="楷体_GB2312" w:cs="Times New Roman"/>
                <w:spacing w:val="-6"/>
                <w:sz w:val="28"/>
                <w:szCs w:val="28"/>
              </w:rPr>
              <w:t>10000</w:t>
            </w:r>
            <w:r>
              <w:rPr>
                <w:rFonts w:hint="eastAsia" w:eastAsia="楷体_GB2312" w:cs="Times New Roman"/>
                <w:spacing w:val="-6"/>
                <w:sz w:val="28"/>
                <w:szCs w:val="28"/>
              </w:rPr>
              <w:t>亩、退化林修复</w:t>
            </w:r>
            <w:r>
              <w:rPr>
                <w:rFonts w:eastAsia="楷体_GB2312" w:cs="Times New Roman"/>
                <w:spacing w:val="-6"/>
                <w:sz w:val="28"/>
                <w:szCs w:val="28"/>
              </w:rPr>
              <w:t>15000</w:t>
            </w:r>
            <w:r>
              <w:rPr>
                <w:rFonts w:hint="eastAsia" w:eastAsia="楷体_GB2312" w:cs="Times New Roman"/>
                <w:spacing w:val="-6"/>
                <w:sz w:val="28"/>
                <w:szCs w:val="28"/>
              </w:rPr>
              <w:t>亩。</w:t>
            </w:r>
          </w:p>
          <w:p w14:paraId="20B95643">
            <w:pPr>
              <w:pStyle w:val="16"/>
              <w:snapToGrid w:val="0"/>
              <w:spacing w:line="440" w:lineRule="exact"/>
              <w:ind w:firstLine="538"/>
              <w:jc w:val="left"/>
              <w:rPr>
                <w:rFonts w:eastAsia="楷体_GB2312" w:cs="Times New Roman"/>
                <w:spacing w:val="-6"/>
                <w:sz w:val="28"/>
                <w:szCs w:val="28"/>
              </w:rPr>
            </w:pPr>
            <w:r>
              <w:rPr>
                <w:rFonts w:eastAsia="楷体_GB2312" w:cs="Times New Roman"/>
                <w:b/>
                <w:spacing w:val="-6"/>
                <w:sz w:val="28"/>
                <w:szCs w:val="28"/>
              </w:rPr>
              <w:t>3.</w:t>
            </w:r>
            <w:r>
              <w:rPr>
                <w:rFonts w:hint="eastAsia" w:eastAsia="楷体_GB2312" w:cs="Times New Roman"/>
                <w:b/>
                <w:spacing w:val="-6"/>
                <w:sz w:val="28"/>
                <w:szCs w:val="28"/>
              </w:rPr>
              <w:t>环境质量改善</w:t>
            </w:r>
            <w:r>
              <w:rPr>
                <w:rFonts w:hint="eastAsia" w:eastAsia="楷体_GB2312" w:cs="Times New Roman"/>
                <w:spacing w:val="-6"/>
                <w:sz w:val="28"/>
                <w:szCs w:val="28"/>
              </w:rPr>
              <w:t>。推进饮用水源地保护建设、农村生活污水治理等项目。</w:t>
            </w:r>
          </w:p>
          <w:p w14:paraId="3C8F4BAE">
            <w:pPr>
              <w:pStyle w:val="16"/>
              <w:snapToGrid w:val="0"/>
              <w:spacing w:line="440" w:lineRule="exact"/>
              <w:ind w:firstLine="538"/>
              <w:jc w:val="left"/>
              <w:rPr>
                <w:rFonts w:eastAsia="楷体_GB2312" w:cs="Times New Roman"/>
                <w:spacing w:val="-6"/>
                <w:sz w:val="28"/>
                <w:szCs w:val="28"/>
              </w:rPr>
            </w:pPr>
            <w:r>
              <w:rPr>
                <w:rFonts w:eastAsia="楷体_GB2312" w:cs="Times New Roman"/>
                <w:b/>
                <w:spacing w:val="-6"/>
                <w:sz w:val="28"/>
                <w:szCs w:val="28"/>
              </w:rPr>
              <w:t>4.</w:t>
            </w:r>
            <w:r>
              <w:rPr>
                <w:rFonts w:hint="eastAsia" w:eastAsia="楷体_GB2312" w:cs="Times New Roman"/>
                <w:b/>
                <w:spacing w:val="-6"/>
                <w:sz w:val="28"/>
                <w:szCs w:val="28"/>
              </w:rPr>
              <w:t>绿色低碳发展</w:t>
            </w:r>
            <w:r>
              <w:rPr>
                <w:rFonts w:hint="eastAsia" w:eastAsia="楷体_GB2312" w:cs="Times New Roman"/>
                <w:spacing w:val="-6"/>
                <w:sz w:val="28"/>
                <w:szCs w:val="28"/>
              </w:rPr>
              <w:t>。打造“零碳”乡镇，建设康藏现代园区。打造甲洼极地果蔬、道地中藏药零碳产业集群。大力支持清洁能源发展，实现“电热、地热、太阳能、氢储”多能互补低碳供暖。</w:t>
            </w:r>
          </w:p>
          <w:p w14:paraId="5E889A40">
            <w:pPr>
              <w:pStyle w:val="16"/>
              <w:snapToGrid w:val="0"/>
              <w:spacing w:line="440" w:lineRule="exact"/>
              <w:ind w:firstLine="538"/>
              <w:jc w:val="left"/>
              <w:rPr>
                <w:rFonts w:eastAsia="楷体_GB2312"/>
                <w:b/>
                <w:bCs/>
                <w:color w:val="000000"/>
                <w:spacing w:val="-6"/>
                <w:sz w:val="28"/>
                <w:szCs w:val="28"/>
              </w:rPr>
            </w:pPr>
            <w:r>
              <w:rPr>
                <w:rFonts w:eastAsia="楷体_GB2312" w:cs="Times New Roman"/>
                <w:b/>
                <w:spacing w:val="-6"/>
                <w:sz w:val="28"/>
                <w:szCs w:val="28"/>
              </w:rPr>
              <w:t>5.</w:t>
            </w:r>
            <w:r>
              <w:rPr>
                <w:rFonts w:hint="eastAsia" w:eastAsia="楷体_GB2312" w:cs="Times New Roman"/>
                <w:b/>
                <w:spacing w:val="-6"/>
                <w:sz w:val="28"/>
                <w:szCs w:val="28"/>
              </w:rPr>
              <w:t>生态价值有效转化</w:t>
            </w:r>
            <w:r>
              <w:rPr>
                <w:rFonts w:hint="eastAsia" w:eastAsia="楷体_GB2312" w:cs="Times New Roman"/>
                <w:spacing w:val="-6"/>
                <w:sz w:val="28"/>
                <w:szCs w:val="28"/>
              </w:rPr>
              <w:t>。实施林草碳汇项目，搭建碳汇生态资源云平台及绿色供应链，开展林业适应气候变化试点工程（以碳汇造林、碳汇种草为主），推动传统产业生态化绿色化改造。</w:t>
            </w:r>
          </w:p>
        </w:tc>
      </w:tr>
      <w:bookmarkEnd w:id="703"/>
      <w:bookmarkEnd w:id="704"/>
    </w:tbl>
    <w:p w14:paraId="510B80BE">
      <w:pPr>
        <w:snapToGrid w:val="0"/>
        <w:spacing w:before="156" w:beforeLines="50" w:after="156" w:afterLines="50"/>
        <w:jc w:val="center"/>
        <w:outlineLvl w:val="0"/>
        <w:rPr>
          <w:rFonts w:eastAsia="方正大标宋简体"/>
          <w:szCs w:val="21"/>
        </w:rPr>
      </w:pPr>
      <w:bookmarkStart w:id="705" w:name="_Toc212814860"/>
      <w:bookmarkStart w:id="706" w:name="_Toc1483"/>
      <w:bookmarkStart w:id="707" w:name="OLE_LINK107"/>
      <w:bookmarkStart w:id="708" w:name="OLE_LINK106"/>
    </w:p>
    <w:p w14:paraId="31E80DDA">
      <w:pPr>
        <w:pStyle w:val="2"/>
        <w:spacing w:before="156" w:beforeLines="50" w:after="156" w:afterLines="50" w:line="580" w:lineRule="exact"/>
        <w:ind w:firstLine="0" w:firstLineChars="0"/>
        <w:jc w:val="center"/>
        <w:outlineLvl w:val="0"/>
        <w:rPr>
          <w:rFonts w:eastAsia="方正大标宋简体"/>
          <w:sz w:val="32"/>
          <w:szCs w:val="32"/>
        </w:rPr>
      </w:pPr>
      <w:bookmarkStart w:id="709" w:name="_Toc218241182"/>
      <w:bookmarkStart w:id="710" w:name="_Toc214372668"/>
      <w:bookmarkStart w:id="711" w:name="_Toc29200"/>
      <w:r>
        <w:rPr>
          <w:rFonts w:hint="eastAsia" w:eastAsia="方正大标宋简体"/>
          <w:sz w:val="32"/>
          <w:szCs w:val="32"/>
        </w:rPr>
        <w:t>第十一篇  守牢底线  构筑高水平安全保障格局</w:t>
      </w:r>
      <w:bookmarkEnd w:id="705"/>
      <w:bookmarkEnd w:id="706"/>
      <w:bookmarkEnd w:id="709"/>
      <w:bookmarkEnd w:id="710"/>
      <w:bookmarkEnd w:id="711"/>
    </w:p>
    <w:bookmarkEnd w:id="707"/>
    <w:bookmarkEnd w:id="708"/>
    <w:p w14:paraId="02183689">
      <w:pPr>
        <w:pStyle w:val="2"/>
        <w:spacing w:line="580" w:lineRule="exact"/>
        <w:ind w:firstLine="640"/>
        <w:rPr>
          <w:rFonts w:eastAsia="仿宋_GB2312"/>
          <w:sz w:val="32"/>
          <w:szCs w:val="32"/>
        </w:rPr>
      </w:pPr>
      <w:r>
        <w:rPr>
          <w:rFonts w:eastAsia="仿宋_GB2312"/>
          <w:sz w:val="32"/>
          <w:szCs w:val="32"/>
        </w:rPr>
        <w:t>牢固树立总体国家安全观，统筹发展与安全，以铸牢中华民族共同体意识为主线，全面防范化解各领域风险隐患，提升防灾减灾与应急管理能力，筑牢安全屏障，为</w:t>
      </w:r>
      <w:r>
        <w:rPr>
          <w:rFonts w:hint="eastAsia" w:eastAsia="仿宋_GB2312"/>
          <w:sz w:val="32"/>
          <w:szCs w:val="32"/>
        </w:rPr>
        <w:t>理塘</w:t>
      </w:r>
      <w:r>
        <w:rPr>
          <w:rFonts w:eastAsia="仿宋_GB2312"/>
          <w:sz w:val="32"/>
          <w:szCs w:val="32"/>
        </w:rPr>
        <w:t>高质量发展提供坚实安全保障。</w:t>
      </w:r>
    </w:p>
    <w:p w14:paraId="22AC340A">
      <w:pPr>
        <w:widowControl/>
        <w:spacing w:before="156" w:beforeLines="50" w:after="156" w:afterLines="50" w:line="580" w:lineRule="exact"/>
        <w:ind w:firstLine="640"/>
        <w:jc w:val="center"/>
        <w:outlineLvl w:val="1"/>
        <w:rPr>
          <w:rFonts w:eastAsia="黑体"/>
          <w:bCs/>
          <w:color w:val="000000"/>
          <w:kern w:val="0"/>
          <w:sz w:val="32"/>
          <w:szCs w:val="32"/>
        </w:rPr>
      </w:pPr>
      <w:bookmarkStart w:id="712" w:name="_Toc212814861"/>
      <w:bookmarkStart w:id="713" w:name="_Toc26483"/>
      <w:bookmarkStart w:id="714" w:name="_Toc218241183"/>
      <w:bookmarkStart w:id="715" w:name="_Toc214372669"/>
      <w:bookmarkStart w:id="716" w:name="OLE_LINK11"/>
      <w:bookmarkStart w:id="717" w:name="_Toc22025"/>
      <w:r>
        <w:rPr>
          <w:rFonts w:hint="eastAsia" w:eastAsia="黑体"/>
          <w:bCs/>
          <w:color w:val="000000"/>
          <w:kern w:val="0"/>
          <w:sz w:val="32"/>
          <w:szCs w:val="32"/>
        </w:rPr>
        <w:t xml:space="preserve">第三十四章  </w:t>
      </w:r>
      <w:r>
        <w:rPr>
          <w:rFonts w:eastAsia="黑体"/>
          <w:bCs/>
          <w:color w:val="000000"/>
          <w:kern w:val="0"/>
          <w:sz w:val="32"/>
          <w:szCs w:val="32"/>
        </w:rPr>
        <w:t>铸牢中华民族共同体意识</w:t>
      </w:r>
      <w:bookmarkEnd w:id="712"/>
      <w:bookmarkEnd w:id="713"/>
      <w:bookmarkEnd w:id="714"/>
      <w:bookmarkEnd w:id="715"/>
      <w:bookmarkEnd w:id="716"/>
      <w:bookmarkEnd w:id="717"/>
    </w:p>
    <w:p w14:paraId="2F441BC8">
      <w:pPr>
        <w:pStyle w:val="15"/>
        <w:widowControl/>
        <w:numPr>
          <w:ilvl w:val="0"/>
          <w:numId w:val="33"/>
        </w:numPr>
        <w:spacing w:before="156" w:beforeLines="50" w:after="156" w:afterLines="50" w:line="580" w:lineRule="exact"/>
        <w:ind w:left="1080" w:hanging="1080" w:firstLineChars="0"/>
        <w:jc w:val="center"/>
        <w:outlineLvl w:val="2"/>
        <w:rPr>
          <w:rFonts w:eastAsia="楷体_GB2312"/>
          <w:b/>
          <w:color w:val="000000"/>
          <w:kern w:val="0"/>
          <w:sz w:val="32"/>
          <w:szCs w:val="32"/>
        </w:rPr>
      </w:pPr>
      <w:bookmarkStart w:id="718" w:name="_Toc12671"/>
      <w:r>
        <w:rPr>
          <w:rFonts w:hint="eastAsia" w:eastAsia="楷体_GB2312"/>
          <w:b/>
          <w:color w:val="000000"/>
          <w:kern w:val="0"/>
          <w:sz w:val="32"/>
          <w:szCs w:val="32"/>
        </w:rPr>
        <w:t xml:space="preserve"> </w:t>
      </w:r>
      <w:bookmarkStart w:id="719" w:name="_Toc218241184"/>
      <w:r>
        <w:rPr>
          <w:rFonts w:hint="eastAsia" w:eastAsia="楷体_GB2312"/>
          <w:b/>
          <w:color w:val="000000"/>
          <w:kern w:val="0"/>
          <w:sz w:val="32"/>
          <w:szCs w:val="32"/>
        </w:rPr>
        <w:t>深化民族团结进步工作</w:t>
      </w:r>
      <w:bookmarkEnd w:id="718"/>
      <w:bookmarkEnd w:id="719"/>
    </w:p>
    <w:p w14:paraId="35E35DB3">
      <w:pPr>
        <w:pStyle w:val="2"/>
        <w:spacing w:line="580" w:lineRule="exact"/>
        <w:ind w:firstLine="640"/>
        <w:rPr>
          <w:rFonts w:eastAsia="仿宋_GB2312"/>
          <w:sz w:val="32"/>
          <w:szCs w:val="32"/>
        </w:rPr>
      </w:pPr>
      <w:r>
        <w:rPr>
          <w:rFonts w:hint="eastAsia" w:eastAsia="仿宋_GB2312"/>
          <w:sz w:val="32"/>
          <w:szCs w:val="32"/>
        </w:rPr>
        <w:t>强化铸牢中华民族共同体意识宣传教育，扩大不同民族在社会经济活动中的交流与融合。加强乡村基层党组织建设，切实发挥维护民族团结的“工作队”作用，成为凝聚各族群众、化解矛盾、促进发展的坚强堡垒。大力选拔培养使用熟悉民族工作、政治过硬、能力突出的藏族及其他少数民族干部。全面加强历史文化宣传教育，全面推广普及国家通用语言文字，尊重和保障少数民族语言文字学习和使用。</w:t>
      </w:r>
    </w:p>
    <w:p w14:paraId="0418EB22">
      <w:pPr>
        <w:pStyle w:val="15"/>
        <w:widowControl/>
        <w:numPr>
          <w:ilvl w:val="0"/>
          <w:numId w:val="33"/>
        </w:numPr>
        <w:spacing w:before="156" w:beforeLines="50" w:after="156" w:afterLines="50" w:line="580" w:lineRule="exact"/>
        <w:ind w:left="1080" w:hanging="1080" w:firstLineChars="0"/>
        <w:jc w:val="center"/>
        <w:outlineLvl w:val="2"/>
        <w:rPr>
          <w:rFonts w:eastAsia="楷体_GB2312"/>
          <w:b/>
          <w:color w:val="000000"/>
          <w:kern w:val="0"/>
          <w:sz w:val="32"/>
          <w:szCs w:val="32"/>
        </w:rPr>
      </w:pPr>
      <w:bookmarkStart w:id="720" w:name="_Toc3629"/>
      <w:r>
        <w:rPr>
          <w:rFonts w:hint="eastAsia" w:eastAsia="楷体_GB2312"/>
          <w:b/>
          <w:color w:val="000000"/>
          <w:kern w:val="0"/>
          <w:sz w:val="32"/>
          <w:szCs w:val="32"/>
        </w:rPr>
        <w:t xml:space="preserve"> </w:t>
      </w:r>
      <w:bookmarkStart w:id="721" w:name="_Toc218241185"/>
      <w:r>
        <w:rPr>
          <w:rFonts w:hint="eastAsia" w:eastAsia="楷体_GB2312"/>
          <w:b/>
          <w:color w:val="000000"/>
          <w:kern w:val="0"/>
          <w:sz w:val="32"/>
          <w:szCs w:val="32"/>
        </w:rPr>
        <w:t>落实好民族宗教政策</w:t>
      </w:r>
      <w:bookmarkEnd w:id="720"/>
      <w:bookmarkEnd w:id="721"/>
    </w:p>
    <w:p w14:paraId="2799FE9B">
      <w:pPr>
        <w:pStyle w:val="2"/>
        <w:spacing w:line="580" w:lineRule="exact"/>
        <w:ind w:firstLine="640"/>
        <w:rPr>
          <w:rFonts w:eastAsia="仿宋_GB2312"/>
          <w:sz w:val="32"/>
          <w:szCs w:val="32"/>
        </w:rPr>
      </w:pPr>
      <w:r>
        <w:rPr>
          <w:rFonts w:hint="eastAsia" w:eastAsia="仿宋_GB2312"/>
          <w:sz w:val="32"/>
          <w:szCs w:val="32"/>
        </w:rPr>
        <w:t>坚持我国宗教中国化方向，积极引导宗教与社会主义社会相适应。深化“一寺一策”精准治理模式，依法规范宗教活动场所管理，提升管理的制度化、精细化水平。加强寺庙管理干部队伍建设，通过系统培训和实践锻炼，把寺庙管理干部培养成依法管理内行人。依法治理宗教事务，深入开展法治宣传教育，推动严格执法，切实提高宗教工作法治化水平，提升依法管理宗教事务的能力与成效。发挥宗教界人士和信教群众在促进发展维护稳定中的积极作用，支持引导宗教界在教义教规、管理制度、礼仪习俗、行为规范等方面提高自我教育、自我管理、自我约束水平。</w:t>
      </w:r>
    </w:p>
    <w:p w14:paraId="1738FBF7">
      <w:pPr>
        <w:pStyle w:val="15"/>
        <w:widowControl/>
        <w:numPr>
          <w:ilvl w:val="0"/>
          <w:numId w:val="33"/>
        </w:numPr>
        <w:spacing w:before="156" w:beforeLines="50" w:after="156" w:afterLines="50" w:line="580" w:lineRule="exact"/>
        <w:ind w:left="1080" w:hanging="1080" w:firstLineChars="0"/>
        <w:jc w:val="center"/>
        <w:outlineLvl w:val="2"/>
        <w:rPr>
          <w:rFonts w:eastAsia="楷体_GB2312"/>
          <w:b/>
          <w:color w:val="000000"/>
          <w:kern w:val="0"/>
          <w:sz w:val="32"/>
          <w:szCs w:val="32"/>
        </w:rPr>
      </w:pPr>
      <w:bookmarkStart w:id="722" w:name="_Toc23391"/>
      <w:r>
        <w:rPr>
          <w:rFonts w:hint="eastAsia" w:eastAsia="楷体_GB2312"/>
          <w:b/>
          <w:color w:val="000000"/>
          <w:kern w:val="0"/>
          <w:sz w:val="32"/>
          <w:szCs w:val="32"/>
        </w:rPr>
        <w:t xml:space="preserve"> </w:t>
      </w:r>
      <w:bookmarkStart w:id="723" w:name="_Toc218241186"/>
      <w:r>
        <w:rPr>
          <w:rFonts w:hint="eastAsia" w:eastAsia="楷体_GB2312"/>
          <w:b/>
          <w:color w:val="000000"/>
          <w:kern w:val="0"/>
          <w:sz w:val="32"/>
          <w:szCs w:val="32"/>
        </w:rPr>
        <w:t>促进各民族交往交流交融</w:t>
      </w:r>
      <w:bookmarkEnd w:id="722"/>
      <w:bookmarkEnd w:id="723"/>
    </w:p>
    <w:p w14:paraId="1404BE3C">
      <w:pPr>
        <w:pStyle w:val="2"/>
        <w:spacing w:line="580" w:lineRule="exact"/>
        <w:ind w:firstLine="640"/>
        <w:rPr>
          <w:rFonts w:eastAsia="仿宋_GB2312"/>
          <w:sz w:val="32"/>
          <w:szCs w:val="32"/>
        </w:rPr>
      </w:pPr>
      <w:r>
        <w:rPr>
          <w:rFonts w:hint="eastAsia" w:eastAsia="仿宋_GB2312"/>
          <w:sz w:val="32"/>
          <w:szCs w:val="32"/>
        </w:rPr>
        <w:t>坚持将促进各民族广泛交往、全面交流、深度交融作为铸牢中华民族共同体意识的重要途径，不断拓宽各民族全方位嵌入的实践路径。搭建更多各族群众交往交流交融的载体平台，积极打造一批具有影响力、示范性的民族工作品牌项目。开展民族团结历史教育，讲好中华民族团结故事，突出中华民族团结形象，增强各族群众对中华文化的认同，构筑中华民族共有精神家园。</w:t>
      </w:r>
    </w:p>
    <w:p w14:paraId="36815AB5">
      <w:pPr>
        <w:widowControl/>
        <w:spacing w:before="156" w:beforeLines="50" w:after="156" w:afterLines="50" w:line="580" w:lineRule="exact"/>
        <w:jc w:val="center"/>
        <w:outlineLvl w:val="1"/>
        <w:rPr>
          <w:rFonts w:eastAsia="黑体"/>
          <w:bCs/>
          <w:color w:val="000000"/>
          <w:kern w:val="0"/>
          <w:sz w:val="32"/>
          <w:szCs w:val="32"/>
        </w:rPr>
      </w:pPr>
      <w:bookmarkStart w:id="724" w:name="_Toc218241187"/>
      <w:bookmarkStart w:id="725" w:name="_Toc30917"/>
      <w:bookmarkStart w:id="726" w:name="_Toc214372670"/>
      <w:bookmarkStart w:id="727" w:name="_Toc212814862"/>
      <w:bookmarkStart w:id="728" w:name="_Toc3889"/>
      <w:r>
        <w:rPr>
          <w:rFonts w:hint="eastAsia" w:eastAsia="黑体"/>
          <w:bCs/>
          <w:color w:val="000000"/>
          <w:kern w:val="0"/>
          <w:sz w:val="32"/>
          <w:szCs w:val="32"/>
        </w:rPr>
        <w:t xml:space="preserve">第三十五章  </w:t>
      </w:r>
      <w:r>
        <w:rPr>
          <w:rFonts w:eastAsia="黑体"/>
          <w:bCs/>
          <w:color w:val="000000"/>
          <w:kern w:val="0"/>
          <w:sz w:val="32"/>
          <w:szCs w:val="32"/>
        </w:rPr>
        <w:t>强化重点领域安全保障</w:t>
      </w:r>
      <w:bookmarkEnd w:id="724"/>
      <w:bookmarkEnd w:id="725"/>
      <w:bookmarkEnd w:id="726"/>
      <w:bookmarkEnd w:id="727"/>
      <w:bookmarkEnd w:id="728"/>
    </w:p>
    <w:p w14:paraId="639BAAC0">
      <w:pPr>
        <w:pStyle w:val="15"/>
        <w:widowControl/>
        <w:numPr>
          <w:ilvl w:val="0"/>
          <w:numId w:val="34"/>
        </w:numPr>
        <w:spacing w:before="156" w:beforeLines="50" w:after="156" w:afterLines="50" w:line="580" w:lineRule="exact"/>
        <w:ind w:left="1080" w:hanging="1080" w:firstLineChars="0"/>
        <w:jc w:val="center"/>
        <w:outlineLvl w:val="2"/>
        <w:rPr>
          <w:rFonts w:eastAsia="楷体_GB2312"/>
          <w:b/>
          <w:color w:val="000000"/>
          <w:kern w:val="0"/>
          <w:sz w:val="32"/>
          <w:szCs w:val="32"/>
        </w:rPr>
      </w:pPr>
      <w:bookmarkStart w:id="729" w:name="_Toc17808"/>
      <w:r>
        <w:rPr>
          <w:rFonts w:hint="eastAsia" w:eastAsia="楷体_GB2312"/>
          <w:b/>
          <w:color w:val="000000"/>
          <w:kern w:val="0"/>
          <w:sz w:val="32"/>
          <w:szCs w:val="32"/>
        </w:rPr>
        <w:t xml:space="preserve"> </w:t>
      </w:r>
      <w:bookmarkStart w:id="730" w:name="_Toc218241188"/>
      <w:r>
        <w:rPr>
          <w:rFonts w:hint="eastAsia" w:eastAsia="楷体_GB2312"/>
          <w:b/>
          <w:color w:val="000000"/>
          <w:kern w:val="0"/>
          <w:sz w:val="32"/>
          <w:szCs w:val="32"/>
        </w:rPr>
        <w:t>防范化解重点领域风险</w:t>
      </w:r>
      <w:bookmarkEnd w:id="729"/>
      <w:bookmarkEnd w:id="730"/>
    </w:p>
    <w:p w14:paraId="03BC7D35">
      <w:pPr>
        <w:pStyle w:val="2"/>
        <w:spacing w:line="580" w:lineRule="exact"/>
        <w:ind w:firstLine="640"/>
        <w:rPr>
          <w:rFonts w:eastAsia="仿宋_GB2312"/>
          <w:spacing w:val="-6"/>
          <w:sz w:val="32"/>
          <w:szCs w:val="32"/>
        </w:rPr>
      </w:pPr>
      <w:r>
        <w:rPr>
          <w:rFonts w:hint="eastAsia" w:eastAsia="仿宋_GB2312"/>
          <w:sz w:val="32"/>
          <w:szCs w:val="32"/>
        </w:rPr>
        <w:t>坚持系统谋划、精准施策，全面加强重点领域风险监测、预警与处置能力。加强对非法金融活动的监督，持续加大对</w:t>
      </w:r>
      <w:r>
        <w:rPr>
          <w:rFonts w:hint="eastAsia" w:eastAsia="仿宋_GB2312"/>
          <w:spacing w:val="-6"/>
          <w:sz w:val="32"/>
          <w:szCs w:val="32"/>
        </w:rPr>
        <w:t>非法集资、地下钱庄和高利贷等非法金融活动的监督管理力度，严厉打击逃废债、金融诈骗等违法犯罪活动，有效维护群众合法权益。坚决守住不新增隐性政府债务底线，严格落实化债主体责任，稳妥化解存量债务，建立防范化解地方政府债务风险的长效机制。构建房地产发展新模式，支持刚性和改善性住房需求，扎实做好各项工作，促进房地产市场平稳健康发展。</w:t>
      </w:r>
    </w:p>
    <w:p w14:paraId="774AC1C7">
      <w:pPr>
        <w:pStyle w:val="15"/>
        <w:widowControl/>
        <w:numPr>
          <w:ilvl w:val="0"/>
          <w:numId w:val="34"/>
        </w:numPr>
        <w:spacing w:before="156" w:beforeLines="50" w:after="156" w:afterLines="50" w:line="580" w:lineRule="exact"/>
        <w:ind w:left="1080" w:hanging="1080" w:firstLineChars="0"/>
        <w:jc w:val="center"/>
        <w:outlineLvl w:val="2"/>
        <w:rPr>
          <w:rFonts w:eastAsia="楷体_GB2312"/>
          <w:b/>
          <w:color w:val="000000"/>
          <w:kern w:val="0"/>
          <w:sz w:val="32"/>
          <w:szCs w:val="32"/>
        </w:rPr>
      </w:pPr>
      <w:bookmarkStart w:id="731" w:name="_Toc5230"/>
      <w:r>
        <w:rPr>
          <w:rFonts w:hint="eastAsia" w:eastAsia="楷体_GB2312"/>
          <w:b/>
          <w:color w:val="000000"/>
          <w:kern w:val="0"/>
          <w:sz w:val="32"/>
          <w:szCs w:val="32"/>
        </w:rPr>
        <w:t xml:space="preserve"> </w:t>
      </w:r>
      <w:bookmarkStart w:id="732" w:name="_Toc218241189"/>
      <w:r>
        <w:rPr>
          <w:rFonts w:hint="eastAsia" w:eastAsia="楷体_GB2312"/>
          <w:b/>
          <w:color w:val="000000"/>
          <w:kern w:val="0"/>
          <w:sz w:val="32"/>
          <w:szCs w:val="32"/>
        </w:rPr>
        <w:t>完善安全生产治理体系</w:t>
      </w:r>
      <w:bookmarkEnd w:id="731"/>
      <w:bookmarkEnd w:id="732"/>
    </w:p>
    <w:p w14:paraId="66BB68E2">
      <w:pPr>
        <w:pStyle w:val="2"/>
        <w:spacing w:line="580" w:lineRule="exact"/>
        <w:ind w:firstLine="640"/>
        <w:rPr>
          <w:rFonts w:eastAsia="仿宋_GB2312"/>
          <w:sz w:val="32"/>
          <w:szCs w:val="32"/>
        </w:rPr>
      </w:pPr>
      <w:r>
        <w:rPr>
          <w:rFonts w:eastAsia="仿宋_GB2312"/>
          <w:sz w:val="32"/>
          <w:szCs w:val="32"/>
        </w:rPr>
        <w:t>全面落实党政同责、</w:t>
      </w:r>
      <w:r>
        <w:rPr>
          <w:rFonts w:hint="eastAsia" w:eastAsia="仿宋_GB2312"/>
          <w:sz w:val="32"/>
          <w:szCs w:val="32"/>
        </w:rPr>
        <w:t>一岗双责</w:t>
      </w:r>
      <w:r>
        <w:rPr>
          <w:rFonts w:eastAsia="仿宋_GB2312"/>
          <w:sz w:val="32"/>
          <w:szCs w:val="32"/>
        </w:rPr>
        <w:t>、齐抓共管、失职追责，坚持管行业必须管安全、管业务必须管安全、管生产经营必须管安全。建立健全政府属地责任、行业部门监管责任、应急部门综合监管责任和企业主体责任的责任体系。健全生产经营单位负责、职工参与、政府监管、行业自律、社会监督的安全生产治理机制。推行企业全员安全生产责任制，将企业法定代表人、实际控制人、主要负责人同时列为企业安全生产第一责任人，进一步落实企业主体责任。推动重点行业领域安全生产管理机构建设，加强新产业、新行业、新领域安全监管，消除监管盲区。</w:t>
      </w:r>
    </w:p>
    <w:p w14:paraId="468886AC">
      <w:pPr>
        <w:pStyle w:val="15"/>
        <w:widowControl/>
        <w:numPr>
          <w:ilvl w:val="0"/>
          <w:numId w:val="34"/>
        </w:numPr>
        <w:spacing w:before="156" w:beforeLines="50" w:after="156" w:afterLines="50" w:line="580" w:lineRule="exact"/>
        <w:ind w:left="1080" w:hanging="1080" w:firstLineChars="0"/>
        <w:jc w:val="center"/>
        <w:outlineLvl w:val="2"/>
        <w:rPr>
          <w:rFonts w:eastAsia="楷体_GB2312"/>
          <w:b/>
          <w:color w:val="000000"/>
          <w:kern w:val="0"/>
          <w:sz w:val="32"/>
          <w:szCs w:val="32"/>
        </w:rPr>
      </w:pPr>
      <w:bookmarkStart w:id="733" w:name="_Toc23433"/>
      <w:r>
        <w:rPr>
          <w:rFonts w:hint="eastAsia" w:eastAsia="楷体_GB2312"/>
          <w:b/>
          <w:color w:val="000000"/>
          <w:kern w:val="0"/>
          <w:sz w:val="32"/>
          <w:szCs w:val="32"/>
        </w:rPr>
        <w:t xml:space="preserve"> </w:t>
      </w:r>
      <w:bookmarkStart w:id="734" w:name="_Toc218241190"/>
      <w:r>
        <w:rPr>
          <w:rFonts w:hint="eastAsia" w:eastAsia="楷体_GB2312"/>
          <w:b/>
          <w:color w:val="000000"/>
          <w:kern w:val="0"/>
          <w:sz w:val="32"/>
          <w:szCs w:val="32"/>
        </w:rPr>
        <w:t>强化食品药品安全治理</w:t>
      </w:r>
      <w:bookmarkEnd w:id="733"/>
      <w:bookmarkEnd w:id="734"/>
    </w:p>
    <w:p w14:paraId="34DB9737">
      <w:pPr>
        <w:pStyle w:val="2"/>
        <w:spacing w:line="580" w:lineRule="exact"/>
        <w:ind w:firstLine="640"/>
        <w:rPr>
          <w:rFonts w:eastAsia="仿宋_GB2312"/>
          <w:sz w:val="32"/>
          <w:szCs w:val="32"/>
        </w:rPr>
      </w:pPr>
      <w:r>
        <w:rPr>
          <w:rFonts w:hint="eastAsia" w:eastAsia="仿宋_GB2312"/>
          <w:sz w:val="32"/>
          <w:szCs w:val="32"/>
        </w:rPr>
        <w:t>严守食品安全底线，保障群众舌尖安全。强化源头治理，加强农产品产地准出和市场准入管理，严格管控农药兽药残留超标风险。健全食品药品安全追溯体系，实现重点品类全覆盖，确保来源可查、去向可追、责任可究。突出重点领域风险防控。聚焦校园食堂、网络销售、农村地区、集贸市场等薄弱环节，以及药品、医疗器械、保健食品等重点领域，持续开展专项整治行动。</w:t>
      </w:r>
    </w:p>
    <w:p w14:paraId="02279570">
      <w:pPr>
        <w:pStyle w:val="15"/>
        <w:widowControl/>
        <w:numPr>
          <w:ilvl w:val="0"/>
          <w:numId w:val="34"/>
        </w:numPr>
        <w:spacing w:before="156" w:beforeLines="50" w:after="156" w:afterLines="50" w:line="580" w:lineRule="exact"/>
        <w:ind w:left="1080" w:hanging="1080" w:firstLineChars="0"/>
        <w:jc w:val="center"/>
        <w:outlineLvl w:val="2"/>
        <w:rPr>
          <w:rFonts w:eastAsia="楷体_GB2312"/>
          <w:b/>
          <w:color w:val="000000"/>
          <w:kern w:val="0"/>
          <w:sz w:val="32"/>
          <w:szCs w:val="32"/>
        </w:rPr>
      </w:pPr>
      <w:bookmarkStart w:id="735" w:name="_Toc12487"/>
      <w:r>
        <w:rPr>
          <w:rFonts w:hint="eastAsia" w:eastAsia="楷体_GB2312"/>
          <w:b/>
          <w:color w:val="000000"/>
          <w:kern w:val="0"/>
          <w:sz w:val="32"/>
          <w:szCs w:val="32"/>
        </w:rPr>
        <w:t xml:space="preserve"> </w:t>
      </w:r>
      <w:bookmarkStart w:id="736" w:name="_Toc218241191"/>
      <w:r>
        <w:rPr>
          <w:rFonts w:hint="eastAsia" w:eastAsia="楷体_GB2312"/>
          <w:b/>
          <w:color w:val="000000"/>
          <w:kern w:val="0"/>
          <w:sz w:val="32"/>
          <w:szCs w:val="32"/>
        </w:rPr>
        <w:t>坚定反分维稳斗争使命</w:t>
      </w:r>
      <w:bookmarkEnd w:id="735"/>
      <w:bookmarkEnd w:id="736"/>
    </w:p>
    <w:p w14:paraId="78AAFB81">
      <w:pPr>
        <w:pStyle w:val="2"/>
        <w:spacing w:line="580" w:lineRule="exact"/>
        <w:ind w:firstLine="640"/>
      </w:pPr>
      <w:r>
        <w:rPr>
          <w:rFonts w:eastAsia="仿宋_GB2312"/>
          <w:sz w:val="32"/>
          <w:szCs w:val="32"/>
        </w:rPr>
        <w:t>牢固树立总体国家安全观，深化反渗透反颠覆反分裂斗争，坚决打击一切破坏祖国统一和民族团结的违法犯罪行为。</w:t>
      </w:r>
      <w:r>
        <w:rPr>
          <w:rFonts w:hint="eastAsia" w:eastAsia="仿宋_GB2312"/>
          <w:sz w:val="32"/>
          <w:szCs w:val="32"/>
        </w:rPr>
        <w:t>建立健全风险预警预报机制。加强情报信息搜集、分析和研判能力，提升精准发现、有效预警、快速处置水平。</w:t>
      </w:r>
      <w:r>
        <w:rPr>
          <w:rFonts w:eastAsia="仿宋_GB2312"/>
          <w:sz w:val="32"/>
          <w:szCs w:val="32"/>
        </w:rPr>
        <w:t>深入开展以乡村为阵地的反分维稳斗争。</w:t>
      </w:r>
      <w:r>
        <w:rPr>
          <w:rFonts w:hint="eastAsia" w:eastAsia="仿宋_GB2312"/>
          <w:sz w:val="32"/>
          <w:szCs w:val="32"/>
        </w:rPr>
        <w:t>坚持把基层一线作为关键阵地，深入开展以乡村、寺庙等为重点的反分维稳斗争。着力加强乡村基层党组织建设，夯实维稳根基，牢牢掌握维稳主动权，成为凝聚各方力量的坚强堡垒，</w:t>
      </w:r>
      <w:r>
        <w:rPr>
          <w:rFonts w:eastAsia="仿宋_GB2312"/>
          <w:sz w:val="32"/>
          <w:szCs w:val="32"/>
        </w:rPr>
        <w:t>做好打赢“两个斗争”的万全准备</w:t>
      </w:r>
      <w:r>
        <w:rPr>
          <w:rFonts w:hint="eastAsia" w:eastAsia="仿宋_GB2312"/>
          <w:sz w:val="32"/>
          <w:szCs w:val="32"/>
        </w:rPr>
        <w:t>。</w:t>
      </w:r>
    </w:p>
    <w:p w14:paraId="0A837725">
      <w:pPr>
        <w:pStyle w:val="15"/>
        <w:widowControl/>
        <w:numPr>
          <w:ilvl w:val="0"/>
          <w:numId w:val="34"/>
        </w:numPr>
        <w:spacing w:before="156" w:beforeLines="50" w:after="156" w:afterLines="50" w:line="580" w:lineRule="exact"/>
        <w:ind w:left="1080" w:hanging="1080" w:firstLineChars="0"/>
        <w:jc w:val="center"/>
        <w:outlineLvl w:val="2"/>
        <w:rPr>
          <w:rFonts w:eastAsia="楷体_GB2312"/>
          <w:b/>
          <w:color w:val="000000"/>
          <w:kern w:val="0"/>
          <w:sz w:val="32"/>
          <w:szCs w:val="32"/>
        </w:rPr>
      </w:pPr>
      <w:bookmarkStart w:id="737" w:name="_Toc8272"/>
      <w:r>
        <w:rPr>
          <w:rFonts w:hint="eastAsia" w:eastAsia="楷体_GB2312"/>
          <w:b/>
          <w:color w:val="000000"/>
          <w:kern w:val="0"/>
          <w:sz w:val="32"/>
          <w:szCs w:val="32"/>
        </w:rPr>
        <w:t xml:space="preserve"> </w:t>
      </w:r>
      <w:bookmarkStart w:id="738" w:name="_Toc218241192"/>
      <w:r>
        <w:rPr>
          <w:rFonts w:hint="eastAsia" w:eastAsia="楷体_GB2312"/>
          <w:b/>
          <w:color w:val="000000"/>
          <w:kern w:val="0"/>
          <w:sz w:val="32"/>
          <w:szCs w:val="32"/>
        </w:rPr>
        <w:t>加强国防动员能力建设</w:t>
      </w:r>
      <w:bookmarkEnd w:id="737"/>
      <w:bookmarkEnd w:id="738"/>
    </w:p>
    <w:p w14:paraId="5C796552">
      <w:pPr>
        <w:pStyle w:val="2"/>
        <w:spacing w:line="580" w:lineRule="exact"/>
        <w:ind w:firstLine="640"/>
        <w:rPr>
          <w:rFonts w:eastAsia="仿宋_GB2312"/>
          <w:sz w:val="32"/>
          <w:szCs w:val="32"/>
        </w:rPr>
      </w:pPr>
      <w:r>
        <w:rPr>
          <w:rFonts w:hint="eastAsia" w:eastAsia="仿宋_GB2312"/>
          <w:sz w:val="32"/>
          <w:szCs w:val="32"/>
        </w:rPr>
        <w:t>坚持平战结合、军民融合，全面提升国防动员组织协调和应急应战能力。健全县、乡镇（街道）、村（社区）三级国防动员组织领导体系，明确职责分工，完善军地协作、供需对接的工作机制。广泛深入开展全民国防教育，推动国防教育进机关、进学校、进企业、进社区、进乡村，增强全社会的国防观念和忧患意识。加强基层民兵队伍建设，做好兵役征集工作，为巩固国防和支援保障作战奠定坚实基层基础。</w:t>
      </w:r>
    </w:p>
    <w:p w14:paraId="0C59A21F">
      <w:pPr>
        <w:widowControl/>
        <w:spacing w:before="156" w:beforeLines="50" w:after="156" w:afterLines="50" w:line="580" w:lineRule="exact"/>
        <w:jc w:val="center"/>
        <w:outlineLvl w:val="1"/>
        <w:rPr>
          <w:rFonts w:eastAsia="黑体"/>
          <w:bCs/>
          <w:color w:val="000000"/>
          <w:kern w:val="0"/>
          <w:sz w:val="32"/>
          <w:szCs w:val="32"/>
        </w:rPr>
      </w:pPr>
      <w:bookmarkStart w:id="739" w:name="_Toc212814863"/>
      <w:bookmarkStart w:id="740" w:name="_Toc214372671"/>
      <w:bookmarkStart w:id="741" w:name="_Toc22538"/>
      <w:bookmarkStart w:id="742" w:name="_Toc30491"/>
      <w:bookmarkStart w:id="743" w:name="_Toc218241193"/>
      <w:r>
        <w:rPr>
          <w:rFonts w:hint="eastAsia" w:eastAsia="黑体"/>
          <w:bCs/>
          <w:color w:val="000000"/>
          <w:kern w:val="0"/>
          <w:sz w:val="32"/>
          <w:szCs w:val="32"/>
        </w:rPr>
        <w:t>第三十六章  提升防灾减灾救灾水平</w:t>
      </w:r>
      <w:bookmarkEnd w:id="739"/>
      <w:bookmarkEnd w:id="740"/>
      <w:bookmarkEnd w:id="741"/>
      <w:bookmarkEnd w:id="742"/>
      <w:bookmarkEnd w:id="743"/>
    </w:p>
    <w:p w14:paraId="40F2EACC">
      <w:pPr>
        <w:pStyle w:val="15"/>
        <w:widowControl/>
        <w:numPr>
          <w:ilvl w:val="0"/>
          <w:numId w:val="35"/>
        </w:numPr>
        <w:spacing w:before="156" w:beforeLines="50" w:after="156" w:afterLines="50" w:line="580" w:lineRule="exact"/>
        <w:ind w:left="1080" w:hanging="1080" w:firstLineChars="0"/>
        <w:jc w:val="center"/>
        <w:outlineLvl w:val="2"/>
        <w:rPr>
          <w:rFonts w:eastAsia="楷体_GB2312"/>
          <w:b/>
          <w:color w:val="000000"/>
          <w:kern w:val="0"/>
          <w:sz w:val="32"/>
          <w:szCs w:val="32"/>
        </w:rPr>
      </w:pPr>
      <w:bookmarkStart w:id="744" w:name="_Toc26868"/>
      <w:r>
        <w:rPr>
          <w:rFonts w:hint="eastAsia" w:eastAsia="楷体_GB2312"/>
          <w:b/>
          <w:color w:val="000000"/>
          <w:kern w:val="0"/>
          <w:sz w:val="32"/>
          <w:szCs w:val="32"/>
        </w:rPr>
        <w:t xml:space="preserve"> </w:t>
      </w:r>
      <w:bookmarkStart w:id="745" w:name="_Toc218241194"/>
      <w:r>
        <w:rPr>
          <w:rFonts w:hint="eastAsia" w:eastAsia="楷体_GB2312"/>
          <w:b/>
          <w:color w:val="000000"/>
          <w:kern w:val="0"/>
          <w:sz w:val="32"/>
          <w:szCs w:val="32"/>
        </w:rPr>
        <w:t>深化应急管理体制机制改革</w:t>
      </w:r>
      <w:bookmarkEnd w:id="744"/>
      <w:bookmarkEnd w:id="745"/>
    </w:p>
    <w:p w14:paraId="02FBFA18">
      <w:pPr>
        <w:spacing w:line="580" w:lineRule="exact"/>
        <w:ind w:firstLine="668" w:firstLineChars="200"/>
        <w:rPr>
          <w:rFonts w:eastAsia="仿宋_GB2312"/>
          <w:spacing w:val="7"/>
          <w:kern w:val="0"/>
          <w:sz w:val="32"/>
          <w:szCs w:val="32"/>
          <w:shd w:val="clear" w:color="auto" w:fill="FFFFFF"/>
        </w:rPr>
      </w:pPr>
      <w:r>
        <w:rPr>
          <w:rFonts w:hint="eastAsia" w:eastAsia="仿宋_GB2312"/>
          <w:spacing w:val="7"/>
          <w:kern w:val="0"/>
          <w:sz w:val="32"/>
          <w:szCs w:val="32"/>
          <w:shd w:val="clear" w:color="auto" w:fill="FFFFFF"/>
        </w:rPr>
        <w:t>健全组织领导体制，完善应急管理部门统筹协调、行业管理部门组织指导、政府属地管理的应急管理体制，将应急管理体系和能力现代化建设纳入理塘县党政领导干部政绩考核内容，把安全生产纳入高质量发展评价体系。强化应急指挥工作机制。健全党委、政府领导下的应急总指挥部，统一指挥各类应急救援队伍，统筹负责灾害事故风险研判、灾情会商、抢险救援、转移避险、灾害救助、损失评估、恢复重建、信息发布等全过程管理。强化区域协同联动。推动与周边邻县常态化应急资源共享机制建立，加强“天</w:t>
      </w:r>
      <w:r>
        <w:rPr>
          <w:rFonts w:eastAsia="仿宋_GB2312"/>
          <w:spacing w:val="7"/>
          <w:kern w:val="0"/>
          <w:sz w:val="32"/>
          <w:szCs w:val="32"/>
          <w:shd w:val="clear" w:color="auto" w:fill="FFFFFF"/>
        </w:rPr>
        <w:t>-空-地”一体化立体监测数据与周边邻县实时互通，实现火情、汛情等灾害链的跨域协同预警。</w:t>
      </w:r>
    </w:p>
    <w:p w14:paraId="72E693B8">
      <w:pPr>
        <w:pStyle w:val="15"/>
        <w:widowControl/>
        <w:numPr>
          <w:ilvl w:val="0"/>
          <w:numId w:val="35"/>
        </w:numPr>
        <w:spacing w:before="156" w:beforeLines="50" w:after="156" w:afterLines="50" w:line="580" w:lineRule="exact"/>
        <w:ind w:left="1080" w:hanging="1080" w:firstLineChars="0"/>
        <w:jc w:val="center"/>
        <w:outlineLvl w:val="2"/>
        <w:rPr>
          <w:rFonts w:eastAsia="楷体_GB2312"/>
          <w:b/>
          <w:color w:val="000000"/>
          <w:kern w:val="0"/>
          <w:sz w:val="32"/>
          <w:szCs w:val="32"/>
        </w:rPr>
      </w:pPr>
      <w:bookmarkStart w:id="746" w:name="_Toc15720"/>
      <w:r>
        <w:rPr>
          <w:rFonts w:hint="eastAsia" w:eastAsia="楷体_GB2312"/>
          <w:b/>
          <w:color w:val="000000"/>
          <w:kern w:val="0"/>
          <w:sz w:val="32"/>
          <w:szCs w:val="32"/>
        </w:rPr>
        <w:t xml:space="preserve"> </w:t>
      </w:r>
      <w:bookmarkStart w:id="747" w:name="_Toc218241195"/>
      <w:r>
        <w:rPr>
          <w:rFonts w:hint="eastAsia" w:eastAsia="楷体_GB2312"/>
          <w:b/>
          <w:color w:val="000000"/>
          <w:kern w:val="0"/>
          <w:sz w:val="32"/>
          <w:szCs w:val="32"/>
        </w:rPr>
        <w:t>健全立体化应急救援力量体系</w:t>
      </w:r>
      <w:bookmarkEnd w:id="746"/>
      <w:bookmarkEnd w:id="747"/>
    </w:p>
    <w:p w14:paraId="688C2E12">
      <w:pPr>
        <w:spacing w:line="580" w:lineRule="exact"/>
        <w:ind w:firstLine="640" w:firstLineChars="200"/>
        <w:rPr>
          <w:rFonts w:eastAsia="仿宋_GB2312"/>
          <w:spacing w:val="7"/>
          <w:kern w:val="0"/>
          <w:sz w:val="32"/>
          <w:szCs w:val="32"/>
          <w:shd w:val="clear" w:color="auto" w:fill="FFFFFF"/>
        </w:rPr>
      </w:pPr>
      <w:r>
        <w:rPr>
          <w:rFonts w:eastAsia="仿宋_GB2312"/>
          <w:sz w:val="32"/>
          <w:szCs w:val="32"/>
        </w:rPr>
        <w:t>加强应急救援体系建设，推动智慧应急建设，构建“综合+专业+社会”基层应急救援力量体系。</w:t>
      </w:r>
      <w:r>
        <w:rPr>
          <w:rFonts w:hint="eastAsia" w:eastAsia="仿宋_GB2312"/>
          <w:spacing w:val="7"/>
          <w:kern w:val="0"/>
          <w:sz w:val="32"/>
          <w:szCs w:val="32"/>
          <w:shd w:val="clear" w:color="auto" w:fill="FFFFFF"/>
        </w:rPr>
        <w:t>加强综合性消防救援队伍建设。立足应急救援主力军和国家队的定位，优化力量布局，完善指挥体系和协调机制，强化基础保障和实战演练。优化城乡消防站队、消防车道、消防水源布局，构建城乡统筹、全面覆盖、响应及时的城乡消防站、队网络，实现应急救援力量全覆盖。推动专业应急救援队伍建设。强化政府和企业所属各类专业救援力量，充分利用现有资源，整合安全生产、地震救援、矿山救援等应急救援力量，组建统一指挥的专业救援队伍，进一步优化力量布局，规范职能定位，提升综合救援水平。加强水文、自然资源、气象等部门应急监测队伍建设，提升应急抢险救援过程中水情、气象（含雨情）等动态信息的应急监测能力。引导多元化社会应急力量建设。积极培育发展社会应急力量，充分发挥社会组织、志愿者等社会力量在预防准备、应急抢险救援和灾后过渡安置、恢复重建等方面的补充作用。健全属地为主的社会应急力量调用机制，明确参与应急救援的方式、范围。</w:t>
      </w:r>
    </w:p>
    <w:p w14:paraId="400C63ED">
      <w:pPr>
        <w:pStyle w:val="15"/>
        <w:widowControl/>
        <w:numPr>
          <w:ilvl w:val="0"/>
          <w:numId w:val="35"/>
        </w:numPr>
        <w:spacing w:before="156" w:beforeLines="50" w:after="156" w:afterLines="50" w:line="580" w:lineRule="exact"/>
        <w:ind w:left="1080" w:hanging="1080" w:firstLineChars="0"/>
        <w:jc w:val="center"/>
        <w:outlineLvl w:val="2"/>
        <w:rPr>
          <w:rFonts w:eastAsia="楷体_GB2312"/>
          <w:b/>
          <w:color w:val="000000"/>
          <w:kern w:val="0"/>
          <w:sz w:val="32"/>
          <w:szCs w:val="32"/>
        </w:rPr>
      </w:pPr>
      <w:bookmarkStart w:id="748" w:name="_Toc23555"/>
      <w:r>
        <w:rPr>
          <w:rFonts w:hint="eastAsia" w:eastAsia="楷体_GB2312"/>
          <w:b/>
          <w:color w:val="000000"/>
          <w:kern w:val="0"/>
          <w:sz w:val="32"/>
          <w:szCs w:val="32"/>
        </w:rPr>
        <w:t xml:space="preserve"> </w:t>
      </w:r>
      <w:bookmarkStart w:id="749" w:name="_Toc218241196"/>
      <w:r>
        <w:rPr>
          <w:rFonts w:hint="eastAsia" w:eastAsia="楷体_GB2312"/>
          <w:b/>
          <w:color w:val="000000"/>
          <w:kern w:val="0"/>
          <w:sz w:val="32"/>
          <w:szCs w:val="32"/>
        </w:rPr>
        <w:t>提升自然灾害防灾减灾能力</w:t>
      </w:r>
      <w:bookmarkEnd w:id="748"/>
      <w:bookmarkEnd w:id="749"/>
    </w:p>
    <w:p w14:paraId="2F7CEEF3">
      <w:pPr>
        <w:spacing w:line="580" w:lineRule="exact"/>
        <w:ind w:firstLine="668" w:firstLineChars="200"/>
        <w:rPr>
          <w:rFonts w:eastAsia="仿宋_GB2312"/>
          <w:sz w:val="32"/>
          <w:szCs w:val="32"/>
        </w:rPr>
      </w:pPr>
      <w:r>
        <w:rPr>
          <w:rFonts w:eastAsia="仿宋_GB2312"/>
          <w:spacing w:val="7"/>
          <w:kern w:val="0"/>
          <w:sz w:val="32"/>
          <w:szCs w:val="32"/>
          <w:shd w:val="clear" w:color="auto" w:fill="FFFFFF"/>
        </w:rPr>
        <w:t>构建全域全周期综合风险治理体系</w:t>
      </w:r>
      <w:r>
        <w:rPr>
          <w:rFonts w:hint="eastAsia" w:eastAsia="仿宋_GB2312"/>
          <w:spacing w:val="7"/>
          <w:kern w:val="0"/>
          <w:sz w:val="32"/>
          <w:szCs w:val="32"/>
          <w:shd w:val="clear" w:color="auto" w:fill="FFFFFF"/>
        </w:rPr>
        <w:t>，</w:t>
      </w:r>
      <w:r>
        <w:rPr>
          <w:rFonts w:hint="eastAsia" w:eastAsia="仿宋_GB2312"/>
          <w:sz w:val="32"/>
          <w:szCs w:val="32"/>
        </w:rPr>
        <w:t>推进地质灾害防治信息系统的建设，逐步建立县、乡（镇）两级地质灾害防治信息网络，</w:t>
      </w:r>
      <w:r>
        <w:rPr>
          <w:rFonts w:hint="eastAsia" w:eastAsia="仿宋_GB2312"/>
          <w:spacing w:val="7"/>
          <w:kern w:val="0"/>
          <w:sz w:val="32"/>
          <w:szCs w:val="32"/>
          <w:shd w:val="clear" w:color="auto" w:fill="FFFFFF"/>
        </w:rPr>
        <w:t>强化气象监测预警和数字化建设，完善预警信息发布与传导机制，加强地质灾害隐患点监测预警，</w:t>
      </w:r>
      <w:r>
        <w:rPr>
          <w:rFonts w:hint="eastAsia" w:eastAsia="仿宋_GB2312"/>
          <w:sz w:val="32"/>
          <w:szCs w:val="32"/>
        </w:rPr>
        <w:t>实现地质灾害动态管理、综合分析与科学研判。</w:t>
      </w:r>
      <w:r>
        <w:rPr>
          <w:rFonts w:hint="eastAsia" w:eastAsia="仿宋_GB2312"/>
          <w:spacing w:val="7"/>
          <w:kern w:val="0"/>
          <w:sz w:val="32"/>
          <w:szCs w:val="32"/>
          <w:shd w:val="clear" w:color="auto" w:fill="FFFFFF"/>
        </w:rPr>
        <w:t>实施防汛抗旱能力建设工程、地质灾害综合治理和森林草原防灭火能力建设工程等自然灾害防治能力提升工程，促进源头根治。强化灾害防治装备现代化建设。提高技术装备智能化、轻型化、标准化水平，重点更新新型应急指挥通信、应急灾害及环境监测、专用紧急医学救援﹑智能无人应急救援、救援人员个人防护等领域的应急产品。加快推进县级地质环境管理业务技术支撑平台建设，</w:t>
      </w:r>
      <w:r>
        <w:rPr>
          <w:rFonts w:eastAsia="仿宋_GB2312"/>
          <w:spacing w:val="7"/>
          <w:kern w:val="0"/>
          <w:sz w:val="32"/>
          <w:szCs w:val="32"/>
          <w:shd w:val="clear" w:color="auto" w:fill="FFFFFF"/>
        </w:rPr>
        <w:t>切实加强队伍建设，做好专业技术人才引进和储备，建立一支技术全面、作风硬朗的专业监测队伍。</w:t>
      </w:r>
      <w:r>
        <w:rPr>
          <w:rFonts w:hint="eastAsia" w:eastAsia="仿宋_GB2312"/>
          <w:spacing w:val="7"/>
          <w:kern w:val="0"/>
          <w:sz w:val="32"/>
          <w:szCs w:val="32"/>
          <w:shd w:val="clear" w:color="auto" w:fill="FFFFFF"/>
        </w:rPr>
        <w:t>加强应急避难场所规范化建设。进一步完善应急避难场所建设、认定、管理和保障机制，加强应急避难场所运行维护。</w:t>
      </w:r>
    </w:p>
    <w:p w14:paraId="141D7451">
      <w:pPr>
        <w:pStyle w:val="15"/>
        <w:widowControl/>
        <w:numPr>
          <w:ilvl w:val="0"/>
          <w:numId w:val="35"/>
        </w:numPr>
        <w:spacing w:before="156" w:beforeLines="50" w:after="156" w:afterLines="50" w:line="580" w:lineRule="exact"/>
        <w:ind w:left="1080" w:hanging="1080" w:firstLineChars="0"/>
        <w:jc w:val="center"/>
        <w:outlineLvl w:val="2"/>
        <w:rPr>
          <w:rFonts w:eastAsia="楷体_GB2312"/>
          <w:b/>
          <w:color w:val="000000"/>
          <w:kern w:val="0"/>
          <w:sz w:val="32"/>
          <w:szCs w:val="32"/>
        </w:rPr>
      </w:pPr>
      <w:bookmarkStart w:id="750" w:name="_Toc7807"/>
      <w:bookmarkStart w:id="751" w:name="OLE_LINK205"/>
      <w:r>
        <w:rPr>
          <w:rFonts w:hint="eastAsia" w:eastAsia="楷体_GB2312"/>
          <w:b/>
          <w:color w:val="000000"/>
          <w:kern w:val="0"/>
          <w:sz w:val="32"/>
          <w:szCs w:val="32"/>
        </w:rPr>
        <w:t xml:space="preserve"> </w:t>
      </w:r>
      <w:bookmarkStart w:id="752" w:name="_Toc218241197"/>
      <w:r>
        <w:rPr>
          <w:rFonts w:hint="eastAsia" w:eastAsia="楷体_GB2312"/>
          <w:b/>
          <w:color w:val="000000"/>
          <w:kern w:val="0"/>
          <w:sz w:val="32"/>
          <w:szCs w:val="32"/>
        </w:rPr>
        <w:t>优化应急综合保障能力</w:t>
      </w:r>
      <w:bookmarkEnd w:id="750"/>
      <w:bookmarkEnd w:id="752"/>
    </w:p>
    <w:bookmarkEnd w:id="751"/>
    <w:p w14:paraId="76266358">
      <w:pPr>
        <w:spacing w:line="580" w:lineRule="exact"/>
        <w:ind w:firstLine="668" w:firstLineChars="200"/>
        <w:rPr>
          <w:rFonts w:eastAsia="仿宋_GB2312"/>
          <w:spacing w:val="7"/>
          <w:kern w:val="0"/>
          <w:sz w:val="32"/>
          <w:szCs w:val="32"/>
          <w:shd w:val="clear" w:color="auto" w:fill="FFFFFF"/>
        </w:rPr>
      </w:pPr>
      <w:r>
        <w:rPr>
          <w:rFonts w:hint="eastAsia" w:eastAsia="仿宋_GB2312"/>
          <w:spacing w:val="7"/>
          <w:kern w:val="0"/>
          <w:sz w:val="32"/>
          <w:szCs w:val="32"/>
          <w:shd w:val="clear" w:color="auto" w:fill="FFFFFF"/>
        </w:rPr>
        <w:t>健全完善应急物资保障机制，强化应急装备</w:t>
      </w:r>
      <w:r>
        <w:rPr>
          <w:rFonts w:eastAsia="仿宋_GB2312"/>
          <w:spacing w:val="7"/>
          <w:kern w:val="0"/>
          <w:sz w:val="32"/>
          <w:szCs w:val="32"/>
          <w:shd w:val="clear" w:color="auto" w:fill="FFFFFF"/>
        </w:rPr>
        <w:t>基本配置</w:t>
      </w:r>
      <w:r>
        <w:rPr>
          <w:rFonts w:hint="eastAsia" w:eastAsia="仿宋_GB2312"/>
          <w:spacing w:val="7"/>
          <w:kern w:val="0"/>
          <w:sz w:val="32"/>
          <w:szCs w:val="32"/>
          <w:shd w:val="clear" w:color="auto" w:fill="FFFFFF"/>
        </w:rPr>
        <w:t>和专项配置，</w:t>
      </w:r>
      <w:r>
        <w:rPr>
          <w:rFonts w:eastAsia="仿宋_GB2312"/>
          <w:spacing w:val="7"/>
          <w:kern w:val="0"/>
          <w:sz w:val="32"/>
          <w:szCs w:val="32"/>
          <w:shd w:val="clear" w:color="auto" w:fill="FFFFFF"/>
        </w:rPr>
        <w:t>确保各级地质环境监测站履行综合性地质灾害防治职能</w:t>
      </w:r>
      <w:r>
        <w:rPr>
          <w:rFonts w:hint="eastAsia" w:eastAsia="仿宋_GB2312"/>
          <w:spacing w:val="7"/>
          <w:kern w:val="0"/>
          <w:sz w:val="32"/>
          <w:szCs w:val="32"/>
          <w:shd w:val="clear" w:color="auto" w:fill="FFFFFF"/>
        </w:rPr>
        <w:t>。建立健全康南（理塘）应急医疗救援及物资储备中心的应急物资协同保障和联动机制。提升应急通信交通保障能力。强化基层应急通信保障能力建设，在重点乡镇、部分重点村（社区）配备卫星通讯电话或应急短波通信，提升基层应急通信网络互联互通、防灾抗毁能力。提高应急处置能力。完善自然灾害救助应急预案，健全灾害救助机制，加强基本生活保障、特殊人群救助保护以及受灾群众心理援助，提升灾害救助水平。</w:t>
      </w:r>
    </w:p>
    <w:p w14:paraId="5BE0625C">
      <w:pPr>
        <w:pStyle w:val="15"/>
        <w:widowControl/>
        <w:numPr>
          <w:ilvl w:val="0"/>
          <w:numId w:val="35"/>
        </w:numPr>
        <w:spacing w:before="156" w:beforeLines="50" w:after="156" w:afterLines="50" w:line="580" w:lineRule="exact"/>
        <w:ind w:left="1080" w:hanging="1080" w:firstLineChars="0"/>
        <w:jc w:val="center"/>
        <w:outlineLvl w:val="2"/>
        <w:rPr>
          <w:rFonts w:eastAsia="楷体_GB2312"/>
          <w:b/>
          <w:color w:val="000000"/>
          <w:kern w:val="0"/>
          <w:sz w:val="32"/>
          <w:szCs w:val="32"/>
        </w:rPr>
      </w:pPr>
      <w:bookmarkStart w:id="753" w:name="_Toc26008"/>
      <w:r>
        <w:rPr>
          <w:rFonts w:hint="eastAsia" w:eastAsia="楷体_GB2312"/>
          <w:b/>
          <w:color w:val="000000"/>
          <w:kern w:val="0"/>
          <w:sz w:val="32"/>
          <w:szCs w:val="32"/>
        </w:rPr>
        <w:t xml:space="preserve"> </w:t>
      </w:r>
      <w:bookmarkStart w:id="754" w:name="_Toc218241198"/>
      <w:r>
        <w:rPr>
          <w:rFonts w:hint="eastAsia" w:eastAsia="楷体_GB2312"/>
          <w:b/>
          <w:color w:val="000000"/>
          <w:kern w:val="0"/>
          <w:sz w:val="32"/>
          <w:szCs w:val="32"/>
        </w:rPr>
        <w:t>创新社会共建共治共享模式</w:t>
      </w:r>
      <w:bookmarkEnd w:id="753"/>
      <w:bookmarkEnd w:id="754"/>
    </w:p>
    <w:p w14:paraId="1C0D76B7">
      <w:pPr>
        <w:spacing w:line="580" w:lineRule="exact"/>
        <w:ind w:firstLine="668" w:firstLineChars="200"/>
        <w:rPr>
          <w:rFonts w:eastAsia="仿宋_GB2312"/>
          <w:spacing w:val="7"/>
          <w:kern w:val="0"/>
          <w:sz w:val="32"/>
          <w:szCs w:val="32"/>
          <w:shd w:val="clear" w:color="auto" w:fill="FFFFFF"/>
        </w:rPr>
      </w:pPr>
      <w:r>
        <w:rPr>
          <w:rFonts w:hint="eastAsia" w:eastAsia="仿宋_GB2312"/>
          <w:spacing w:val="7"/>
          <w:kern w:val="0"/>
          <w:sz w:val="32"/>
          <w:szCs w:val="32"/>
          <w:shd w:val="clear" w:color="auto" w:fill="FFFFFF"/>
        </w:rPr>
        <w:t>推进应急安全文化宣传培训，定期推进应急安全宣传进企业、进农村、进学校、进家庭科普知识宣传，提高公众对减灾、防灾意识，知晓灾害逃生应急知识及防灾避险能力，进一步增强全民全社会抵御灾害的能力。完善灾害应急演练机制。开展常态化应急疏散演练，增强群众防灾减灾救灾意识，突出群防群治能力。打造社会协同防范格局。健全防治结合、联防联控、群防群控的协同工作机制，加强社会应急力量动员，引导社会公众积极参与突发灾害应对。加强应急指挥机构统一协调，推进社会治理协同机制建设，主动发挥好各类社会组织的专业社会服务作用，构建以政府为主导、全社会广泛参与的应急动员格局。</w:t>
      </w:r>
    </w:p>
    <w:tbl>
      <w:tblPr>
        <w:tblStyle w:val="11"/>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78C26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2" w:hRule="atLeast"/>
          <w:jc w:val="center"/>
        </w:trPr>
        <w:tc>
          <w:tcPr>
            <w:tcW w:w="5000" w:type="pct"/>
            <w:tcBorders>
              <w:top w:val="single" w:color="auto" w:sz="4" w:space="0"/>
              <w:left w:val="single" w:color="auto" w:sz="4" w:space="0"/>
              <w:bottom w:val="single" w:color="auto" w:sz="4" w:space="0"/>
              <w:right w:val="single" w:color="auto" w:sz="4" w:space="0"/>
            </w:tcBorders>
          </w:tcPr>
          <w:p w14:paraId="566A7214">
            <w:pPr>
              <w:pStyle w:val="10"/>
              <w:snapToGrid w:val="0"/>
              <w:spacing w:before="156" w:beforeLines="50" w:after="156" w:afterLines="50" w:line="440" w:lineRule="exact"/>
              <w:ind w:left="0" w:leftChars="0" w:firstLine="643" w:firstLineChars="0"/>
              <w:jc w:val="center"/>
              <w:rPr>
                <w:rFonts w:eastAsia="楷体_GB2312"/>
                <w:b/>
                <w:bCs/>
                <w:sz w:val="32"/>
                <w:szCs w:val="32"/>
              </w:rPr>
            </w:pPr>
            <w:bookmarkStart w:id="755" w:name="OLE_LINK234"/>
            <w:bookmarkStart w:id="756" w:name="OLE_LINK235"/>
            <w:r>
              <w:rPr>
                <w:rFonts w:ascii="Times New Roman" w:hAnsi="Times New Roman" w:eastAsia="楷体_GB2312" w:cs="Times New Roman"/>
                <w:b/>
                <w:sz w:val="28"/>
                <w:szCs w:val="28"/>
              </w:rPr>
              <w:t>专栏</w:t>
            </w:r>
            <w:r>
              <w:rPr>
                <w:rFonts w:hint="eastAsia" w:ascii="Times New Roman" w:hAnsi="Times New Roman" w:eastAsia="楷体_GB2312" w:cs="Times New Roman"/>
                <w:b/>
                <w:sz w:val="28"/>
                <w:szCs w:val="28"/>
              </w:rPr>
              <w:t>34</w:t>
            </w:r>
            <w:r>
              <w:rPr>
                <w:rFonts w:ascii="Times New Roman" w:hAnsi="Times New Roman" w:eastAsia="楷体_GB2312" w:cs="Times New Roman"/>
                <w:b/>
                <w:sz w:val="28"/>
                <w:szCs w:val="28"/>
              </w:rPr>
              <w:t xml:space="preserve">  “十五五”时期</w:t>
            </w:r>
            <w:r>
              <w:rPr>
                <w:rFonts w:hint="eastAsia" w:ascii="Times New Roman" w:hAnsi="Times New Roman" w:eastAsia="楷体_GB2312" w:cs="Times New Roman"/>
                <w:b/>
                <w:sz w:val="28"/>
                <w:szCs w:val="28"/>
              </w:rPr>
              <w:t>防灾减灾救灾重点工程</w:t>
            </w:r>
          </w:p>
        </w:tc>
      </w:tr>
      <w:tr w14:paraId="3ACF5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tcBorders>
              <w:top w:val="single" w:color="auto" w:sz="4" w:space="0"/>
              <w:left w:val="single" w:color="auto" w:sz="4" w:space="0"/>
              <w:bottom w:val="single" w:color="auto" w:sz="4" w:space="0"/>
              <w:right w:val="single" w:color="auto" w:sz="4" w:space="0"/>
            </w:tcBorders>
          </w:tcPr>
          <w:p w14:paraId="618BD287">
            <w:pPr>
              <w:pStyle w:val="16"/>
              <w:snapToGrid w:val="0"/>
              <w:spacing w:line="440" w:lineRule="exact"/>
              <w:ind w:firstLine="538"/>
              <w:jc w:val="left"/>
              <w:rPr>
                <w:rFonts w:eastAsia="楷体_GB2312" w:cs="Times New Roman"/>
                <w:spacing w:val="-6"/>
                <w:sz w:val="28"/>
                <w:szCs w:val="28"/>
              </w:rPr>
            </w:pPr>
            <w:r>
              <w:rPr>
                <w:rFonts w:eastAsia="楷体_GB2312" w:cs="Times New Roman"/>
                <w:b/>
                <w:spacing w:val="-6"/>
                <w:sz w:val="28"/>
                <w:szCs w:val="28"/>
              </w:rPr>
              <w:t>1.</w:t>
            </w:r>
            <w:r>
              <w:rPr>
                <w:rFonts w:hint="eastAsia" w:eastAsia="楷体_GB2312" w:cs="Times New Roman"/>
                <w:b/>
                <w:spacing w:val="-6"/>
                <w:sz w:val="28"/>
                <w:szCs w:val="28"/>
              </w:rPr>
              <w:t>防洪治理项目</w:t>
            </w:r>
            <w:r>
              <w:rPr>
                <w:rFonts w:hint="eastAsia" w:eastAsia="楷体_GB2312" w:cs="Times New Roman"/>
                <w:spacing w:val="-6"/>
                <w:sz w:val="28"/>
                <w:szCs w:val="28"/>
              </w:rPr>
              <w:t>。加快理塘河理塘县木拉镇段、理塘河理塘县上木拉乡段、霍曲理塘县村戈乡段防洪治理建设。</w:t>
            </w:r>
          </w:p>
          <w:p w14:paraId="37A77F72">
            <w:pPr>
              <w:pStyle w:val="16"/>
              <w:snapToGrid w:val="0"/>
              <w:spacing w:line="440" w:lineRule="exact"/>
              <w:ind w:firstLine="538"/>
              <w:jc w:val="left"/>
              <w:rPr>
                <w:rFonts w:eastAsia="楷体_GB2312" w:cs="Times New Roman"/>
                <w:spacing w:val="-6"/>
                <w:sz w:val="28"/>
                <w:szCs w:val="28"/>
              </w:rPr>
            </w:pPr>
            <w:r>
              <w:rPr>
                <w:rFonts w:eastAsia="楷体_GB2312" w:cs="Times New Roman"/>
                <w:b/>
                <w:spacing w:val="-6"/>
                <w:sz w:val="28"/>
                <w:szCs w:val="28"/>
              </w:rPr>
              <w:t>2.</w:t>
            </w:r>
            <w:r>
              <w:rPr>
                <w:rFonts w:hint="eastAsia" w:eastAsia="楷体_GB2312" w:cs="Times New Roman"/>
                <w:b/>
                <w:spacing w:val="-6"/>
                <w:sz w:val="28"/>
                <w:szCs w:val="28"/>
              </w:rPr>
              <w:t>山洪沟治理项目</w:t>
            </w:r>
            <w:r>
              <w:rPr>
                <w:rFonts w:hint="eastAsia" w:eastAsia="楷体_GB2312" w:cs="Times New Roman"/>
                <w:spacing w:val="-6"/>
                <w:sz w:val="28"/>
                <w:szCs w:val="28"/>
              </w:rPr>
              <w:t>。推进藏坝乡扎西沟、禾尼乡格仓沟等防洪治理工程、濯桑乡汝村山洪沟治理项目。</w:t>
            </w:r>
          </w:p>
          <w:p w14:paraId="691863C0">
            <w:pPr>
              <w:pStyle w:val="16"/>
              <w:snapToGrid w:val="0"/>
              <w:spacing w:line="440" w:lineRule="exact"/>
              <w:ind w:firstLine="538"/>
              <w:jc w:val="left"/>
              <w:rPr>
                <w:rFonts w:eastAsia="楷体_GB2312" w:cs="Times New Roman"/>
                <w:spacing w:val="-6"/>
                <w:sz w:val="28"/>
                <w:szCs w:val="28"/>
              </w:rPr>
            </w:pPr>
            <w:r>
              <w:rPr>
                <w:rFonts w:eastAsia="楷体_GB2312" w:cs="Times New Roman"/>
                <w:b/>
                <w:spacing w:val="-6"/>
                <w:sz w:val="28"/>
                <w:szCs w:val="28"/>
              </w:rPr>
              <w:t>3.</w:t>
            </w:r>
            <w:r>
              <w:rPr>
                <w:rFonts w:hint="eastAsia" w:eastAsia="楷体_GB2312" w:cs="Times New Roman"/>
                <w:b/>
                <w:spacing w:val="-6"/>
                <w:sz w:val="28"/>
                <w:szCs w:val="28"/>
              </w:rPr>
              <w:t>中小河流治理项目</w:t>
            </w:r>
            <w:r>
              <w:rPr>
                <w:rFonts w:hint="eastAsia" w:eastAsia="楷体_GB2312" w:cs="Times New Roman"/>
                <w:spacing w:val="-6"/>
                <w:sz w:val="28"/>
                <w:szCs w:val="28"/>
              </w:rPr>
              <w:t>。推进君坝镇君坝河防洪治理，岔若柯江达村段防洪治理，普隆曲汉戈村段防洪治理、热衣曲觉吾镇卡达村至马米村段防洪治理、嘎洼沟尼依公村段防洪治理工程，斋永希沟德巫乡段防洪治理工程、拉曲拉波镇荣古·扎扎村段防洪治理工程波热阔沟村戈乡托仁村防洪治理工程等项目初步谋划。</w:t>
            </w:r>
          </w:p>
          <w:p w14:paraId="7FA0F290">
            <w:pPr>
              <w:pStyle w:val="16"/>
              <w:snapToGrid w:val="0"/>
              <w:spacing w:line="440" w:lineRule="exact"/>
              <w:ind w:firstLine="538"/>
              <w:jc w:val="left"/>
              <w:rPr>
                <w:rFonts w:eastAsia="楷体_GB2312" w:cs="Times New Roman"/>
                <w:spacing w:val="-6"/>
                <w:sz w:val="28"/>
                <w:szCs w:val="28"/>
              </w:rPr>
            </w:pPr>
            <w:r>
              <w:rPr>
                <w:rFonts w:eastAsia="楷体_GB2312" w:cs="Times New Roman"/>
                <w:b/>
                <w:spacing w:val="-6"/>
                <w:sz w:val="28"/>
                <w:szCs w:val="28"/>
              </w:rPr>
              <w:t>4.</w:t>
            </w:r>
            <w:r>
              <w:rPr>
                <w:rFonts w:hint="eastAsia" w:eastAsia="楷体_GB2312" w:cs="Times New Roman"/>
                <w:b/>
                <w:spacing w:val="-6"/>
                <w:sz w:val="28"/>
                <w:szCs w:val="28"/>
              </w:rPr>
              <w:t>森林草原防灭火项目</w:t>
            </w:r>
            <w:r>
              <w:rPr>
                <w:rFonts w:hint="eastAsia" w:eastAsia="楷体_GB2312" w:cs="Times New Roman"/>
                <w:spacing w:val="-6"/>
                <w:sz w:val="28"/>
                <w:szCs w:val="28"/>
              </w:rPr>
              <w:t>。加快建设森林草原应急防灭火通道建设项目，森林草原应急防灭火停机坪建设项目，防山火应急能力提升项目，森林草原防灭火队伍提升项目，消防装备车辆项目，森林草原防灭火基础设施及防火预警系统建设项目等。</w:t>
            </w:r>
          </w:p>
          <w:p w14:paraId="29116917">
            <w:pPr>
              <w:pStyle w:val="16"/>
              <w:snapToGrid w:val="0"/>
              <w:spacing w:line="440" w:lineRule="exact"/>
              <w:ind w:firstLine="538"/>
              <w:jc w:val="left"/>
              <w:rPr>
                <w:rFonts w:eastAsia="楷体_GB2312" w:cs="Times New Roman"/>
                <w:spacing w:val="-6"/>
                <w:sz w:val="28"/>
                <w:szCs w:val="28"/>
              </w:rPr>
            </w:pPr>
            <w:r>
              <w:rPr>
                <w:rFonts w:eastAsia="楷体_GB2312" w:cs="Times New Roman"/>
                <w:b/>
                <w:spacing w:val="-6"/>
                <w:sz w:val="28"/>
                <w:szCs w:val="28"/>
              </w:rPr>
              <w:t>5.</w:t>
            </w:r>
            <w:r>
              <w:rPr>
                <w:rFonts w:hint="eastAsia" w:eastAsia="楷体_GB2312" w:cs="Times New Roman"/>
                <w:b/>
                <w:spacing w:val="-6"/>
                <w:sz w:val="28"/>
                <w:szCs w:val="28"/>
              </w:rPr>
              <w:t>应急救援项目</w:t>
            </w:r>
            <w:r>
              <w:rPr>
                <w:rFonts w:hint="eastAsia" w:eastAsia="楷体_GB2312" w:cs="Times New Roman"/>
                <w:spacing w:val="-6"/>
                <w:sz w:val="28"/>
                <w:szCs w:val="28"/>
              </w:rPr>
              <w:t>。新建</w:t>
            </w:r>
            <w:r>
              <w:rPr>
                <w:rFonts w:eastAsia="楷体_GB2312" w:cs="Times New Roman"/>
                <w:spacing w:val="-6"/>
                <w:sz w:val="28"/>
                <w:szCs w:val="28"/>
              </w:rPr>
              <w:t>22</w:t>
            </w:r>
            <w:r>
              <w:rPr>
                <w:rFonts w:hint="eastAsia" w:eastAsia="楷体_GB2312" w:cs="Times New Roman"/>
                <w:spacing w:val="-6"/>
                <w:sz w:val="28"/>
                <w:szCs w:val="28"/>
              </w:rPr>
              <w:t>个乡（镇）应急避难场所。储备应急指挥信息化平台提档升级项目。综合应急救援大队基础设施建设、康南应急物资储备中心暨战训基地建设等。</w:t>
            </w:r>
          </w:p>
          <w:p w14:paraId="52C6FE7A">
            <w:pPr>
              <w:pStyle w:val="16"/>
              <w:snapToGrid w:val="0"/>
              <w:spacing w:line="440" w:lineRule="exact"/>
              <w:ind w:firstLine="538"/>
              <w:jc w:val="left"/>
              <w:rPr>
                <w:rFonts w:eastAsia="楷体_GB2312" w:cs="Times New Roman"/>
                <w:spacing w:val="-6"/>
                <w:sz w:val="28"/>
                <w:szCs w:val="28"/>
              </w:rPr>
            </w:pPr>
            <w:r>
              <w:rPr>
                <w:rFonts w:eastAsia="楷体_GB2312" w:cs="Times New Roman"/>
                <w:b/>
                <w:spacing w:val="-6"/>
                <w:sz w:val="28"/>
                <w:szCs w:val="28"/>
              </w:rPr>
              <w:t>6.</w:t>
            </w:r>
            <w:r>
              <w:rPr>
                <w:rFonts w:hint="eastAsia" w:eastAsia="楷体_GB2312" w:cs="Times New Roman"/>
                <w:b/>
                <w:spacing w:val="-6"/>
                <w:sz w:val="28"/>
                <w:szCs w:val="28"/>
              </w:rPr>
              <w:t>康南（理塘）应急医疗救援及物资储备中心项目</w:t>
            </w:r>
            <w:r>
              <w:rPr>
                <w:rFonts w:hint="eastAsia" w:eastAsia="楷体_GB2312" w:cs="Times New Roman"/>
                <w:spacing w:val="-6"/>
                <w:sz w:val="28"/>
                <w:szCs w:val="28"/>
              </w:rPr>
              <w:t>。与康定县、甘孜县储备库形成“</w:t>
            </w:r>
            <w:r>
              <w:rPr>
                <w:rFonts w:eastAsia="楷体_GB2312" w:cs="Times New Roman"/>
                <w:spacing w:val="-6"/>
                <w:sz w:val="28"/>
                <w:szCs w:val="28"/>
              </w:rPr>
              <w:t>1</w:t>
            </w:r>
            <w:r>
              <w:rPr>
                <w:rFonts w:hint="eastAsia" w:eastAsia="楷体_GB2312" w:cs="Times New Roman"/>
                <w:spacing w:val="-6"/>
                <w:sz w:val="28"/>
                <w:szCs w:val="28"/>
              </w:rPr>
              <w:t>小时调拨圈”，提高应急物资保障能力。优化重要应急物资区域布局，实施“</w:t>
            </w:r>
            <w:r>
              <w:rPr>
                <w:rFonts w:eastAsia="楷体_GB2312" w:cs="Times New Roman"/>
                <w:spacing w:val="-6"/>
                <w:sz w:val="28"/>
                <w:szCs w:val="28"/>
              </w:rPr>
              <w:t>1+5+N</w:t>
            </w:r>
            <w:r>
              <w:rPr>
                <w:rFonts w:hint="eastAsia" w:eastAsia="楷体_GB2312" w:cs="Times New Roman"/>
                <w:spacing w:val="-6"/>
                <w:sz w:val="28"/>
                <w:szCs w:val="28"/>
              </w:rPr>
              <w:t>”物资储备布局，即</w:t>
            </w:r>
            <w:r>
              <w:rPr>
                <w:rFonts w:eastAsia="楷体_GB2312" w:cs="Times New Roman"/>
                <w:spacing w:val="-6"/>
                <w:sz w:val="28"/>
                <w:szCs w:val="28"/>
              </w:rPr>
              <w:t>1</w:t>
            </w:r>
            <w:r>
              <w:rPr>
                <w:rFonts w:hint="eastAsia" w:eastAsia="楷体_GB2312" w:cs="Times New Roman"/>
                <w:spacing w:val="-6"/>
                <w:sz w:val="28"/>
                <w:szCs w:val="28"/>
              </w:rPr>
              <w:t>个县级智能化储备中心、</w:t>
            </w:r>
            <w:r>
              <w:rPr>
                <w:rFonts w:eastAsia="楷体_GB2312" w:cs="Times New Roman"/>
                <w:spacing w:val="-6"/>
                <w:sz w:val="28"/>
                <w:szCs w:val="28"/>
              </w:rPr>
              <w:t>5</w:t>
            </w:r>
            <w:r>
              <w:rPr>
                <w:rFonts w:hint="eastAsia" w:eastAsia="楷体_GB2312" w:cs="Times New Roman"/>
                <w:spacing w:val="-6"/>
                <w:sz w:val="28"/>
                <w:szCs w:val="28"/>
              </w:rPr>
              <w:t>个区域分库、</w:t>
            </w:r>
            <w:r>
              <w:rPr>
                <w:rFonts w:eastAsia="楷体_GB2312" w:cs="Times New Roman"/>
                <w:spacing w:val="-6"/>
                <w:sz w:val="28"/>
                <w:szCs w:val="28"/>
              </w:rPr>
              <w:t>N</w:t>
            </w:r>
            <w:r>
              <w:rPr>
                <w:rFonts w:hint="eastAsia" w:eastAsia="楷体_GB2312" w:cs="Times New Roman"/>
                <w:spacing w:val="-6"/>
                <w:sz w:val="28"/>
                <w:szCs w:val="28"/>
              </w:rPr>
              <w:t>个村级微型储备点</w:t>
            </w:r>
            <w:r>
              <w:rPr>
                <w:rFonts w:eastAsia="楷体_GB2312" w:cs="Times New Roman"/>
                <w:spacing w:val="-6"/>
                <w:sz w:val="28"/>
                <w:szCs w:val="28"/>
              </w:rPr>
              <w:t>2030</w:t>
            </w:r>
            <w:r>
              <w:rPr>
                <w:rFonts w:hint="eastAsia" w:eastAsia="楷体_GB2312" w:cs="Times New Roman"/>
                <w:spacing w:val="-6"/>
                <w:sz w:val="28"/>
                <w:szCs w:val="28"/>
              </w:rPr>
              <w:t>年前实现应急物资“县域</w:t>
            </w:r>
            <w:r>
              <w:rPr>
                <w:rFonts w:eastAsia="楷体_GB2312" w:cs="Times New Roman"/>
                <w:spacing w:val="-6"/>
                <w:sz w:val="28"/>
                <w:szCs w:val="28"/>
              </w:rPr>
              <w:t>1</w:t>
            </w:r>
            <w:r>
              <w:rPr>
                <w:rFonts w:hint="eastAsia" w:eastAsia="楷体_GB2312" w:cs="Times New Roman"/>
                <w:spacing w:val="-6"/>
                <w:sz w:val="28"/>
                <w:szCs w:val="28"/>
              </w:rPr>
              <w:t>小时投送、乡镇</w:t>
            </w:r>
            <w:r>
              <w:rPr>
                <w:rFonts w:eastAsia="楷体_GB2312" w:cs="Times New Roman"/>
                <w:spacing w:val="-6"/>
                <w:sz w:val="28"/>
                <w:szCs w:val="28"/>
              </w:rPr>
              <w:t>30</w:t>
            </w:r>
            <w:r>
              <w:rPr>
                <w:rFonts w:hint="eastAsia" w:eastAsia="楷体_GB2312" w:cs="Times New Roman"/>
                <w:spacing w:val="-6"/>
                <w:sz w:val="28"/>
                <w:szCs w:val="28"/>
              </w:rPr>
              <w:t>分钟到位”。</w:t>
            </w:r>
          </w:p>
          <w:p w14:paraId="062CD9F9">
            <w:pPr>
              <w:pStyle w:val="16"/>
              <w:snapToGrid w:val="0"/>
              <w:spacing w:line="440" w:lineRule="exact"/>
              <w:ind w:firstLine="538"/>
              <w:jc w:val="left"/>
              <w:rPr>
                <w:rFonts w:eastAsia="楷体_GB2312" w:cs="Times New Roman"/>
                <w:spacing w:val="-6"/>
                <w:sz w:val="28"/>
                <w:szCs w:val="28"/>
              </w:rPr>
            </w:pPr>
            <w:r>
              <w:rPr>
                <w:rFonts w:eastAsia="楷体_GB2312" w:cs="Times New Roman"/>
                <w:b/>
                <w:spacing w:val="-6"/>
                <w:sz w:val="28"/>
                <w:szCs w:val="28"/>
              </w:rPr>
              <w:t>7.</w:t>
            </w:r>
            <w:r>
              <w:rPr>
                <w:rFonts w:hint="eastAsia" w:eastAsia="楷体_GB2312" w:cs="Times New Roman"/>
                <w:b/>
                <w:spacing w:val="-6"/>
                <w:sz w:val="28"/>
                <w:szCs w:val="28"/>
              </w:rPr>
              <w:t>“理塘应急大脑”项目</w:t>
            </w:r>
            <w:r>
              <w:rPr>
                <w:rFonts w:hint="eastAsia" w:eastAsia="楷体_GB2312" w:cs="Times New Roman"/>
                <w:spacing w:val="-6"/>
                <w:sz w:val="28"/>
                <w:szCs w:val="28"/>
              </w:rPr>
              <w:t>。包括应急交互系统、应急视频会商系统、系统整合和数据共享建设、应急指挥信息化系统建设、重大风险隐患排查信息化建设、安全生产预警管控系统建设、自然灾害综合监测预警系统建设、应急“一张图”可视化子系统建设、</w:t>
            </w:r>
            <w:r>
              <w:rPr>
                <w:rFonts w:eastAsia="楷体_GB2312" w:cs="Times New Roman"/>
                <w:spacing w:val="-6"/>
                <w:sz w:val="28"/>
                <w:szCs w:val="28"/>
              </w:rPr>
              <w:t>GIS</w:t>
            </w:r>
            <w:r>
              <w:rPr>
                <w:rFonts w:hint="eastAsia" w:eastAsia="楷体_GB2312" w:cs="Times New Roman"/>
                <w:spacing w:val="-6"/>
                <w:sz w:val="28"/>
                <w:szCs w:val="28"/>
              </w:rPr>
              <w:t>地理信息系统应用，集成多源数据构建三维灾害数字孪生模型。</w:t>
            </w:r>
            <w:r>
              <w:rPr>
                <w:rFonts w:eastAsia="楷体_GB2312" w:cs="Times New Roman"/>
                <w:spacing w:val="-6"/>
                <w:sz w:val="28"/>
                <w:szCs w:val="28"/>
              </w:rPr>
              <w:t>2027</w:t>
            </w:r>
            <w:r>
              <w:rPr>
                <w:rFonts w:hint="eastAsia" w:eastAsia="楷体_GB2312" w:cs="Times New Roman"/>
                <w:spacing w:val="-6"/>
                <w:sz w:val="28"/>
                <w:szCs w:val="28"/>
              </w:rPr>
              <w:t>年前实现地质灾害点智能监测覆盖率</w:t>
            </w:r>
            <w:r>
              <w:rPr>
                <w:rFonts w:eastAsia="楷体_GB2312" w:cs="Times New Roman"/>
                <w:spacing w:val="-6"/>
                <w:sz w:val="28"/>
                <w:szCs w:val="28"/>
              </w:rPr>
              <w:t>100%</w:t>
            </w:r>
            <w:r>
              <w:rPr>
                <w:rFonts w:hint="eastAsia" w:eastAsia="楷体_GB2312" w:cs="Times New Roman"/>
                <w:spacing w:val="-6"/>
                <w:sz w:val="28"/>
                <w:szCs w:val="28"/>
              </w:rPr>
              <w:t>、预警响应时间缩短至</w:t>
            </w:r>
            <w:r>
              <w:rPr>
                <w:rFonts w:eastAsia="楷体_GB2312" w:cs="Times New Roman"/>
                <w:spacing w:val="-6"/>
                <w:sz w:val="28"/>
                <w:szCs w:val="28"/>
              </w:rPr>
              <w:t>30</w:t>
            </w:r>
            <w:r>
              <w:rPr>
                <w:rFonts w:hint="eastAsia" w:eastAsia="楷体_GB2312" w:cs="Times New Roman"/>
                <w:spacing w:val="-6"/>
                <w:sz w:val="28"/>
                <w:szCs w:val="28"/>
              </w:rPr>
              <w:t>分钟。</w:t>
            </w:r>
          </w:p>
          <w:p w14:paraId="0F16AE8B">
            <w:pPr>
              <w:pStyle w:val="16"/>
              <w:snapToGrid w:val="0"/>
              <w:spacing w:line="440" w:lineRule="exact"/>
              <w:ind w:firstLine="538"/>
              <w:jc w:val="left"/>
              <w:rPr>
                <w:rFonts w:eastAsia="楷体_GB2312" w:cs="Times New Roman"/>
                <w:spacing w:val="-6"/>
                <w:sz w:val="28"/>
                <w:szCs w:val="28"/>
              </w:rPr>
            </w:pPr>
            <w:r>
              <w:rPr>
                <w:rFonts w:eastAsia="楷体_GB2312" w:cs="Times New Roman"/>
                <w:b/>
                <w:spacing w:val="-6"/>
                <w:sz w:val="28"/>
                <w:szCs w:val="28"/>
              </w:rPr>
              <w:t>8.</w:t>
            </w:r>
            <w:r>
              <w:rPr>
                <w:rFonts w:hint="eastAsia" w:eastAsia="楷体_GB2312" w:cs="Times New Roman"/>
                <w:b/>
                <w:spacing w:val="-6"/>
                <w:sz w:val="28"/>
                <w:szCs w:val="28"/>
              </w:rPr>
              <w:t>防震减灾能力提升项目</w:t>
            </w:r>
            <w:r>
              <w:rPr>
                <w:rFonts w:hint="eastAsia" w:eastAsia="楷体_GB2312" w:cs="Times New Roman"/>
                <w:spacing w:val="-6"/>
                <w:sz w:val="28"/>
                <w:szCs w:val="28"/>
              </w:rPr>
              <w:t>。推进地震台站建设，新建基准站二类、基本站一类、基本站二类</w:t>
            </w:r>
            <w:r>
              <w:rPr>
                <w:rFonts w:eastAsia="楷体_GB2312" w:cs="Times New Roman"/>
                <w:spacing w:val="-6"/>
                <w:sz w:val="28"/>
                <w:szCs w:val="28"/>
              </w:rPr>
              <w:t>3</w:t>
            </w:r>
            <w:r>
              <w:rPr>
                <w:rFonts w:hint="eastAsia" w:eastAsia="楷体_GB2312" w:cs="Times New Roman"/>
                <w:spacing w:val="-6"/>
                <w:sz w:val="28"/>
                <w:szCs w:val="28"/>
              </w:rPr>
              <w:t>类测震站。加强</w:t>
            </w:r>
            <w:r>
              <w:rPr>
                <w:rFonts w:eastAsia="楷体_GB2312" w:cs="Times New Roman"/>
                <w:spacing w:val="-6"/>
                <w:sz w:val="28"/>
                <w:szCs w:val="28"/>
              </w:rPr>
              <w:t>1</w:t>
            </w:r>
            <w:r>
              <w:rPr>
                <w:rFonts w:hint="eastAsia" w:eastAsia="楷体_GB2312" w:cs="Times New Roman"/>
                <w:spacing w:val="-6"/>
                <w:sz w:val="28"/>
                <w:szCs w:val="28"/>
              </w:rPr>
              <w:t>：</w:t>
            </w:r>
            <w:r>
              <w:rPr>
                <w:rFonts w:eastAsia="楷体_GB2312" w:cs="Times New Roman"/>
                <w:spacing w:val="-6"/>
                <w:sz w:val="28"/>
                <w:szCs w:val="28"/>
              </w:rPr>
              <w:t>1</w:t>
            </w:r>
            <w:r>
              <w:rPr>
                <w:rFonts w:hint="eastAsia" w:eastAsia="楷体_GB2312" w:cs="Times New Roman"/>
                <w:spacing w:val="-6"/>
                <w:sz w:val="28"/>
                <w:szCs w:val="28"/>
              </w:rPr>
              <w:t>万城市活动断层探查及成果应用。在地震高风险区开展地震救援技能培训、装备实操培训、基层逃生及自救互救演练等工作、下坝片区航空取水点工程。</w:t>
            </w:r>
          </w:p>
          <w:p w14:paraId="2B7CE78F">
            <w:pPr>
              <w:pStyle w:val="16"/>
              <w:snapToGrid w:val="0"/>
              <w:spacing w:line="440" w:lineRule="exact"/>
              <w:ind w:firstLine="538"/>
              <w:jc w:val="left"/>
              <w:rPr>
                <w:rFonts w:eastAsia="楷体_GB2312" w:cs="Times New Roman"/>
                <w:spacing w:val="-6"/>
                <w:sz w:val="28"/>
                <w:szCs w:val="28"/>
              </w:rPr>
            </w:pPr>
            <w:r>
              <w:rPr>
                <w:rFonts w:eastAsia="楷体_GB2312" w:cs="Times New Roman"/>
                <w:b/>
                <w:spacing w:val="-6"/>
                <w:sz w:val="28"/>
                <w:szCs w:val="28"/>
              </w:rPr>
              <w:t>9.</w:t>
            </w:r>
            <w:r>
              <w:rPr>
                <w:rFonts w:hint="eastAsia" w:eastAsia="楷体_GB2312" w:cs="Times New Roman"/>
                <w:b/>
                <w:spacing w:val="-6"/>
                <w:sz w:val="28"/>
                <w:szCs w:val="28"/>
              </w:rPr>
              <w:t>全民防灾减灾能力提升项目</w:t>
            </w:r>
            <w:r>
              <w:rPr>
                <w:rFonts w:hint="eastAsia" w:eastAsia="楷体_GB2312" w:cs="Times New Roman"/>
                <w:spacing w:val="-6"/>
                <w:sz w:val="28"/>
                <w:szCs w:val="28"/>
              </w:rPr>
              <w:t>。应急文化宣传场所建设，新建防灾减灾科普教育基地。推进州级安全发展示范城市建设。</w:t>
            </w:r>
          </w:p>
          <w:p w14:paraId="74708DFF">
            <w:pPr>
              <w:pStyle w:val="16"/>
              <w:snapToGrid w:val="0"/>
              <w:spacing w:line="440" w:lineRule="exact"/>
              <w:ind w:firstLine="538"/>
              <w:jc w:val="left"/>
              <w:rPr>
                <w:rFonts w:eastAsia="楷体_GB2312" w:cs="Times New Roman"/>
                <w:spacing w:val="-6"/>
                <w:sz w:val="28"/>
                <w:szCs w:val="28"/>
              </w:rPr>
            </w:pPr>
            <w:r>
              <w:rPr>
                <w:rFonts w:eastAsia="楷体_GB2312" w:cs="Times New Roman"/>
                <w:b/>
                <w:spacing w:val="-6"/>
                <w:sz w:val="28"/>
                <w:szCs w:val="28"/>
              </w:rPr>
              <w:t>10.</w:t>
            </w:r>
            <w:r>
              <w:rPr>
                <w:rFonts w:hint="eastAsia" w:eastAsia="楷体_GB2312" w:cs="Times New Roman"/>
                <w:b/>
                <w:spacing w:val="-6"/>
                <w:sz w:val="28"/>
                <w:szCs w:val="28"/>
              </w:rPr>
              <w:t>基层应急能力提升项目</w:t>
            </w:r>
            <w:r>
              <w:rPr>
                <w:rFonts w:hint="eastAsia" w:eastAsia="楷体_GB2312" w:cs="Times New Roman"/>
                <w:spacing w:val="-6"/>
                <w:sz w:val="28"/>
                <w:szCs w:val="28"/>
              </w:rPr>
              <w:t>。开展乡镇应急服务站、乡镇消防救援队一体化建设。开展基层应急能力标准化建设，加强基层应急队伍及装备建设。加强基层信息化建设，配齐应急卫星通讯车、单兵图传设备及卫星电话等装备。</w:t>
            </w:r>
          </w:p>
          <w:p w14:paraId="07EFB2CA">
            <w:pPr>
              <w:pStyle w:val="16"/>
              <w:snapToGrid w:val="0"/>
              <w:spacing w:line="440" w:lineRule="exact"/>
              <w:ind w:firstLine="538"/>
              <w:jc w:val="left"/>
            </w:pPr>
            <w:r>
              <w:rPr>
                <w:rFonts w:eastAsia="楷体_GB2312" w:cs="Times New Roman"/>
                <w:b/>
                <w:spacing w:val="-6"/>
                <w:sz w:val="28"/>
                <w:szCs w:val="28"/>
              </w:rPr>
              <w:t>11.</w:t>
            </w:r>
            <w:r>
              <w:rPr>
                <w:rFonts w:hint="eastAsia" w:eastAsia="楷体_GB2312" w:cs="Times New Roman"/>
                <w:b/>
                <w:spacing w:val="-6"/>
                <w:sz w:val="28"/>
                <w:szCs w:val="28"/>
              </w:rPr>
              <w:t>安全生产风险监测预警项目</w:t>
            </w:r>
            <w:r>
              <w:rPr>
                <w:rFonts w:hint="eastAsia" w:eastAsia="楷体_GB2312" w:cs="Times New Roman"/>
                <w:spacing w:val="-6"/>
                <w:sz w:val="28"/>
                <w:szCs w:val="28"/>
              </w:rPr>
              <w:t>。在危险化学品、加油加气站、建筑施工等重点行业领域，布设高清智能摄像头，对违规操作、设备异常、消防隐患等进行动态监测，构建高风险企业动态防控体系。</w:t>
            </w:r>
          </w:p>
        </w:tc>
      </w:tr>
      <w:bookmarkEnd w:id="755"/>
      <w:bookmarkEnd w:id="756"/>
    </w:tbl>
    <w:p w14:paraId="3AE7D599">
      <w:pPr>
        <w:widowControl/>
        <w:spacing w:before="156" w:beforeLines="50" w:after="156" w:afterLines="50" w:line="580" w:lineRule="exact"/>
        <w:jc w:val="center"/>
        <w:outlineLvl w:val="1"/>
        <w:rPr>
          <w:rFonts w:eastAsia="黑体"/>
          <w:bCs/>
          <w:color w:val="000000"/>
          <w:kern w:val="0"/>
          <w:sz w:val="32"/>
          <w:szCs w:val="32"/>
        </w:rPr>
      </w:pPr>
      <w:bookmarkStart w:id="757" w:name="_Toc218241199"/>
      <w:bookmarkStart w:id="758" w:name="_Toc26709"/>
      <w:bookmarkStart w:id="759" w:name="_Toc212814864"/>
      <w:bookmarkStart w:id="760" w:name="_Toc214372672"/>
      <w:bookmarkStart w:id="761" w:name="_Toc2736"/>
      <w:r>
        <w:rPr>
          <w:rFonts w:hint="eastAsia" w:eastAsia="黑体"/>
          <w:bCs/>
          <w:color w:val="000000"/>
          <w:kern w:val="0"/>
          <w:sz w:val="32"/>
          <w:szCs w:val="32"/>
        </w:rPr>
        <w:t>第三十七章  加强民主法治建设</w:t>
      </w:r>
      <w:bookmarkEnd w:id="757"/>
      <w:bookmarkEnd w:id="758"/>
      <w:bookmarkEnd w:id="759"/>
      <w:bookmarkEnd w:id="760"/>
      <w:bookmarkEnd w:id="761"/>
    </w:p>
    <w:p w14:paraId="1F6C16B1">
      <w:pPr>
        <w:pStyle w:val="15"/>
        <w:widowControl/>
        <w:numPr>
          <w:ilvl w:val="0"/>
          <w:numId w:val="36"/>
        </w:numPr>
        <w:spacing w:before="156" w:beforeLines="50" w:after="156" w:afterLines="50" w:line="580" w:lineRule="exact"/>
        <w:ind w:left="1080" w:hanging="1080" w:firstLineChars="0"/>
        <w:jc w:val="center"/>
        <w:outlineLvl w:val="2"/>
        <w:rPr>
          <w:rFonts w:eastAsia="楷体_GB2312"/>
          <w:b/>
          <w:color w:val="000000"/>
          <w:kern w:val="0"/>
          <w:sz w:val="32"/>
          <w:szCs w:val="32"/>
        </w:rPr>
      </w:pPr>
      <w:bookmarkStart w:id="762" w:name="_Toc3316"/>
      <w:r>
        <w:rPr>
          <w:rFonts w:hint="eastAsia" w:eastAsia="楷体_GB2312"/>
          <w:b/>
          <w:color w:val="000000"/>
          <w:kern w:val="0"/>
          <w:sz w:val="32"/>
          <w:szCs w:val="32"/>
        </w:rPr>
        <w:t xml:space="preserve"> </w:t>
      </w:r>
      <w:bookmarkStart w:id="763" w:name="_Toc218241200"/>
      <w:r>
        <w:rPr>
          <w:rFonts w:hint="eastAsia" w:eastAsia="楷体_GB2312"/>
          <w:b/>
          <w:color w:val="000000"/>
          <w:kern w:val="0"/>
          <w:sz w:val="32"/>
          <w:szCs w:val="32"/>
        </w:rPr>
        <w:t>健全民主政治制度</w:t>
      </w:r>
      <w:bookmarkEnd w:id="762"/>
      <w:bookmarkEnd w:id="763"/>
    </w:p>
    <w:p w14:paraId="4EF1029C">
      <w:pPr>
        <w:spacing w:line="580" w:lineRule="exact"/>
        <w:ind w:firstLine="668" w:firstLineChars="200"/>
        <w:rPr>
          <w:rFonts w:eastAsia="仿宋_GB2312"/>
          <w:spacing w:val="7"/>
          <w:kern w:val="0"/>
          <w:sz w:val="32"/>
          <w:szCs w:val="32"/>
          <w:shd w:val="clear" w:color="auto" w:fill="FFFFFF"/>
        </w:rPr>
      </w:pPr>
      <w:r>
        <w:rPr>
          <w:rFonts w:hint="eastAsia" w:eastAsia="仿宋_GB2312"/>
          <w:spacing w:val="7"/>
          <w:kern w:val="0"/>
          <w:sz w:val="32"/>
          <w:szCs w:val="32"/>
          <w:shd w:val="clear" w:color="auto" w:fill="FFFFFF"/>
        </w:rPr>
        <w:t>扎实推进全过程人民民主实践。坚持和完善人民代表大会制度，支持和保证县人大及其常委会依法行使监督权、决定权、任免权，深化人大代表联络站建设，完善民生实事项目代表票决制，畅通社情民意反映渠道。发挥人民政协专门协商机构作用，推进政协协商与基层协商有效衔接，提高建言资政和凝聚共识水平。健全基层党组织领导的基层群众自治机制，规范村（居）民委员会建设，全面落实“四议两公开”制度，提升村（社区）治理效能。完善以职工代表大会为基本形式的企事业单位民主管理制度，保障职工合法权益。巩固和发展最广泛的爱国统一战线，凝聚社会各界力量共同参与县域治理和高质量发展。</w:t>
      </w:r>
    </w:p>
    <w:p w14:paraId="11B8397C">
      <w:pPr>
        <w:pStyle w:val="15"/>
        <w:widowControl/>
        <w:numPr>
          <w:ilvl w:val="0"/>
          <w:numId w:val="36"/>
        </w:numPr>
        <w:spacing w:before="156" w:beforeLines="50" w:after="156" w:afterLines="50" w:line="580" w:lineRule="exact"/>
        <w:ind w:left="1080" w:hanging="1080" w:firstLineChars="0"/>
        <w:jc w:val="center"/>
        <w:outlineLvl w:val="2"/>
        <w:rPr>
          <w:rFonts w:eastAsia="楷体_GB2312"/>
          <w:b/>
          <w:color w:val="000000"/>
          <w:kern w:val="0"/>
          <w:sz w:val="32"/>
          <w:szCs w:val="32"/>
        </w:rPr>
      </w:pPr>
      <w:bookmarkStart w:id="764" w:name="_Toc14788"/>
      <w:r>
        <w:rPr>
          <w:rFonts w:hint="eastAsia" w:eastAsia="楷体_GB2312"/>
          <w:b/>
          <w:color w:val="000000"/>
          <w:kern w:val="0"/>
          <w:sz w:val="32"/>
          <w:szCs w:val="32"/>
        </w:rPr>
        <w:t xml:space="preserve"> </w:t>
      </w:r>
      <w:bookmarkStart w:id="765" w:name="_Toc218241201"/>
      <w:r>
        <w:rPr>
          <w:rFonts w:hint="eastAsia" w:eastAsia="楷体_GB2312"/>
          <w:b/>
          <w:color w:val="000000"/>
          <w:kern w:val="0"/>
          <w:sz w:val="32"/>
          <w:szCs w:val="32"/>
        </w:rPr>
        <w:t>全面强化法治建设</w:t>
      </w:r>
      <w:bookmarkEnd w:id="764"/>
      <w:bookmarkEnd w:id="765"/>
    </w:p>
    <w:p w14:paraId="3BB9B0B2">
      <w:pPr>
        <w:spacing w:line="580" w:lineRule="exact"/>
        <w:ind w:firstLine="668" w:firstLineChars="200"/>
        <w:rPr>
          <w:rFonts w:eastAsia="仿宋_GB2312"/>
          <w:spacing w:val="7"/>
          <w:kern w:val="0"/>
          <w:sz w:val="32"/>
          <w:szCs w:val="32"/>
          <w:shd w:val="clear" w:color="auto" w:fill="FFFFFF"/>
        </w:rPr>
      </w:pPr>
      <w:r>
        <w:rPr>
          <w:rFonts w:hint="eastAsia" w:eastAsia="仿宋_GB2312"/>
          <w:spacing w:val="7"/>
          <w:kern w:val="0"/>
          <w:sz w:val="32"/>
          <w:szCs w:val="32"/>
          <w:shd w:val="clear" w:color="auto" w:fill="FFFFFF"/>
        </w:rPr>
        <w:t>持续深化“法律七进”，积极营造“办事依法、遇事找法、解决问题用法、化解矛盾靠法”的浓厚氛围，运用法律的强制力，织密社会管控防护网，始终保持打击违法犯罪的高压态势。加大普法教育宣传力度，把《中华人民共和国反有组织犯罪法》纳入全县“八五”普法和年度目标绩效考核，依托民族团结进家庭进寺堂、全覆盖法宣“浸润”行动等载体，大力开展法治教育培训。加强线索摸排核查，用好全国扫黑办</w:t>
      </w:r>
      <w:r>
        <w:rPr>
          <w:rFonts w:eastAsia="仿宋_GB2312"/>
          <w:spacing w:val="7"/>
          <w:kern w:val="0"/>
          <w:sz w:val="32"/>
          <w:szCs w:val="32"/>
          <w:shd w:val="clear" w:color="auto" w:fill="FFFFFF"/>
        </w:rPr>
        <w:t>12337举报平台及各类举报渠道，加强对治安案件、轻微刑事案件，宗教势力、黑恶势力</w:t>
      </w:r>
      <w:r>
        <w:rPr>
          <w:rFonts w:hint="eastAsia" w:eastAsia="仿宋_GB2312"/>
          <w:spacing w:val="7"/>
          <w:kern w:val="0"/>
          <w:sz w:val="32"/>
          <w:szCs w:val="32"/>
          <w:shd w:val="clear" w:color="auto" w:fill="FFFFFF"/>
        </w:rPr>
        <w:t>、</w:t>
      </w:r>
      <w:r>
        <w:rPr>
          <w:rFonts w:eastAsia="仿宋_GB2312"/>
          <w:spacing w:val="7"/>
          <w:kern w:val="0"/>
          <w:sz w:val="32"/>
          <w:szCs w:val="32"/>
          <w:shd w:val="clear" w:color="auto" w:fill="FFFFFF"/>
        </w:rPr>
        <w:t>宗族势力案件的排查梳理和串并分析，定期对群众举报线索分类研判。</w:t>
      </w:r>
    </w:p>
    <w:p w14:paraId="0C8CBAAD">
      <w:pPr>
        <w:pStyle w:val="15"/>
        <w:widowControl/>
        <w:numPr>
          <w:ilvl w:val="0"/>
          <w:numId w:val="36"/>
        </w:numPr>
        <w:spacing w:before="156" w:beforeLines="50" w:after="156" w:afterLines="50" w:line="580" w:lineRule="exact"/>
        <w:ind w:left="1080" w:hanging="1080" w:firstLineChars="0"/>
        <w:jc w:val="center"/>
        <w:outlineLvl w:val="2"/>
        <w:rPr>
          <w:rFonts w:eastAsia="楷体_GB2312"/>
          <w:b/>
          <w:color w:val="000000"/>
          <w:kern w:val="0"/>
          <w:sz w:val="32"/>
          <w:szCs w:val="32"/>
        </w:rPr>
      </w:pPr>
      <w:bookmarkStart w:id="766" w:name="_Toc16318"/>
      <w:r>
        <w:rPr>
          <w:rFonts w:hint="eastAsia" w:eastAsia="楷体_GB2312"/>
          <w:b/>
          <w:color w:val="000000"/>
          <w:kern w:val="0"/>
          <w:sz w:val="32"/>
          <w:szCs w:val="32"/>
        </w:rPr>
        <w:t xml:space="preserve"> </w:t>
      </w:r>
      <w:bookmarkStart w:id="767" w:name="_Toc218241202"/>
      <w:r>
        <w:rPr>
          <w:rFonts w:hint="eastAsia" w:eastAsia="楷体_GB2312"/>
          <w:b/>
          <w:color w:val="000000"/>
          <w:kern w:val="0"/>
          <w:sz w:val="32"/>
          <w:szCs w:val="32"/>
        </w:rPr>
        <w:t>创新社会治理机制</w:t>
      </w:r>
      <w:bookmarkEnd w:id="766"/>
      <w:bookmarkEnd w:id="767"/>
    </w:p>
    <w:p w14:paraId="0BD682C2">
      <w:pPr>
        <w:spacing w:line="580" w:lineRule="exact"/>
        <w:ind w:firstLine="668" w:firstLineChars="200"/>
        <w:rPr>
          <w:rFonts w:eastAsia="仿宋_GB2312"/>
          <w:spacing w:val="7"/>
          <w:kern w:val="0"/>
          <w:sz w:val="32"/>
          <w:szCs w:val="32"/>
          <w:shd w:val="clear" w:color="auto" w:fill="FFFFFF"/>
        </w:rPr>
      </w:pPr>
      <w:r>
        <w:rPr>
          <w:rFonts w:hint="eastAsia" w:eastAsia="仿宋_GB2312"/>
          <w:spacing w:val="7"/>
          <w:kern w:val="0"/>
          <w:sz w:val="32"/>
          <w:szCs w:val="32"/>
          <w:shd w:val="clear" w:color="auto" w:fill="FFFFFF"/>
        </w:rPr>
        <w:t>常态化推动“以房管人”。构建以“房”为单元的“四治融合”治理格局。推动“以房服务”，整合多元合理实施“四服入房”。坚持和发展新时代“枫桥经验”。健全基层矛盾纠纷排查和源头防范化解机制，推动“以房守底”，坚决守牢“五大风险”和公序良俗底线。创新以“房屋”为基点、以村社为轴心的矛盾纠纷多元化解网络建设。以房屋为最小单元落实“五定五包”“四级终结”“三三调解”等制度，完善激励奖励机制，促进人民调解与司法调解、行政调解有机衔接，实现小纠纷就地化解、专业领域纠纷及时调解。打造智能化的基层社会治理平台。</w:t>
      </w:r>
    </w:p>
    <w:p w14:paraId="74AD3CC0">
      <w:pPr>
        <w:pStyle w:val="15"/>
        <w:widowControl/>
        <w:numPr>
          <w:ilvl w:val="0"/>
          <w:numId w:val="36"/>
        </w:numPr>
        <w:spacing w:before="156" w:beforeLines="50" w:after="156" w:afterLines="50" w:line="580" w:lineRule="exact"/>
        <w:ind w:left="1080" w:hanging="1080" w:firstLineChars="0"/>
        <w:jc w:val="center"/>
        <w:outlineLvl w:val="2"/>
        <w:rPr>
          <w:rFonts w:eastAsia="楷体_GB2312"/>
          <w:b/>
          <w:color w:val="000000"/>
          <w:kern w:val="0"/>
          <w:sz w:val="32"/>
          <w:szCs w:val="32"/>
        </w:rPr>
      </w:pPr>
      <w:bookmarkStart w:id="768" w:name="_Toc13120"/>
      <w:r>
        <w:rPr>
          <w:rFonts w:hint="eastAsia" w:eastAsia="楷体_GB2312"/>
          <w:b/>
          <w:color w:val="000000"/>
          <w:kern w:val="0"/>
          <w:sz w:val="32"/>
          <w:szCs w:val="32"/>
        </w:rPr>
        <w:t xml:space="preserve"> </w:t>
      </w:r>
      <w:bookmarkStart w:id="769" w:name="_Toc218241203"/>
      <w:r>
        <w:rPr>
          <w:rFonts w:hint="eastAsia" w:eastAsia="楷体_GB2312"/>
          <w:b/>
          <w:color w:val="000000"/>
          <w:kern w:val="0"/>
          <w:sz w:val="32"/>
          <w:szCs w:val="32"/>
        </w:rPr>
        <w:t>加强反腐倡廉建设</w:t>
      </w:r>
      <w:bookmarkEnd w:id="768"/>
      <w:bookmarkEnd w:id="769"/>
    </w:p>
    <w:p w14:paraId="34AD4D82">
      <w:pPr>
        <w:spacing w:line="580" w:lineRule="exact"/>
        <w:ind w:firstLine="668" w:firstLineChars="200"/>
      </w:pPr>
      <w:r>
        <w:rPr>
          <w:rFonts w:hint="eastAsia" w:eastAsia="仿宋_GB2312"/>
          <w:spacing w:val="7"/>
          <w:kern w:val="0"/>
          <w:sz w:val="32"/>
          <w:szCs w:val="32"/>
          <w:shd w:val="clear" w:color="auto" w:fill="FFFFFF"/>
        </w:rPr>
        <w:t>坚持严的主基调不动摇，纵深推进全面从严治党。强化政治监督，持续深化作风建设，锲而不舍落实中央八项规定及其实施细则精神，坚决纠治“四风”顽疾。保持惩治腐败高压态势，严肃查处重点领域、关键岗位和群众身边的腐败问题。加强对“一把手”和领导班子的监督，健全完善权力运行制约和监督体系。深化警示教育，加强新时代廉洁文化建设，营造风清气正的政治生态。健全基层“小微权力”监督机制，规范村（社区）干部履职用权行为。坚持受贿行贿一起查，完善不敢腐、不能腐、不想腐一体推进机制，为县域高质量发展提供坚强纪律保障。</w:t>
      </w:r>
    </w:p>
    <w:tbl>
      <w:tblPr>
        <w:tblStyle w:val="11"/>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500F03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2" w:hRule="atLeast"/>
          <w:jc w:val="center"/>
        </w:trPr>
        <w:tc>
          <w:tcPr>
            <w:tcW w:w="5000" w:type="pct"/>
            <w:tcBorders>
              <w:top w:val="single" w:color="auto" w:sz="4" w:space="0"/>
              <w:left w:val="single" w:color="auto" w:sz="4" w:space="0"/>
              <w:bottom w:val="single" w:color="auto" w:sz="4" w:space="0"/>
              <w:right w:val="single" w:color="auto" w:sz="4" w:space="0"/>
            </w:tcBorders>
          </w:tcPr>
          <w:p w14:paraId="394315AE">
            <w:pPr>
              <w:pStyle w:val="10"/>
              <w:snapToGrid w:val="0"/>
              <w:spacing w:before="156" w:beforeLines="50" w:after="156" w:afterLines="50" w:line="440" w:lineRule="exact"/>
              <w:ind w:left="0" w:leftChars="0" w:firstLine="643" w:firstLineChars="0"/>
              <w:jc w:val="center"/>
              <w:rPr>
                <w:rFonts w:eastAsia="楷体_GB2312"/>
                <w:b/>
                <w:bCs/>
                <w:sz w:val="32"/>
                <w:szCs w:val="32"/>
              </w:rPr>
            </w:pPr>
            <w:r>
              <w:rPr>
                <w:rFonts w:ascii="Times New Roman" w:hAnsi="Times New Roman" w:eastAsia="楷体_GB2312" w:cs="Times New Roman"/>
                <w:b/>
                <w:sz w:val="28"/>
                <w:szCs w:val="28"/>
              </w:rPr>
              <w:t>专栏</w:t>
            </w:r>
            <w:r>
              <w:rPr>
                <w:rFonts w:hint="eastAsia" w:ascii="Times New Roman" w:hAnsi="Times New Roman" w:eastAsia="楷体_GB2312" w:cs="Times New Roman"/>
                <w:b/>
                <w:sz w:val="28"/>
                <w:szCs w:val="28"/>
              </w:rPr>
              <w:t>35</w:t>
            </w:r>
            <w:r>
              <w:rPr>
                <w:rFonts w:ascii="Times New Roman" w:hAnsi="Times New Roman" w:eastAsia="楷体_GB2312" w:cs="Times New Roman"/>
                <w:b/>
                <w:sz w:val="28"/>
                <w:szCs w:val="28"/>
              </w:rPr>
              <w:t xml:space="preserve">  “十五五”时期</w:t>
            </w:r>
            <w:r>
              <w:rPr>
                <w:rFonts w:hint="eastAsia" w:ascii="Times New Roman" w:hAnsi="Times New Roman" w:eastAsia="楷体_GB2312" w:cs="Times New Roman"/>
                <w:b/>
                <w:sz w:val="28"/>
                <w:szCs w:val="28"/>
              </w:rPr>
              <w:t>民主法治建设重点工程</w:t>
            </w:r>
          </w:p>
        </w:tc>
      </w:tr>
      <w:tr w14:paraId="2F456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tcBorders>
              <w:top w:val="single" w:color="auto" w:sz="4" w:space="0"/>
              <w:left w:val="single" w:color="auto" w:sz="4" w:space="0"/>
              <w:bottom w:val="single" w:color="auto" w:sz="4" w:space="0"/>
              <w:right w:val="single" w:color="auto" w:sz="4" w:space="0"/>
            </w:tcBorders>
          </w:tcPr>
          <w:p w14:paraId="4E210753">
            <w:pPr>
              <w:pStyle w:val="16"/>
              <w:snapToGrid w:val="0"/>
              <w:spacing w:line="440" w:lineRule="exact"/>
              <w:ind w:firstLine="538"/>
              <w:jc w:val="left"/>
              <w:rPr>
                <w:rFonts w:eastAsia="楷体_GB2312" w:cs="Times New Roman"/>
                <w:spacing w:val="-6"/>
                <w:sz w:val="28"/>
                <w:szCs w:val="28"/>
              </w:rPr>
            </w:pPr>
            <w:r>
              <w:rPr>
                <w:rFonts w:eastAsia="楷体_GB2312" w:cs="Times New Roman"/>
                <w:b/>
                <w:spacing w:val="-6"/>
                <w:sz w:val="28"/>
                <w:szCs w:val="28"/>
              </w:rPr>
              <w:t>1.</w:t>
            </w:r>
            <w:r>
              <w:rPr>
                <w:rFonts w:hint="eastAsia" w:eastAsia="楷体_GB2312" w:cs="Times New Roman"/>
                <w:b/>
                <w:spacing w:val="-6"/>
                <w:sz w:val="28"/>
                <w:szCs w:val="28"/>
              </w:rPr>
              <w:t>打造智能化的基层社会治理平台</w:t>
            </w:r>
            <w:r>
              <w:rPr>
                <w:rFonts w:hint="eastAsia" w:eastAsia="楷体_GB2312" w:cs="Times New Roman"/>
                <w:spacing w:val="-6"/>
                <w:sz w:val="28"/>
                <w:szCs w:val="28"/>
              </w:rPr>
              <w:t>。以“智慧数字化建设（社群网＋政务网）”为支撑，实现数字化管理，持续实践完善“党建引领</w:t>
            </w:r>
            <w:r>
              <w:rPr>
                <w:rFonts w:eastAsia="楷体_GB2312" w:cs="Times New Roman"/>
                <w:spacing w:val="-6"/>
                <w:sz w:val="28"/>
                <w:szCs w:val="28"/>
              </w:rPr>
              <w:t>+</w:t>
            </w:r>
            <w:r>
              <w:rPr>
                <w:rFonts w:hint="eastAsia" w:eastAsia="楷体_GB2312" w:cs="Times New Roman"/>
                <w:spacing w:val="-6"/>
                <w:sz w:val="28"/>
                <w:szCs w:val="28"/>
              </w:rPr>
              <w:t>综合服务</w:t>
            </w:r>
            <w:r>
              <w:rPr>
                <w:rFonts w:eastAsia="楷体_GB2312" w:cs="Times New Roman"/>
                <w:spacing w:val="-6"/>
                <w:sz w:val="28"/>
                <w:szCs w:val="28"/>
              </w:rPr>
              <w:t>+</w:t>
            </w:r>
            <w:r>
              <w:rPr>
                <w:rFonts w:hint="eastAsia" w:eastAsia="楷体_GB2312" w:cs="Times New Roman"/>
                <w:spacing w:val="-6"/>
                <w:sz w:val="28"/>
                <w:szCs w:val="28"/>
              </w:rPr>
              <w:t>科技赋能”的城乡社区治理新框架，进一步形成社区治理新理念、新机制、新模式、新场景。</w:t>
            </w:r>
          </w:p>
          <w:p w14:paraId="46ADD3E1">
            <w:pPr>
              <w:pStyle w:val="16"/>
              <w:snapToGrid w:val="0"/>
              <w:spacing w:line="440" w:lineRule="exact"/>
              <w:ind w:firstLine="538"/>
              <w:jc w:val="left"/>
              <w:rPr>
                <w:rFonts w:eastAsia="楷体_GB2312" w:cs="Times New Roman"/>
                <w:spacing w:val="-6"/>
                <w:sz w:val="28"/>
                <w:szCs w:val="28"/>
              </w:rPr>
            </w:pPr>
            <w:r>
              <w:rPr>
                <w:rFonts w:eastAsia="楷体_GB2312" w:cs="Times New Roman"/>
                <w:b/>
                <w:spacing w:val="-6"/>
                <w:sz w:val="28"/>
                <w:szCs w:val="28"/>
              </w:rPr>
              <w:t>2.</w:t>
            </w:r>
            <w:r>
              <w:rPr>
                <w:rFonts w:hint="eastAsia" w:eastAsia="楷体_GB2312" w:cs="Times New Roman"/>
                <w:b/>
                <w:spacing w:val="-6"/>
                <w:sz w:val="28"/>
                <w:szCs w:val="28"/>
              </w:rPr>
              <w:t>实施城乡社区综合服务设施“补短板”工程</w:t>
            </w:r>
            <w:r>
              <w:rPr>
                <w:rFonts w:hint="eastAsia" w:eastAsia="楷体_GB2312" w:cs="Times New Roman"/>
                <w:spacing w:val="-6"/>
                <w:sz w:val="28"/>
                <w:szCs w:val="28"/>
              </w:rPr>
              <w:t>。力争完成</w:t>
            </w:r>
            <w:r>
              <w:rPr>
                <w:rFonts w:eastAsia="楷体_GB2312" w:cs="Times New Roman"/>
                <w:spacing w:val="-6"/>
                <w:sz w:val="28"/>
                <w:szCs w:val="28"/>
              </w:rPr>
              <w:t>4</w:t>
            </w:r>
            <w:r>
              <w:rPr>
                <w:rFonts w:hint="eastAsia" w:eastAsia="楷体_GB2312" w:cs="Times New Roman"/>
                <w:spacing w:val="-6"/>
                <w:sz w:val="28"/>
                <w:szCs w:val="28"/>
              </w:rPr>
              <w:t>个城乡社区综合服务设施“补短板”项目，实现社区综合服务设施最低面积达到</w:t>
            </w:r>
            <w:r>
              <w:rPr>
                <w:rFonts w:eastAsia="楷体_GB2312" w:cs="Times New Roman"/>
                <w:spacing w:val="-6"/>
                <w:sz w:val="28"/>
                <w:szCs w:val="28"/>
              </w:rPr>
              <w:t>300</w:t>
            </w:r>
            <w:r>
              <w:rPr>
                <w:rFonts w:hint="eastAsia" w:eastAsia="楷体_GB2312" w:cs="Times New Roman"/>
                <w:spacing w:val="-6"/>
                <w:sz w:val="28"/>
                <w:szCs w:val="28"/>
              </w:rPr>
              <w:t>平方米以上，力争实现每百户居民拥有社区综合服务设施不低于</w:t>
            </w:r>
            <w:r>
              <w:rPr>
                <w:rFonts w:eastAsia="楷体_GB2312" w:cs="Times New Roman"/>
                <w:spacing w:val="-6"/>
                <w:sz w:val="28"/>
                <w:szCs w:val="28"/>
              </w:rPr>
              <w:t>30</w:t>
            </w:r>
            <w:r>
              <w:rPr>
                <w:rFonts w:hint="eastAsia" w:eastAsia="楷体_GB2312" w:cs="Times New Roman"/>
                <w:spacing w:val="-6"/>
                <w:sz w:val="28"/>
                <w:szCs w:val="28"/>
              </w:rPr>
              <w:t>平方米。建成</w:t>
            </w:r>
            <w:r>
              <w:rPr>
                <w:rFonts w:eastAsia="楷体_GB2312" w:cs="Times New Roman"/>
                <w:spacing w:val="-6"/>
                <w:sz w:val="28"/>
                <w:szCs w:val="28"/>
              </w:rPr>
              <w:t>24</w:t>
            </w:r>
            <w:r>
              <w:rPr>
                <w:rFonts w:hint="eastAsia" w:eastAsia="楷体_GB2312" w:cs="Times New Roman"/>
                <w:spacing w:val="-6"/>
                <w:sz w:val="28"/>
                <w:szCs w:val="28"/>
              </w:rPr>
              <w:t>个乡（镇）社工站、</w:t>
            </w:r>
            <w:r>
              <w:rPr>
                <w:rFonts w:eastAsia="楷体_GB2312" w:cs="Times New Roman"/>
                <w:spacing w:val="-6"/>
                <w:sz w:val="28"/>
                <w:szCs w:val="28"/>
              </w:rPr>
              <w:t>3---5</w:t>
            </w:r>
            <w:r>
              <w:rPr>
                <w:rFonts w:hint="eastAsia" w:eastAsia="楷体_GB2312" w:cs="Times New Roman"/>
                <w:spacing w:val="-6"/>
                <w:sz w:val="28"/>
                <w:szCs w:val="28"/>
              </w:rPr>
              <w:t>个社区（村）、重点景区示范社工室，争创</w:t>
            </w:r>
            <w:r>
              <w:rPr>
                <w:rFonts w:eastAsia="楷体_GB2312" w:cs="Times New Roman"/>
                <w:spacing w:val="-6"/>
                <w:sz w:val="28"/>
                <w:szCs w:val="28"/>
              </w:rPr>
              <w:t>1</w:t>
            </w:r>
            <w:r>
              <w:rPr>
                <w:rFonts w:hint="eastAsia" w:eastAsia="楷体_GB2312" w:cs="Times New Roman"/>
                <w:spacing w:val="-6"/>
                <w:sz w:val="28"/>
                <w:szCs w:val="28"/>
              </w:rPr>
              <w:t>～</w:t>
            </w:r>
            <w:r>
              <w:rPr>
                <w:rFonts w:eastAsia="楷体_GB2312" w:cs="Times New Roman"/>
                <w:spacing w:val="-6"/>
                <w:sz w:val="28"/>
                <w:szCs w:val="28"/>
              </w:rPr>
              <w:t>2</w:t>
            </w:r>
            <w:r>
              <w:rPr>
                <w:rFonts w:hint="eastAsia" w:eastAsia="楷体_GB2312" w:cs="Times New Roman"/>
                <w:spacing w:val="-6"/>
                <w:sz w:val="28"/>
                <w:szCs w:val="28"/>
              </w:rPr>
              <w:t>个省级示范社工站点。</w:t>
            </w:r>
          </w:p>
          <w:p w14:paraId="058E2355">
            <w:pPr>
              <w:pStyle w:val="16"/>
              <w:snapToGrid w:val="0"/>
              <w:spacing w:line="440" w:lineRule="exact"/>
              <w:ind w:firstLine="538"/>
              <w:jc w:val="left"/>
              <w:rPr>
                <w:rFonts w:eastAsia="楷体_GB2312" w:cs="Times New Roman"/>
                <w:spacing w:val="-6"/>
                <w:sz w:val="28"/>
                <w:szCs w:val="28"/>
              </w:rPr>
            </w:pPr>
            <w:r>
              <w:rPr>
                <w:rFonts w:eastAsia="楷体_GB2312" w:cs="Times New Roman"/>
                <w:b/>
                <w:spacing w:val="-6"/>
                <w:sz w:val="28"/>
                <w:szCs w:val="28"/>
              </w:rPr>
              <w:t>3.</w:t>
            </w:r>
            <w:r>
              <w:rPr>
                <w:rFonts w:hint="eastAsia" w:eastAsia="楷体_GB2312" w:cs="Times New Roman"/>
                <w:b/>
                <w:spacing w:val="-6"/>
                <w:sz w:val="28"/>
                <w:szCs w:val="28"/>
              </w:rPr>
              <w:t>综治中心提档升级</w:t>
            </w:r>
            <w:r>
              <w:rPr>
                <w:rFonts w:hint="eastAsia" w:eastAsia="楷体_GB2312" w:cs="Times New Roman"/>
                <w:spacing w:val="-6"/>
                <w:sz w:val="28"/>
                <w:szCs w:val="28"/>
              </w:rPr>
              <w:t>。启动</w:t>
            </w:r>
            <w:r>
              <w:rPr>
                <w:rFonts w:eastAsia="楷体_GB2312" w:cs="Times New Roman"/>
                <w:spacing w:val="-6"/>
                <w:sz w:val="28"/>
                <w:szCs w:val="28"/>
              </w:rPr>
              <w:t>22</w:t>
            </w:r>
            <w:r>
              <w:rPr>
                <w:rFonts w:hint="eastAsia" w:eastAsia="楷体_GB2312" w:cs="Times New Roman"/>
                <w:spacing w:val="-6"/>
                <w:sz w:val="28"/>
                <w:szCs w:val="28"/>
              </w:rPr>
              <w:t>个乡镇、</w:t>
            </w:r>
            <w:r>
              <w:rPr>
                <w:rFonts w:eastAsia="楷体_GB2312" w:cs="Times New Roman"/>
                <w:spacing w:val="-6"/>
                <w:sz w:val="28"/>
                <w:szCs w:val="28"/>
              </w:rPr>
              <w:t>3</w:t>
            </w:r>
            <w:r>
              <w:rPr>
                <w:rFonts w:hint="eastAsia" w:eastAsia="楷体_GB2312" w:cs="Times New Roman"/>
                <w:spacing w:val="-6"/>
                <w:sz w:val="28"/>
                <w:szCs w:val="28"/>
              </w:rPr>
              <w:t>个寺庙、</w:t>
            </w:r>
            <w:r>
              <w:rPr>
                <w:rFonts w:eastAsia="楷体_GB2312" w:cs="Times New Roman"/>
                <w:spacing w:val="-6"/>
                <w:sz w:val="28"/>
                <w:szCs w:val="28"/>
              </w:rPr>
              <w:t>6</w:t>
            </w:r>
            <w:r>
              <w:rPr>
                <w:rFonts w:hint="eastAsia" w:eastAsia="楷体_GB2312" w:cs="Times New Roman"/>
                <w:spacing w:val="-6"/>
                <w:sz w:val="28"/>
                <w:szCs w:val="28"/>
              </w:rPr>
              <w:t>个社区综治视频会议系统升级改造建设，整合各类信息系统，实现数据互联互通，高效运行，并持续优化完善。居民可以通过线上平台一键式获取多种服务，从心理咨询预约到困难救助申请等。从整合社会服务资源方面，包括人力、物力、财力等，整合志愿服务者信息，依据他们的技能、时间安排，快速匹配相应的社会工作服务项目。</w:t>
            </w:r>
          </w:p>
          <w:p w14:paraId="186AEC55">
            <w:pPr>
              <w:pStyle w:val="16"/>
              <w:snapToGrid w:val="0"/>
              <w:spacing w:line="440" w:lineRule="exact"/>
              <w:ind w:firstLine="538"/>
              <w:jc w:val="left"/>
              <w:rPr>
                <w:rFonts w:eastAsia="楷体_GB2312" w:cs="Times New Roman"/>
                <w:spacing w:val="-6"/>
                <w:sz w:val="28"/>
                <w:szCs w:val="28"/>
              </w:rPr>
            </w:pPr>
            <w:r>
              <w:rPr>
                <w:rFonts w:eastAsia="楷体_GB2312" w:cs="Times New Roman"/>
                <w:b/>
                <w:spacing w:val="-6"/>
                <w:sz w:val="28"/>
                <w:szCs w:val="28"/>
              </w:rPr>
              <w:t>4.</w:t>
            </w:r>
            <w:r>
              <w:rPr>
                <w:rFonts w:hint="eastAsia" w:eastAsia="楷体_GB2312" w:cs="Times New Roman"/>
                <w:b/>
                <w:spacing w:val="-6"/>
                <w:sz w:val="28"/>
                <w:szCs w:val="28"/>
              </w:rPr>
              <w:t>“雪亮工程”补点扩容</w:t>
            </w:r>
            <w:r>
              <w:rPr>
                <w:rFonts w:hint="eastAsia" w:eastAsia="楷体_GB2312" w:cs="Times New Roman"/>
                <w:spacing w:val="-6"/>
                <w:sz w:val="28"/>
                <w:szCs w:val="28"/>
              </w:rPr>
              <w:t>。完成对监控盲区的全面排查，制定补点建设方案，分阶段开展监控点位建设，确保按时完成补点任务。完善视频监控联网共享机制，提升与公安、交通、应急等部门的视频资源联网共享程度，将“雪亮工程”应用于城市管理、应急处置等领域。运用智能监控设备，对重点区域全覆盖进行实时监控，及时发现和处理违法犯罪行为。</w:t>
            </w:r>
          </w:p>
          <w:p w14:paraId="3A2874BF">
            <w:pPr>
              <w:pStyle w:val="16"/>
              <w:snapToGrid w:val="0"/>
              <w:spacing w:line="440" w:lineRule="exact"/>
              <w:ind w:firstLine="538"/>
              <w:jc w:val="left"/>
              <w:rPr>
                <w:rFonts w:eastAsia="楷体_GB2312"/>
                <w:color w:val="FF0000"/>
                <w:sz w:val="28"/>
                <w:szCs w:val="28"/>
              </w:rPr>
            </w:pPr>
            <w:r>
              <w:rPr>
                <w:rFonts w:eastAsia="楷体_GB2312" w:cs="Times New Roman"/>
                <w:b/>
                <w:spacing w:val="-6"/>
                <w:sz w:val="28"/>
                <w:szCs w:val="28"/>
              </w:rPr>
              <w:t>5.</w:t>
            </w:r>
            <w:r>
              <w:rPr>
                <w:rFonts w:hint="eastAsia" w:eastAsia="楷体_GB2312" w:cs="Times New Roman"/>
                <w:b/>
                <w:spacing w:val="-6"/>
                <w:sz w:val="28"/>
                <w:szCs w:val="28"/>
              </w:rPr>
              <w:t>公安局新建改扩建</w:t>
            </w:r>
            <w:r>
              <w:rPr>
                <w:rFonts w:hint="eastAsia" w:eastAsia="楷体_GB2312" w:cs="Times New Roman"/>
                <w:spacing w:val="-6"/>
                <w:sz w:val="28"/>
                <w:szCs w:val="28"/>
              </w:rPr>
              <w:t>。新建公安局交警大队业务技术用房、公安局格聂景区派出所、格聂公安检查站、大河边公安检查站、县特巡警训练基地等项目。改扩建</w:t>
            </w:r>
            <w:r>
              <w:rPr>
                <w:rFonts w:eastAsia="楷体_GB2312" w:cs="Times New Roman"/>
                <w:spacing w:val="-6"/>
                <w:sz w:val="28"/>
                <w:szCs w:val="28"/>
              </w:rPr>
              <w:t>8</w:t>
            </w:r>
            <w:r>
              <w:rPr>
                <w:rFonts w:hint="eastAsia" w:eastAsia="楷体_GB2312" w:cs="Times New Roman"/>
                <w:spacing w:val="-6"/>
                <w:sz w:val="28"/>
                <w:szCs w:val="28"/>
              </w:rPr>
              <w:t>个中心派出所办案区改造。</w:t>
            </w:r>
          </w:p>
        </w:tc>
      </w:tr>
    </w:tbl>
    <w:p w14:paraId="7CB57B38">
      <w:pPr>
        <w:pStyle w:val="2"/>
        <w:snapToGrid w:val="0"/>
        <w:ind w:firstLine="0" w:firstLineChars="0"/>
        <w:jc w:val="center"/>
        <w:outlineLvl w:val="0"/>
        <w:rPr>
          <w:rFonts w:eastAsia="方正大标宋简体"/>
          <w:szCs w:val="21"/>
        </w:rPr>
      </w:pPr>
      <w:bookmarkStart w:id="770" w:name="_Toc8920"/>
      <w:bookmarkStart w:id="771" w:name="_Toc212814865"/>
    </w:p>
    <w:p w14:paraId="16C12008">
      <w:pPr>
        <w:pStyle w:val="2"/>
        <w:spacing w:line="580" w:lineRule="exact"/>
        <w:ind w:firstLine="0" w:firstLineChars="0"/>
        <w:jc w:val="center"/>
        <w:outlineLvl w:val="0"/>
        <w:rPr>
          <w:rFonts w:eastAsia="方正大标宋简体"/>
          <w:sz w:val="32"/>
          <w:szCs w:val="32"/>
        </w:rPr>
      </w:pPr>
      <w:bookmarkStart w:id="772" w:name="_Toc2140"/>
      <w:bookmarkStart w:id="773" w:name="_Toc218241204"/>
      <w:bookmarkStart w:id="774" w:name="_Toc214372673"/>
      <w:r>
        <w:rPr>
          <w:rFonts w:hint="eastAsia" w:eastAsia="方正大标宋简体"/>
          <w:sz w:val="32"/>
          <w:szCs w:val="32"/>
        </w:rPr>
        <w:t>第十二篇  凝心聚力  确保美丽蓝图变为现实</w:t>
      </w:r>
      <w:bookmarkEnd w:id="770"/>
      <w:bookmarkEnd w:id="771"/>
      <w:bookmarkEnd w:id="772"/>
      <w:bookmarkEnd w:id="773"/>
      <w:bookmarkEnd w:id="774"/>
    </w:p>
    <w:p w14:paraId="44D0254B">
      <w:pPr>
        <w:spacing w:line="580" w:lineRule="exact"/>
        <w:ind w:firstLine="668" w:firstLineChars="200"/>
        <w:rPr>
          <w:rFonts w:eastAsia="仿宋_GB2312"/>
          <w:spacing w:val="7"/>
          <w:kern w:val="0"/>
          <w:sz w:val="32"/>
          <w:szCs w:val="32"/>
          <w:shd w:val="clear" w:color="auto" w:fill="FFFFFF"/>
        </w:rPr>
      </w:pPr>
      <w:r>
        <w:rPr>
          <w:rFonts w:hint="eastAsia" w:eastAsia="仿宋_GB2312"/>
          <w:spacing w:val="7"/>
          <w:kern w:val="0"/>
          <w:sz w:val="32"/>
          <w:szCs w:val="32"/>
          <w:shd w:val="clear" w:color="auto" w:fill="FFFFFF"/>
        </w:rPr>
        <w:t>坚持党的全面领导，强化重大项目支撑，健全专项规划落实机制，加强规划体系衔接协调，完善监测评估体系，凝聚各方力量，确保规划各项目标任务落到实处取得实效。</w:t>
      </w:r>
    </w:p>
    <w:p w14:paraId="059767AD">
      <w:pPr>
        <w:widowControl/>
        <w:spacing w:before="156" w:beforeLines="50" w:after="156" w:afterLines="50" w:line="580" w:lineRule="exact"/>
        <w:jc w:val="center"/>
        <w:outlineLvl w:val="1"/>
        <w:rPr>
          <w:rFonts w:eastAsia="黑体"/>
          <w:bCs/>
          <w:color w:val="000000"/>
          <w:kern w:val="0"/>
          <w:sz w:val="32"/>
          <w:szCs w:val="32"/>
        </w:rPr>
      </w:pPr>
      <w:bookmarkStart w:id="775" w:name="_Toc772"/>
      <w:bookmarkStart w:id="776" w:name="_Toc218241205"/>
      <w:bookmarkStart w:id="777" w:name="_Toc212814866"/>
      <w:bookmarkStart w:id="778" w:name="_Toc31313"/>
      <w:bookmarkStart w:id="779" w:name="_Toc214372674"/>
      <w:r>
        <w:rPr>
          <w:rFonts w:hint="eastAsia" w:eastAsia="黑体"/>
          <w:bCs/>
          <w:color w:val="000000"/>
          <w:kern w:val="0"/>
          <w:sz w:val="32"/>
          <w:szCs w:val="32"/>
        </w:rPr>
        <w:t>第三十八章  全面加强党的领导</w:t>
      </w:r>
      <w:bookmarkEnd w:id="775"/>
      <w:bookmarkEnd w:id="776"/>
      <w:bookmarkEnd w:id="777"/>
      <w:bookmarkEnd w:id="778"/>
      <w:bookmarkEnd w:id="779"/>
    </w:p>
    <w:p w14:paraId="55FA00DC">
      <w:pPr>
        <w:spacing w:line="580" w:lineRule="exact"/>
        <w:ind w:firstLine="668" w:firstLineChars="200"/>
        <w:rPr>
          <w:rFonts w:eastAsia="仿宋_GB2312"/>
          <w:spacing w:val="7"/>
          <w:kern w:val="0"/>
          <w:sz w:val="32"/>
          <w:szCs w:val="32"/>
          <w:shd w:val="clear" w:color="auto" w:fill="FFFFFF"/>
        </w:rPr>
      </w:pPr>
      <w:r>
        <w:rPr>
          <w:rFonts w:hint="eastAsia" w:eastAsia="仿宋_GB2312"/>
          <w:spacing w:val="7"/>
          <w:kern w:val="0"/>
          <w:sz w:val="32"/>
          <w:szCs w:val="32"/>
          <w:shd w:val="clear" w:color="auto" w:fill="FFFFFF"/>
        </w:rPr>
        <w:t>坚持和加强党的全面领导，深刻领悟“两个确立”的决定性意义，增强“四个意识”、坚定“四个自信”、做到“两个维护”，把党的领导贯穿规划实施全过程、各领域。强化县委全委会重大决策和监督作用，完善县委研究经济社会发展战略、分析经济形势、研究重大政策的工作机制，充分发挥县委总揽全局、协调各方的领导核心作用。</w:t>
      </w:r>
    </w:p>
    <w:p w14:paraId="564B54D4">
      <w:pPr>
        <w:widowControl/>
        <w:spacing w:before="156" w:beforeLines="50" w:after="156" w:afterLines="50" w:line="580" w:lineRule="exact"/>
        <w:jc w:val="center"/>
        <w:outlineLvl w:val="1"/>
        <w:rPr>
          <w:rFonts w:eastAsia="黑体"/>
          <w:bCs/>
          <w:color w:val="000000"/>
          <w:kern w:val="0"/>
          <w:sz w:val="32"/>
          <w:szCs w:val="32"/>
        </w:rPr>
      </w:pPr>
      <w:bookmarkStart w:id="780" w:name="_Toc32198"/>
      <w:bookmarkStart w:id="781" w:name="_Toc212814867"/>
      <w:bookmarkStart w:id="782" w:name="_Toc4103"/>
      <w:bookmarkStart w:id="783" w:name="_Toc214372675"/>
      <w:bookmarkStart w:id="784" w:name="_Toc218241206"/>
      <w:r>
        <w:rPr>
          <w:rFonts w:hint="eastAsia" w:eastAsia="黑体"/>
          <w:bCs/>
          <w:color w:val="000000"/>
          <w:kern w:val="0"/>
          <w:sz w:val="32"/>
          <w:szCs w:val="32"/>
        </w:rPr>
        <w:t xml:space="preserve">第三十九章  </w:t>
      </w:r>
      <w:r>
        <w:rPr>
          <w:rFonts w:eastAsia="黑体"/>
          <w:bCs/>
          <w:color w:val="000000"/>
          <w:kern w:val="0"/>
          <w:sz w:val="32"/>
          <w:szCs w:val="32"/>
        </w:rPr>
        <w:t>突出重大项目支撑</w:t>
      </w:r>
      <w:bookmarkEnd w:id="780"/>
      <w:bookmarkEnd w:id="781"/>
      <w:bookmarkEnd w:id="782"/>
      <w:bookmarkEnd w:id="783"/>
      <w:bookmarkEnd w:id="784"/>
    </w:p>
    <w:p w14:paraId="1B963B97">
      <w:pPr>
        <w:spacing w:line="580" w:lineRule="exact"/>
        <w:ind w:firstLine="668" w:firstLineChars="200"/>
        <w:rPr>
          <w:rFonts w:eastAsia="仿宋_GB2312"/>
          <w:spacing w:val="7"/>
          <w:kern w:val="0"/>
          <w:sz w:val="32"/>
          <w:szCs w:val="32"/>
          <w:shd w:val="clear" w:color="auto" w:fill="FFFFFF"/>
        </w:rPr>
      </w:pPr>
      <w:r>
        <w:rPr>
          <w:rFonts w:hint="eastAsia" w:eastAsia="仿宋_GB2312"/>
          <w:spacing w:val="7"/>
          <w:kern w:val="0"/>
          <w:sz w:val="32"/>
          <w:szCs w:val="32"/>
          <w:shd w:val="clear" w:color="auto" w:fill="FFFFFF"/>
        </w:rPr>
        <w:t>建立健全“十五五”规划重大项目支撑体系。坚持项目跟着规划走、资金跟着项目走，积极主动向上级主管部门汇报衔接，精准把握政策导向和资金投向，多渠道争取政策、项目和资金支持。优化项目谋划储备机制。围绕规划确定的重要领域和重点任务，动态充实完善重大项目库。加大县级财政资金投入，创新投融资模式，积极争取中央预算内投资、地方政府专项债券等资金支持，鼓励和吸引更多社会资本参与重大项目建设。将藏区项目、乡村振兴、生态保护等项目与规划目标有效衔接，以规划为核心推动项目储备库落地，建立“规划目标——任务项目——资金支持——政策推动”的统筹联动机制，形成从规划到实施的闭环。</w:t>
      </w:r>
    </w:p>
    <w:p w14:paraId="7F0F71D6">
      <w:pPr>
        <w:widowControl/>
        <w:spacing w:before="156" w:beforeLines="50" w:after="156" w:afterLines="50" w:line="580" w:lineRule="exact"/>
        <w:jc w:val="center"/>
        <w:outlineLvl w:val="1"/>
        <w:rPr>
          <w:rFonts w:eastAsia="黑体"/>
          <w:bCs/>
          <w:color w:val="000000"/>
          <w:kern w:val="0"/>
          <w:sz w:val="32"/>
          <w:szCs w:val="32"/>
        </w:rPr>
      </w:pPr>
      <w:bookmarkStart w:id="785" w:name="_Toc212814868"/>
      <w:bookmarkStart w:id="786" w:name="_Toc218241207"/>
      <w:bookmarkStart w:id="787" w:name="_Toc15393"/>
      <w:bookmarkStart w:id="788" w:name="_Toc214372676"/>
      <w:bookmarkStart w:id="789" w:name="_Toc3541"/>
      <w:r>
        <w:rPr>
          <w:rFonts w:hint="eastAsia" w:eastAsia="黑体"/>
          <w:bCs/>
          <w:color w:val="000000"/>
          <w:kern w:val="0"/>
          <w:sz w:val="32"/>
          <w:szCs w:val="32"/>
        </w:rPr>
        <w:t>第四十章  落实专项规划</w:t>
      </w:r>
      <w:bookmarkEnd w:id="785"/>
      <w:bookmarkEnd w:id="786"/>
      <w:bookmarkEnd w:id="787"/>
      <w:bookmarkEnd w:id="788"/>
      <w:bookmarkEnd w:id="789"/>
    </w:p>
    <w:p w14:paraId="70ADFC8C">
      <w:pPr>
        <w:spacing w:line="580" w:lineRule="exact"/>
        <w:ind w:firstLine="668" w:firstLineChars="200"/>
        <w:rPr>
          <w:rFonts w:eastAsia="仿宋_GB2312"/>
          <w:spacing w:val="7"/>
          <w:kern w:val="0"/>
          <w:sz w:val="32"/>
          <w:szCs w:val="32"/>
          <w:shd w:val="clear" w:color="auto" w:fill="FFFFFF"/>
        </w:rPr>
      </w:pPr>
      <w:r>
        <w:rPr>
          <w:rFonts w:hint="eastAsia" w:eastAsia="仿宋_GB2312"/>
          <w:spacing w:val="7"/>
          <w:kern w:val="0"/>
          <w:sz w:val="32"/>
          <w:szCs w:val="32"/>
          <w:shd w:val="clear" w:color="auto" w:fill="FFFFFF"/>
        </w:rPr>
        <w:t>各相关部门要结合本县实际，及时制定和完善重点领域专项规划实施方案，明确任务书、时间表和路线图。建立健全专项规划协调机制，加强部门间政策协调和工作协同，确保产业发展、基础设施、民生保障、生态环保等各专项规划与总体规划在目标方向、空间布局、时序安排上保持一致。强化专项规划实施的过程管理，将专项规划确定的主要指标和重大任务纳入各部门年度工作计划和绩效考核体系，确保专项规划确定的各项目标任务落到实处，为总体规划实施提供有力支撑。</w:t>
      </w:r>
    </w:p>
    <w:p w14:paraId="233F4814">
      <w:pPr>
        <w:jc w:val="left"/>
        <w:rPr>
          <w:rFonts w:eastAsia="楷体_GB2312"/>
          <w:b/>
          <w:snapToGrid w:val="0"/>
          <w:color w:val="000000"/>
          <w:kern w:val="0"/>
          <w:sz w:val="32"/>
          <w:szCs w:val="32"/>
        </w:rPr>
      </w:pPr>
      <w:r>
        <w:rPr>
          <w:rFonts w:hint="eastAsia" w:eastAsia="楷体_GB2312"/>
          <w:b/>
          <w:snapToGrid w:val="0"/>
          <w:color w:val="000000"/>
          <w:kern w:val="0"/>
          <w:sz w:val="32"/>
          <w:szCs w:val="32"/>
        </w:rPr>
        <w:br w:type="page"/>
      </w:r>
    </w:p>
    <w:p w14:paraId="29D31BED">
      <w:pPr>
        <w:spacing w:line="580" w:lineRule="exact"/>
        <w:jc w:val="center"/>
        <w:rPr>
          <w:rFonts w:eastAsia="楷体_GB2312"/>
          <w:b/>
          <w:snapToGrid w:val="0"/>
          <w:color w:val="000000"/>
          <w:kern w:val="0"/>
          <w:sz w:val="32"/>
          <w:szCs w:val="32"/>
        </w:rPr>
      </w:pPr>
      <w:r>
        <w:rPr>
          <w:rFonts w:hint="eastAsia" w:eastAsia="楷体_GB2312"/>
          <w:b/>
          <w:snapToGrid w:val="0"/>
          <w:color w:val="000000"/>
          <w:kern w:val="0"/>
          <w:sz w:val="32"/>
          <w:szCs w:val="32"/>
        </w:rPr>
        <w:t>专栏36  理塘县“十五五”时期重点专项规划</w:t>
      </w:r>
    </w:p>
    <w:tbl>
      <w:tblPr>
        <w:tblStyle w:val="11"/>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52" w:type="dxa"/>
          <w:bottom w:w="0" w:type="dxa"/>
          <w:right w:w="52" w:type="dxa"/>
        </w:tblCellMar>
      </w:tblPr>
      <w:tblGrid>
        <w:gridCol w:w="631"/>
        <w:gridCol w:w="4805"/>
        <w:gridCol w:w="2974"/>
      </w:tblGrid>
      <w:tr w14:paraId="5B151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2" w:type="dxa"/>
            <w:bottom w:w="0" w:type="dxa"/>
            <w:right w:w="52" w:type="dxa"/>
          </w:tblCellMar>
        </w:tblPrEx>
        <w:trPr>
          <w:tblHeader/>
          <w:jc w:val="center"/>
        </w:trPr>
        <w:tc>
          <w:tcPr>
            <w:tcW w:w="3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077085">
            <w:pPr>
              <w:snapToGrid w:val="0"/>
              <w:spacing w:before="62" w:beforeLines="20" w:after="62" w:afterLines="20"/>
              <w:jc w:val="center"/>
              <w:rPr>
                <w:rFonts w:ascii="楷体_GB2312" w:eastAsia="楷体_GB2312"/>
                <w:b/>
                <w:bCs/>
                <w:snapToGrid w:val="0"/>
                <w:color w:val="000000"/>
                <w:kern w:val="0"/>
                <w:sz w:val="28"/>
                <w:szCs w:val="28"/>
              </w:rPr>
            </w:pPr>
            <w:r>
              <w:rPr>
                <w:rFonts w:hint="eastAsia" w:ascii="楷体_GB2312" w:eastAsia="楷体_GB2312"/>
                <w:b/>
                <w:bCs/>
                <w:snapToGrid w:val="0"/>
                <w:color w:val="000000"/>
                <w:kern w:val="0"/>
                <w:sz w:val="28"/>
                <w:szCs w:val="28"/>
              </w:rPr>
              <w:t>序号</w:t>
            </w:r>
          </w:p>
        </w:tc>
        <w:tc>
          <w:tcPr>
            <w:tcW w:w="28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9753FC">
            <w:pPr>
              <w:snapToGrid w:val="0"/>
              <w:spacing w:before="62" w:beforeLines="20" w:after="62" w:afterLines="20"/>
              <w:jc w:val="center"/>
              <w:rPr>
                <w:rFonts w:ascii="楷体_GB2312" w:eastAsia="楷体_GB2312"/>
                <w:b/>
                <w:bCs/>
                <w:snapToGrid w:val="0"/>
                <w:color w:val="000000"/>
                <w:kern w:val="0"/>
                <w:sz w:val="28"/>
                <w:szCs w:val="28"/>
              </w:rPr>
            </w:pPr>
            <w:r>
              <w:rPr>
                <w:rFonts w:hint="eastAsia" w:ascii="楷体_GB2312" w:eastAsia="楷体_GB2312"/>
                <w:b/>
                <w:bCs/>
                <w:snapToGrid w:val="0"/>
                <w:color w:val="000000"/>
                <w:kern w:val="0"/>
                <w:sz w:val="28"/>
                <w:szCs w:val="28"/>
              </w:rPr>
              <w:t>规划名称</w:t>
            </w:r>
          </w:p>
        </w:tc>
        <w:tc>
          <w:tcPr>
            <w:tcW w:w="17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6AB63B">
            <w:pPr>
              <w:snapToGrid w:val="0"/>
              <w:spacing w:before="62" w:beforeLines="20" w:after="62" w:afterLines="20"/>
              <w:jc w:val="center"/>
              <w:rPr>
                <w:rFonts w:ascii="楷体_GB2312" w:eastAsia="楷体_GB2312"/>
                <w:b/>
                <w:bCs/>
                <w:snapToGrid w:val="0"/>
                <w:color w:val="000000"/>
                <w:kern w:val="0"/>
                <w:sz w:val="28"/>
                <w:szCs w:val="28"/>
              </w:rPr>
            </w:pPr>
            <w:r>
              <w:rPr>
                <w:rFonts w:hint="eastAsia" w:ascii="楷体_GB2312" w:eastAsia="楷体_GB2312"/>
                <w:b/>
                <w:bCs/>
                <w:snapToGrid w:val="0"/>
                <w:color w:val="000000"/>
                <w:kern w:val="0"/>
                <w:sz w:val="28"/>
                <w:szCs w:val="28"/>
              </w:rPr>
              <w:t>牵头部门</w:t>
            </w:r>
          </w:p>
        </w:tc>
      </w:tr>
      <w:tr w14:paraId="0EFB5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2" w:type="dxa"/>
            <w:bottom w:w="0" w:type="dxa"/>
            <w:right w:w="52" w:type="dxa"/>
          </w:tblCellMar>
        </w:tblPrEx>
        <w:trPr>
          <w:jc w:val="center"/>
        </w:trPr>
        <w:tc>
          <w:tcPr>
            <w:tcW w:w="3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053D07">
            <w:pPr>
              <w:snapToGrid w:val="0"/>
              <w:spacing w:before="62" w:beforeLines="20" w:after="62" w:afterLines="20"/>
              <w:jc w:val="center"/>
              <w:rPr>
                <w:rFonts w:ascii="楷体_GB2312" w:eastAsia="楷体_GB2312"/>
                <w:color w:val="000000"/>
                <w:sz w:val="28"/>
                <w:szCs w:val="28"/>
              </w:rPr>
            </w:pPr>
            <w:r>
              <w:rPr>
                <w:rFonts w:hint="eastAsia" w:ascii="楷体_GB2312" w:eastAsia="楷体_GB2312"/>
                <w:color w:val="000000"/>
                <w:sz w:val="28"/>
                <w:szCs w:val="28"/>
              </w:rPr>
              <w:t>1</w:t>
            </w:r>
          </w:p>
        </w:tc>
        <w:tc>
          <w:tcPr>
            <w:tcW w:w="28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0340B2">
            <w:pPr>
              <w:snapToGrid w:val="0"/>
              <w:spacing w:before="62" w:beforeLines="20" w:after="62" w:afterLines="20"/>
              <w:rPr>
                <w:rFonts w:ascii="楷体_GB2312" w:eastAsia="楷体_GB2312"/>
                <w:color w:val="000000"/>
                <w:sz w:val="28"/>
                <w:szCs w:val="28"/>
              </w:rPr>
            </w:pPr>
            <w:r>
              <w:rPr>
                <w:rFonts w:hint="eastAsia" w:ascii="楷体_GB2312" w:eastAsia="楷体_GB2312"/>
                <w:color w:val="000000"/>
                <w:sz w:val="28"/>
                <w:szCs w:val="28"/>
              </w:rPr>
              <w:t>理塘县“十五五”加快推进新型工业化发展规划</w:t>
            </w:r>
          </w:p>
        </w:tc>
        <w:tc>
          <w:tcPr>
            <w:tcW w:w="17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BC1628">
            <w:pPr>
              <w:snapToGrid w:val="0"/>
              <w:spacing w:before="62" w:beforeLines="20" w:after="62" w:afterLines="20"/>
              <w:rPr>
                <w:rFonts w:ascii="楷体_GB2312" w:eastAsia="楷体_GB2312"/>
                <w:color w:val="000000"/>
                <w:sz w:val="28"/>
                <w:szCs w:val="28"/>
              </w:rPr>
            </w:pPr>
            <w:bookmarkStart w:id="790" w:name="OLE_LINK34"/>
            <w:bookmarkStart w:id="791" w:name="OLE_LINK113"/>
            <w:bookmarkStart w:id="792" w:name="OLE_LINK35"/>
            <w:r>
              <w:rPr>
                <w:rFonts w:hint="eastAsia" w:ascii="楷体_GB2312" w:eastAsia="楷体_GB2312"/>
                <w:color w:val="000000"/>
                <w:sz w:val="28"/>
                <w:szCs w:val="28"/>
              </w:rPr>
              <w:t>县经济信息和商务合作局</w:t>
            </w:r>
            <w:bookmarkEnd w:id="790"/>
            <w:bookmarkEnd w:id="791"/>
            <w:bookmarkEnd w:id="792"/>
          </w:p>
        </w:tc>
      </w:tr>
      <w:tr w14:paraId="537DF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2" w:type="dxa"/>
            <w:bottom w:w="0" w:type="dxa"/>
            <w:right w:w="52" w:type="dxa"/>
          </w:tblCellMar>
        </w:tblPrEx>
        <w:trPr>
          <w:jc w:val="center"/>
        </w:trPr>
        <w:tc>
          <w:tcPr>
            <w:tcW w:w="3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A58A23">
            <w:pPr>
              <w:snapToGrid w:val="0"/>
              <w:spacing w:before="62" w:beforeLines="20" w:after="62" w:afterLines="20"/>
              <w:jc w:val="center"/>
              <w:rPr>
                <w:rFonts w:ascii="楷体_GB2312" w:eastAsia="楷体_GB2312"/>
                <w:color w:val="000000"/>
                <w:sz w:val="28"/>
                <w:szCs w:val="28"/>
              </w:rPr>
            </w:pPr>
            <w:r>
              <w:rPr>
                <w:rFonts w:hint="eastAsia" w:ascii="楷体_GB2312" w:eastAsia="楷体_GB2312"/>
                <w:color w:val="000000"/>
                <w:sz w:val="28"/>
                <w:szCs w:val="28"/>
              </w:rPr>
              <w:t>2</w:t>
            </w:r>
          </w:p>
        </w:tc>
        <w:tc>
          <w:tcPr>
            <w:tcW w:w="28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470F2B">
            <w:pPr>
              <w:snapToGrid w:val="0"/>
              <w:spacing w:before="62" w:beforeLines="20" w:after="62" w:afterLines="20"/>
              <w:rPr>
                <w:rFonts w:ascii="楷体_GB2312" w:eastAsia="楷体_GB2312"/>
                <w:color w:val="000000"/>
                <w:sz w:val="28"/>
                <w:szCs w:val="28"/>
              </w:rPr>
            </w:pPr>
            <w:r>
              <w:rPr>
                <w:rFonts w:hint="eastAsia" w:ascii="楷体_GB2312" w:eastAsia="楷体_GB2312"/>
                <w:color w:val="000000"/>
                <w:sz w:val="28"/>
                <w:szCs w:val="28"/>
              </w:rPr>
              <w:t>理塘县“十五五”数字理塘建设重点专项规划</w:t>
            </w:r>
          </w:p>
        </w:tc>
        <w:tc>
          <w:tcPr>
            <w:tcW w:w="17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7DDD43">
            <w:pPr>
              <w:snapToGrid w:val="0"/>
              <w:spacing w:before="62" w:beforeLines="20" w:after="62" w:afterLines="20"/>
              <w:rPr>
                <w:rFonts w:ascii="楷体_GB2312" w:eastAsia="楷体_GB2312"/>
                <w:color w:val="000000"/>
                <w:sz w:val="28"/>
                <w:szCs w:val="28"/>
              </w:rPr>
            </w:pPr>
            <w:r>
              <w:rPr>
                <w:rFonts w:hint="eastAsia" w:ascii="楷体_GB2312" w:eastAsia="楷体_GB2312"/>
                <w:color w:val="000000"/>
                <w:sz w:val="28"/>
                <w:szCs w:val="28"/>
              </w:rPr>
              <w:t>县大数据中心（县发展改革局）</w:t>
            </w:r>
          </w:p>
        </w:tc>
      </w:tr>
      <w:tr w14:paraId="1E2C10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2" w:type="dxa"/>
            <w:bottom w:w="0" w:type="dxa"/>
            <w:right w:w="52" w:type="dxa"/>
          </w:tblCellMar>
        </w:tblPrEx>
        <w:trPr>
          <w:jc w:val="center"/>
        </w:trPr>
        <w:tc>
          <w:tcPr>
            <w:tcW w:w="3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4E6300">
            <w:pPr>
              <w:snapToGrid w:val="0"/>
              <w:spacing w:before="62" w:beforeLines="20" w:after="62" w:afterLines="20"/>
              <w:jc w:val="center"/>
              <w:rPr>
                <w:rFonts w:ascii="楷体_GB2312" w:eastAsia="楷体_GB2312"/>
                <w:color w:val="000000"/>
                <w:sz w:val="28"/>
                <w:szCs w:val="28"/>
              </w:rPr>
            </w:pPr>
            <w:r>
              <w:rPr>
                <w:rFonts w:hint="eastAsia" w:ascii="楷体_GB2312" w:eastAsia="楷体_GB2312"/>
                <w:color w:val="000000"/>
                <w:sz w:val="28"/>
                <w:szCs w:val="28"/>
              </w:rPr>
              <w:t>3</w:t>
            </w:r>
          </w:p>
        </w:tc>
        <w:tc>
          <w:tcPr>
            <w:tcW w:w="28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9121B2">
            <w:pPr>
              <w:snapToGrid w:val="0"/>
              <w:spacing w:before="62" w:beforeLines="20" w:after="62" w:afterLines="20"/>
              <w:rPr>
                <w:rFonts w:ascii="楷体_GB2312" w:eastAsia="楷体_GB2312"/>
                <w:color w:val="000000"/>
                <w:sz w:val="28"/>
                <w:szCs w:val="28"/>
              </w:rPr>
            </w:pPr>
            <w:r>
              <w:rPr>
                <w:rFonts w:hint="eastAsia" w:ascii="楷体_GB2312" w:eastAsia="楷体_GB2312"/>
                <w:color w:val="000000"/>
                <w:sz w:val="28"/>
                <w:szCs w:val="28"/>
              </w:rPr>
              <w:t>理塘县“十五五”文化和旅游发展规划</w:t>
            </w:r>
          </w:p>
        </w:tc>
        <w:tc>
          <w:tcPr>
            <w:tcW w:w="17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F6A214">
            <w:pPr>
              <w:snapToGrid w:val="0"/>
              <w:spacing w:before="62" w:beforeLines="20" w:after="62" w:afterLines="20"/>
              <w:rPr>
                <w:rFonts w:ascii="楷体_GB2312" w:eastAsia="楷体_GB2312"/>
                <w:color w:val="000000"/>
                <w:sz w:val="28"/>
                <w:szCs w:val="28"/>
              </w:rPr>
            </w:pPr>
            <w:r>
              <w:rPr>
                <w:rFonts w:hint="eastAsia" w:ascii="楷体_GB2312" w:eastAsia="楷体_GB2312"/>
                <w:color w:val="000000"/>
                <w:sz w:val="28"/>
                <w:szCs w:val="28"/>
              </w:rPr>
              <w:t>县文化广播电视和旅游局</w:t>
            </w:r>
          </w:p>
        </w:tc>
      </w:tr>
      <w:tr w14:paraId="139A0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2" w:type="dxa"/>
            <w:bottom w:w="0" w:type="dxa"/>
            <w:right w:w="52" w:type="dxa"/>
          </w:tblCellMar>
        </w:tblPrEx>
        <w:trPr>
          <w:jc w:val="center"/>
        </w:trPr>
        <w:tc>
          <w:tcPr>
            <w:tcW w:w="3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5EFC92">
            <w:pPr>
              <w:snapToGrid w:val="0"/>
              <w:spacing w:before="62" w:beforeLines="20" w:after="62" w:afterLines="20"/>
              <w:jc w:val="center"/>
              <w:rPr>
                <w:rFonts w:ascii="楷体_GB2312" w:eastAsia="楷体_GB2312"/>
                <w:color w:val="000000"/>
                <w:sz w:val="28"/>
                <w:szCs w:val="28"/>
              </w:rPr>
            </w:pPr>
            <w:r>
              <w:rPr>
                <w:rFonts w:hint="eastAsia" w:ascii="楷体_GB2312" w:eastAsia="楷体_GB2312"/>
                <w:color w:val="000000"/>
                <w:sz w:val="28"/>
                <w:szCs w:val="28"/>
              </w:rPr>
              <w:t>4</w:t>
            </w:r>
          </w:p>
        </w:tc>
        <w:tc>
          <w:tcPr>
            <w:tcW w:w="28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26ACE2">
            <w:pPr>
              <w:snapToGrid w:val="0"/>
              <w:spacing w:before="62" w:beforeLines="20" w:after="62" w:afterLines="20"/>
              <w:rPr>
                <w:rFonts w:ascii="楷体_GB2312" w:eastAsia="楷体_GB2312"/>
                <w:color w:val="000000"/>
                <w:sz w:val="28"/>
                <w:szCs w:val="28"/>
              </w:rPr>
            </w:pPr>
            <w:r>
              <w:rPr>
                <w:rFonts w:hint="eastAsia" w:ascii="楷体_GB2312" w:eastAsia="楷体_GB2312"/>
                <w:color w:val="000000"/>
                <w:sz w:val="28"/>
                <w:szCs w:val="28"/>
              </w:rPr>
              <w:t>理塘县“十五五”农业现代化发展规划</w:t>
            </w:r>
          </w:p>
        </w:tc>
        <w:tc>
          <w:tcPr>
            <w:tcW w:w="17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F4E0F1">
            <w:pPr>
              <w:snapToGrid w:val="0"/>
              <w:spacing w:before="62" w:beforeLines="20" w:after="62" w:afterLines="20"/>
              <w:rPr>
                <w:rFonts w:ascii="楷体_GB2312" w:eastAsia="楷体_GB2312"/>
                <w:color w:val="000000"/>
                <w:sz w:val="28"/>
                <w:szCs w:val="28"/>
              </w:rPr>
            </w:pPr>
            <w:r>
              <w:rPr>
                <w:rFonts w:hint="eastAsia" w:ascii="楷体_GB2312" w:eastAsia="楷体_GB2312"/>
                <w:color w:val="000000"/>
                <w:sz w:val="28"/>
                <w:szCs w:val="28"/>
              </w:rPr>
              <w:t>县农牧农村和科技局</w:t>
            </w:r>
          </w:p>
        </w:tc>
      </w:tr>
      <w:tr w14:paraId="0DB39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2" w:type="dxa"/>
            <w:bottom w:w="0" w:type="dxa"/>
            <w:right w:w="52" w:type="dxa"/>
          </w:tblCellMar>
        </w:tblPrEx>
        <w:trPr>
          <w:jc w:val="center"/>
        </w:trPr>
        <w:tc>
          <w:tcPr>
            <w:tcW w:w="3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E5ADFC">
            <w:pPr>
              <w:snapToGrid w:val="0"/>
              <w:spacing w:before="62" w:beforeLines="20" w:after="62" w:afterLines="20"/>
              <w:jc w:val="center"/>
              <w:rPr>
                <w:rFonts w:ascii="楷体_GB2312" w:eastAsia="楷体_GB2312"/>
                <w:color w:val="000000"/>
                <w:sz w:val="28"/>
                <w:szCs w:val="28"/>
              </w:rPr>
            </w:pPr>
            <w:r>
              <w:rPr>
                <w:rFonts w:hint="eastAsia" w:ascii="楷体_GB2312" w:eastAsia="楷体_GB2312"/>
                <w:color w:val="000000"/>
                <w:sz w:val="28"/>
                <w:szCs w:val="28"/>
              </w:rPr>
              <w:t>5</w:t>
            </w:r>
          </w:p>
        </w:tc>
        <w:tc>
          <w:tcPr>
            <w:tcW w:w="28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942F41">
            <w:pPr>
              <w:snapToGrid w:val="0"/>
              <w:spacing w:before="62" w:beforeLines="20" w:after="62" w:afterLines="20"/>
              <w:rPr>
                <w:rFonts w:ascii="楷体_GB2312" w:eastAsia="楷体_GB2312"/>
                <w:color w:val="000000"/>
                <w:sz w:val="28"/>
                <w:szCs w:val="28"/>
              </w:rPr>
            </w:pPr>
            <w:r>
              <w:rPr>
                <w:rFonts w:hint="eastAsia" w:ascii="楷体_GB2312" w:eastAsia="楷体_GB2312"/>
                <w:color w:val="000000"/>
                <w:sz w:val="28"/>
                <w:szCs w:val="28"/>
              </w:rPr>
              <w:t>理塘县“十五五”现代服务业发展规划</w:t>
            </w:r>
          </w:p>
        </w:tc>
        <w:tc>
          <w:tcPr>
            <w:tcW w:w="17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627E17">
            <w:pPr>
              <w:snapToGrid w:val="0"/>
              <w:spacing w:before="62" w:beforeLines="20" w:after="62" w:afterLines="20"/>
              <w:rPr>
                <w:rFonts w:ascii="楷体_GB2312" w:eastAsia="楷体_GB2312"/>
                <w:color w:val="000000"/>
                <w:sz w:val="28"/>
                <w:szCs w:val="28"/>
              </w:rPr>
            </w:pPr>
            <w:r>
              <w:rPr>
                <w:rFonts w:hint="eastAsia" w:ascii="楷体_GB2312" w:eastAsia="楷体_GB2312"/>
                <w:color w:val="000000"/>
                <w:sz w:val="28"/>
                <w:szCs w:val="28"/>
              </w:rPr>
              <w:t>县经济信息和商务合作局</w:t>
            </w:r>
          </w:p>
        </w:tc>
      </w:tr>
      <w:tr w14:paraId="4DDEF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2" w:type="dxa"/>
            <w:bottom w:w="0" w:type="dxa"/>
            <w:right w:w="52" w:type="dxa"/>
          </w:tblCellMar>
        </w:tblPrEx>
        <w:trPr>
          <w:jc w:val="center"/>
        </w:trPr>
        <w:tc>
          <w:tcPr>
            <w:tcW w:w="3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A56CCD">
            <w:pPr>
              <w:snapToGrid w:val="0"/>
              <w:spacing w:before="62" w:beforeLines="20" w:after="62" w:afterLines="20"/>
              <w:jc w:val="center"/>
              <w:rPr>
                <w:rFonts w:ascii="楷体_GB2312" w:eastAsia="楷体_GB2312"/>
                <w:color w:val="000000"/>
                <w:sz w:val="28"/>
                <w:szCs w:val="28"/>
              </w:rPr>
            </w:pPr>
            <w:r>
              <w:rPr>
                <w:rFonts w:hint="eastAsia" w:ascii="楷体_GB2312" w:eastAsia="楷体_GB2312"/>
                <w:color w:val="000000"/>
                <w:sz w:val="28"/>
                <w:szCs w:val="28"/>
              </w:rPr>
              <w:t>6</w:t>
            </w:r>
          </w:p>
        </w:tc>
        <w:tc>
          <w:tcPr>
            <w:tcW w:w="28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F24A11">
            <w:pPr>
              <w:snapToGrid w:val="0"/>
              <w:spacing w:before="62" w:beforeLines="20" w:after="62" w:afterLines="20"/>
              <w:rPr>
                <w:rFonts w:ascii="楷体_GB2312" w:eastAsia="楷体_GB2312"/>
                <w:color w:val="000000"/>
                <w:sz w:val="28"/>
                <w:szCs w:val="28"/>
              </w:rPr>
            </w:pPr>
            <w:r>
              <w:rPr>
                <w:rFonts w:hint="eastAsia" w:ascii="楷体_GB2312" w:eastAsia="楷体_GB2312"/>
                <w:color w:val="000000"/>
                <w:sz w:val="28"/>
                <w:szCs w:val="28"/>
              </w:rPr>
              <w:t>理塘县“十五五”现代物流业发展规划</w:t>
            </w:r>
          </w:p>
        </w:tc>
        <w:tc>
          <w:tcPr>
            <w:tcW w:w="17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D7FDE3">
            <w:pPr>
              <w:snapToGrid w:val="0"/>
              <w:spacing w:before="62" w:beforeLines="20" w:after="62" w:afterLines="20"/>
              <w:rPr>
                <w:rFonts w:ascii="楷体_GB2312" w:eastAsia="楷体_GB2312"/>
                <w:color w:val="000000"/>
                <w:sz w:val="28"/>
                <w:szCs w:val="28"/>
              </w:rPr>
            </w:pPr>
            <w:r>
              <w:rPr>
                <w:rFonts w:hint="eastAsia" w:ascii="楷体_GB2312" w:eastAsia="楷体_GB2312"/>
                <w:color w:val="000000"/>
                <w:sz w:val="28"/>
                <w:szCs w:val="28"/>
              </w:rPr>
              <w:t>县经济信息和商务合作局</w:t>
            </w:r>
          </w:p>
        </w:tc>
      </w:tr>
      <w:tr w14:paraId="2AEDA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2" w:type="dxa"/>
            <w:bottom w:w="0" w:type="dxa"/>
            <w:right w:w="52" w:type="dxa"/>
          </w:tblCellMar>
        </w:tblPrEx>
        <w:trPr>
          <w:jc w:val="center"/>
        </w:trPr>
        <w:tc>
          <w:tcPr>
            <w:tcW w:w="3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3AFF48">
            <w:pPr>
              <w:snapToGrid w:val="0"/>
              <w:spacing w:before="62" w:beforeLines="20" w:after="62" w:afterLines="20"/>
              <w:jc w:val="center"/>
              <w:rPr>
                <w:rFonts w:ascii="楷体_GB2312" w:eastAsia="楷体_GB2312"/>
                <w:color w:val="000000"/>
                <w:sz w:val="28"/>
                <w:szCs w:val="28"/>
              </w:rPr>
            </w:pPr>
            <w:r>
              <w:rPr>
                <w:rFonts w:hint="eastAsia" w:ascii="楷体_GB2312" w:eastAsia="楷体_GB2312"/>
                <w:color w:val="000000"/>
                <w:sz w:val="28"/>
                <w:szCs w:val="28"/>
              </w:rPr>
              <w:t>7</w:t>
            </w:r>
          </w:p>
        </w:tc>
        <w:tc>
          <w:tcPr>
            <w:tcW w:w="28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C3D291">
            <w:pPr>
              <w:snapToGrid w:val="0"/>
              <w:spacing w:before="62" w:beforeLines="20" w:after="62" w:afterLines="20"/>
              <w:rPr>
                <w:rFonts w:ascii="楷体_GB2312" w:eastAsia="楷体_GB2312"/>
                <w:color w:val="000000"/>
                <w:sz w:val="28"/>
                <w:szCs w:val="28"/>
              </w:rPr>
            </w:pPr>
            <w:r>
              <w:rPr>
                <w:rFonts w:hint="eastAsia" w:ascii="楷体_GB2312" w:eastAsia="楷体_GB2312"/>
                <w:color w:val="000000"/>
                <w:sz w:val="28"/>
                <w:szCs w:val="28"/>
              </w:rPr>
              <w:t>理塘县东西部协作创新示范区“十五五”发展专项规划</w:t>
            </w:r>
          </w:p>
        </w:tc>
        <w:tc>
          <w:tcPr>
            <w:tcW w:w="17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7151F7">
            <w:pPr>
              <w:snapToGrid w:val="0"/>
              <w:spacing w:before="62" w:beforeLines="20" w:after="62" w:afterLines="20"/>
              <w:rPr>
                <w:rFonts w:ascii="楷体_GB2312" w:eastAsia="楷体_GB2312"/>
                <w:color w:val="000000"/>
                <w:sz w:val="28"/>
                <w:szCs w:val="28"/>
              </w:rPr>
            </w:pPr>
            <w:r>
              <w:rPr>
                <w:rFonts w:hint="eastAsia" w:ascii="楷体_GB2312" w:eastAsia="楷体_GB2312"/>
                <w:color w:val="000000"/>
                <w:sz w:val="28"/>
                <w:szCs w:val="28"/>
              </w:rPr>
              <w:t>县发展和改革局</w:t>
            </w:r>
          </w:p>
        </w:tc>
      </w:tr>
      <w:tr w14:paraId="0288F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2" w:type="dxa"/>
            <w:bottom w:w="0" w:type="dxa"/>
            <w:right w:w="52" w:type="dxa"/>
          </w:tblCellMar>
        </w:tblPrEx>
        <w:trPr>
          <w:jc w:val="center"/>
        </w:trPr>
        <w:tc>
          <w:tcPr>
            <w:tcW w:w="3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35B63E">
            <w:pPr>
              <w:snapToGrid w:val="0"/>
              <w:spacing w:before="62" w:beforeLines="20" w:after="62" w:afterLines="20"/>
              <w:jc w:val="center"/>
              <w:rPr>
                <w:rFonts w:ascii="楷体_GB2312" w:eastAsia="楷体_GB2312"/>
                <w:color w:val="000000"/>
                <w:sz w:val="28"/>
                <w:szCs w:val="28"/>
              </w:rPr>
            </w:pPr>
            <w:r>
              <w:rPr>
                <w:rFonts w:hint="eastAsia" w:ascii="楷体_GB2312" w:eastAsia="楷体_GB2312"/>
                <w:color w:val="000000"/>
                <w:sz w:val="28"/>
                <w:szCs w:val="28"/>
              </w:rPr>
              <w:t>8</w:t>
            </w:r>
          </w:p>
        </w:tc>
        <w:tc>
          <w:tcPr>
            <w:tcW w:w="28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5A3F80">
            <w:pPr>
              <w:snapToGrid w:val="0"/>
              <w:spacing w:before="62" w:beforeLines="20" w:after="62" w:afterLines="20"/>
              <w:rPr>
                <w:rFonts w:ascii="楷体_GB2312" w:eastAsia="楷体_GB2312"/>
                <w:color w:val="000000"/>
                <w:sz w:val="28"/>
                <w:szCs w:val="28"/>
              </w:rPr>
            </w:pPr>
            <w:r>
              <w:rPr>
                <w:rFonts w:hint="eastAsia" w:ascii="楷体_GB2312" w:eastAsia="楷体_GB2312"/>
                <w:color w:val="000000"/>
                <w:sz w:val="28"/>
                <w:szCs w:val="28"/>
              </w:rPr>
              <w:t>理塘县“十五五”深化全域开放规划</w:t>
            </w:r>
          </w:p>
        </w:tc>
        <w:tc>
          <w:tcPr>
            <w:tcW w:w="17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19212C">
            <w:pPr>
              <w:snapToGrid w:val="0"/>
              <w:spacing w:before="62" w:beforeLines="20" w:after="62" w:afterLines="20"/>
              <w:rPr>
                <w:rFonts w:ascii="楷体_GB2312" w:eastAsia="楷体_GB2312"/>
                <w:color w:val="000000"/>
                <w:sz w:val="28"/>
                <w:szCs w:val="28"/>
              </w:rPr>
            </w:pPr>
            <w:r>
              <w:rPr>
                <w:rFonts w:hint="eastAsia" w:ascii="楷体_GB2312" w:eastAsia="楷体_GB2312"/>
                <w:color w:val="000000"/>
                <w:sz w:val="28"/>
                <w:szCs w:val="28"/>
              </w:rPr>
              <w:t>县经济信息和商务合作局</w:t>
            </w:r>
          </w:p>
        </w:tc>
      </w:tr>
      <w:tr w14:paraId="13BA5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2" w:type="dxa"/>
            <w:bottom w:w="0" w:type="dxa"/>
            <w:right w:w="52" w:type="dxa"/>
          </w:tblCellMar>
        </w:tblPrEx>
        <w:trPr>
          <w:jc w:val="center"/>
        </w:trPr>
        <w:tc>
          <w:tcPr>
            <w:tcW w:w="3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338031">
            <w:pPr>
              <w:snapToGrid w:val="0"/>
              <w:spacing w:before="62" w:beforeLines="20" w:after="62" w:afterLines="20"/>
              <w:jc w:val="center"/>
              <w:rPr>
                <w:rFonts w:ascii="楷体_GB2312" w:eastAsia="楷体_GB2312"/>
                <w:color w:val="000000"/>
                <w:sz w:val="28"/>
                <w:szCs w:val="28"/>
              </w:rPr>
            </w:pPr>
            <w:r>
              <w:rPr>
                <w:rFonts w:hint="eastAsia" w:ascii="楷体_GB2312" w:eastAsia="楷体_GB2312"/>
                <w:color w:val="000000"/>
                <w:sz w:val="28"/>
                <w:szCs w:val="28"/>
              </w:rPr>
              <w:t>9</w:t>
            </w:r>
          </w:p>
        </w:tc>
        <w:tc>
          <w:tcPr>
            <w:tcW w:w="28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24D7DD">
            <w:pPr>
              <w:snapToGrid w:val="0"/>
              <w:spacing w:before="62" w:beforeLines="20" w:after="62" w:afterLines="20"/>
              <w:rPr>
                <w:rFonts w:ascii="楷体_GB2312" w:eastAsia="楷体_GB2312"/>
                <w:color w:val="000000"/>
                <w:sz w:val="28"/>
                <w:szCs w:val="28"/>
              </w:rPr>
            </w:pPr>
            <w:r>
              <w:rPr>
                <w:rFonts w:hint="eastAsia" w:ascii="楷体_GB2312" w:eastAsia="楷体_GB2312"/>
                <w:color w:val="000000"/>
                <w:sz w:val="28"/>
                <w:szCs w:val="28"/>
              </w:rPr>
              <w:t>理塘县“十五五”现代化综合交通专项规划</w:t>
            </w:r>
          </w:p>
        </w:tc>
        <w:tc>
          <w:tcPr>
            <w:tcW w:w="17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0C647A">
            <w:pPr>
              <w:snapToGrid w:val="0"/>
              <w:spacing w:before="62" w:beforeLines="20" w:after="62" w:afterLines="20"/>
              <w:rPr>
                <w:rFonts w:ascii="楷体_GB2312" w:eastAsia="楷体_GB2312"/>
                <w:color w:val="000000"/>
                <w:sz w:val="28"/>
                <w:szCs w:val="28"/>
              </w:rPr>
            </w:pPr>
            <w:r>
              <w:rPr>
                <w:rFonts w:hint="eastAsia" w:ascii="楷体_GB2312" w:eastAsia="楷体_GB2312"/>
                <w:color w:val="000000"/>
                <w:sz w:val="28"/>
                <w:szCs w:val="28"/>
              </w:rPr>
              <w:t>县交通和运输局</w:t>
            </w:r>
          </w:p>
        </w:tc>
      </w:tr>
      <w:tr w14:paraId="7D5F8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2" w:type="dxa"/>
            <w:bottom w:w="0" w:type="dxa"/>
            <w:right w:w="52" w:type="dxa"/>
          </w:tblCellMar>
        </w:tblPrEx>
        <w:trPr>
          <w:jc w:val="center"/>
        </w:trPr>
        <w:tc>
          <w:tcPr>
            <w:tcW w:w="3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6D339F">
            <w:pPr>
              <w:snapToGrid w:val="0"/>
              <w:spacing w:before="62" w:beforeLines="20" w:after="62" w:afterLines="20"/>
              <w:jc w:val="center"/>
              <w:rPr>
                <w:rFonts w:ascii="楷体_GB2312" w:eastAsia="楷体_GB2312"/>
                <w:color w:val="000000"/>
                <w:sz w:val="28"/>
                <w:szCs w:val="28"/>
              </w:rPr>
            </w:pPr>
            <w:r>
              <w:rPr>
                <w:rFonts w:hint="eastAsia" w:ascii="楷体_GB2312" w:eastAsia="楷体_GB2312"/>
                <w:color w:val="000000"/>
                <w:sz w:val="28"/>
                <w:szCs w:val="28"/>
              </w:rPr>
              <w:t>10</w:t>
            </w:r>
          </w:p>
        </w:tc>
        <w:tc>
          <w:tcPr>
            <w:tcW w:w="28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9F6C28">
            <w:pPr>
              <w:snapToGrid w:val="0"/>
              <w:spacing w:before="62" w:beforeLines="20" w:after="62" w:afterLines="20"/>
              <w:rPr>
                <w:rFonts w:ascii="楷体_GB2312" w:eastAsia="楷体_GB2312"/>
                <w:color w:val="000000"/>
                <w:sz w:val="28"/>
                <w:szCs w:val="28"/>
              </w:rPr>
            </w:pPr>
            <w:r>
              <w:rPr>
                <w:rFonts w:hint="eastAsia" w:ascii="楷体_GB2312" w:eastAsia="楷体_GB2312"/>
                <w:color w:val="000000"/>
                <w:sz w:val="28"/>
                <w:szCs w:val="28"/>
              </w:rPr>
              <w:t>理塘县“十五五”电力发展规划</w:t>
            </w:r>
          </w:p>
        </w:tc>
        <w:tc>
          <w:tcPr>
            <w:tcW w:w="17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6C6E46">
            <w:pPr>
              <w:snapToGrid w:val="0"/>
              <w:spacing w:before="62" w:beforeLines="20" w:after="62" w:afterLines="20"/>
              <w:rPr>
                <w:rFonts w:ascii="楷体_GB2312" w:eastAsia="楷体_GB2312"/>
                <w:color w:val="000000"/>
                <w:sz w:val="28"/>
                <w:szCs w:val="28"/>
              </w:rPr>
            </w:pPr>
            <w:r>
              <w:rPr>
                <w:rFonts w:hint="eastAsia" w:ascii="楷体_GB2312" w:eastAsia="楷体_GB2312"/>
                <w:color w:val="000000"/>
                <w:sz w:val="28"/>
                <w:szCs w:val="28"/>
              </w:rPr>
              <w:t>县发展和改革局</w:t>
            </w:r>
          </w:p>
        </w:tc>
      </w:tr>
      <w:tr w14:paraId="3C835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2" w:type="dxa"/>
            <w:bottom w:w="0" w:type="dxa"/>
            <w:right w:w="52" w:type="dxa"/>
          </w:tblCellMar>
        </w:tblPrEx>
        <w:trPr>
          <w:jc w:val="center"/>
        </w:trPr>
        <w:tc>
          <w:tcPr>
            <w:tcW w:w="3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598D5F">
            <w:pPr>
              <w:snapToGrid w:val="0"/>
              <w:spacing w:before="62" w:beforeLines="20" w:after="62" w:afterLines="20"/>
              <w:jc w:val="center"/>
              <w:rPr>
                <w:rFonts w:ascii="楷体_GB2312" w:eastAsia="楷体_GB2312"/>
                <w:color w:val="000000"/>
                <w:sz w:val="28"/>
                <w:szCs w:val="28"/>
              </w:rPr>
            </w:pPr>
            <w:r>
              <w:rPr>
                <w:rFonts w:hint="eastAsia" w:ascii="楷体_GB2312" w:eastAsia="楷体_GB2312"/>
                <w:color w:val="000000"/>
                <w:sz w:val="28"/>
                <w:szCs w:val="28"/>
              </w:rPr>
              <w:t>11</w:t>
            </w:r>
          </w:p>
        </w:tc>
        <w:tc>
          <w:tcPr>
            <w:tcW w:w="28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C2B5FE">
            <w:pPr>
              <w:snapToGrid w:val="0"/>
              <w:spacing w:before="62" w:beforeLines="20" w:after="62" w:afterLines="20"/>
              <w:rPr>
                <w:rFonts w:ascii="楷体_GB2312" w:eastAsia="楷体_GB2312"/>
                <w:color w:val="000000"/>
                <w:sz w:val="28"/>
                <w:szCs w:val="28"/>
              </w:rPr>
            </w:pPr>
            <w:r>
              <w:rPr>
                <w:rFonts w:hint="eastAsia" w:ascii="楷体_GB2312" w:eastAsia="楷体_GB2312"/>
                <w:color w:val="000000"/>
                <w:sz w:val="28"/>
                <w:szCs w:val="28"/>
              </w:rPr>
              <w:t>理塘县“十五五”教育体育发展规划</w:t>
            </w:r>
          </w:p>
        </w:tc>
        <w:tc>
          <w:tcPr>
            <w:tcW w:w="17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A67F8A">
            <w:pPr>
              <w:snapToGrid w:val="0"/>
              <w:spacing w:before="62" w:beforeLines="20" w:after="62" w:afterLines="20"/>
              <w:rPr>
                <w:rFonts w:ascii="楷体_GB2312" w:eastAsia="楷体_GB2312"/>
                <w:color w:val="000000"/>
                <w:sz w:val="28"/>
                <w:szCs w:val="28"/>
              </w:rPr>
            </w:pPr>
            <w:r>
              <w:rPr>
                <w:rFonts w:hint="eastAsia" w:ascii="楷体_GB2312" w:eastAsia="楷体_GB2312"/>
                <w:color w:val="000000"/>
                <w:sz w:val="28"/>
                <w:szCs w:val="28"/>
              </w:rPr>
              <w:t>县教育和体育局</w:t>
            </w:r>
          </w:p>
        </w:tc>
      </w:tr>
      <w:tr w14:paraId="10553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2" w:type="dxa"/>
            <w:bottom w:w="0" w:type="dxa"/>
            <w:right w:w="52" w:type="dxa"/>
          </w:tblCellMar>
        </w:tblPrEx>
        <w:trPr>
          <w:jc w:val="center"/>
        </w:trPr>
        <w:tc>
          <w:tcPr>
            <w:tcW w:w="3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10340A">
            <w:pPr>
              <w:snapToGrid w:val="0"/>
              <w:spacing w:before="62" w:beforeLines="20" w:after="62" w:afterLines="20"/>
              <w:jc w:val="center"/>
              <w:rPr>
                <w:rFonts w:ascii="楷体_GB2312" w:eastAsia="楷体_GB2312"/>
                <w:color w:val="000000"/>
                <w:sz w:val="28"/>
                <w:szCs w:val="28"/>
              </w:rPr>
            </w:pPr>
            <w:r>
              <w:rPr>
                <w:rFonts w:hint="eastAsia" w:ascii="楷体_GB2312" w:eastAsia="楷体_GB2312"/>
                <w:color w:val="000000"/>
                <w:sz w:val="28"/>
                <w:szCs w:val="28"/>
              </w:rPr>
              <w:t>12</w:t>
            </w:r>
          </w:p>
        </w:tc>
        <w:tc>
          <w:tcPr>
            <w:tcW w:w="28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F8B4AE">
            <w:pPr>
              <w:snapToGrid w:val="0"/>
              <w:spacing w:before="62" w:beforeLines="20" w:after="62" w:afterLines="20"/>
              <w:rPr>
                <w:rFonts w:ascii="楷体_GB2312" w:eastAsia="楷体_GB2312"/>
                <w:color w:val="000000"/>
                <w:sz w:val="28"/>
                <w:szCs w:val="28"/>
              </w:rPr>
            </w:pPr>
            <w:r>
              <w:rPr>
                <w:rFonts w:hint="eastAsia" w:ascii="楷体_GB2312" w:eastAsia="楷体_GB2312"/>
                <w:color w:val="000000"/>
                <w:sz w:val="28"/>
                <w:szCs w:val="28"/>
              </w:rPr>
              <w:t>理塘县人才发展“十五五”规划</w:t>
            </w:r>
          </w:p>
        </w:tc>
        <w:tc>
          <w:tcPr>
            <w:tcW w:w="17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A7382C">
            <w:pPr>
              <w:snapToGrid w:val="0"/>
              <w:spacing w:before="62" w:beforeLines="20" w:after="62" w:afterLines="20"/>
              <w:rPr>
                <w:rFonts w:ascii="楷体_GB2312" w:eastAsia="楷体_GB2312"/>
                <w:color w:val="000000"/>
                <w:sz w:val="28"/>
                <w:szCs w:val="28"/>
              </w:rPr>
            </w:pPr>
            <w:r>
              <w:rPr>
                <w:rFonts w:hint="eastAsia" w:ascii="楷体_GB2312" w:eastAsia="楷体_GB2312"/>
                <w:color w:val="000000"/>
                <w:sz w:val="28"/>
                <w:szCs w:val="28"/>
              </w:rPr>
              <w:t>县委组织部</w:t>
            </w:r>
          </w:p>
        </w:tc>
      </w:tr>
      <w:tr w14:paraId="13F71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2" w:type="dxa"/>
            <w:bottom w:w="0" w:type="dxa"/>
            <w:right w:w="52" w:type="dxa"/>
          </w:tblCellMar>
        </w:tblPrEx>
        <w:trPr>
          <w:jc w:val="center"/>
        </w:trPr>
        <w:tc>
          <w:tcPr>
            <w:tcW w:w="3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2BE64A">
            <w:pPr>
              <w:snapToGrid w:val="0"/>
              <w:spacing w:before="62" w:beforeLines="20" w:after="62" w:afterLines="20"/>
              <w:jc w:val="center"/>
              <w:rPr>
                <w:rFonts w:ascii="楷体_GB2312" w:eastAsia="楷体_GB2312"/>
                <w:color w:val="000000"/>
                <w:sz w:val="28"/>
                <w:szCs w:val="28"/>
              </w:rPr>
            </w:pPr>
            <w:r>
              <w:rPr>
                <w:rFonts w:hint="eastAsia" w:ascii="楷体_GB2312" w:eastAsia="楷体_GB2312"/>
                <w:color w:val="000000"/>
                <w:sz w:val="28"/>
                <w:szCs w:val="28"/>
              </w:rPr>
              <w:t>13</w:t>
            </w:r>
          </w:p>
        </w:tc>
        <w:tc>
          <w:tcPr>
            <w:tcW w:w="28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3DEFC9">
            <w:pPr>
              <w:snapToGrid w:val="0"/>
              <w:spacing w:before="62" w:beforeLines="20" w:after="62" w:afterLines="20"/>
              <w:rPr>
                <w:rFonts w:ascii="楷体_GB2312" w:eastAsia="楷体_GB2312"/>
                <w:color w:val="000000"/>
                <w:sz w:val="28"/>
                <w:szCs w:val="28"/>
              </w:rPr>
            </w:pPr>
            <w:r>
              <w:rPr>
                <w:rFonts w:hint="eastAsia" w:ascii="楷体_GB2312" w:eastAsia="楷体_GB2312"/>
                <w:color w:val="000000"/>
                <w:sz w:val="28"/>
                <w:szCs w:val="28"/>
              </w:rPr>
              <w:t>理塘县“十五五”生态环境保护规划</w:t>
            </w:r>
          </w:p>
        </w:tc>
        <w:tc>
          <w:tcPr>
            <w:tcW w:w="17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6BE621">
            <w:pPr>
              <w:snapToGrid w:val="0"/>
              <w:spacing w:before="62" w:beforeLines="20" w:after="62" w:afterLines="20"/>
              <w:rPr>
                <w:rFonts w:ascii="楷体_GB2312" w:eastAsia="楷体_GB2312"/>
                <w:color w:val="000000"/>
                <w:sz w:val="28"/>
                <w:szCs w:val="28"/>
              </w:rPr>
            </w:pPr>
            <w:r>
              <w:rPr>
                <w:rFonts w:hint="eastAsia" w:ascii="楷体_GB2312" w:eastAsia="楷体_GB2312"/>
                <w:color w:val="000000"/>
                <w:sz w:val="28"/>
                <w:szCs w:val="28"/>
              </w:rPr>
              <w:t>县生态环境局</w:t>
            </w:r>
          </w:p>
        </w:tc>
      </w:tr>
      <w:tr w14:paraId="54630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2" w:type="dxa"/>
            <w:bottom w:w="0" w:type="dxa"/>
            <w:right w:w="52" w:type="dxa"/>
          </w:tblCellMar>
        </w:tblPrEx>
        <w:trPr>
          <w:jc w:val="center"/>
        </w:trPr>
        <w:tc>
          <w:tcPr>
            <w:tcW w:w="3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A2CFE3">
            <w:pPr>
              <w:snapToGrid w:val="0"/>
              <w:spacing w:before="62" w:beforeLines="20" w:after="62" w:afterLines="20"/>
              <w:jc w:val="center"/>
              <w:rPr>
                <w:rFonts w:ascii="楷体_GB2312" w:eastAsia="楷体_GB2312"/>
                <w:color w:val="000000"/>
                <w:sz w:val="28"/>
                <w:szCs w:val="28"/>
              </w:rPr>
            </w:pPr>
            <w:r>
              <w:rPr>
                <w:rFonts w:hint="eastAsia" w:ascii="楷体_GB2312" w:eastAsia="楷体_GB2312"/>
                <w:color w:val="000000"/>
                <w:sz w:val="28"/>
                <w:szCs w:val="28"/>
              </w:rPr>
              <w:t>14</w:t>
            </w:r>
          </w:p>
        </w:tc>
        <w:tc>
          <w:tcPr>
            <w:tcW w:w="28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EC571F">
            <w:pPr>
              <w:snapToGrid w:val="0"/>
              <w:spacing w:before="62" w:beforeLines="20" w:after="62" w:afterLines="20"/>
              <w:rPr>
                <w:rFonts w:ascii="楷体_GB2312" w:eastAsia="楷体_GB2312"/>
                <w:color w:val="000000"/>
                <w:sz w:val="28"/>
                <w:szCs w:val="28"/>
              </w:rPr>
            </w:pPr>
            <w:r>
              <w:rPr>
                <w:rFonts w:hint="eastAsia" w:ascii="楷体_GB2312" w:eastAsia="楷体_GB2312"/>
                <w:color w:val="000000"/>
                <w:sz w:val="28"/>
                <w:szCs w:val="28"/>
              </w:rPr>
              <w:t>理塘县“十五五”地质灾害防治规划</w:t>
            </w:r>
          </w:p>
        </w:tc>
        <w:tc>
          <w:tcPr>
            <w:tcW w:w="17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C4CED0">
            <w:pPr>
              <w:snapToGrid w:val="0"/>
              <w:spacing w:before="62" w:beforeLines="20" w:after="62" w:afterLines="20"/>
              <w:rPr>
                <w:rFonts w:ascii="楷体_GB2312" w:eastAsia="楷体_GB2312"/>
                <w:color w:val="000000"/>
                <w:sz w:val="28"/>
                <w:szCs w:val="28"/>
              </w:rPr>
            </w:pPr>
            <w:r>
              <w:rPr>
                <w:rFonts w:hint="eastAsia" w:ascii="楷体_GB2312" w:eastAsia="楷体_GB2312"/>
                <w:color w:val="000000"/>
                <w:sz w:val="28"/>
                <w:szCs w:val="28"/>
              </w:rPr>
              <w:t>县自然资源和规划局</w:t>
            </w:r>
          </w:p>
        </w:tc>
      </w:tr>
      <w:tr w14:paraId="5A666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2" w:type="dxa"/>
            <w:bottom w:w="0" w:type="dxa"/>
            <w:right w:w="52" w:type="dxa"/>
          </w:tblCellMar>
        </w:tblPrEx>
        <w:trPr>
          <w:jc w:val="center"/>
        </w:trPr>
        <w:tc>
          <w:tcPr>
            <w:tcW w:w="3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C07100">
            <w:pPr>
              <w:snapToGrid w:val="0"/>
              <w:spacing w:before="62" w:beforeLines="20" w:after="62" w:afterLines="20"/>
              <w:jc w:val="center"/>
              <w:rPr>
                <w:rFonts w:ascii="楷体_GB2312" w:eastAsia="楷体_GB2312"/>
                <w:color w:val="000000"/>
                <w:sz w:val="28"/>
                <w:szCs w:val="28"/>
              </w:rPr>
            </w:pPr>
            <w:r>
              <w:rPr>
                <w:rFonts w:hint="eastAsia" w:ascii="楷体_GB2312" w:eastAsia="楷体_GB2312"/>
                <w:color w:val="000000"/>
                <w:sz w:val="28"/>
                <w:szCs w:val="28"/>
              </w:rPr>
              <w:t>15</w:t>
            </w:r>
          </w:p>
        </w:tc>
        <w:tc>
          <w:tcPr>
            <w:tcW w:w="28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C30D2B">
            <w:pPr>
              <w:snapToGrid w:val="0"/>
              <w:spacing w:before="62" w:beforeLines="20" w:after="62" w:afterLines="20"/>
              <w:rPr>
                <w:rFonts w:ascii="楷体_GB2312" w:eastAsia="楷体_GB2312"/>
                <w:color w:val="000000"/>
                <w:sz w:val="28"/>
                <w:szCs w:val="28"/>
              </w:rPr>
            </w:pPr>
            <w:r>
              <w:rPr>
                <w:rFonts w:hint="eastAsia" w:ascii="楷体_GB2312" w:eastAsia="楷体_GB2312"/>
                <w:color w:val="000000"/>
                <w:sz w:val="28"/>
                <w:szCs w:val="28"/>
              </w:rPr>
              <w:t>理塘县“十五五”应急体系规划</w:t>
            </w:r>
          </w:p>
        </w:tc>
        <w:tc>
          <w:tcPr>
            <w:tcW w:w="17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86D944">
            <w:pPr>
              <w:snapToGrid w:val="0"/>
              <w:spacing w:before="62" w:beforeLines="20" w:after="62" w:afterLines="20"/>
              <w:rPr>
                <w:rFonts w:ascii="楷体_GB2312" w:eastAsia="楷体_GB2312"/>
                <w:color w:val="000000"/>
                <w:sz w:val="28"/>
                <w:szCs w:val="28"/>
              </w:rPr>
            </w:pPr>
            <w:r>
              <w:rPr>
                <w:rFonts w:hint="eastAsia" w:ascii="楷体_GB2312" w:eastAsia="楷体_GB2312"/>
                <w:color w:val="000000"/>
                <w:sz w:val="28"/>
                <w:szCs w:val="28"/>
              </w:rPr>
              <w:t>县应急管理局</w:t>
            </w:r>
          </w:p>
        </w:tc>
      </w:tr>
      <w:tr w14:paraId="58D5F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2" w:type="dxa"/>
            <w:bottom w:w="0" w:type="dxa"/>
            <w:right w:w="52" w:type="dxa"/>
          </w:tblCellMar>
        </w:tblPrEx>
        <w:trPr>
          <w:jc w:val="center"/>
        </w:trPr>
        <w:tc>
          <w:tcPr>
            <w:tcW w:w="3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E44CE0">
            <w:pPr>
              <w:snapToGrid w:val="0"/>
              <w:spacing w:before="62" w:beforeLines="20" w:after="62" w:afterLines="20"/>
              <w:jc w:val="center"/>
              <w:rPr>
                <w:rFonts w:ascii="楷体_GB2312" w:eastAsia="楷体_GB2312"/>
                <w:color w:val="000000"/>
                <w:sz w:val="28"/>
                <w:szCs w:val="28"/>
              </w:rPr>
            </w:pPr>
            <w:r>
              <w:rPr>
                <w:rFonts w:hint="eastAsia" w:ascii="楷体_GB2312" w:eastAsia="楷体_GB2312"/>
                <w:color w:val="000000"/>
                <w:sz w:val="28"/>
                <w:szCs w:val="28"/>
              </w:rPr>
              <w:t>16</w:t>
            </w:r>
          </w:p>
        </w:tc>
        <w:tc>
          <w:tcPr>
            <w:tcW w:w="28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B6815E">
            <w:pPr>
              <w:snapToGrid w:val="0"/>
              <w:spacing w:before="62" w:beforeLines="20" w:after="62" w:afterLines="20"/>
              <w:rPr>
                <w:rFonts w:ascii="楷体_GB2312" w:eastAsia="楷体_GB2312"/>
                <w:color w:val="000000"/>
                <w:sz w:val="28"/>
                <w:szCs w:val="28"/>
              </w:rPr>
            </w:pPr>
            <w:r>
              <w:rPr>
                <w:rFonts w:hint="eastAsia" w:ascii="楷体_GB2312" w:eastAsia="楷体_GB2312"/>
                <w:color w:val="000000"/>
                <w:sz w:val="28"/>
                <w:szCs w:val="28"/>
              </w:rPr>
              <w:t>塘县“十五五”城乡市政基础设施建设规划</w:t>
            </w:r>
          </w:p>
        </w:tc>
        <w:tc>
          <w:tcPr>
            <w:tcW w:w="17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A2B67B">
            <w:pPr>
              <w:snapToGrid w:val="0"/>
              <w:spacing w:before="62" w:beforeLines="20" w:after="62" w:afterLines="20"/>
              <w:rPr>
                <w:rFonts w:ascii="楷体_GB2312" w:eastAsia="楷体_GB2312"/>
                <w:color w:val="000000"/>
                <w:sz w:val="28"/>
                <w:szCs w:val="28"/>
              </w:rPr>
            </w:pPr>
            <w:r>
              <w:rPr>
                <w:rFonts w:hint="eastAsia" w:ascii="楷体_GB2312" w:eastAsia="楷体_GB2312"/>
                <w:color w:val="000000"/>
                <w:sz w:val="28"/>
                <w:szCs w:val="28"/>
              </w:rPr>
              <w:t>县住房和城乡建设局</w:t>
            </w:r>
          </w:p>
        </w:tc>
      </w:tr>
      <w:tr w14:paraId="2C172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2" w:type="dxa"/>
            <w:bottom w:w="0" w:type="dxa"/>
            <w:right w:w="52" w:type="dxa"/>
          </w:tblCellMar>
        </w:tblPrEx>
        <w:trPr>
          <w:jc w:val="center"/>
        </w:trPr>
        <w:tc>
          <w:tcPr>
            <w:tcW w:w="3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D72B05">
            <w:pPr>
              <w:snapToGrid w:val="0"/>
              <w:spacing w:before="62" w:beforeLines="20" w:after="62" w:afterLines="20"/>
              <w:jc w:val="center"/>
              <w:rPr>
                <w:rFonts w:ascii="楷体_GB2312" w:eastAsia="楷体_GB2312"/>
                <w:color w:val="000000"/>
                <w:sz w:val="28"/>
                <w:szCs w:val="28"/>
              </w:rPr>
            </w:pPr>
            <w:r>
              <w:rPr>
                <w:rFonts w:hint="eastAsia" w:ascii="楷体_GB2312" w:eastAsia="楷体_GB2312"/>
                <w:color w:val="000000"/>
                <w:sz w:val="28"/>
                <w:szCs w:val="28"/>
              </w:rPr>
              <w:t>17</w:t>
            </w:r>
          </w:p>
        </w:tc>
        <w:tc>
          <w:tcPr>
            <w:tcW w:w="28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B8C288">
            <w:pPr>
              <w:snapToGrid w:val="0"/>
              <w:spacing w:before="62" w:beforeLines="20" w:after="62" w:afterLines="20"/>
              <w:rPr>
                <w:rFonts w:ascii="楷体_GB2312" w:eastAsia="楷体_GB2312"/>
                <w:color w:val="000000"/>
                <w:sz w:val="28"/>
                <w:szCs w:val="28"/>
              </w:rPr>
            </w:pPr>
            <w:r>
              <w:rPr>
                <w:rFonts w:hint="eastAsia" w:ascii="楷体_GB2312" w:eastAsia="楷体_GB2312"/>
                <w:color w:val="000000"/>
                <w:sz w:val="28"/>
                <w:szCs w:val="28"/>
              </w:rPr>
              <w:t>塘县“十五五”卫生健康发展规划</w:t>
            </w:r>
          </w:p>
        </w:tc>
        <w:tc>
          <w:tcPr>
            <w:tcW w:w="17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1B5A1A">
            <w:pPr>
              <w:snapToGrid w:val="0"/>
              <w:spacing w:before="62" w:beforeLines="20" w:after="62" w:afterLines="20"/>
              <w:rPr>
                <w:rFonts w:ascii="楷体_GB2312" w:eastAsia="楷体_GB2312"/>
                <w:color w:val="000000"/>
                <w:sz w:val="28"/>
                <w:szCs w:val="28"/>
              </w:rPr>
            </w:pPr>
            <w:r>
              <w:rPr>
                <w:rFonts w:hint="eastAsia" w:ascii="楷体_GB2312" w:eastAsia="楷体_GB2312"/>
                <w:color w:val="000000"/>
                <w:sz w:val="28"/>
                <w:szCs w:val="28"/>
              </w:rPr>
              <w:t>县卫生健康局</w:t>
            </w:r>
          </w:p>
        </w:tc>
      </w:tr>
    </w:tbl>
    <w:p w14:paraId="1A30D023">
      <w:pPr>
        <w:widowControl/>
        <w:spacing w:before="156" w:beforeLines="50" w:after="156" w:afterLines="50" w:line="580" w:lineRule="exact"/>
        <w:jc w:val="center"/>
        <w:outlineLvl w:val="1"/>
        <w:rPr>
          <w:rFonts w:eastAsia="黑体"/>
          <w:bCs/>
          <w:color w:val="000000"/>
          <w:kern w:val="0"/>
          <w:sz w:val="32"/>
          <w:szCs w:val="32"/>
        </w:rPr>
      </w:pPr>
      <w:bookmarkStart w:id="793" w:name="_Toc218241208"/>
      <w:bookmarkStart w:id="794" w:name="_Toc13279"/>
      <w:bookmarkStart w:id="795" w:name="_Toc4742"/>
      <w:bookmarkStart w:id="796" w:name="_Toc212814869"/>
      <w:bookmarkStart w:id="797" w:name="_Toc214372677"/>
      <w:r>
        <w:rPr>
          <w:rFonts w:hint="eastAsia" w:eastAsia="黑体"/>
          <w:bCs/>
          <w:color w:val="000000"/>
          <w:kern w:val="0"/>
          <w:sz w:val="32"/>
          <w:szCs w:val="32"/>
        </w:rPr>
        <w:t>第四十一章  加强规划衔接协调</w:t>
      </w:r>
      <w:bookmarkEnd w:id="793"/>
      <w:bookmarkEnd w:id="794"/>
      <w:bookmarkEnd w:id="795"/>
      <w:bookmarkEnd w:id="796"/>
      <w:bookmarkEnd w:id="797"/>
    </w:p>
    <w:p w14:paraId="7ABFDC08">
      <w:pPr>
        <w:spacing w:line="580" w:lineRule="exact"/>
        <w:ind w:firstLine="668" w:firstLineChars="200"/>
        <w:rPr>
          <w:rFonts w:eastAsia="仿宋_GB2312"/>
          <w:spacing w:val="7"/>
          <w:kern w:val="0"/>
          <w:sz w:val="32"/>
          <w:szCs w:val="32"/>
          <w:shd w:val="clear" w:color="auto" w:fill="FFFFFF"/>
        </w:rPr>
      </w:pPr>
      <w:r>
        <w:rPr>
          <w:rFonts w:hint="eastAsia" w:eastAsia="仿宋_GB2312"/>
          <w:spacing w:val="7"/>
          <w:kern w:val="0"/>
          <w:sz w:val="32"/>
          <w:szCs w:val="32"/>
          <w:shd w:val="clear" w:color="auto" w:fill="FFFFFF"/>
        </w:rPr>
        <w:t>建立健全统一衔接的规划管理体系，强化发展规划在规划体系中的统领地位。加强县级“十五五”规划与国家、省、州各级规划的有效对接，确保发展方向、战略重点和重大政策的纵向传导与有机衔接。完善规划协调机制，推动总体规划、国土空间规划、专项规划和区域规划之间的横向协同，确保各类规划在发展目标、空间布局、政策取向等方面协调一致。强化部门协同和州县联动，形成规划编制实施的整体合力，确保各项规划协调配合、同步实施，共同支撑全县经济社会高质量发展。</w:t>
      </w:r>
    </w:p>
    <w:p w14:paraId="378E5BC0">
      <w:pPr>
        <w:widowControl/>
        <w:spacing w:before="156" w:beforeLines="50" w:after="156" w:afterLines="50" w:line="580" w:lineRule="exact"/>
        <w:jc w:val="center"/>
        <w:outlineLvl w:val="1"/>
        <w:rPr>
          <w:rFonts w:eastAsia="黑体"/>
          <w:bCs/>
          <w:color w:val="000000"/>
          <w:kern w:val="0"/>
          <w:sz w:val="32"/>
          <w:szCs w:val="32"/>
        </w:rPr>
      </w:pPr>
      <w:bookmarkStart w:id="798" w:name="_Toc14374"/>
      <w:bookmarkStart w:id="799" w:name="_Toc218241209"/>
      <w:bookmarkStart w:id="800" w:name="_Toc6486"/>
      <w:bookmarkStart w:id="801" w:name="_Toc214372678"/>
      <w:bookmarkStart w:id="802" w:name="_Toc212814870"/>
      <w:r>
        <w:rPr>
          <w:rFonts w:hint="eastAsia" w:eastAsia="黑体"/>
          <w:bCs/>
          <w:color w:val="000000"/>
          <w:kern w:val="0"/>
          <w:sz w:val="32"/>
          <w:szCs w:val="32"/>
        </w:rPr>
        <w:t>第四十二章  加强规划实施监督评估</w:t>
      </w:r>
      <w:bookmarkEnd w:id="798"/>
      <w:bookmarkEnd w:id="799"/>
      <w:bookmarkEnd w:id="800"/>
      <w:bookmarkEnd w:id="801"/>
      <w:bookmarkEnd w:id="802"/>
    </w:p>
    <w:p w14:paraId="400A1FCB">
      <w:pPr>
        <w:spacing w:line="580" w:lineRule="exact"/>
        <w:ind w:firstLine="668" w:firstLineChars="200"/>
        <w:jc w:val="left"/>
        <w:rPr>
          <w:rFonts w:eastAsia="楷体_GB2312"/>
          <w:b/>
          <w:bCs/>
          <w:sz w:val="32"/>
          <w:szCs w:val="32"/>
        </w:rPr>
      </w:pPr>
      <w:r>
        <w:rPr>
          <w:rFonts w:hint="eastAsia" w:eastAsia="仿宋_GB2312"/>
          <w:spacing w:val="7"/>
          <w:kern w:val="0"/>
          <w:sz w:val="32"/>
          <w:szCs w:val="32"/>
          <w:shd w:val="clear" w:color="auto" w:fill="FFFFFF"/>
        </w:rPr>
        <w:t>构建系统完备、科学规范的规划实施监督评估体系，确保“十五五”规划各项目标任务有效落实。建立健全规划实施监测评估机制，制定可量化、可考核的目标任务分解方案，形成纵向贯通县乡村、横向覆盖各部门的责任落实体系。强化规划实施监督机制，依法定期向县人大及其常委会报告规划实施情况，自觉接受人大监督、政协民主监督、社会舆论监督和公众监督。健全规划实施反馈机制，将评估结果作为改进政府工作和绩效考核的重要依据。根据监测评估结果和发展环境重大变化，依法依规对规划内容进行适时调整优化，增强规划实施的适应性和有效性，确保规划始终符合高质量发展要求。</w:t>
      </w:r>
    </w:p>
    <w:p w14:paraId="3E5F0A01"/>
    <w:sectPr>
      <w:footerReference r:id="rId5" w:type="default"/>
      <w:pgSz w:w="11906" w:h="16838"/>
      <w:pgMar w:top="1531" w:right="1800" w:bottom="1531" w:left="1800" w:header="851" w:footer="992" w:gutter="0"/>
      <w:pgNumType w:start="1"/>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黑体"/>
    <w:panose1 w:val="00000000000000000000"/>
    <w:charset w:val="86"/>
    <w:family w:val="script"/>
    <w:pitch w:val="default"/>
    <w:sig w:usb0="00000000" w:usb1="00000000" w:usb2="00000010" w:usb3="00000000" w:csb0="00040000" w:csb1="00000000"/>
  </w:font>
  <w:font w:name="方正大标宋简体">
    <w:altName w:val="微软雅黑"/>
    <w:panose1 w:val="00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MS Mincho">
    <w:altName w:val="Yu Gothic UI"/>
    <w:panose1 w:val="02020609040205080304"/>
    <w:charset w:val="80"/>
    <w:family w:val="modern"/>
    <w:pitch w:val="default"/>
    <w:sig w:usb0="00000000" w:usb1="00000000" w:usb2="00000012" w:usb3="00000000" w:csb0="0002009F" w:csb1="00000000"/>
  </w:font>
  <w:font w:name="Yu Gothic UI">
    <w:panose1 w:val="020B0500000000000000"/>
    <w:charset w:val="80"/>
    <w:family w:val="auto"/>
    <w:pitch w:val="default"/>
    <w:sig w:usb0="E00002FF" w:usb1="2AC7FDFF" w:usb2="00000016" w:usb3="00000000" w:csb0="2002009F" w:csb1="00000000"/>
  </w:font>
  <w:font w:name="KSOFE44F9426">
    <w:panose1 w:val="02010609060101010101"/>
    <w:charset w:val="86"/>
    <w:family w:val="auto"/>
    <w:pitch w:val="default"/>
    <w:sig w:usb0="00000001" w:usb1="00000000" w:usb2="00000000" w:usb3="00000000" w:csb0="00040001" w:csb1="00000000"/>
  </w:font>
  <w:font w:name="KSOFF9CC6125">
    <w:panose1 w:val="02010609060101010101"/>
    <w:charset w:val="86"/>
    <w:family w:val="auto"/>
    <w:pitch w:val="default"/>
    <w:sig w:usb0="00000001" w:usb1="00000000" w:usb2="00000000" w:usb3="00000000" w:csb0="00040001" w:csb1="00000000"/>
  </w:font>
  <w:font w:name="KSOFF9CBECC6">
    <w:panose1 w:val="02010609060101010101"/>
    <w:charset w:val="86"/>
    <w:family w:val="auto"/>
    <w:pitch w:val="default"/>
    <w:sig w:usb0="00000001" w:usb1="00000000" w:usb2="00000000" w:usb3="00000000" w:csb0="00040001" w:csb1="00000000"/>
  </w:font>
  <w:font w:name="MS PGothic">
    <w:panose1 w:val="020B0600070205080204"/>
    <w:charset w:val="80"/>
    <w:family w:val="auto"/>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B9FBEE">
    <w:pPr>
      <w:pStyle w:val="7"/>
      <w:jc w:val="center"/>
    </w:pPr>
  </w:p>
  <w:p w14:paraId="19654487">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517C4F">
    <w:pPr>
      <w:pStyle w:val="7"/>
      <w:jc w:val="center"/>
      <w:rPr>
        <w:sz w:val="28"/>
        <w:szCs w:val="28"/>
      </w:rPr>
    </w:pPr>
    <w:r>
      <w:rPr>
        <w:sz w:val="28"/>
        <w:szCs w:val="2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20650" cy="131445"/>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1F962B4">
                          <w:pPr>
                            <w:pStyle w:val="7"/>
                          </w:pPr>
                          <w:r>
                            <w:fldChar w:fldCharType="begin"/>
                          </w:r>
                          <w:r>
                            <w:instrText xml:space="preserve"> PAGE  \* MERGEFORMAT </w:instrText>
                          </w:r>
                          <w:r>
                            <w:fldChar w:fldCharType="separate"/>
                          </w:r>
                          <w:r>
                            <w:t>V</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0.35pt;width:9.5pt;mso-position-horizontal:center;mso-position-horizontal-relative:margin;mso-wrap-style:none;z-index:251660288;mso-width-relative:page;mso-height-relative:page;" filled="f" stroked="f" coordsize="21600,21600" o:gfxdata="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D5Olga0QAAAAMBAAAPAAAAAAAAAAEAIAAAACIAAABkcnMvZG93bnJldi54bWxQSwECFAAU&#10;AAAACACHTuJAhvGZtDECAABjBAAADgAAAAAAAAABACAAAAAgAQAAZHJzL2Uyb0RvYy54bWxQSwUG&#10;AAAAAAYABgBZAQAAwwUAAAAA&#10;">
              <v:fill on="f" focussize="0,0"/>
              <v:stroke on="f" weight="0.5pt"/>
              <v:imagedata o:title=""/>
              <o:lock v:ext="edit" aspectratio="f"/>
              <v:textbox inset="0mm,0mm,0mm,0mm" style="mso-fit-shape-to-text:t;">
                <w:txbxContent>
                  <w:p w14:paraId="01F962B4">
                    <w:pPr>
                      <w:pStyle w:val="7"/>
                    </w:pPr>
                    <w:r>
                      <w:fldChar w:fldCharType="begin"/>
                    </w:r>
                    <w:r>
                      <w:instrText xml:space="preserve"> PAGE  \* MERGEFORMAT </w:instrText>
                    </w:r>
                    <w:r>
                      <w:fldChar w:fldCharType="separate"/>
                    </w:r>
                    <w:r>
                      <w:t>V</w:t>
                    </w:r>
                    <w:r>
                      <w:fldChar w:fldCharType="end"/>
                    </w:r>
                  </w:p>
                </w:txbxContent>
              </v:textbox>
            </v:shape>
          </w:pict>
        </mc:Fallback>
      </mc:AlternateContent>
    </w:r>
  </w:p>
  <w:p w14:paraId="37A62D92">
    <w:pPr>
      <w:pStyle w:val="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D8626A">
    <w:pPr>
      <w:pStyle w:val="7"/>
      <w:jc w:val="center"/>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534035" cy="434975"/>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sz w:val="28"/>
                              <w:szCs w:val="28"/>
                            </w:rPr>
                            <w:id w:val="147475587"/>
                          </w:sdtPr>
                          <w:sdtEndPr>
                            <w:rPr>
                              <w:sz w:val="28"/>
                              <w:szCs w:val="28"/>
                            </w:rPr>
                          </w:sdtEndPr>
                          <w:sdtContent>
                            <w:p w14:paraId="0324F03E">
                              <w:pPr>
                                <w:pStyle w:val="7"/>
                                <w:jc w:val="center"/>
                                <w:rPr>
                                  <w:sz w:val="28"/>
                                  <w:szCs w:val="28"/>
                                </w:rPr>
                              </w:pPr>
                              <w:r>
                                <w:rPr>
                                  <w:rFonts w:hint="eastAsia"/>
                                  <w:sz w:val="28"/>
                                  <w:szCs w:val="28"/>
                                </w:rPr>
                                <w:t>—</w:t>
                              </w:r>
                              <w:r>
                                <w:rPr>
                                  <w:sz w:val="28"/>
                                  <w:szCs w:val="28"/>
                                </w:rPr>
                                <w:fldChar w:fldCharType="begin"/>
                              </w:r>
                              <w:r>
                                <w:rPr>
                                  <w:sz w:val="28"/>
                                  <w:szCs w:val="28"/>
                                </w:rPr>
                                <w:instrText xml:space="preserve">PAGE   \* MERGEFORMAT</w:instrText>
                              </w:r>
                              <w:r>
                                <w:rPr>
                                  <w:sz w:val="28"/>
                                  <w:szCs w:val="28"/>
                                </w:rPr>
                                <w:fldChar w:fldCharType="separate"/>
                              </w:r>
                              <w:r>
                                <w:rPr>
                                  <w:sz w:val="28"/>
                                  <w:szCs w:val="28"/>
                                  <w:lang w:val="zh-CN"/>
                                </w:rPr>
                                <w:t>55</w:t>
                              </w:r>
                              <w:r>
                                <w:rPr>
                                  <w:sz w:val="28"/>
                                  <w:szCs w:val="28"/>
                                </w:rPr>
                                <w:fldChar w:fldCharType="end"/>
                              </w:r>
                              <w:r>
                                <w:rPr>
                                  <w:rFonts w:hint="eastAsia"/>
                                  <w:sz w:val="28"/>
                                  <w:szCs w:val="28"/>
                                </w:rPr>
                                <w:t>—</w:t>
                              </w:r>
                            </w:p>
                          </w:sdtContent>
                        </w:sdt>
                        <w:p w14:paraId="6CB08615">
                          <w:pPr>
                            <w:pStyle w:val="2"/>
                            <w:ind w:firstLine="560"/>
                            <w:rPr>
                              <w:sz w:val="28"/>
                              <w:szCs w:val="28"/>
                            </w:rP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34.25pt;width:42.05pt;mso-position-horizontal:outside;mso-position-horizontal-relative:margin;mso-wrap-style:none;z-index:251659264;mso-width-relative:page;mso-height-relative:page;" filled="f" stroked="f" coordsize="21600,21600" o:gfxdata="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BHCFRI0gAAAAMBAAAPAAAAAAAAAAEAIAAAACIAAABkcnMvZG93bnJldi54bWxQSwECFAAU&#10;AAAACACHTuJAUHgcXTACAABjBAAADgAAAAAAAAABACAAAAAhAQAAZHJzL2Uyb0RvYy54bWxQSwUG&#10;AAAAAAYABgBZAQAAwwUAAAAA&#10;">
              <v:fill on="f" focussize="0,0"/>
              <v:stroke on="f" weight="0.5pt"/>
              <v:imagedata o:title=""/>
              <o:lock v:ext="edit" aspectratio="f"/>
              <v:textbox inset="0mm,0mm,0mm,0mm" style="mso-fit-shape-to-text:t;">
                <w:txbxContent>
                  <w:sdt>
                    <w:sdtPr>
                      <w:rPr>
                        <w:sz w:val="28"/>
                        <w:szCs w:val="28"/>
                      </w:rPr>
                      <w:id w:val="147475587"/>
                    </w:sdtPr>
                    <w:sdtEndPr>
                      <w:rPr>
                        <w:sz w:val="28"/>
                        <w:szCs w:val="28"/>
                      </w:rPr>
                    </w:sdtEndPr>
                    <w:sdtContent>
                      <w:p w14:paraId="0324F03E">
                        <w:pPr>
                          <w:pStyle w:val="7"/>
                          <w:jc w:val="center"/>
                          <w:rPr>
                            <w:sz w:val="28"/>
                            <w:szCs w:val="28"/>
                          </w:rPr>
                        </w:pPr>
                        <w:r>
                          <w:rPr>
                            <w:rFonts w:hint="eastAsia"/>
                            <w:sz w:val="28"/>
                            <w:szCs w:val="28"/>
                          </w:rPr>
                          <w:t>—</w:t>
                        </w:r>
                        <w:r>
                          <w:rPr>
                            <w:sz w:val="28"/>
                            <w:szCs w:val="28"/>
                          </w:rPr>
                          <w:fldChar w:fldCharType="begin"/>
                        </w:r>
                        <w:r>
                          <w:rPr>
                            <w:sz w:val="28"/>
                            <w:szCs w:val="28"/>
                          </w:rPr>
                          <w:instrText xml:space="preserve">PAGE   \* MERGEFORMAT</w:instrText>
                        </w:r>
                        <w:r>
                          <w:rPr>
                            <w:sz w:val="28"/>
                            <w:szCs w:val="28"/>
                          </w:rPr>
                          <w:fldChar w:fldCharType="separate"/>
                        </w:r>
                        <w:r>
                          <w:rPr>
                            <w:sz w:val="28"/>
                            <w:szCs w:val="28"/>
                            <w:lang w:val="zh-CN"/>
                          </w:rPr>
                          <w:t>55</w:t>
                        </w:r>
                        <w:r>
                          <w:rPr>
                            <w:sz w:val="28"/>
                            <w:szCs w:val="28"/>
                          </w:rPr>
                          <w:fldChar w:fldCharType="end"/>
                        </w:r>
                        <w:r>
                          <w:rPr>
                            <w:rFonts w:hint="eastAsia"/>
                            <w:sz w:val="28"/>
                            <w:szCs w:val="28"/>
                          </w:rPr>
                          <w:t>—</w:t>
                        </w:r>
                      </w:p>
                    </w:sdtContent>
                  </w:sdt>
                  <w:p w14:paraId="6CB08615">
                    <w:pPr>
                      <w:pStyle w:val="2"/>
                      <w:ind w:firstLine="560"/>
                      <w:rPr>
                        <w:sz w:val="28"/>
                        <w:szCs w:val="28"/>
                      </w:rPr>
                    </w:pPr>
                  </w:p>
                </w:txbxContent>
              </v:textbox>
            </v:shape>
          </w:pict>
        </mc:Fallback>
      </mc:AlternateContent>
    </w:r>
  </w:p>
  <w:p w14:paraId="2A4FFFEF">
    <w:pPr>
      <w:pStyle w:val="7"/>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7E3AA1"/>
    <w:multiLevelType w:val="multilevel"/>
    <w:tmpl w:val="027E3AA1"/>
    <w:lvl w:ilvl="0" w:tentative="0">
      <w:start w:val="1"/>
      <w:numFmt w:val="japaneseCounting"/>
      <w:lvlText w:val="第%1节"/>
      <w:lvlJc w:val="left"/>
      <w:pPr>
        <w:ind w:left="1080" w:hanging="108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034B7BF4"/>
    <w:multiLevelType w:val="multilevel"/>
    <w:tmpl w:val="034B7BF4"/>
    <w:lvl w:ilvl="0" w:tentative="0">
      <w:start w:val="1"/>
      <w:numFmt w:val="japaneseCounting"/>
      <w:lvlText w:val="第%1节"/>
      <w:lvlJc w:val="left"/>
      <w:pPr>
        <w:ind w:left="1080" w:hanging="108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06B75D6E"/>
    <w:multiLevelType w:val="multilevel"/>
    <w:tmpl w:val="06B75D6E"/>
    <w:lvl w:ilvl="0" w:tentative="0">
      <w:start w:val="1"/>
      <w:numFmt w:val="japaneseCounting"/>
      <w:lvlText w:val="第%1节"/>
      <w:lvlJc w:val="left"/>
      <w:pPr>
        <w:ind w:left="1080" w:hanging="108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0ACA2070"/>
    <w:multiLevelType w:val="multilevel"/>
    <w:tmpl w:val="0ACA2070"/>
    <w:lvl w:ilvl="0" w:tentative="0">
      <w:start w:val="1"/>
      <w:numFmt w:val="japaneseCounting"/>
      <w:lvlText w:val="第%1节"/>
      <w:lvlJc w:val="left"/>
      <w:pPr>
        <w:ind w:left="1080" w:hanging="108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0B5449C0"/>
    <w:multiLevelType w:val="multilevel"/>
    <w:tmpl w:val="0B5449C0"/>
    <w:lvl w:ilvl="0" w:tentative="0">
      <w:start w:val="1"/>
      <w:numFmt w:val="japaneseCounting"/>
      <w:lvlText w:val="第%1节"/>
      <w:lvlJc w:val="left"/>
      <w:pPr>
        <w:ind w:left="1080" w:hanging="108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0D8435DB"/>
    <w:multiLevelType w:val="multilevel"/>
    <w:tmpl w:val="0D8435DB"/>
    <w:lvl w:ilvl="0" w:tentative="0">
      <w:start w:val="1"/>
      <w:numFmt w:val="japaneseCounting"/>
      <w:lvlText w:val="第%1节"/>
      <w:lvlJc w:val="left"/>
      <w:pPr>
        <w:ind w:left="1080" w:hanging="108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0FFA1EB7"/>
    <w:multiLevelType w:val="multilevel"/>
    <w:tmpl w:val="0FFA1EB7"/>
    <w:lvl w:ilvl="0" w:tentative="0">
      <w:start w:val="1"/>
      <w:numFmt w:val="japaneseCounting"/>
      <w:lvlText w:val="第%1节"/>
      <w:lvlJc w:val="left"/>
      <w:pPr>
        <w:ind w:left="1080" w:hanging="108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161B4825"/>
    <w:multiLevelType w:val="multilevel"/>
    <w:tmpl w:val="161B4825"/>
    <w:lvl w:ilvl="0" w:tentative="0">
      <w:start w:val="1"/>
      <w:numFmt w:val="japaneseCounting"/>
      <w:lvlText w:val="第%1节"/>
      <w:lvlJc w:val="left"/>
      <w:pPr>
        <w:ind w:left="1080" w:hanging="108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
    <w:nsid w:val="179D0F09"/>
    <w:multiLevelType w:val="multilevel"/>
    <w:tmpl w:val="179D0F09"/>
    <w:lvl w:ilvl="0" w:tentative="0">
      <w:start w:val="1"/>
      <w:numFmt w:val="japaneseCounting"/>
      <w:lvlText w:val="第%1节"/>
      <w:lvlJc w:val="left"/>
      <w:pPr>
        <w:ind w:left="1080" w:hanging="108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9">
    <w:nsid w:val="1AC113B5"/>
    <w:multiLevelType w:val="multilevel"/>
    <w:tmpl w:val="1AC113B5"/>
    <w:lvl w:ilvl="0" w:tentative="0">
      <w:start w:val="1"/>
      <w:numFmt w:val="japaneseCounting"/>
      <w:lvlText w:val="第%1节"/>
      <w:lvlJc w:val="left"/>
      <w:pPr>
        <w:ind w:left="1080" w:hanging="1080"/>
      </w:pPr>
      <w:rPr>
        <w:rFonts w:hint="default" w:eastAsia="楷体_GB2312"/>
        <w:b/>
        <w:color w:val="000000"/>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0">
    <w:nsid w:val="1DF6119D"/>
    <w:multiLevelType w:val="multilevel"/>
    <w:tmpl w:val="1DF6119D"/>
    <w:lvl w:ilvl="0" w:tentative="0">
      <w:start w:val="1"/>
      <w:numFmt w:val="japaneseCounting"/>
      <w:lvlText w:val="第%1节"/>
      <w:lvlJc w:val="left"/>
      <w:pPr>
        <w:ind w:left="1080" w:hanging="108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1">
    <w:nsid w:val="20063CCC"/>
    <w:multiLevelType w:val="multilevel"/>
    <w:tmpl w:val="20063CCC"/>
    <w:lvl w:ilvl="0" w:tentative="0">
      <w:start w:val="1"/>
      <w:numFmt w:val="japaneseCounting"/>
      <w:lvlText w:val="第%1节"/>
      <w:lvlJc w:val="left"/>
      <w:pPr>
        <w:ind w:left="1080" w:hanging="1080"/>
      </w:pPr>
      <w:rPr>
        <w:rFonts w:hint="default" w:eastAsia="楷体_GB2312"/>
        <w:b/>
        <w:color w:val="000000"/>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2">
    <w:nsid w:val="258E0541"/>
    <w:multiLevelType w:val="multilevel"/>
    <w:tmpl w:val="258E0541"/>
    <w:lvl w:ilvl="0" w:tentative="0">
      <w:start w:val="1"/>
      <w:numFmt w:val="japaneseCounting"/>
      <w:lvlText w:val="第%1节"/>
      <w:lvlJc w:val="left"/>
      <w:pPr>
        <w:ind w:left="1080" w:hanging="108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3">
    <w:nsid w:val="268C06AC"/>
    <w:multiLevelType w:val="multilevel"/>
    <w:tmpl w:val="268C06AC"/>
    <w:lvl w:ilvl="0" w:tentative="0">
      <w:start w:val="1"/>
      <w:numFmt w:val="japaneseCounting"/>
      <w:lvlText w:val="第%1节"/>
      <w:lvlJc w:val="left"/>
      <w:pPr>
        <w:ind w:left="1080" w:hanging="108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4">
    <w:nsid w:val="29222907"/>
    <w:multiLevelType w:val="multilevel"/>
    <w:tmpl w:val="29222907"/>
    <w:lvl w:ilvl="0" w:tentative="0">
      <w:start w:val="1"/>
      <w:numFmt w:val="japaneseCounting"/>
      <w:lvlText w:val="第%1节"/>
      <w:lvlJc w:val="left"/>
      <w:pPr>
        <w:ind w:left="1080" w:hanging="108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5">
    <w:nsid w:val="2DF41444"/>
    <w:multiLevelType w:val="multilevel"/>
    <w:tmpl w:val="2DF41444"/>
    <w:lvl w:ilvl="0" w:tentative="0">
      <w:start w:val="1"/>
      <w:numFmt w:val="japaneseCounting"/>
      <w:lvlText w:val="第%1节"/>
      <w:lvlJc w:val="left"/>
      <w:pPr>
        <w:ind w:left="1080" w:hanging="108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6">
    <w:nsid w:val="31096D71"/>
    <w:multiLevelType w:val="multilevel"/>
    <w:tmpl w:val="31096D71"/>
    <w:lvl w:ilvl="0" w:tentative="0">
      <w:start w:val="1"/>
      <w:numFmt w:val="japaneseCounting"/>
      <w:lvlText w:val="第%1节"/>
      <w:lvlJc w:val="left"/>
      <w:pPr>
        <w:ind w:left="1080" w:hanging="108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7">
    <w:nsid w:val="37A43BA8"/>
    <w:multiLevelType w:val="multilevel"/>
    <w:tmpl w:val="37A43BA8"/>
    <w:lvl w:ilvl="0" w:tentative="0">
      <w:start w:val="1"/>
      <w:numFmt w:val="japaneseCounting"/>
      <w:lvlText w:val="第%1节"/>
      <w:lvlJc w:val="left"/>
      <w:pPr>
        <w:ind w:left="1080" w:hanging="108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8">
    <w:nsid w:val="3A371487"/>
    <w:multiLevelType w:val="multilevel"/>
    <w:tmpl w:val="3A371487"/>
    <w:lvl w:ilvl="0" w:tentative="0">
      <w:start w:val="1"/>
      <w:numFmt w:val="japaneseCounting"/>
      <w:lvlText w:val="第%1节"/>
      <w:lvlJc w:val="left"/>
      <w:pPr>
        <w:ind w:left="1080" w:hanging="108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9">
    <w:nsid w:val="3AD536C2"/>
    <w:multiLevelType w:val="multilevel"/>
    <w:tmpl w:val="3AD536C2"/>
    <w:lvl w:ilvl="0" w:tentative="0">
      <w:start w:val="1"/>
      <w:numFmt w:val="japaneseCounting"/>
      <w:lvlText w:val="第%1节"/>
      <w:lvlJc w:val="left"/>
      <w:pPr>
        <w:ind w:left="1080" w:hanging="108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0">
    <w:nsid w:val="3B4E4FAB"/>
    <w:multiLevelType w:val="multilevel"/>
    <w:tmpl w:val="3B4E4FAB"/>
    <w:lvl w:ilvl="0" w:tentative="0">
      <w:start w:val="1"/>
      <w:numFmt w:val="japaneseCounting"/>
      <w:lvlText w:val="第%1节"/>
      <w:lvlJc w:val="left"/>
      <w:pPr>
        <w:ind w:left="1080" w:hanging="108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1">
    <w:nsid w:val="3C5D71FA"/>
    <w:multiLevelType w:val="multilevel"/>
    <w:tmpl w:val="3C5D71FA"/>
    <w:lvl w:ilvl="0" w:tentative="0">
      <w:start w:val="1"/>
      <w:numFmt w:val="japaneseCounting"/>
      <w:lvlText w:val="第%1节"/>
      <w:lvlJc w:val="left"/>
      <w:pPr>
        <w:ind w:left="1080" w:hanging="108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2">
    <w:nsid w:val="3DB62985"/>
    <w:multiLevelType w:val="multilevel"/>
    <w:tmpl w:val="3DB62985"/>
    <w:lvl w:ilvl="0" w:tentative="0">
      <w:start w:val="1"/>
      <w:numFmt w:val="japaneseCounting"/>
      <w:lvlText w:val="第%1节"/>
      <w:lvlJc w:val="left"/>
      <w:pPr>
        <w:ind w:left="1080" w:hanging="108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3">
    <w:nsid w:val="3E3820A8"/>
    <w:multiLevelType w:val="multilevel"/>
    <w:tmpl w:val="3E3820A8"/>
    <w:lvl w:ilvl="0" w:tentative="0">
      <w:start w:val="1"/>
      <w:numFmt w:val="japaneseCounting"/>
      <w:lvlText w:val="第%1节"/>
      <w:lvlJc w:val="left"/>
      <w:pPr>
        <w:ind w:left="1080" w:hanging="108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4">
    <w:nsid w:val="46B12F2B"/>
    <w:multiLevelType w:val="multilevel"/>
    <w:tmpl w:val="46B12F2B"/>
    <w:lvl w:ilvl="0" w:tentative="0">
      <w:start w:val="1"/>
      <w:numFmt w:val="japaneseCounting"/>
      <w:lvlText w:val="第%1篇"/>
      <w:lvlJc w:val="left"/>
      <w:pPr>
        <w:ind w:left="1080" w:hanging="1080"/>
      </w:pPr>
      <w:rPr>
        <w:rFonts w:hint="default"/>
        <w:color w:val="auto"/>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5">
    <w:nsid w:val="4BDB62D4"/>
    <w:multiLevelType w:val="multilevel"/>
    <w:tmpl w:val="4BDB62D4"/>
    <w:lvl w:ilvl="0" w:tentative="0">
      <w:start w:val="1"/>
      <w:numFmt w:val="japaneseCounting"/>
      <w:lvlText w:val="第%1节"/>
      <w:lvlJc w:val="left"/>
      <w:pPr>
        <w:ind w:left="1080" w:hanging="108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6">
    <w:nsid w:val="5A193BE3"/>
    <w:multiLevelType w:val="multilevel"/>
    <w:tmpl w:val="5A193BE3"/>
    <w:lvl w:ilvl="0" w:tentative="0">
      <w:start w:val="1"/>
      <w:numFmt w:val="japaneseCounting"/>
      <w:lvlText w:val="第%1节"/>
      <w:lvlJc w:val="left"/>
      <w:pPr>
        <w:ind w:left="1080" w:hanging="108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7">
    <w:nsid w:val="5B937273"/>
    <w:multiLevelType w:val="multilevel"/>
    <w:tmpl w:val="5B937273"/>
    <w:lvl w:ilvl="0" w:tentative="0">
      <w:start w:val="1"/>
      <w:numFmt w:val="japaneseCounting"/>
      <w:lvlText w:val="第%1节"/>
      <w:lvlJc w:val="left"/>
      <w:pPr>
        <w:ind w:left="1080" w:hanging="108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8">
    <w:nsid w:val="5EBD3140"/>
    <w:multiLevelType w:val="multilevel"/>
    <w:tmpl w:val="5EBD3140"/>
    <w:lvl w:ilvl="0" w:tentative="0">
      <w:start w:val="1"/>
      <w:numFmt w:val="japaneseCounting"/>
      <w:lvlText w:val="第%1节"/>
      <w:lvlJc w:val="left"/>
      <w:pPr>
        <w:ind w:left="1080" w:hanging="108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9">
    <w:nsid w:val="6529255D"/>
    <w:multiLevelType w:val="multilevel"/>
    <w:tmpl w:val="6529255D"/>
    <w:lvl w:ilvl="0" w:tentative="0">
      <w:start w:val="1"/>
      <w:numFmt w:val="japaneseCounting"/>
      <w:lvlText w:val="第%1节"/>
      <w:lvlJc w:val="left"/>
      <w:pPr>
        <w:ind w:left="1080" w:hanging="108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0">
    <w:nsid w:val="6E365CE0"/>
    <w:multiLevelType w:val="multilevel"/>
    <w:tmpl w:val="6E365CE0"/>
    <w:lvl w:ilvl="0" w:tentative="0">
      <w:start w:val="1"/>
      <w:numFmt w:val="japaneseCounting"/>
      <w:lvlText w:val="第%1节"/>
      <w:lvlJc w:val="left"/>
      <w:pPr>
        <w:ind w:left="1080" w:hanging="108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1">
    <w:nsid w:val="6F4A4405"/>
    <w:multiLevelType w:val="multilevel"/>
    <w:tmpl w:val="6F4A4405"/>
    <w:lvl w:ilvl="0" w:tentative="0">
      <w:start w:val="1"/>
      <w:numFmt w:val="japaneseCounting"/>
      <w:lvlText w:val="第%1节"/>
      <w:lvlJc w:val="left"/>
      <w:pPr>
        <w:ind w:left="1080" w:hanging="1080"/>
      </w:pPr>
      <w:rPr>
        <w:rFonts w:hint="default" w:eastAsia="楷体_GB2312"/>
        <w:b/>
        <w:color w:val="000000"/>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2">
    <w:nsid w:val="74DE3E72"/>
    <w:multiLevelType w:val="multilevel"/>
    <w:tmpl w:val="74DE3E72"/>
    <w:lvl w:ilvl="0" w:tentative="0">
      <w:start w:val="1"/>
      <w:numFmt w:val="japaneseCounting"/>
      <w:lvlText w:val="第%1节"/>
      <w:lvlJc w:val="left"/>
      <w:pPr>
        <w:ind w:left="3313" w:hanging="1080"/>
      </w:pPr>
      <w:rPr>
        <w:rFonts w:hint="default"/>
        <w:color w:val="000000"/>
      </w:rPr>
    </w:lvl>
    <w:lvl w:ilvl="1" w:tentative="0">
      <w:start w:val="1"/>
      <w:numFmt w:val="lowerLetter"/>
      <w:lvlText w:val="%2)"/>
      <w:lvlJc w:val="left"/>
      <w:pPr>
        <w:ind w:left="3073" w:hanging="420"/>
      </w:pPr>
    </w:lvl>
    <w:lvl w:ilvl="2" w:tentative="0">
      <w:start w:val="1"/>
      <w:numFmt w:val="lowerRoman"/>
      <w:lvlText w:val="%3."/>
      <w:lvlJc w:val="right"/>
      <w:pPr>
        <w:ind w:left="3493" w:hanging="420"/>
      </w:pPr>
    </w:lvl>
    <w:lvl w:ilvl="3" w:tentative="0">
      <w:start w:val="1"/>
      <w:numFmt w:val="decimal"/>
      <w:lvlText w:val="%4."/>
      <w:lvlJc w:val="left"/>
      <w:pPr>
        <w:ind w:left="3913" w:hanging="420"/>
      </w:pPr>
    </w:lvl>
    <w:lvl w:ilvl="4" w:tentative="0">
      <w:start w:val="1"/>
      <w:numFmt w:val="lowerLetter"/>
      <w:lvlText w:val="%5)"/>
      <w:lvlJc w:val="left"/>
      <w:pPr>
        <w:ind w:left="4333" w:hanging="420"/>
      </w:pPr>
    </w:lvl>
    <w:lvl w:ilvl="5" w:tentative="0">
      <w:start w:val="1"/>
      <w:numFmt w:val="lowerRoman"/>
      <w:lvlText w:val="%6."/>
      <w:lvlJc w:val="right"/>
      <w:pPr>
        <w:ind w:left="4753" w:hanging="420"/>
      </w:pPr>
    </w:lvl>
    <w:lvl w:ilvl="6" w:tentative="0">
      <w:start w:val="1"/>
      <w:numFmt w:val="decimal"/>
      <w:lvlText w:val="%7."/>
      <w:lvlJc w:val="left"/>
      <w:pPr>
        <w:ind w:left="5173" w:hanging="420"/>
      </w:pPr>
    </w:lvl>
    <w:lvl w:ilvl="7" w:tentative="0">
      <w:start w:val="1"/>
      <w:numFmt w:val="lowerLetter"/>
      <w:lvlText w:val="%8)"/>
      <w:lvlJc w:val="left"/>
      <w:pPr>
        <w:ind w:left="5593" w:hanging="420"/>
      </w:pPr>
    </w:lvl>
    <w:lvl w:ilvl="8" w:tentative="0">
      <w:start w:val="1"/>
      <w:numFmt w:val="lowerRoman"/>
      <w:lvlText w:val="%9."/>
      <w:lvlJc w:val="right"/>
      <w:pPr>
        <w:ind w:left="6013" w:hanging="420"/>
      </w:pPr>
    </w:lvl>
  </w:abstractNum>
  <w:abstractNum w:abstractNumId="33">
    <w:nsid w:val="765277C4"/>
    <w:multiLevelType w:val="multilevel"/>
    <w:tmpl w:val="765277C4"/>
    <w:lvl w:ilvl="0" w:tentative="0">
      <w:start w:val="1"/>
      <w:numFmt w:val="japaneseCounting"/>
      <w:lvlText w:val="第%1节"/>
      <w:lvlJc w:val="left"/>
      <w:pPr>
        <w:ind w:left="1080" w:hanging="108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4">
    <w:nsid w:val="79A8062B"/>
    <w:multiLevelType w:val="multilevel"/>
    <w:tmpl w:val="79A8062B"/>
    <w:lvl w:ilvl="0" w:tentative="0">
      <w:start w:val="1"/>
      <w:numFmt w:val="japaneseCounting"/>
      <w:lvlText w:val="第%1章"/>
      <w:lvlJc w:val="left"/>
      <w:pPr>
        <w:ind w:left="1080" w:hanging="108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5">
    <w:nsid w:val="7E765290"/>
    <w:multiLevelType w:val="multilevel"/>
    <w:tmpl w:val="7E765290"/>
    <w:lvl w:ilvl="0" w:tentative="0">
      <w:start w:val="1"/>
      <w:numFmt w:val="japaneseCounting"/>
      <w:lvlText w:val="第%1节"/>
      <w:lvlJc w:val="left"/>
      <w:pPr>
        <w:ind w:left="1080" w:hanging="108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24"/>
  </w:num>
  <w:num w:numId="2">
    <w:abstractNumId w:val="34"/>
  </w:num>
  <w:num w:numId="3">
    <w:abstractNumId w:val="4"/>
  </w:num>
  <w:num w:numId="4">
    <w:abstractNumId w:val="15"/>
  </w:num>
  <w:num w:numId="5">
    <w:abstractNumId w:val="7"/>
  </w:num>
  <w:num w:numId="6">
    <w:abstractNumId w:val="8"/>
  </w:num>
  <w:num w:numId="7">
    <w:abstractNumId w:val="10"/>
  </w:num>
  <w:num w:numId="8">
    <w:abstractNumId w:val="16"/>
  </w:num>
  <w:num w:numId="9">
    <w:abstractNumId w:val="32"/>
  </w:num>
  <w:num w:numId="10">
    <w:abstractNumId w:val="5"/>
  </w:num>
  <w:num w:numId="11">
    <w:abstractNumId w:val="28"/>
  </w:num>
  <w:num w:numId="12">
    <w:abstractNumId w:val="1"/>
  </w:num>
  <w:num w:numId="13">
    <w:abstractNumId w:val="22"/>
  </w:num>
  <w:num w:numId="14">
    <w:abstractNumId w:val="12"/>
  </w:num>
  <w:num w:numId="15">
    <w:abstractNumId w:val="21"/>
  </w:num>
  <w:num w:numId="16">
    <w:abstractNumId w:val="9"/>
  </w:num>
  <w:num w:numId="17">
    <w:abstractNumId w:val="31"/>
  </w:num>
  <w:num w:numId="18">
    <w:abstractNumId w:val="25"/>
  </w:num>
  <w:num w:numId="19">
    <w:abstractNumId w:val="20"/>
  </w:num>
  <w:num w:numId="20">
    <w:abstractNumId w:val="11"/>
  </w:num>
  <w:num w:numId="21">
    <w:abstractNumId w:val="18"/>
  </w:num>
  <w:num w:numId="22">
    <w:abstractNumId w:val="30"/>
  </w:num>
  <w:num w:numId="23">
    <w:abstractNumId w:val="13"/>
  </w:num>
  <w:num w:numId="24">
    <w:abstractNumId w:val="23"/>
  </w:num>
  <w:num w:numId="25">
    <w:abstractNumId w:val="0"/>
  </w:num>
  <w:num w:numId="26">
    <w:abstractNumId w:val="19"/>
  </w:num>
  <w:num w:numId="27">
    <w:abstractNumId w:val="33"/>
  </w:num>
  <w:num w:numId="28">
    <w:abstractNumId w:val="6"/>
  </w:num>
  <w:num w:numId="29">
    <w:abstractNumId w:val="17"/>
  </w:num>
  <w:num w:numId="30">
    <w:abstractNumId w:val="27"/>
  </w:num>
  <w:num w:numId="31">
    <w:abstractNumId w:val="2"/>
  </w:num>
  <w:num w:numId="32">
    <w:abstractNumId w:val="3"/>
  </w:num>
  <w:num w:numId="33">
    <w:abstractNumId w:val="29"/>
  </w:num>
  <w:num w:numId="34">
    <w:abstractNumId w:val="35"/>
  </w:num>
  <w:num w:numId="35">
    <w:abstractNumId w:val="26"/>
  </w:num>
  <w:num w:numId="3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FE5306D"/>
    <w:rsid w:val="41421811"/>
    <w:rsid w:val="41455C08"/>
    <w:rsid w:val="43F25B77"/>
    <w:rsid w:val="5F506981"/>
    <w:rsid w:val="7FE530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iPriority="39" w:semiHidden="0" w:name="toc 2"/>
    <w:lsdException w:qFormat="1" w:unhideWhenUsed="0"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3">
    <w:name w:val="Default Paragraph Font"/>
    <w:semiHidden/>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420" w:firstLineChars="200"/>
    </w:pPr>
  </w:style>
  <w:style w:type="paragraph" w:styleId="3">
    <w:name w:val="annotation text"/>
    <w:basedOn w:val="1"/>
    <w:qFormat/>
    <w:uiPriority w:val="0"/>
    <w:pPr>
      <w:jc w:val="left"/>
    </w:pPr>
  </w:style>
  <w:style w:type="paragraph" w:styleId="4">
    <w:name w:val="Body Text"/>
    <w:basedOn w:val="1"/>
    <w:unhideWhenUsed/>
    <w:qFormat/>
    <w:uiPriority w:val="99"/>
    <w:pPr>
      <w:spacing w:after="120"/>
    </w:pPr>
  </w:style>
  <w:style w:type="paragraph" w:styleId="5">
    <w:name w:val="Body Text Indent"/>
    <w:basedOn w:val="1"/>
    <w:qFormat/>
    <w:uiPriority w:val="0"/>
    <w:pPr>
      <w:spacing w:after="120"/>
      <w:ind w:left="420" w:leftChars="200"/>
    </w:pPr>
  </w:style>
  <w:style w:type="paragraph" w:styleId="6">
    <w:name w:val="toc 3"/>
    <w:basedOn w:val="1"/>
    <w:next w:val="1"/>
    <w:qFormat/>
    <w:uiPriority w:val="39"/>
    <w:pPr>
      <w:ind w:left="840" w:leftChars="400"/>
    </w:pPr>
  </w:style>
  <w:style w:type="paragraph" w:styleId="7">
    <w:name w:val="footer"/>
    <w:basedOn w:val="1"/>
    <w:qFormat/>
    <w:uiPriority w:val="99"/>
    <w:pPr>
      <w:tabs>
        <w:tab w:val="center" w:pos="4153"/>
        <w:tab w:val="right" w:pos="8306"/>
      </w:tabs>
      <w:snapToGrid w:val="0"/>
      <w:jc w:val="left"/>
    </w:pPr>
    <w:rPr>
      <w:sz w:val="18"/>
      <w:szCs w:val="18"/>
    </w:rPr>
  </w:style>
  <w:style w:type="paragraph" w:styleId="8">
    <w:name w:val="toc 1"/>
    <w:basedOn w:val="1"/>
    <w:next w:val="1"/>
    <w:qFormat/>
    <w:uiPriority w:val="39"/>
  </w:style>
  <w:style w:type="paragraph" w:styleId="9">
    <w:name w:val="toc 2"/>
    <w:basedOn w:val="1"/>
    <w:next w:val="1"/>
    <w:unhideWhenUsed/>
    <w:qFormat/>
    <w:uiPriority w:val="39"/>
    <w:pPr>
      <w:ind w:left="420" w:leftChars="200"/>
    </w:pPr>
  </w:style>
  <w:style w:type="paragraph" w:styleId="10">
    <w:name w:val="Body Text First Indent 2"/>
    <w:basedOn w:val="5"/>
    <w:next w:val="1"/>
    <w:qFormat/>
    <w:uiPriority w:val="0"/>
    <w:pPr>
      <w:ind w:left="200" w:firstLine="200" w:firstLineChars="200"/>
    </w:pPr>
    <w:rPr>
      <w:rFonts w:ascii="Calibri" w:hAnsi="Calibri" w:cs="Calibri"/>
      <w:szCs w:val="21"/>
    </w:rPr>
  </w:style>
  <w:style w:type="table" w:styleId="12">
    <w:name w:val="Table Grid"/>
    <w:basedOn w:val="11"/>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Hyperlink"/>
    <w:basedOn w:val="13"/>
    <w:unhideWhenUsed/>
    <w:qFormat/>
    <w:uiPriority w:val="99"/>
    <w:rPr>
      <w:color w:val="0026E5" w:themeColor="hyperlink"/>
      <w:u w:val="single"/>
      <w14:textFill>
        <w14:solidFill>
          <w14:schemeClr w14:val="hlink"/>
        </w14:solidFill>
      </w14:textFill>
    </w:rPr>
  </w:style>
  <w:style w:type="paragraph" w:styleId="15">
    <w:name w:val="List Paragraph"/>
    <w:basedOn w:val="1"/>
    <w:qFormat/>
    <w:uiPriority w:val="34"/>
    <w:pPr>
      <w:ind w:firstLine="420" w:firstLineChars="200"/>
    </w:pPr>
  </w:style>
  <w:style w:type="paragraph" w:customStyle="1" w:styleId="16">
    <w:name w:val="正文 New New New New New New New New New New New New New New New New"/>
    <w:qFormat/>
    <w:uiPriority w:val="0"/>
    <w:pPr>
      <w:widowControl w:val="0"/>
      <w:spacing w:line="400" w:lineRule="exact"/>
      <w:ind w:firstLine="200" w:firstLineChars="200"/>
      <w:jc w:val="both"/>
    </w:pPr>
    <w:rPr>
      <w:rFonts w:ascii="Times New Roman" w:hAnsi="Times New Roman" w:eastAsia="宋体" w:cs="黑体"/>
      <w:sz w:val="21"/>
      <w:szCs w:val="22"/>
      <w:lang w:val="en-US" w:eastAsia="zh-CN" w:bidi="ar-SA"/>
    </w:rPr>
  </w:style>
  <w:style w:type="paragraph" w:customStyle="1" w:styleId="17">
    <w:name w:val="Default"/>
    <w:qFormat/>
    <w:uiPriority w:val="99"/>
    <w:pPr>
      <w:widowControl w:val="0"/>
      <w:autoSpaceDE w:val="0"/>
      <w:autoSpaceDN w:val="0"/>
      <w:adjustRightInd w:val="0"/>
    </w:pPr>
    <w:rPr>
      <w:rFonts w:ascii="仿宋_GB2312" w:hAnsi="仿宋_GB2312" w:eastAsia="仿宋_GB2312" w:cs="Times New Roman"/>
      <w:color w:val="000000"/>
      <w:sz w:val="24"/>
      <w:szCs w:val="22"/>
      <w:lang w:val="en-US" w:eastAsia="zh-CN" w:bidi="ar-SA"/>
    </w:rPr>
  </w:style>
  <w:style w:type="paragraph" w:customStyle="1" w:styleId="18">
    <w:name w:val="cjk"/>
    <w:basedOn w:val="1"/>
    <w:qFormat/>
    <w:uiPriority w:val="0"/>
    <w:pPr>
      <w:widowControl/>
      <w:spacing w:before="100" w:beforeAutospacing="1" w:after="142" w:line="276" w:lineRule="auto"/>
    </w:pPr>
    <w:rPr>
      <w:rFonts w:ascii="宋体" w:hAnsi="宋体" w:cs="宋体"/>
      <w:color w:val="000000"/>
      <w:kern w:val="0"/>
      <w:sz w:val="20"/>
      <w:szCs w:val="2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122</Pages>
  <Words>2848</Words>
  <Characters>3059</Characters>
  <Lines>0</Lines>
  <Paragraphs>0</Paragraphs>
  <TotalTime>2</TotalTime>
  <ScaleCrop>false</ScaleCrop>
  <LinksUpToDate>false</LinksUpToDate>
  <CharactersWithSpaces>3512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2026-05-21T07:14:00Z</dcterms:created>
  <dc:creator>藏岭吉村</dc:creator>
  <cp:lastModifiedBy>藏岭吉村</cp:lastModifiedBy>
  <dcterms:modified xsi:type="dcterms:W3CDTF">2026-07-13T03:47:36Z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94FFA53CD3A54CB295636624EE5D36C8_13</vt:lpwstr>
  </property>
  <property fmtid="{D5CDD505-2E9C-101B-9397-08002B2CF9AE}" pid="4" name="KSOTemplateDocerSaveRecord">
    <vt:lpwstr>eyJoZGlkIjoiYWU5ZWQxYzRmZWEzYTQ1ODA1MjE4OTA4NjE0NWExODYiLCJ1c2VySWQiOiI2Mzg4NjM5MTcifQ==</vt:lpwstr>
  </property>
</Properties>
</file>