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A3FBD">
      <w:pPr>
        <w:spacing w:line="600" w:lineRule="exact"/>
        <w:ind w:firstLine="0" w:firstLineChars="0"/>
        <w:jc w:val="center"/>
        <w:rPr>
          <w:rFonts w:hint="eastAsia" w:ascii="仿宋_GB2312" w:hAnsi="仿宋_GB2312" w:cs="仿宋_GB2312"/>
          <w:sz w:val="32"/>
          <w:szCs w:val="32"/>
          <w:highlight w:val="none"/>
        </w:rPr>
      </w:pPr>
      <w:bookmarkStart w:id="0" w:name="_Toc22314"/>
      <w:bookmarkStart w:id="1" w:name="_Toc29524"/>
      <w:bookmarkStart w:id="2" w:name="_Toc14462_WPSOffice_Level1"/>
    </w:p>
    <w:p w14:paraId="1821EE88">
      <w:pPr>
        <w:spacing w:line="600" w:lineRule="exact"/>
        <w:ind w:firstLine="0" w:firstLineChars="0"/>
        <w:jc w:val="center"/>
        <w:rPr>
          <w:rFonts w:hint="eastAsia" w:ascii="仿宋_GB2312" w:hAnsi="仿宋_GB2312" w:cs="仿宋_GB2312"/>
          <w:sz w:val="32"/>
          <w:szCs w:val="32"/>
          <w:highlight w:val="none"/>
        </w:rPr>
      </w:pPr>
    </w:p>
    <w:p w14:paraId="096E7F35">
      <w:pPr>
        <w:spacing w:line="600" w:lineRule="exact"/>
        <w:ind w:firstLine="0" w:firstLineChars="0"/>
        <w:jc w:val="center"/>
        <w:rPr>
          <w:rFonts w:hint="eastAsia" w:ascii="仿宋_GB2312" w:hAnsi="仿宋_GB2312" w:cs="仿宋_GB2312"/>
          <w:sz w:val="32"/>
          <w:szCs w:val="32"/>
          <w:highlight w:val="none"/>
        </w:rPr>
      </w:pPr>
    </w:p>
    <w:p w14:paraId="64DE0B00">
      <w:pPr>
        <w:spacing w:line="600" w:lineRule="exact"/>
        <w:ind w:firstLine="0" w:firstLineChars="0"/>
        <w:jc w:val="center"/>
        <w:rPr>
          <w:rFonts w:hint="eastAsia" w:ascii="仿宋_GB2312" w:hAnsi="仿宋_GB2312" w:cs="仿宋_GB2312"/>
          <w:sz w:val="32"/>
          <w:szCs w:val="32"/>
          <w:highlight w:val="none"/>
        </w:rPr>
      </w:pPr>
    </w:p>
    <w:p w14:paraId="3AE54038">
      <w:pPr>
        <w:spacing w:line="600" w:lineRule="exact"/>
        <w:ind w:firstLine="0" w:firstLineChars="0"/>
        <w:jc w:val="center"/>
        <w:rPr>
          <w:rFonts w:hint="eastAsia" w:ascii="仿宋_GB2312" w:hAnsi="仿宋_GB2312" w:cs="仿宋_GB2312"/>
          <w:sz w:val="32"/>
          <w:szCs w:val="32"/>
          <w:highlight w:val="none"/>
        </w:rPr>
      </w:pPr>
    </w:p>
    <w:p w14:paraId="1F3BD82D">
      <w:pPr>
        <w:spacing w:line="600" w:lineRule="exact"/>
        <w:ind w:firstLine="0" w:firstLineChars="0"/>
        <w:jc w:val="center"/>
        <w:rPr>
          <w:rFonts w:hint="eastAsia" w:ascii="仿宋_GB2312" w:hAnsi="仿宋_GB2312" w:cs="仿宋_GB2312"/>
          <w:sz w:val="32"/>
          <w:szCs w:val="32"/>
          <w:highlight w:val="none"/>
        </w:rPr>
      </w:pPr>
    </w:p>
    <w:p w14:paraId="4258C0F6">
      <w:pPr>
        <w:spacing w:line="600" w:lineRule="exact"/>
        <w:ind w:firstLine="0" w:firstLineChars="0"/>
        <w:jc w:val="center"/>
        <w:rPr>
          <w:rFonts w:hint="eastAsia" w:ascii="仿宋_GB2312" w:hAnsi="仿宋_GB2312" w:cs="仿宋_GB2312"/>
          <w:sz w:val="32"/>
          <w:szCs w:val="32"/>
          <w:highlight w:val="none"/>
        </w:rPr>
      </w:pPr>
    </w:p>
    <w:p w14:paraId="76DD2394">
      <w:pPr>
        <w:spacing w:line="600" w:lineRule="exact"/>
        <w:ind w:firstLine="0" w:firstLineChars="0"/>
        <w:jc w:val="center"/>
        <w:rPr>
          <w:rFonts w:hint="eastAsia" w:ascii="仿宋_GB2312" w:hAnsi="仿宋_GB2312" w:cs="仿宋_GB2312"/>
          <w:sz w:val="32"/>
          <w:szCs w:val="32"/>
          <w:highlight w:val="none"/>
        </w:rPr>
      </w:pPr>
      <w:r>
        <w:rPr>
          <w:rFonts w:hint="eastAsia" w:ascii="仿宋_GB2312" w:hAnsi="仿宋_GB2312" w:cs="仿宋_GB2312"/>
          <w:sz w:val="32"/>
          <w:szCs w:val="32"/>
          <w:highlight w:val="none"/>
        </w:rPr>
        <w:t>泸财绩〔</w:t>
      </w:r>
      <w:r>
        <w:rPr>
          <w:rFonts w:cs="Times New Roman"/>
          <w:sz w:val="32"/>
          <w:szCs w:val="32"/>
          <w:highlight w:val="none"/>
        </w:rPr>
        <w:t>2025</w:t>
      </w:r>
      <w:r>
        <w:rPr>
          <w:rFonts w:hint="eastAsia" w:ascii="仿宋_GB2312" w:hAnsi="仿宋_GB2312" w:cs="仿宋_GB2312"/>
          <w:sz w:val="32"/>
          <w:szCs w:val="32"/>
          <w:highlight w:val="none"/>
        </w:rPr>
        <w:t>〕</w:t>
      </w:r>
      <w:r>
        <w:rPr>
          <w:rFonts w:hint="eastAsia" w:cs="Times New Roman"/>
          <w:sz w:val="32"/>
          <w:szCs w:val="32"/>
          <w:highlight w:val="none"/>
        </w:rPr>
        <w:t>31</w:t>
      </w:r>
      <w:r>
        <w:rPr>
          <w:rFonts w:hint="eastAsia" w:ascii="仿宋_GB2312" w:hAnsi="仿宋_GB2312" w:cs="仿宋_GB2312"/>
          <w:sz w:val="32"/>
          <w:szCs w:val="32"/>
          <w:highlight w:val="none"/>
        </w:rPr>
        <w:t>号</w:t>
      </w:r>
    </w:p>
    <w:p w14:paraId="58FB64FC">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4A87B831">
      <w:pPr>
        <w:keepNext w:val="0"/>
        <w:keepLines w:val="0"/>
        <w:pageBreakBefore w:val="0"/>
        <w:kinsoku/>
        <w:wordWrap/>
        <w:overflowPunct/>
        <w:topLinePunct w:val="0"/>
        <w:autoSpaceDE/>
        <w:autoSpaceDN/>
        <w:bidi w:val="0"/>
        <w:spacing w:line="600" w:lineRule="exact"/>
        <w:ind w:left="0" w:firstLine="0" w:firstLineChars="0"/>
        <w:jc w:val="center"/>
        <w:rPr>
          <w:rFonts w:hint="default" w:ascii="Times New Roman" w:hAnsi="Times New Roman" w:eastAsia="方正小标宋_GBK" w:cs="Times New Roman"/>
          <w:color w:val="auto"/>
          <w:sz w:val="44"/>
          <w:szCs w:val="44"/>
          <w:highlight w:val="none"/>
          <w:lang w:eastAsia="zh-CN"/>
        </w:rPr>
      </w:pPr>
      <w:bookmarkStart w:id="3" w:name="_Toc27398"/>
      <w:r>
        <w:rPr>
          <w:rFonts w:hint="default" w:ascii="Times New Roman" w:hAnsi="Times New Roman" w:eastAsia="方正小标宋_GBK" w:cs="Times New Roman"/>
          <w:color w:val="auto"/>
          <w:sz w:val="44"/>
          <w:szCs w:val="44"/>
          <w:highlight w:val="none"/>
          <w:lang w:eastAsia="zh-CN"/>
        </w:rPr>
        <w:t>泸定县人民政府办公室</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
        </w:rPr>
        <w:t>202</w:t>
      </w:r>
      <w:r>
        <w:rPr>
          <w:rFonts w:hint="default" w:ascii="Times New Roman" w:hAnsi="Times New Roman" w:eastAsia="方正小标宋_GBK" w:cs="Times New Roman"/>
          <w:color w:val="auto"/>
          <w:sz w:val="44"/>
          <w:szCs w:val="44"/>
          <w:highlight w:val="none"/>
          <w:lang w:val="en-US" w:eastAsia="zh-CN"/>
        </w:rPr>
        <w:t>4</w:t>
      </w:r>
      <w:r>
        <w:rPr>
          <w:rFonts w:hint="default" w:ascii="Times New Roman" w:hAnsi="Times New Roman" w:eastAsia="方正小标宋_GBK" w:cs="Times New Roman"/>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5C51D11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textAlignment w:val="auto"/>
        <w:rPr>
          <w:rFonts w:hint="eastAsia" w:ascii="方正仿宋_GB2312" w:hAnsi="方正仿宋_GB2312" w:eastAsia="方正仿宋_GB2312" w:cs="方正仿宋_GB2312"/>
          <w:b w:val="0"/>
          <w:bCs w:val="0"/>
          <w:color w:val="auto"/>
          <w:sz w:val="32"/>
          <w:szCs w:val="32"/>
          <w:highlight w:val="none"/>
          <w:lang w:eastAsia="zh-CN"/>
        </w:rPr>
      </w:pPr>
      <w:bookmarkStart w:id="4" w:name="_Toc26210"/>
      <w:bookmarkStart w:id="5" w:name="_Toc8938"/>
      <w:bookmarkStart w:id="6" w:name="_Toc6252"/>
      <w:r>
        <w:rPr>
          <w:rFonts w:hint="eastAsia" w:ascii="方正仿宋_GB2312" w:hAnsi="方正仿宋_GB2312" w:eastAsia="方正仿宋_GB2312" w:cs="方正仿宋_GB2312"/>
          <w:b w:val="0"/>
          <w:bCs w:val="0"/>
          <w:color w:val="auto"/>
          <w:sz w:val="32"/>
          <w:szCs w:val="32"/>
          <w:highlight w:val="none"/>
        </w:rPr>
        <w:t>泸定县人民政府办公室</w:t>
      </w:r>
      <w:r>
        <w:rPr>
          <w:rFonts w:hint="eastAsia" w:ascii="方正仿宋_GB2312" w:hAnsi="方正仿宋_GB2312" w:eastAsia="方正仿宋_GB2312" w:cs="方正仿宋_GB2312"/>
          <w:b w:val="0"/>
          <w:bCs w:val="0"/>
          <w:color w:val="auto"/>
          <w:sz w:val="32"/>
          <w:szCs w:val="32"/>
          <w:highlight w:val="none"/>
          <w:lang w:eastAsia="zh-CN"/>
        </w:rPr>
        <w:t>：</w:t>
      </w:r>
    </w:p>
    <w:bookmarkEnd w:id="4"/>
    <w:bookmarkEnd w:id="5"/>
    <w:bookmarkEnd w:id="6"/>
    <w:p w14:paraId="2586979E">
      <w:pPr>
        <w:spacing w:line="600" w:lineRule="exact"/>
        <w:ind w:firstLine="640"/>
        <w:rPr>
          <w:rFonts w:eastAsia="仿宋" w:cs="Times New Roman"/>
          <w:sz w:val="32"/>
          <w:szCs w:val="32"/>
          <w:highlight w:val="none"/>
          <w:lang w:val="fr-FR"/>
        </w:rPr>
      </w:pPr>
      <w:bookmarkStart w:id="7" w:name="_Toc12185"/>
      <w:bookmarkStart w:id="8" w:name="_Toc8555"/>
      <w:bookmarkStart w:id="9" w:name="_Toc109483833"/>
      <w:bookmarkStart w:id="10" w:name="_Toc26009"/>
      <w:bookmarkStart w:id="11" w:name="_Toc799907804"/>
      <w:bookmarkStart w:id="12" w:name="_Toc10147"/>
      <w:bookmarkStart w:id="13" w:name="_Toc18579"/>
      <w:bookmarkStart w:id="14" w:name="_Toc27571"/>
      <w:bookmarkStart w:id="15" w:name="_Toc4351"/>
      <w:bookmarkStart w:id="16" w:name="_Toc15220"/>
      <w:bookmarkStart w:id="17" w:name="_Toc12546"/>
      <w:r>
        <w:rPr>
          <w:rFonts w:hint="eastAsia" w:eastAsia="方正仿宋_GB2312" w:cs="Times New Roman"/>
          <w:sz w:val="32"/>
          <w:szCs w:val="32"/>
          <w:highlight w:val="none"/>
        </w:rPr>
        <w:t>根</w:t>
      </w:r>
      <w:r>
        <w:rPr>
          <w:rFonts w:eastAsia="方正仿宋_GB2312" w:cs="Times New Roman"/>
          <w:sz w:val="32"/>
          <w:szCs w:val="32"/>
          <w:highlight w:val="none"/>
        </w:rPr>
        <w:t>据《泸定县财政局</w:t>
      </w:r>
      <w:r>
        <w:rPr>
          <w:rFonts w:eastAsia="方正仿宋_GB2312" w:cs="Times New Roman"/>
          <w:sz w:val="32"/>
          <w:szCs w:val="32"/>
          <w:highlight w:val="none"/>
          <w:lang w:eastAsia="zh"/>
        </w:rPr>
        <w:t>关于开展202</w:t>
      </w:r>
      <w:r>
        <w:rPr>
          <w:rFonts w:eastAsia="方正仿宋_GB2312" w:cs="Times New Roman"/>
          <w:sz w:val="32"/>
          <w:szCs w:val="32"/>
          <w:highlight w:val="none"/>
        </w:rPr>
        <w:t>5</w:t>
      </w:r>
      <w:r>
        <w:rPr>
          <w:rFonts w:eastAsia="方正仿宋_GB2312" w:cs="Times New Roman"/>
          <w:sz w:val="32"/>
          <w:szCs w:val="32"/>
          <w:highlight w:val="none"/>
          <w:lang w:eastAsia="zh"/>
        </w:rPr>
        <w:t>年度部门整体绩效评价工作的通知</w:t>
      </w:r>
      <w:r>
        <w:rPr>
          <w:rFonts w:eastAsia="方正仿宋_GB2312" w:cs="Times New Roman"/>
          <w:sz w:val="32"/>
          <w:szCs w:val="32"/>
          <w:highlight w:val="none"/>
        </w:rPr>
        <w:t>》（</w:t>
      </w:r>
      <w:r>
        <w:rPr>
          <w:rFonts w:eastAsia="方正仿宋_GB2312" w:cs="Times New Roman"/>
          <w:sz w:val="32"/>
          <w:szCs w:val="32"/>
          <w:highlight w:val="none"/>
          <w:lang w:eastAsia="zh"/>
        </w:rPr>
        <w:t>泸财〔202</w:t>
      </w:r>
      <w:r>
        <w:rPr>
          <w:rFonts w:eastAsia="方正仿宋_GB2312" w:cs="Times New Roman"/>
          <w:sz w:val="32"/>
          <w:szCs w:val="32"/>
          <w:highlight w:val="none"/>
        </w:rPr>
        <w:t>5</w:t>
      </w:r>
      <w:r>
        <w:rPr>
          <w:rFonts w:eastAsia="方正仿宋_GB2312" w:cs="Times New Roman"/>
          <w:sz w:val="32"/>
          <w:szCs w:val="32"/>
          <w:highlight w:val="none"/>
          <w:lang w:eastAsia="zh"/>
        </w:rPr>
        <w:t>〕</w:t>
      </w:r>
      <w:r>
        <w:rPr>
          <w:rFonts w:eastAsia="方正仿宋_GB2312" w:cs="Times New Roman"/>
          <w:sz w:val="32"/>
          <w:szCs w:val="32"/>
          <w:highlight w:val="none"/>
        </w:rPr>
        <w:t>67</w:t>
      </w:r>
      <w:r>
        <w:rPr>
          <w:rFonts w:eastAsia="方正仿宋_GB2312" w:cs="Times New Roman"/>
          <w:sz w:val="32"/>
          <w:szCs w:val="32"/>
          <w:highlight w:val="none"/>
          <w:lang w:eastAsia="zh"/>
        </w:rPr>
        <w:t>号</w:t>
      </w:r>
      <w:r>
        <w:rPr>
          <w:rFonts w:eastAsia="方正仿宋_GB2312" w:cs="Times New Roman"/>
          <w:sz w:val="32"/>
          <w:szCs w:val="32"/>
          <w:highlight w:val="none"/>
        </w:rPr>
        <w:t>）要求，</w:t>
      </w:r>
      <w:r>
        <w:rPr>
          <w:rFonts w:hint="eastAsia" w:eastAsia="方正仿宋_GB2312" w:cs="Times New Roman"/>
          <w:sz w:val="32"/>
          <w:szCs w:val="32"/>
          <w:highlight w:val="none"/>
        </w:rPr>
        <w:t>由我局工作人员和第三方机构专业人员组成绩效评价组，</w:t>
      </w:r>
      <w:r>
        <w:rPr>
          <w:rFonts w:eastAsia="方正仿宋_GB2312" w:cs="Times New Roman"/>
          <w:sz w:val="32"/>
          <w:szCs w:val="32"/>
          <w:highlight w:val="none"/>
          <w:lang w:val="fr-FR"/>
        </w:rPr>
        <w:t>对泸定县人民政府办公室</w:t>
      </w:r>
      <w:r>
        <w:rPr>
          <w:rFonts w:eastAsia="方正仿宋_GB2312" w:cs="Times New Roman"/>
          <w:sz w:val="32"/>
          <w:szCs w:val="32"/>
          <w:highlight w:val="none"/>
          <w:lang w:eastAsia="zh"/>
        </w:rPr>
        <w:t>202</w:t>
      </w:r>
      <w:r>
        <w:rPr>
          <w:rFonts w:eastAsia="方正仿宋_GB2312" w:cs="Times New Roman"/>
          <w:sz w:val="32"/>
          <w:szCs w:val="32"/>
          <w:highlight w:val="none"/>
        </w:rPr>
        <w:t>4</w:t>
      </w:r>
      <w:r>
        <w:rPr>
          <w:rFonts w:hint="eastAsia" w:eastAsia="方正仿宋_GB2312" w:cs="Times New Roman"/>
          <w:sz w:val="32"/>
          <w:szCs w:val="32"/>
          <w:highlight w:val="none"/>
          <w:lang w:eastAsia="zh-CN"/>
        </w:rPr>
        <w:t>年度</w:t>
      </w:r>
      <w:r>
        <w:rPr>
          <w:rFonts w:eastAsia="方正仿宋_GB2312" w:cs="Times New Roman"/>
          <w:sz w:val="32"/>
          <w:szCs w:val="32"/>
          <w:highlight w:val="none"/>
        </w:rPr>
        <w:t>部门整体支出进行</w:t>
      </w:r>
      <w:r>
        <w:rPr>
          <w:rFonts w:eastAsia="方正仿宋_GB2312" w:cs="Times New Roman"/>
          <w:sz w:val="32"/>
          <w:szCs w:val="32"/>
          <w:highlight w:val="none"/>
          <w:lang w:val="fr-FR"/>
        </w:rPr>
        <w:t>绩效评价。泸定县人民政府办公室对其提供的绩效评价相关资料的真实性、合法性和完整性负责；我们的责任是依据《中共中央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eastAsia="方正仿宋_GB2312" w:cs="Times New Roman"/>
          <w:sz w:val="32"/>
          <w:szCs w:val="32"/>
          <w:highlight w:val="none"/>
        </w:rPr>
        <w:t>9</w:t>
      </w:r>
      <w:r>
        <w:rPr>
          <w:rFonts w:eastAsia="方正仿宋_GB2312" w:cs="Times New Roman"/>
          <w:sz w:val="32"/>
          <w:szCs w:val="32"/>
          <w:highlight w:val="none"/>
          <w:lang w:val="fr-FR"/>
        </w:rPr>
        <w:t>〕8号）、《中共甘孜州委办公室 甘孜州人民政府办公室关于印发</w:t>
      </w:r>
      <w:r>
        <w:rPr>
          <w:rFonts w:eastAsia="方正仿宋_GB2312" w:cs="Times New Roman"/>
          <w:sz w:val="32"/>
          <w:szCs w:val="32"/>
          <w:highlight w:val="none"/>
        </w:rPr>
        <w:t>〈</w:t>
      </w:r>
      <w:r>
        <w:rPr>
          <w:rFonts w:eastAsia="方正仿宋_GB2312" w:cs="Times New Roman"/>
          <w:sz w:val="32"/>
          <w:szCs w:val="32"/>
          <w:highlight w:val="none"/>
          <w:lang w:val="fr-FR"/>
        </w:rPr>
        <w:t>甘孜州全面实施预算绩效管理工作实施方案</w:t>
      </w:r>
      <w:r>
        <w:rPr>
          <w:rFonts w:eastAsia="方正仿宋_GB2312" w:cs="Times New Roman"/>
          <w:sz w:val="32"/>
          <w:szCs w:val="32"/>
          <w:highlight w:val="none"/>
        </w:rPr>
        <w:t>〉</w:t>
      </w:r>
      <w:r>
        <w:rPr>
          <w:rFonts w:eastAsia="方正仿宋_GB2312" w:cs="Times New Roman"/>
          <w:sz w:val="32"/>
          <w:szCs w:val="32"/>
          <w:highlight w:val="none"/>
          <w:lang w:val="fr-FR"/>
        </w:rPr>
        <w:t>的通知》（甘委办〔201</w:t>
      </w:r>
      <w:r>
        <w:rPr>
          <w:rFonts w:eastAsia="方正仿宋_GB2312" w:cs="Times New Roman"/>
          <w:sz w:val="32"/>
          <w:szCs w:val="32"/>
          <w:highlight w:val="none"/>
        </w:rPr>
        <w:t>9</w:t>
      </w:r>
      <w:r>
        <w:rPr>
          <w:rFonts w:eastAsia="方正仿宋_GB2312" w:cs="Times New Roman"/>
          <w:sz w:val="32"/>
          <w:szCs w:val="32"/>
          <w:highlight w:val="none"/>
          <w:lang w:val="fr-FR"/>
        </w:rPr>
        <w:t>〕120号）</w:t>
      </w:r>
      <w:r>
        <w:rPr>
          <w:rFonts w:eastAsia="方正仿宋_GB2312" w:cs="Times New Roman"/>
          <w:sz w:val="32"/>
          <w:szCs w:val="32"/>
          <w:highlight w:val="none"/>
        </w:rPr>
        <w:t>文件的</w:t>
      </w:r>
      <w:r>
        <w:rPr>
          <w:rFonts w:eastAsia="方正仿宋_GB2312" w:cs="Times New Roman"/>
          <w:sz w:val="32"/>
          <w:szCs w:val="32"/>
          <w:highlight w:val="none"/>
          <w:lang w:val="fr-FR"/>
        </w:rPr>
        <w:t>要求，结合泸定县人民政府办公室的实际情况，对</w:t>
      </w:r>
      <w:r>
        <w:rPr>
          <w:rFonts w:eastAsia="方正仿宋_GB2312" w:cs="Times New Roman"/>
          <w:sz w:val="32"/>
          <w:szCs w:val="32"/>
          <w:highlight w:val="none"/>
          <w:lang w:eastAsia="zh"/>
        </w:rPr>
        <w:t>202</w:t>
      </w:r>
      <w:r>
        <w:rPr>
          <w:rFonts w:eastAsia="方正仿宋_GB2312" w:cs="Times New Roman"/>
          <w:sz w:val="32"/>
          <w:szCs w:val="32"/>
          <w:highlight w:val="none"/>
        </w:rPr>
        <w:t>4年部门整体支出</w:t>
      </w:r>
      <w:r>
        <w:rPr>
          <w:rFonts w:eastAsia="方正仿宋_GB2312" w:cs="Times New Roman"/>
          <w:sz w:val="32"/>
          <w:szCs w:val="32"/>
          <w:highlight w:val="none"/>
          <w:lang w:val="fr-FR"/>
        </w:rPr>
        <w:t>进行绩效评价，并出具绩效评价报告，现将相关情况报告如下：</w:t>
      </w:r>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30550"/>
      <w:bookmarkStart w:id="19" w:name="_Toc16549"/>
      <w:bookmarkStart w:id="20" w:name="_Toc109483834"/>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0865"/>
      <w:bookmarkStart w:id="24" w:name="_Toc18535"/>
      <w:bookmarkStart w:id="25" w:name="_Toc11769"/>
      <w:bookmarkStart w:id="26" w:name="_Toc2337"/>
      <w:bookmarkStart w:id="27" w:name="_Toc19098"/>
      <w:bookmarkStart w:id="28" w:name="_Toc24161"/>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 xml:space="preserve">泸定县人民政府办公室（以下简称县政府办公室），属财政补助（收支统管、全额保障）的一级预算单位，机构性质：机关单位；单位负责人：陈伟；统一社会信用代码：11513322008978038N；单位所在地：四川省甘孜藏族自治州泸定县红军路324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26703"/>
      <w:bookmarkStart w:id="34" w:name="_Toc16904"/>
      <w:bookmarkStart w:id="35" w:name="_Toc28538"/>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（1）内设机构。县政府办公室内设机构11个：文秘股、效能督查室、调查研究室、电子政务股、政务信息股、政策法规股、行政财务股、机关后勤股、综合一室、综合二室、综合三室，无二级预算单位。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人员概况。县政府办公室行政编制31名，其中：县政府领导7名，县政府办公室主任1名，副主任3名；股长（室主任）11名。机关工勤人员控制数6名。截至2024年末，年末在职实有人数：行政22名（含县级领导单列管理行政编制7名），工勤人员7名，政府信息技术中心事业人员6名。</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22604"/>
      <w:bookmarkStart w:id="39" w:name="_Toc21223"/>
      <w:bookmarkStart w:id="40" w:name="_Toc16740"/>
      <w:bookmarkStart w:id="41" w:name="_Toc1224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bookmarkStart w:id="42" w:name="_Toc109483836"/>
      <w:bookmarkStart w:id="43" w:name="_Toc33"/>
      <w:r>
        <w:rPr>
          <w:rFonts w:hint="default" w:ascii="Times New Roman" w:hAnsi="Times New Roman" w:eastAsia="方正仿宋_GB2312" w:cs="Times New Roman"/>
          <w:color w:val="auto"/>
          <w:sz w:val="32"/>
          <w:szCs w:val="32"/>
          <w:highlight w:val="none"/>
          <w:lang w:val="fr-FR" w:eastAsia="zh-CN"/>
        </w:rPr>
        <w:t>县政府办公室的主要职责是：</w:t>
      </w:r>
    </w:p>
    <w:p w14:paraId="52A7F75E">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1.负责组织起草、审核以县政府、县政府办公室名义发布的公文、文稿。承办州政府、州政府办公室及各级各部门发送县政府的文电。指导全县行政机关公文处理工作。</w:t>
      </w:r>
    </w:p>
    <w:p w14:paraId="19AAD515">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2.负责县政府会议会务工作。协助县政府领导落实会议决定事项。</w:t>
      </w:r>
    </w:p>
    <w:p w14:paraId="3737FF96">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3.承办县政府部门和乡镇人民政府请示县政府的事项，提出意见报县政府领导审批。</w:t>
      </w:r>
    </w:p>
    <w:p w14:paraId="5E321307">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4.督查反馈县政府决定事项及县政府领导批示指示贯彻落实情况。</w:t>
      </w:r>
    </w:p>
    <w:p w14:paraId="7044BA1C">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5.协助县政府领导处理政务、事务。</w:t>
      </w:r>
    </w:p>
    <w:p w14:paraId="26DD1F17">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6.指导、监督全县政府信息公开和机关行政效能建设工作，指导和监督全县政府系统电子政务工作及县政府信息化建设。</w:t>
      </w:r>
    </w:p>
    <w:p w14:paraId="7B241521">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7.组织办理涉及县政府工作的人大代表议案、</w:t>
      </w:r>
      <w:r>
        <w:rPr>
          <w:rFonts w:hint="eastAsia" w:eastAsia="方正仿宋_GB2312" w:cs="Times New Roman"/>
          <w:color w:val="auto"/>
          <w:sz w:val="32"/>
          <w:szCs w:val="32"/>
          <w:highlight w:val="none"/>
          <w:lang w:val="fr-FR" w:eastAsia="zh-CN"/>
        </w:rPr>
        <w:t>建议、批评</w:t>
      </w:r>
      <w:r>
        <w:rPr>
          <w:rFonts w:hint="default" w:ascii="Times New Roman" w:hAnsi="Times New Roman" w:eastAsia="方正仿宋_GB2312" w:cs="Times New Roman"/>
          <w:color w:val="auto"/>
          <w:sz w:val="32"/>
          <w:szCs w:val="32"/>
          <w:highlight w:val="none"/>
          <w:lang w:val="fr-FR" w:eastAsia="zh-CN"/>
        </w:rPr>
        <w:t>和政协委员提案、社情民意等有关工作。</w:t>
      </w:r>
    </w:p>
    <w:p w14:paraId="47164D36">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8.围绕县政府中心工作和县政府领导指示，组织专题调查研究，反映情况，提出政策性建议。</w:t>
      </w:r>
    </w:p>
    <w:p w14:paraId="7D637038">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9.负责县政府值班工作，指导乡镇人民政府和县政府部门值班工作，及时报告重要情况。</w:t>
      </w:r>
    </w:p>
    <w:p w14:paraId="115730AA">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10.办理县委和县政府交办的其他事项。</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4896"/>
      <w:bookmarkStart w:id="45" w:name="_Toc5982"/>
      <w:bookmarkStart w:id="46" w:name="_Toc1218480988"/>
      <w:bookmarkStart w:id="47" w:name="_Toc22594"/>
      <w:bookmarkStart w:id="48" w:name="_Toc15163"/>
      <w:bookmarkStart w:id="49" w:name="_Toc16871"/>
      <w:bookmarkStart w:id="50" w:name="_Toc13707"/>
      <w:bookmarkStart w:id="51" w:name="_Toc26564"/>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21428"/>
      <w:bookmarkStart w:id="55" w:name="_Toc25866"/>
      <w:bookmarkStart w:id="56" w:name="_Toc11105"/>
      <w:bookmarkStart w:id="57" w:name="_Toc2374"/>
      <w:bookmarkStart w:id="58" w:name="_Toc15898"/>
      <w:bookmarkStart w:id="59" w:name="_Toc1949541301"/>
      <w:bookmarkStart w:id="60" w:name="_Toc32369"/>
      <w:bookmarkStart w:id="61" w:name="_Toc2918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widowControl/>
        <w:kinsoku/>
        <w:wordWrap/>
        <w:overflowPunct/>
        <w:topLinePunct w:val="0"/>
        <w:autoSpaceDE/>
        <w:autoSpaceDN/>
        <w:bidi w:val="0"/>
        <w:adjustRightInd/>
        <w:snapToGrid/>
        <w:spacing w:line="600" w:lineRule="exact"/>
        <w:ind w:firstLine="560"/>
        <w:textAlignment w:val="auto"/>
        <w:outlineLvl w:val="9"/>
        <w:rPr>
          <w:rFonts w:hint="default" w:ascii="Times New Roman" w:hAnsi="Times New Roman" w:eastAsia="方正仿宋_GB2312" w:cs="Times New Roman"/>
          <w:bCs w:val="0"/>
          <w:color w:val="auto"/>
          <w:sz w:val="32"/>
          <w:szCs w:val="32"/>
          <w:highlight w:val="none"/>
          <w:lang w:val="fr-FR" w:eastAsia="zh-CN"/>
        </w:rPr>
      </w:pPr>
      <w:bookmarkStart w:id="63" w:name="_Toc17751"/>
      <w:bookmarkStart w:id="64" w:name="_Toc27073"/>
      <w:bookmarkStart w:id="65" w:name="_Toc21171"/>
      <w:bookmarkStart w:id="66" w:name="_Toc27782"/>
      <w:bookmarkStart w:id="67" w:name="_Toc349786989"/>
      <w:bookmarkStart w:id="68" w:name="_Toc19326"/>
      <w:bookmarkStart w:id="69" w:name="_Toc109483838"/>
      <w:r>
        <w:rPr>
          <w:rFonts w:hint="default" w:ascii="Times New Roman" w:hAnsi="Times New Roman" w:eastAsia="方正仿宋_GB2312" w:cs="Times New Roman"/>
          <w:bCs w:val="0"/>
          <w:color w:val="auto"/>
          <w:sz w:val="32"/>
          <w:szCs w:val="32"/>
          <w:highlight w:val="none"/>
          <w:lang w:val="fr-FR" w:eastAsia="zh-CN"/>
        </w:rPr>
        <w:t>年初预算反映，县政府办公室2024年预算收入合计1,441.14万元，上年结转结余0.00万元，无预算调整。本年收入1,441.14万元，全部为一般公共预算财政拨款收入。</w:t>
      </w:r>
    </w:p>
    <w:p w14:paraId="001FEF04">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560"/>
        <w:textAlignment w:val="auto"/>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bCs w:val="0"/>
          <w:color w:val="auto"/>
          <w:sz w:val="32"/>
          <w:szCs w:val="32"/>
          <w:highlight w:val="none"/>
          <w:lang w:val="fr-FR" w:eastAsia="zh-CN"/>
        </w:rPr>
        <w:t>决算报表反映，县政府办公室2024年决算收入合计1,581.90万元，全部为一般公共预算财政拨款收入，无年初结转和结余</w:t>
      </w:r>
      <w:r>
        <w:rPr>
          <w:rFonts w:hint="default" w:ascii="Times New Roman" w:hAnsi="Times New Roman" w:eastAsia="方正仿宋_GB2312" w:cs="Times New Roman"/>
          <w:color w:val="auto"/>
          <w:sz w:val="32"/>
          <w:szCs w:val="32"/>
          <w:highlight w:val="none"/>
          <w:lang w:val="fr-FR" w:eastAsia="zh-CN"/>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15130"/>
      <w:bookmarkStart w:id="71" w:name="_Toc3060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widowControl/>
        <w:spacing w:line="600" w:lineRule="exact"/>
        <w:ind w:firstLine="560"/>
        <w:outlineLvl w:val="9"/>
        <w:rPr>
          <w:rFonts w:hint="default" w:ascii="Times New Roman" w:hAnsi="Times New Roman" w:eastAsia="方正仿宋_GB2312" w:cs="Times New Roman"/>
          <w:color w:val="auto"/>
          <w:sz w:val="32"/>
          <w:szCs w:val="32"/>
          <w:highlight w:val="none"/>
          <w:lang w:val="fr-FR"/>
        </w:rPr>
      </w:pPr>
      <w:bookmarkStart w:id="73" w:name="_Toc18390"/>
      <w:bookmarkStart w:id="74" w:name="_Toc10837"/>
      <w:bookmarkStart w:id="75" w:name="_Toc24721"/>
      <w:bookmarkStart w:id="76" w:name="_Toc809"/>
      <w:bookmarkStart w:id="77" w:name="_Toc1457008154"/>
      <w:bookmarkStart w:id="78" w:name="_Toc109483839"/>
      <w:bookmarkStart w:id="79" w:name="_Toc13841"/>
      <w:r>
        <w:rPr>
          <w:rFonts w:hint="default" w:ascii="Times New Roman" w:hAnsi="Times New Roman" w:eastAsia="方正仿宋_GB2312" w:cs="Times New Roman"/>
          <w:bCs w:val="0"/>
          <w:color w:val="auto"/>
          <w:sz w:val="32"/>
          <w:szCs w:val="32"/>
          <w:highlight w:val="none"/>
          <w:lang w:val="fr-FR" w:eastAsia="zh-CN"/>
        </w:rPr>
        <w:t>年初预算反映</w:t>
      </w:r>
      <w:r>
        <w:rPr>
          <w:rFonts w:hint="default" w:ascii="Times New Roman" w:hAnsi="Times New Roman" w:eastAsia="方正仿宋_GB2312" w:cs="Times New Roman"/>
          <w:color w:val="auto"/>
          <w:sz w:val="32"/>
          <w:szCs w:val="32"/>
          <w:highlight w:val="none"/>
          <w:lang w:val="fr-FR"/>
        </w:rPr>
        <w:t>，</w:t>
      </w:r>
      <w:r>
        <w:rPr>
          <w:rFonts w:hint="default" w:ascii="Times New Roman" w:hAnsi="Times New Roman" w:eastAsia="方正仿宋_GB2312" w:cs="Times New Roman"/>
          <w:color w:val="auto"/>
          <w:sz w:val="32"/>
          <w:szCs w:val="32"/>
          <w:highlight w:val="none"/>
          <w:lang w:val="fr-FR" w:eastAsia="zh-CN"/>
        </w:rPr>
        <w:t>县政府办公室</w:t>
      </w:r>
      <w:r>
        <w:rPr>
          <w:rFonts w:hint="default" w:ascii="Times New Roman" w:hAnsi="Times New Roman" w:eastAsia="方正仿宋_GB2312" w:cs="Times New Roman"/>
          <w:color w:val="auto"/>
          <w:sz w:val="32"/>
          <w:szCs w:val="32"/>
          <w:highlight w:val="none"/>
          <w:lang w:val="fr-FR"/>
        </w:rPr>
        <w:t>202</w:t>
      </w:r>
      <w:r>
        <w:rPr>
          <w:rFonts w:hint="default" w:ascii="Times New Roman" w:hAnsi="Times New Roman" w:eastAsia="方正仿宋_GB2312" w:cs="Times New Roman"/>
          <w:color w:val="auto"/>
          <w:sz w:val="32"/>
          <w:szCs w:val="32"/>
          <w:highlight w:val="none"/>
          <w:lang w:val="fr-FR" w:eastAsia="zh-CN"/>
        </w:rPr>
        <w:t>4</w:t>
      </w:r>
      <w:r>
        <w:rPr>
          <w:rFonts w:hint="default" w:ascii="Times New Roman" w:hAnsi="Times New Roman" w:eastAsia="方正仿宋_GB2312" w:cs="Times New Roman"/>
          <w:color w:val="auto"/>
          <w:sz w:val="32"/>
          <w:szCs w:val="32"/>
          <w:highlight w:val="none"/>
          <w:lang w:val="fr-FR"/>
        </w:rPr>
        <w:t>年预算支出合计</w:t>
      </w:r>
      <w:r>
        <w:rPr>
          <w:rFonts w:hint="default" w:ascii="Times New Roman" w:hAnsi="Times New Roman" w:eastAsia="方正仿宋_GB2312" w:cs="Times New Roman"/>
          <w:bCs w:val="0"/>
          <w:color w:val="auto"/>
          <w:sz w:val="32"/>
          <w:szCs w:val="32"/>
          <w:highlight w:val="none"/>
          <w:lang w:val="fr-FR" w:eastAsia="zh-CN"/>
        </w:rPr>
        <w:t>1,441.14</w:t>
      </w:r>
      <w:r>
        <w:rPr>
          <w:rFonts w:hint="default" w:ascii="Times New Roman" w:hAnsi="Times New Roman" w:eastAsia="方正仿宋_GB2312" w:cs="Times New Roman"/>
          <w:color w:val="auto"/>
          <w:sz w:val="32"/>
          <w:szCs w:val="32"/>
          <w:highlight w:val="none"/>
          <w:lang w:val="fr-FR"/>
        </w:rPr>
        <w:t>万元，无年末结转和结余。本年支出中：基本支出</w:t>
      </w:r>
      <w:r>
        <w:rPr>
          <w:rFonts w:hint="default" w:ascii="Times New Roman" w:hAnsi="Times New Roman" w:eastAsia="方正仿宋_GB2312" w:cs="Times New Roman"/>
          <w:color w:val="auto"/>
          <w:sz w:val="32"/>
          <w:szCs w:val="32"/>
          <w:highlight w:val="none"/>
          <w:lang w:val="fr-FR" w:eastAsia="zh-CN"/>
        </w:rPr>
        <w:t>1,207.57</w:t>
      </w:r>
      <w:r>
        <w:rPr>
          <w:rFonts w:hint="default" w:ascii="Times New Roman" w:hAnsi="Times New Roman" w:eastAsia="方正仿宋_GB2312" w:cs="Times New Roman"/>
          <w:color w:val="auto"/>
          <w:sz w:val="32"/>
          <w:szCs w:val="32"/>
          <w:highlight w:val="none"/>
          <w:lang w:val="fr-FR"/>
        </w:rPr>
        <w:t>万元</w:t>
      </w:r>
      <w:r>
        <w:rPr>
          <w:rFonts w:hint="default" w:ascii="Times New Roman" w:hAnsi="Times New Roman" w:eastAsia="方正仿宋_GB2312" w:cs="Times New Roman"/>
          <w:color w:val="auto"/>
          <w:sz w:val="32"/>
          <w:szCs w:val="32"/>
          <w:highlight w:val="none"/>
          <w:lang w:val="fr-FR" w:eastAsia="zh-CN"/>
        </w:rPr>
        <w:t>（人员经费895.87万元、公用经费311.70万元）</w:t>
      </w:r>
      <w:r>
        <w:rPr>
          <w:rFonts w:hint="default" w:ascii="Times New Roman" w:hAnsi="Times New Roman" w:eastAsia="方正仿宋_GB2312" w:cs="Times New Roman"/>
          <w:color w:val="auto"/>
          <w:sz w:val="32"/>
          <w:szCs w:val="32"/>
          <w:highlight w:val="none"/>
          <w:lang w:val="fr-FR"/>
        </w:rPr>
        <w:t>，项目支出</w:t>
      </w:r>
      <w:r>
        <w:rPr>
          <w:rFonts w:hint="default" w:ascii="Times New Roman" w:hAnsi="Times New Roman" w:eastAsia="方正仿宋_GB2312" w:cs="Times New Roman"/>
          <w:color w:val="auto"/>
          <w:sz w:val="32"/>
          <w:szCs w:val="32"/>
          <w:highlight w:val="none"/>
          <w:lang w:val="fr-FR" w:eastAsia="zh-CN"/>
        </w:rPr>
        <w:t>233.57</w:t>
      </w:r>
      <w:r>
        <w:rPr>
          <w:rFonts w:hint="default" w:ascii="Times New Roman" w:hAnsi="Times New Roman" w:eastAsia="方正仿宋_GB2312" w:cs="Times New Roman"/>
          <w:color w:val="auto"/>
          <w:sz w:val="32"/>
          <w:szCs w:val="32"/>
          <w:highlight w:val="none"/>
          <w:lang w:val="fr-FR"/>
        </w:rPr>
        <w:t>万元。</w:t>
      </w:r>
    </w:p>
    <w:p w14:paraId="70A2FEF6">
      <w:pPr>
        <w:widowControl/>
        <w:spacing w:line="600" w:lineRule="exact"/>
        <w:ind w:firstLine="560"/>
        <w:outlineLvl w:val="9"/>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color w:val="auto"/>
          <w:sz w:val="32"/>
          <w:szCs w:val="32"/>
          <w:highlight w:val="none"/>
          <w:lang w:val="fr-FR"/>
        </w:rPr>
        <w:t>决算报表反映，</w:t>
      </w:r>
      <w:r>
        <w:rPr>
          <w:rFonts w:hint="default" w:ascii="Times New Roman" w:hAnsi="Times New Roman" w:eastAsia="方正仿宋_GB2312" w:cs="Times New Roman"/>
          <w:color w:val="auto"/>
          <w:sz w:val="32"/>
          <w:szCs w:val="32"/>
          <w:highlight w:val="none"/>
          <w:lang w:val="fr-FR" w:eastAsia="zh-CN"/>
        </w:rPr>
        <w:t>县政府办公室</w:t>
      </w:r>
      <w:r>
        <w:rPr>
          <w:rFonts w:hint="default" w:ascii="Times New Roman" w:hAnsi="Times New Roman" w:eastAsia="方正仿宋_GB2312" w:cs="Times New Roman"/>
          <w:color w:val="auto"/>
          <w:sz w:val="32"/>
          <w:szCs w:val="32"/>
          <w:highlight w:val="none"/>
          <w:lang w:val="fr-FR"/>
        </w:rPr>
        <w:t>202</w:t>
      </w:r>
      <w:r>
        <w:rPr>
          <w:rFonts w:hint="default" w:ascii="Times New Roman" w:hAnsi="Times New Roman" w:eastAsia="方正仿宋_GB2312" w:cs="Times New Roman"/>
          <w:color w:val="auto"/>
          <w:sz w:val="32"/>
          <w:szCs w:val="32"/>
          <w:highlight w:val="none"/>
          <w:lang w:val="fr-FR" w:eastAsia="zh-CN"/>
        </w:rPr>
        <w:t>4</w:t>
      </w:r>
      <w:r>
        <w:rPr>
          <w:rFonts w:hint="default" w:ascii="Times New Roman" w:hAnsi="Times New Roman" w:eastAsia="方正仿宋_GB2312" w:cs="Times New Roman"/>
          <w:color w:val="auto"/>
          <w:sz w:val="32"/>
          <w:szCs w:val="32"/>
          <w:highlight w:val="none"/>
          <w:lang w:val="fr-FR"/>
        </w:rPr>
        <w:t>年决算支出合计</w:t>
      </w:r>
      <w:r>
        <w:rPr>
          <w:rFonts w:hint="default" w:ascii="Times New Roman" w:hAnsi="Times New Roman" w:eastAsia="方正仿宋_GB2312" w:cs="Times New Roman"/>
          <w:bCs w:val="0"/>
          <w:color w:val="auto"/>
          <w:sz w:val="32"/>
          <w:szCs w:val="32"/>
          <w:highlight w:val="none"/>
          <w:lang w:val="fr-FR" w:eastAsia="zh-CN"/>
        </w:rPr>
        <w:t>1,581.90</w:t>
      </w:r>
      <w:r>
        <w:rPr>
          <w:rFonts w:hint="default" w:ascii="Times New Roman" w:hAnsi="Times New Roman" w:eastAsia="方正仿宋_GB2312" w:cs="Times New Roman"/>
          <w:color w:val="auto"/>
          <w:sz w:val="32"/>
          <w:szCs w:val="32"/>
          <w:highlight w:val="none"/>
          <w:lang w:val="fr-FR"/>
        </w:rPr>
        <w:t>万元，均为本年支出，</w:t>
      </w:r>
      <w:r>
        <w:rPr>
          <w:rFonts w:hint="default" w:ascii="Times New Roman" w:hAnsi="Times New Roman" w:eastAsia="方正仿宋_GB2312" w:cs="Times New Roman"/>
          <w:color w:val="auto"/>
          <w:sz w:val="32"/>
          <w:szCs w:val="32"/>
          <w:highlight w:val="none"/>
          <w:lang w:val="fr-FR" w:eastAsia="zh-CN"/>
        </w:rPr>
        <w:t>无</w:t>
      </w:r>
      <w:r>
        <w:rPr>
          <w:rFonts w:hint="default" w:ascii="Times New Roman" w:hAnsi="Times New Roman" w:eastAsia="方正仿宋_GB2312" w:cs="Times New Roman"/>
          <w:color w:val="auto"/>
          <w:sz w:val="32"/>
          <w:szCs w:val="32"/>
          <w:highlight w:val="none"/>
          <w:lang w:val="fr-FR"/>
        </w:rPr>
        <w:t>年末结转和结余。本年支出中：基本支出</w:t>
      </w:r>
      <w:r>
        <w:rPr>
          <w:rFonts w:hint="default" w:ascii="Times New Roman" w:hAnsi="Times New Roman" w:eastAsia="方正仿宋_GB2312" w:cs="Times New Roman"/>
          <w:color w:val="auto"/>
          <w:sz w:val="32"/>
          <w:szCs w:val="32"/>
          <w:highlight w:val="none"/>
          <w:lang w:val="fr-FR" w:eastAsia="zh-CN"/>
        </w:rPr>
        <w:t>1,215.77</w:t>
      </w:r>
      <w:r>
        <w:rPr>
          <w:rFonts w:hint="default" w:ascii="Times New Roman" w:hAnsi="Times New Roman" w:eastAsia="方正仿宋_GB2312" w:cs="Times New Roman"/>
          <w:color w:val="auto"/>
          <w:sz w:val="32"/>
          <w:szCs w:val="32"/>
          <w:highlight w:val="none"/>
          <w:lang w:val="fr-FR"/>
        </w:rPr>
        <w:t>万元（人员经费</w:t>
      </w:r>
      <w:r>
        <w:rPr>
          <w:rFonts w:hint="default" w:ascii="Times New Roman" w:hAnsi="Times New Roman" w:eastAsia="方正仿宋_GB2312" w:cs="Times New Roman"/>
          <w:color w:val="auto"/>
          <w:sz w:val="32"/>
          <w:szCs w:val="32"/>
          <w:highlight w:val="none"/>
          <w:lang w:val="fr-FR" w:eastAsia="zh-CN"/>
        </w:rPr>
        <w:t>915.10</w:t>
      </w:r>
      <w:r>
        <w:rPr>
          <w:rFonts w:hint="default" w:ascii="Times New Roman" w:hAnsi="Times New Roman" w:eastAsia="方正仿宋_GB2312" w:cs="Times New Roman"/>
          <w:color w:val="auto"/>
          <w:sz w:val="32"/>
          <w:szCs w:val="32"/>
          <w:highlight w:val="none"/>
          <w:lang w:val="fr-FR"/>
        </w:rPr>
        <w:t>万元、公用经费</w:t>
      </w:r>
      <w:r>
        <w:rPr>
          <w:rFonts w:hint="default" w:ascii="Times New Roman" w:hAnsi="Times New Roman" w:eastAsia="方正仿宋_GB2312" w:cs="Times New Roman"/>
          <w:color w:val="auto"/>
          <w:sz w:val="32"/>
          <w:szCs w:val="32"/>
          <w:highlight w:val="none"/>
          <w:lang w:val="fr-FR" w:eastAsia="zh-CN"/>
        </w:rPr>
        <w:t>300.66</w:t>
      </w:r>
      <w:r>
        <w:rPr>
          <w:rFonts w:hint="default" w:ascii="Times New Roman" w:hAnsi="Times New Roman" w:eastAsia="方正仿宋_GB2312" w:cs="Times New Roman"/>
          <w:color w:val="auto"/>
          <w:sz w:val="32"/>
          <w:szCs w:val="32"/>
          <w:highlight w:val="none"/>
          <w:lang w:val="fr-FR"/>
        </w:rPr>
        <w:t>万元），项目支出</w:t>
      </w:r>
      <w:r>
        <w:rPr>
          <w:rFonts w:hint="default" w:ascii="Times New Roman" w:hAnsi="Times New Roman" w:eastAsia="方正仿宋_GB2312" w:cs="Times New Roman"/>
          <w:color w:val="auto"/>
          <w:sz w:val="32"/>
          <w:szCs w:val="32"/>
          <w:highlight w:val="none"/>
          <w:lang w:val="fr-FR" w:eastAsia="zh-CN"/>
        </w:rPr>
        <w:t>366.13</w:t>
      </w:r>
      <w:r>
        <w:rPr>
          <w:rFonts w:hint="default" w:ascii="Times New Roman" w:hAnsi="Times New Roman" w:eastAsia="方正仿宋_GB2312" w:cs="Times New Roman"/>
          <w:color w:val="auto"/>
          <w:sz w:val="32"/>
          <w:szCs w:val="32"/>
          <w:highlight w:val="none"/>
          <w:lang w:val="fr-FR"/>
        </w:rPr>
        <w:t>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widowControl/>
        <w:spacing w:line="600" w:lineRule="exact"/>
        <w:ind w:firstLine="560"/>
        <w:outlineLvl w:val="9"/>
        <w:rPr>
          <w:rFonts w:hint="default" w:ascii="Times New Roman" w:hAnsi="Times New Roman" w:eastAsia="方正仿宋_GB2312" w:cs="Times New Roman"/>
          <w:color w:val="auto"/>
          <w:kern w:val="2"/>
          <w:sz w:val="32"/>
          <w:szCs w:val="32"/>
          <w:highlight w:val="none"/>
          <w:lang w:val="fr-FR"/>
        </w:rPr>
      </w:pPr>
      <w:r>
        <w:rPr>
          <w:rFonts w:hint="default" w:ascii="Times New Roman" w:hAnsi="Times New Roman" w:eastAsia="方正仿宋_GB2312" w:cs="Times New Roman"/>
          <w:color w:val="auto"/>
          <w:sz w:val="32"/>
          <w:szCs w:val="32"/>
          <w:highlight w:val="none"/>
          <w:lang w:val="fr-FR" w:eastAsia="zh-CN"/>
        </w:rPr>
        <w:t>决算报表反映</w:t>
      </w:r>
      <w:r>
        <w:rPr>
          <w:rFonts w:hint="default" w:ascii="Times New Roman" w:hAnsi="Times New Roman" w:eastAsia="方正仿宋_GB2312" w:cs="Times New Roman"/>
          <w:color w:val="auto"/>
          <w:sz w:val="32"/>
          <w:szCs w:val="32"/>
          <w:highlight w:val="none"/>
          <w:lang w:val="fr-FR"/>
        </w:rPr>
        <w:t>，</w:t>
      </w:r>
      <w:r>
        <w:rPr>
          <w:rFonts w:hint="default" w:ascii="Times New Roman" w:hAnsi="Times New Roman" w:eastAsia="方正仿宋_GB2312" w:cs="Times New Roman"/>
          <w:color w:val="auto"/>
          <w:sz w:val="32"/>
          <w:szCs w:val="32"/>
          <w:highlight w:val="none"/>
          <w:lang w:val="fr-FR" w:eastAsia="zh-CN"/>
        </w:rPr>
        <w:t>县政府办公室</w:t>
      </w:r>
      <w:r>
        <w:rPr>
          <w:rFonts w:hint="default" w:ascii="Times New Roman" w:hAnsi="Times New Roman" w:eastAsia="方正仿宋_GB2312" w:cs="Times New Roman"/>
          <w:color w:val="auto"/>
          <w:sz w:val="32"/>
          <w:szCs w:val="32"/>
          <w:highlight w:val="none"/>
          <w:lang w:val="fr-FR"/>
        </w:rPr>
        <w:t>202</w:t>
      </w:r>
      <w:r>
        <w:rPr>
          <w:rFonts w:hint="default" w:ascii="Times New Roman" w:hAnsi="Times New Roman" w:eastAsia="方正仿宋_GB2312" w:cs="Times New Roman"/>
          <w:color w:val="auto"/>
          <w:sz w:val="32"/>
          <w:szCs w:val="32"/>
          <w:highlight w:val="none"/>
          <w:lang w:val="fr-FR" w:eastAsia="zh-CN"/>
        </w:rPr>
        <w:t>4</w:t>
      </w:r>
      <w:r>
        <w:rPr>
          <w:rFonts w:hint="default" w:ascii="Times New Roman" w:hAnsi="Times New Roman" w:eastAsia="方正仿宋_GB2312" w:cs="Times New Roman"/>
          <w:color w:val="auto"/>
          <w:sz w:val="32"/>
          <w:szCs w:val="32"/>
          <w:highlight w:val="none"/>
          <w:lang w:val="fr-FR"/>
        </w:rPr>
        <w:t>年末无结余分配</w:t>
      </w:r>
      <w:r>
        <w:rPr>
          <w:rFonts w:hint="default" w:ascii="Times New Roman" w:hAnsi="Times New Roman" w:eastAsia="方正仿宋_GB2312" w:cs="Times New Roman"/>
          <w:color w:val="auto"/>
          <w:sz w:val="32"/>
          <w:szCs w:val="32"/>
          <w:highlight w:val="none"/>
          <w:lang w:val="fr-FR" w:eastAsia="zh-CN"/>
        </w:rPr>
        <w:t>和</w:t>
      </w:r>
      <w:r>
        <w:rPr>
          <w:rFonts w:hint="default" w:ascii="Times New Roman" w:hAnsi="Times New Roman" w:eastAsia="方正仿宋_GB2312" w:cs="Times New Roman"/>
          <w:color w:val="auto"/>
          <w:sz w:val="32"/>
          <w:szCs w:val="32"/>
          <w:highlight w:val="none"/>
          <w:lang w:val="fr-FR"/>
        </w:rPr>
        <w:t>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0974"/>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4DFC95F7">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19300"/>
      <w:bookmarkStart w:id="85" w:name="_Toc28011"/>
      <w:bookmarkStart w:id="86" w:name="_Toc22633"/>
      <w:bookmarkStart w:id="87" w:name="_Toc1418"/>
      <w:bookmarkStart w:id="88" w:name="_Toc3573"/>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bookmarkStart w:id="89" w:name="_Toc24652"/>
      <w:bookmarkStart w:id="90" w:name="_Toc132"/>
      <w:bookmarkStart w:id="91" w:name="_Toc11959"/>
    </w:p>
    <w:p w14:paraId="1DCB933B">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1.负责组织起草、审核以县政府、县政府办公室名义发布的公文、文稿。承办州政府、州政府办公室及各级各部门发送县政府的文电。指导全县行政机关公文处理工作。</w:t>
      </w:r>
    </w:p>
    <w:p w14:paraId="16CC43D9">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kern w:val="2"/>
          <w:sz w:val="32"/>
          <w:szCs w:val="32"/>
          <w:highlight w:val="none"/>
          <w:lang w:val="fr-FR" w:eastAsia="zh-CN" w:bidi="ar-SA"/>
        </w:rPr>
        <w:t>2.</w:t>
      </w:r>
      <w:r>
        <w:rPr>
          <w:rFonts w:hint="default" w:ascii="Times New Roman" w:hAnsi="Times New Roman" w:eastAsia="方正仿宋_GB2312" w:cs="Times New Roman"/>
          <w:color w:val="auto"/>
          <w:sz w:val="32"/>
          <w:szCs w:val="32"/>
          <w:highlight w:val="none"/>
          <w:lang w:val="fr-FR" w:eastAsia="zh-CN"/>
        </w:rPr>
        <w:t>负责县政府会议会务工作。协助县政府领导落实会议决定事项。</w:t>
      </w:r>
    </w:p>
    <w:p w14:paraId="280CA3A2">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3.承办县政府部门和乡镇人民政府请示县政府的事项，提出意见报县政府领导审批。</w:t>
      </w:r>
    </w:p>
    <w:p w14:paraId="46F3B08D">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4.督查反馈县政府决定事项及县政府领导批示指示贯彻落实情况。</w:t>
      </w:r>
    </w:p>
    <w:p w14:paraId="61BDE5DC">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5.协助县政府领导处理政务、事务。</w:t>
      </w:r>
    </w:p>
    <w:p w14:paraId="6CE79E5A">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6.指导、监督全县政府信息公开和机关行政效能建设工作，指导和监督全县政府系统电子政务工作及县政府信息化建设。</w:t>
      </w:r>
    </w:p>
    <w:p w14:paraId="6E8FE19C">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7.组织办理涉及县政府工作的人大代表议案、</w:t>
      </w:r>
      <w:r>
        <w:rPr>
          <w:rFonts w:hint="eastAsia" w:eastAsia="方正仿宋_GB2312" w:cs="Times New Roman"/>
          <w:color w:val="auto"/>
          <w:sz w:val="32"/>
          <w:szCs w:val="32"/>
          <w:highlight w:val="none"/>
          <w:lang w:val="fr-FR" w:eastAsia="zh-CN"/>
        </w:rPr>
        <w:t>建议、批评</w:t>
      </w:r>
      <w:r>
        <w:rPr>
          <w:rFonts w:hint="default" w:ascii="Times New Roman" w:hAnsi="Times New Roman" w:eastAsia="方正仿宋_GB2312" w:cs="Times New Roman"/>
          <w:color w:val="auto"/>
          <w:sz w:val="32"/>
          <w:szCs w:val="32"/>
          <w:highlight w:val="none"/>
          <w:lang w:val="fr-FR" w:eastAsia="zh-CN"/>
        </w:rPr>
        <w:t>和政协委员提案、社情民意等有关工作。</w:t>
      </w:r>
    </w:p>
    <w:p w14:paraId="7D7C6B79">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8.围绕县政府中心工作和县政府领导指示，组织专题调查研究，反映情况，提出政策性建议。</w:t>
      </w:r>
    </w:p>
    <w:p w14:paraId="25871A3B">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9.负责县政府值班工作，指导乡镇人民政府和县政府部门值班工作，及时报告重要情况。</w:t>
      </w:r>
    </w:p>
    <w:p w14:paraId="3B7BFA33">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fr-FR" w:eastAsia="zh-CN"/>
        </w:rPr>
        <w:t>10.办理县委和县政府交办的其他事项。</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6926"/>
      <w:bookmarkStart w:id="93" w:name="_Toc4650"/>
      <w:bookmarkStart w:id="94" w:name="_Toc30825"/>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bookmarkStart w:id="95" w:name="_Toc6491"/>
      <w:bookmarkStart w:id="96" w:name="_Toc24081"/>
      <w:bookmarkStart w:id="97" w:name="_Toc17536"/>
      <w:r>
        <w:rPr>
          <w:rFonts w:hint="default" w:ascii="Times New Roman" w:hAnsi="Times New Roman" w:eastAsia="方正仿宋_GB2312" w:cs="Times New Roman"/>
          <w:color w:val="auto"/>
          <w:sz w:val="32"/>
          <w:szCs w:val="32"/>
          <w:highlight w:val="none"/>
          <w:lang w:val="fr-FR" w:eastAsia="zh-CN"/>
        </w:rPr>
        <w:t>县政府办公室2024年认真落实中央、省、州纪委全会部署安排，重点完成以下工作任务：</w:t>
      </w:r>
    </w:p>
    <w:p w14:paraId="6DCD207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文秘股。负责协调服务县政府领导公务活动；负责县政府全体会议、县政府常务会议、县长办公会议秘书工作；负责县政府领导讲话稿的起草、审核工作；负责每月领导批示梳理汇总；办理县政府及县政府办公室各类文电的草拟、审核工作；协助开展领导指示批示的政务督查及目标督查相关工作；牵头负责省、州、县重大决策部署和重要会议精神的反馈。完成领导交办的其他工作任务。</w:t>
      </w:r>
    </w:p>
    <w:p w14:paraId="0B274E6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2.效能督查室。牵头组织开展县政府、县政府办公室督查活动；牵头负责省</w:t>
      </w:r>
      <w:r>
        <w:rPr>
          <w:rFonts w:hint="eastAsia" w:eastAsia="方正仿宋_GB2312" w:cs="Times New Roman"/>
          <w:color w:val="auto"/>
          <w:sz w:val="32"/>
          <w:szCs w:val="32"/>
          <w:highlight w:val="none"/>
          <w:lang w:val="fr-FR" w:eastAsia="zh-CN"/>
        </w:rPr>
        <w:t>、州</w:t>
      </w:r>
      <w:r>
        <w:rPr>
          <w:rFonts w:hint="default" w:ascii="Times New Roman" w:hAnsi="Times New Roman" w:eastAsia="方正仿宋_GB2312" w:cs="Times New Roman"/>
          <w:color w:val="auto"/>
          <w:sz w:val="32"/>
          <w:szCs w:val="32"/>
          <w:highlight w:val="none"/>
          <w:lang w:val="fr-FR" w:eastAsia="zh-CN"/>
        </w:rPr>
        <w:t>重大决策部署、县政府和县政府办公室会议议定事项以及领导批示、交办事项以及《政府工作报告》贯彻落实情况的督查工作；督促、检查县政府及县政府办公室会议纪律、文件运转质效的相关工作；牵头组织办理并跟踪督办涉及政府工作的人大代表议案、建议、批评意见和</w:t>
      </w:r>
      <w:r>
        <w:rPr>
          <w:rFonts w:hint="eastAsia" w:eastAsia="方正仿宋_GB2312" w:cs="Times New Roman"/>
          <w:color w:val="auto"/>
          <w:sz w:val="32"/>
          <w:szCs w:val="32"/>
          <w:highlight w:val="none"/>
          <w:lang w:val="fr-FR" w:eastAsia="zh-CN"/>
        </w:rPr>
        <w:t>政协委员提案</w:t>
      </w:r>
      <w:r>
        <w:rPr>
          <w:rFonts w:hint="default" w:ascii="Times New Roman" w:hAnsi="Times New Roman" w:eastAsia="方正仿宋_GB2312" w:cs="Times New Roman"/>
          <w:color w:val="auto"/>
          <w:sz w:val="32"/>
          <w:szCs w:val="32"/>
          <w:highlight w:val="none"/>
          <w:lang w:val="fr-FR" w:eastAsia="zh-CN"/>
        </w:rPr>
        <w:t>、社情民意等；指导全县政府系统机关行政效能建设；推进行政效能制度体系建设；归口受理全县行政效能投诉；负责县政府办公室效能建设。完成领导交办的其他工作任务。</w:t>
      </w:r>
    </w:p>
    <w:p w14:paraId="122FB65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调查研究室。负责县政府主要领导的政务服务和督查调研工作；牵头起草《政府工作报告》及县政府向省委、省政府、州委、州政府和县委的汇报材料；牵头起草县政府综合性文件和重要会议文件；指导全县政府系统调查研究和决策咨询工作；负责草拟《泸定县人民政府大事记》；指导全县政府系统调查、研究和决策、咨询工作；开展全县重大问题的决策咨询和跟踪调研；整理报送经济社会发展的重要信息、动态；负责分析、掌握国内外、省内外、州内外、县内外经济形势</w:t>
      </w:r>
      <w:r>
        <w:rPr>
          <w:rFonts w:hint="eastAsia" w:eastAsia="方正仿宋_GB2312" w:cs="Times New Roman"/>
          <w:color w:val="auto"/>
          <w:sz w:val="32"/>
          <w:szCs w:val="32"/>
          <w:highlight w:val="none"/>
          <w:lang w:val="fr-FR" w:eastAsia="zh-CN"/>
        </w:rPr>
        <w:t>，为</w:t>
      </w:r>
      <w:r>
        <w:rPr>
          <w:rFonts w:hint="default" w:ascii="Times New Roman" w:hAnsi="Times New Roman" w:eastAsia="方正仿宋_GB2312" w:cs="Times New Roman"/>
          <w:color w:val="auto"/>
          <w:sz w:val="32"/>
          <w:szCs w:val="32"/>
          <w:highlight w:val="none"/>
          <w:lang w:val="fr-FR" w:eastAsia="zh-CN"/>
        </w:rPr>
        <w:t>起草重大政策文件及重大决策提出政策建议。承办县政府主要领导交办的其他工作任务。</w:t>
      </w:r>
    </w:p>
    <w:p w14:paraId="714412A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4.电子政务股。负责县政府信息化建设工作；负责省政府直通涉密会议室的管理、维护工作；负责云协同办公平台建设、管理、保障工作。完成领导交办的其他工作任务。</w:t>
      </w:r>
    </w:p>
    <w:p w14:paraId="27BE7B21">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政务信息股。负责推进、指导、协调全县政府信息公开工作；负责县政府、县政府办公室的信息公开工作；负责全县政府信息公开的督查调研和考核评议；指导全县信息协同发布、保密审查机制建设工作；组织编制县政府信息公开年度报告；指导全县政府系统信息工作，负责全县政务信息和网络舆情的收集、整理、编辑、报送工作。完成领导交办的其他工作任务。</w:t>
      </w:r>
    </w:p>
    <w:p w14:paraId="15FE1D6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政策法规股。负责县政府办公室重大决策、重要行政措施发布前的合法性审查，承担县政府办公室报送规范性文件的审查；负责县政府常务会议会前学法的协调工作；负责组织开展县政府办公室法律法规的宣传、教育和培训工作。完成领导交办的其他工作任务。</w:t>
      </w:r>
    </w:p>
    <w:p w14:paraId="0886A13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行政财务股。负责办公室机关财务核算及管理工作；编制办公室年度财务预算计划；编制办公室年度财务决算报表；负责办公室干部职工报销费用审核、记账核算工作；负责办公室干部职工工资、福利、社保调整、核对、发放工作。完成领导交办的其他工作任务。</w:t>
      </w:r>
    </w:p>
    <w:p w14:paraId="7F2EF59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8.机关后勤股。负责县政府办公室后勤保障、车辆管理、资产管理、公务接待、节能减排、安全保卫、维稳综治等工作；负责县政府办公室基本建设和县政府、县政府办公室办公用房的房屋修缮、消防、环境卫生等工作。完成领导交办的其他工作任务。</w:t>
      </w:r>
    </w:p>
    <w:p w14:paraId="1657327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9.综合一室。负责县政府及县政府办公室各类会议会务工作；指导全县政府系统办公室会务工作；协助开展县政府大型活动，牵头组织开展县政府办公室大型活动；牵头负责县政府办公室年度目标管理工作；负责协调县政府办公室综合性事务工作。完成领导交办的其他工作任务。</w:t>
      </w:r>
    </w:p>
    <w:p w14:paraId="4830380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10.综合二室。负责县政府、县政府办公室的文电收发、登记、分办工作；负责以县政府、县政府办公室名义发出公文的核稿、印制、运转等工作；负责密码电报的分办、传阅、管理；负责县政府办公室公文管理工作；指导全县政府系统办公室公文处理工作；负责县政府办公室的机要、保密、档案等工作；负责县政府、县政府办公室印鉴管理工作。完成领导交办的其他工作任务。</w:t>
      </w:r>
    </w:p>
    <w:p w14:paraId="244AF3E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11.综合三室。统筹安排县政府、县政府办公室日常值班、干部教育培训等工作；负责全县政府系统紧急和突发事件的</w:t>
      </w:r>
      <w:r>
        <w:rPr>
          <w:rFonts w:hint="eastAsia" w:eastAsia="方正仿宋_GB2312" w:cs="Times New Roman"/>
          <w:color w:val="auto"/>
          <w:sz w:val="32"/>
          <w:szCs w:val="32"/>
          <w:highlight w:val="none"/>
          <w:lang w:val="fr-FR" w:eastAsia="zh-CN"/>
        </w:rPr>
        <w:t>信息收集</w:t>
      </w:r>
      <w:r>
        <w:rPr>
          <w:rFonts w:hint="default" w:ascii="Times New Roman" w:hAnsi="Times New Roman" w:eastAsia="方正仿宋_GB2312" w:cs="Times New Roman"/>
          <w:color w:val="auto"/>
          <w:sz w:val="32"/>
          <w:szCs w:val="32"/>
          <w:highlight w:val="none"/>
          <w:lang w:val="fr-FR" w:eastAsia="zh-CN"/>
        </w:rPr>
        <w:t>、</w:t>
      </w:r>
      <w:r>
        <w:rPr>
          <w:rFonts w:hint="eastAsia" w:eastAsia="方正仿宋_GB2312" w:cs="Times New Roman"/>
          <w:color w:val="auto"/>
          <w:sz w:val="32"/>
          <w:szCs w:val="32"/>
          <w:highlight w:val="none"/>
          <w:lang w:val="fr-FR" w:eastAsia="zh-CN"/>
        </w:rPr>
        <w:t>整理</w:t>
      </w:r>
      <w:r>
        <w:rPr>
          <w:rFonts w:hint="default" w:ascii="Times New Roman" w:hAnsi="Times New Roman" w:eastAsia="方正仿宋_GB2312" w:cs="Times New Roman"/>
          <w:color w:val="auto"/>
          <w:sz w:val="32"/>
          <w:szCs w:val="32"/>
          <w:highlight w:val="none"/>
          <w:lang w:val="fr-FR" w:eastAsia="zh-CN"/>
        </w:rPr>
        <w:t>、</w:t>
      </w:r>
      <w:r>
        <w:rPr>
          <w:rFonts w:hint="eastAsia" w:eastAsia="方正仿宋_GB2312" w:cs="Times New Roman"/>
          <w:color w:val="auto"/>
          <w:sz w:val="32"/>
          <w:szCs w:val="32"/>
          <w:highlight w:val="none"/>
          <w:lang w:val="fr-FR" w:eastAsia="zh-CN"/>
        </w:rPr>
        <w:t>管理</w:t>
      </w:r>
      <w:r>
        <w:rPr>
          <w:rFonts w:hint="default" w:ascii="Times New Roman" w:hAnsi="Times New Roman" w:eastAsia="方正仿宋_GB2312" w:cs="Times New Roman"/>
          <w:color w:val="auto"/>
          <w:sz w:val="32"/>
          <w:szCs w:val="32"/>
          <w:highlight w:val="none"/>
          <w:lang w:val="fr-FR" w:eastAsia="zh-CN"/>
        </w:rPr>
        <w:t>、报告工作；负责县政府办公室机构编制及离退休人员有关工作；负责县政府领导人事信息的收集、整理等工作；协调工会组织、共青团组织、妇女组织搞好职工文化、思想教育等工作；牵头县政府办公室结对走访、精准帮扶工作；负责县政府办公室党的建设、精神文明建设有关工作。完成领导交办的其他工作任务。</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13068"/>
      <w:bookmarkStart w:id="99" w:name="_Toc32189"/>
      <w:bookmarkStart w:id="100" w:name="_Toc21154"/>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9571"/>
      <w:bookmarkStart w:id="102" w:name="_Toc11694"/>
      <w:bookmarkStart w:id="103" w:name="_Toc24619"/>
      <w:bookmarkStart w:id="104" w:name="_Toc7521"/>
      <w:bookmarkStart w:id="105" w:name="_Toc24977"/>
      <w:bookmarkStart w:id="106" w:name="_Toc28828"/>
      <w:bookmarkStart w:id="107" w:name="_Toc428273082"/>
      <w:bookmarkStart w:id="108" w:name="_Toc8903"/>
      <w:bookmarkStart w:id="109" w:name="_Toc109483840"/>
      <w:bookmarkStart w:id="110" w:name="_Toc27305"/>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评价小组按照评价日程安排，对县政府办公室提交的评价资料进行认真梳理，测算分析各项指标，汇总评分并形成评价报告。</w:t>
      </w:r>
    </w:p>
    <w:p w14:paraId="5A0A37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1.对相关资料进行研读，对整体评价有基本的把握和了解，归纳出进一步评价所需的信息供下一步取数参考。</w:t>
      </w:r>
    </w:p>
    <w:p w14:paraId="5D575BB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2.集中对各个评价指标逐一进行分析，以保证取数的准确性。</w:t>
      </w:r>
    </w:p>
    <w:p w14:paraId="777A176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4.根据评价结果，撰写评价报告。</w:t>
      </w:r>
    </w:p>
    <w:p w14:paraId="0280D38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仿宋"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fr-FR"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4380"/>
      <w:bookmarkStart w:id="113" w:name="_Toc30977"/>
      <w:bookmarkStart w:id="114" w:name="_Toc16416"/>
      <w:bookmarkStart w:id="115" w:name="_Toc3794"/>
      <w:bookmarkStart w:id="116" w:name="_Toc23900"/>
      <w:bookmarkStart w:id="117" w:name="_Toc4385"/>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2024年度，县政府办公室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县政府办公室在维持部门运转的基础上，完成了部门职责范围内的各项工作，部门履职情况较好。</w:t>
      </w:r>
    </w:p>
    <w:p w14:paraId="620B4BF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按照设定的评价指标体系，通过对县政府办公室2024年度部门整体支出情况在预算编制、预算执行、完成结果、信息公开、整改反馈、自评质量方面进行综合评价，2024年度县政府办公室部门整体支出绩效评价指标分值100.00分，得分89.22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leftChars="0" w:firstLine="320" w:firstLineChars="100"/>
        <w:jc w:val="both"/>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县政府办公室</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6"/>
        <w:gridCol w:w="2331"/>
        <w:gridCol w:w="1339"/>
        <w:gridCol w:w="644"/>
        <w:gridCol w:w="836"/>
        <w:gridCol w:w="837"/>
      </w:tblGrid>
      <w:tr w14:paraId="7713A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08C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一级指标</w:t>
            </w: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1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二级指标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E76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三级指标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7D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分值</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FA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扣分</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003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b/>
                <w:bCs/>
                <w:i w:val="0"/>
                <w:iCs w:val="0"/>
                <w:color w:val="000000"/>
                <w:sz w:val="20"/>
                <w:szCs w:val="20"/>
                <w:u w:val="none"/>
              </w:rPr>
            </w:pPr>
            <w:r>
              <w:rPr>
                <w:rFonts w:hint="eastAsia" w:ascii="方正仿宋_GB2312" w:hAnsi="方正仿宋_GB2312" w:eastAsia="方正仿宋_GB2312" w:cs="方正仿宋_GB2312"/>
                <w:b/>
                <w:bCs/>
                <w:i w:val="0"/>
                <w:iCs w:val="0"/>
                <w:color w:val="000000"/>
                <w:kern w:val="0"/>
                <w:sz w:val="20"/>
                <w:szCs w:val="20"/>
                <w:u w:val="none"/>
                <w:lang w:val="en-US" w:eastAsia="zh-CN" w:bidi="ar"/>
              </w:rPr>
              <w:t>得分</w:t>
            </w:r>
          </w:p>
        </w:tc>
      </w:tr>
      <w:tr w14:paraId="6E650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29E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部门预算管理（</w:t>
            </w:r>
            <w:r>
              <w:rPr>
                <w:rFonts w:hint="default" w:ascii="Times New Roman" w:hAnsi="Times New Roman" w:eastAsia="方正仿宋_GB2312" w:cs="Times New Roman"/>
                <w:i w:val="0"/>
                <w:iCs w:val="0"/>
                <w:color w:val="000000"/>
                <w:kern w:val="0"/>
                <w:sz w:val="20"/>
                <w:szCs w:val="20"/>
                <w:u w:val="none"/>
                <w:lang w:val="en-US" w:eastAsia="zh-CN" w:bidi="ar"/>
              </w:rPr>
              <w:t>50</w:t>
            </w:r>
            <w:r>
              <w:rPr>
                <w:rFonts w:hint="eastAsia" w:ascii="方正仿宋_GB2312" w:hAnsi="方正仿宋_GB2312" w:eastAsia="方正仿宋_GB2312" w:cs="方正仿宋_GB2312"/>
                <w:i w:val="0"/>
                <w:iCs w:val="0"/>
                <w:color w:val="000000"/>
                <w:kern w:val="0"/>
                <w:sz w:val="20"/>
                <w:szCs w:val="20"/>
                <w:u w:val="none"/>
                <w:lang w:val="en-US" w:eastAsia="zh-CN" w:bidi="ar"/>
              </w:rPr>
              <w:t>分）</w:t>
            </w:r>
          </w:p>
        </w:tc>
        <w:tc>
          <w:tcPr>
            <w:tcW w:w="1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A1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目标管理（15分）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6D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目标制定</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145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94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79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14:paraId="6790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AC7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930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9EF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目标实现</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B5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B7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E4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r>
      <w:tr w14:paraId="2146E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F43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123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过程控制（10分）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41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执行进度</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6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C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0.18</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327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3.82</w:t>
            </w:r>
          </w:p>
        </w:tc>
      </w:tr>
      <w:tr w14:paraId="67DE9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C1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41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81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同步调整</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94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9A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C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r>
      <w:tr w14:paraId="04F5B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E87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4A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F0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及时处置</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F7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2D7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8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r>
      <w:tr w14:paraId="428F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3F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EE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完成效率（5分）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5A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预算结余率</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4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C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7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r>
      <w:tr w14:paraId="4CD1E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FE2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0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完成效果（20分）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1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实施效果</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F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F4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776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r>
      <w:tr w14:paraId="0D6EE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0E2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专项预算绩效（</w:t>
            </w:r>
            <w:r>
              <w:rPr>
                <w:rFonts w:hint="default" w:ascii="Times New Roman" w:hAnsi="Times New Roman" w:eastAsia="方正仿宋_GB2312" w:cs="Times New Roman"/>
                <w:i w:val="0"/>
                <w:iCs w:val="0"/>
                <w:color w:val="000000"/>
                <w:kern w:val="0"/>
                <w:sz w:val="20"/>
                <w:szCs w:val="20"/>
                <w:u w:val="none"/>
                <w:lang w:val="en-US" w:eastAsia="zh-CN" w:bidi="ar"/>
              </w:rPr>
              <w:t>30</w:t>
            </w:r>
            <w:r>
              <w:rPr>
                <w:rFonts w:hint="eastAsia" w:ascii="方正仿宋_GB2312" w:hAnsi="方正仿宋_GB2312" w:eastAsia="方正仿宋_GB2312" w:cs="方正仿宋_GB2312"/>
                <w:i w:val="0"/>
                <w:iCs w:val="0"/>
                <w:color w:val="000000"/>
                <w:kern w:val="0"/>
                <w:sz w:val="20"/>
                <w:szCs w:val="20"/>
                <w:u w:val="none"/>
                <w:lang w:val="en-US" w:eastAsia="zh-CN" w:bidi="ar"/>
              </w:rPr>
              <w:t>分）</w:t>
            </w: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6B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整体完成（30分）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9DF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完成率</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810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3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724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26.4</w:t>
            </w:r>
          </w:p>
        </w:tc>
      </w:tr>
      <w:tr w14:paraId="06001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B4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绩效结果应用（</w:t>
            </w:r>
            <w:r>
              <w:rPr>
                <w:rFonts w:hint="default" w:ascii="Times New Roman" w:hAnsi="Times New Roman" w:eastAsia="方正仿宋_GB2312" w:cs="Times New Roman"/>
                <w:i w:val="0"/>
                <w:iCs w:val="0"/>
                <w:color w:val="000000"/>
                <w:kern w:val="0"/>
                <w:sz w:val="20"/>
                <w:szCs w:val="20"/>
                <w:u w:val="none"/>
                <w:lang w:val="en-US" w:eastAsia="zh-CN" w:bidi="ar"/>
              </w:rPr>
              <w:t>14</w:t>
            </w:r>
            <w:r>
              <w:rPr>
                <w:rFonts w:hint="eastAsia" w:ascii="方正仿宋_GB2312" w:hAnsi="方正仿宋_GB2312" w:eastAsia="方正仿宋_GB2312" w:cs="方正仿宋_GB2312"/>
                <w:i w:val="0"/>
                <w:iCs w:val="0"/>
                <w:color w:val="000000"/>
                <w:kern w:val="0"/>
                <w:sz w:val="20"/>
                <w:szCs w:val="20"/>
                <w:u w:val="none"/>
                <w:lang w:val="en-US" w:eastAsia="zh-CN" w:bidi="ar"/>
              </w:rPr>
              <w:t>分）</w:t>
            </w:r>
          </w:p>
        </w:tc>
        <w:tc>
          <w:tcPr>
            <w:tcW w:w="1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7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内部应用（4分）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0BB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预算挂钩</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C2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8A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E9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236E7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CA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F6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信息公开（4分）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2D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自评公开</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31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D9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8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r>
      <w:tr w14:paraId="1694B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06E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方正仿宋_GB2312" w:hAnsi="方正仿宋_GB2312" w:eastAsia="方正仿宋_GB2312" w:cs="方正仿宋_GB2312"/>
                <w:i w:val="0"/>
                <w:iCs w:val="0"/>
                <w:color w:val="000000"/>
                <w:sz w:val="20"/>
                <w:szCs w:val="20"/>
                <w:u w:val="none"/>
              </w:rPr>
            </w:pPr>
          </w:p>
        </w:tc>
        <w:tc>
          <w:tcPr>
            <w:tcW w:w="1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35A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整改反馈（6分）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FCC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问题整改</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4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6</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405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27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eastAsia="宋体" w:cs="Times New Roman"/>
                <w:i w:val="0"/>
                <w:iCs w:val="0"/>
                <w:color w:val="000000"/>
                <w:kern w:val="0"/>
                <w:sz w:val="20"/>
                <w:szCs w:val="20"/>
                <w:u w:val="none"/>
                <w:lang w:val="en-US" w:eastAsia="zh-CN" w:bidi="ar"/>
              </w:rPr>
              <w:t>6</w:t>
            </w:r>
          </w:p>
        </w:tc>
      </w:tr>
      <w:tr w14:paraId="0ABEA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0E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自评质量（6分）</w:t>
            </w:r>
          </w:p>
        </w:tc>
        <w:tc>
          <w:tcPr>
            <w:tcW w:w="1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7E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自评质量（6分）</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6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自评质量</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A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0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04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14:paraId="7F65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63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81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合计</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612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3B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10.78</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DFA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89.22</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8" w:name="_Toc13729"/>
      <w:bookmarkStart w:id="119" w:name="_Toc4242"/>
      <w:bookmarkStart w:id="120" w:name="_Toc14707"/>
      <w:bookmarkStart w:id="121" w:name="_Toc26985"/>
      <w:bookmarkStart w:id="122" w:name="_Toc1687911260"/>
      <w:bookmarkStart w:id="123" w:name="_Toc16394"/>
      <w:bookmarkStart w:id="124" w:name="_Toc109483841"/>
      <w:bookmarkStart w:id="125" w:name="_Toc24818"/>
      <w:bookmarkStart w:id="126" w:name="_Toc28266"/>
      <w:bookmarkStart w:id="127" w:name="_Toc31945"/>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县政府办公室认真落实中央、省、州纪委全会部署安排，积极主动围绕中心、服务大局，坚定不移正风肃纪反腐，扎实推进主题教育和教育整顿。通过评价组对县政府办公室进行事后评价，最终县政府办公室绩效等级为“良”。秉承科学公正、统筹兼顾、激励约束和公开透明财政绩效原则。</w:t>
      </w:r>
      <w:r>
        <w:rPr>
          <w:rFonts w:hint="eastAsia" w:eastAsia="方正仿宋_GB2312" w:cs="Times New Roman"/>
          <w:color w:val="auto"/>
          <w:sz w:val="32"/>
          <w:szCs w:val="32"/>
          <w:highlight w:val="none"/>
          <w:lang w:val="fr-FR" w:eastAsia="zh-CN"/>
        </w:rPr>
        <w:t>我局</w:t>
      </w:r>
      <w:r>
        <w:rPr>
          <w:rFonts w:hint="default" w:ascii="Times New Roman" w:hAnsi="Times New Roman" w:eastAsia="方正仿宋_GB2312" w:cs="Times New Roman"/>
          <w:color w:val="auto"/>
          <w:sz w:val="32"/>
          <w:szCs w:val="32"/>
          <w:highlight w:val="none"/>
          <w:lang w:val="fr-FR" w:eastAsia="zh-CN"/>
        </w:rPr>
        <w:t>建议泸定县财政局针对部门预算绩效管理，进一步要求县政府办公室完善绩效目标编制、提高绩效自评质量、加强年初预算编制准确性。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1.部门预算总体绩效管理情况</w:t>
      </w:r>
    </w:p>
    <w:p w14:paraId="18E7688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（1）目标管理</w:t>
      </w:r>
    </w:p>
    <w:p w14:paraId="14F83ED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二级指标“目标管理”下设两个三级指标分别为：目标制定、目标实现。</w:t>
      </w:r>
    </w:p>
    <w:p w14:paraId="5852C1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①目标制定</w:t>
      </w:r>
    </w:p>
    <w:p w14:paraId="4059A89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根据县政府办公室在泸定县人民政府门户网站公开的2024年度部门预算和绩效目标，制定了年度部门及项目整体支出绩效目标，绩效目标涵盖数量、质量、时效、效益等指标，但存在绩效目标要素不齐全、指标设置</w:t>
      </w:r>
      <w:r>
        <w:rPr>
          <w:rFonts w:hint="default" w:ascii="Times New Roman" w:hAnsi="Times New Roman" w:eastAsia="方正仿宋_GB2312" w:cs="Times New Roman"/>
          <w:b w:val="0"/>
          <w:bCs w:val="0"/>
          <w:color w:val="auto"/>
          <w:sz w:val="32"/>
          <w:szCs w:val="32"/>
          <w:highlight w:val="none"/>
          <w:lang w:val="fr-FR" w:eastAsia="zh-CN"/>
        </w:rPr>
        <w:t>不细化、不合理</w:t>
      </w:r>
      <w:r>
        <w:rPr>
          <w:rFonts w:hint="default" w:ascii="Times New Roman" w:hAnsi="Times New Roman" w:eastAsia="方正仿宋_GB2312" w:cs="Times New Roman"/>
          <w:color w:val="auto"/>
          <w:sz w:val="32"/>
          <w:szCs w:val="32"/>
          <w:highlight w:val="none"/>
          <w:lang w:val="fr-FR" w:eastAsia="zh-CN"/>
        </w:rPr>
        <w:t>的情况。扣除2.00分。</w:t>
      </w:r>
    </w:p>
    <w:p w14:paraId="4392A5A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本项分值为10.00分，扣2.00分，得分为8.00分。</w:t>
      </w:r>
    </w:p>
    <w:p w14:paraId="051439E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②目标实现</w:t>
      </w:r>
    </w:p>
    <w:p w14:paraId="692F37B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根据县政府办公室提供的2024年度年初预算项目绩效目标申报表及项目完成资料，县政府办公室整体涉及2个数量指标、2个质量指标、1个时效指标、1个成本指标、1个可持续影响指标、2个满意度指标。根据现场评价情况，实际完成2个数量指标，完成率100%；实际完成1个成本指标，完成率100%。</w:t>
      </w:r>
    </w:p>
    <w:p w14:paraId="35DC9D7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本项分值为5.00分，扣0.00分，得分为5.00分。</w:t>
      </w:r>
    </w:p>
    <w:p w14:paraId="07A848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（2）过程控制</w:t>
      </w:r>
    </w:p>
    <w:p w14:paraId="51D011BB">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二级指标“过程控制”下设三个三级指标分别为：执行进度、同步调整、及时处置。</w:t>
      </w:r>
    </w:p>
    <w:p w14:paraId="2AC6A6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①执行进度</w:t>
      </w:r>
    </w:p>
    <w:p w14:paraId="507D192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widowControl/>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根据被评价单位提供的1-6月、1-9月、1-11月可执行指标执行情况表显示，2024年县政府办公室</w:t>
      </w:r>
      <w:r>
        <w:rPr>
          <w:rFonts w:hint="default" w:ascii="Times New Roman" w:hAnsi="Times New Roman" w:eastAsia="方正仿宋_GB2312" w:cs="Times New Roman"/>
          <w:bCs w:val="0"/>
          <w:color w:val="auto"/>
          <w:sz w:val="32"/>
          <w:szCs w:val="32"/>
          <w:highlight w:val="none"/>
          <w:lang w:val="fr-FR" w:eastAsia="zh-CN"/>
        </w:rPr>
        <w:t>1—6月预算数1,669.31万元，实际执行数677.68万元，进度为40.60%；1—9月预算数1,669.31万元，实际执行数1,060.63万元，进度为63.54%；1—11月预算数1,669.31万元，实际执行数1,292.53万元，进度为77.43%</w:t>
      </w:r>
      <w:r>
        <w:rPr>
          <w:rFonts w:hint="default" w:ascii="Times New Roman" w:hAnsi="Times New Roman" w:eastAsia="方正仿宋_GB2312" w:cs="Times New Roman"/>
          <w:color w:val="auto"/>
          <w:sz w:val="32"/>
          <w:szCs w:val="32"/>
          <w:highlight w:val="none"/>
          <w:lang w:val="fr-FR" w:eastAsia="zh-CN"/>
        </w:rPr>
        <w:t>。</w:t>
      </w:r>
    </w:p>
    <w:p w14:paraId="453EC0F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上述三个阶段中，根据可执行指标执行情况表被评价单位1-6月实际支出进度已达到目标进度，但1-9月、1-11月实际支出进度未达到目标进度。</w:t>
      </w:r>
    </w:p>
    <w:p w14:paraId="51F3DF0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本项分值为4.00分，扣0.18分，得分为3.82分。</w:t>
      </w:r>
    </w:p>
    <w:p w14:paraId="22956C4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②同步调整</w:t>
      </w:r>
    </w:p>
    <w:p w14:paraId="6C6EECA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2024年县政府办公室预算项目25个，根据被评价单位提供的可执行指标执行情况表，预算调整项目13个，均随预算调整同步完成绩效目标调整。</w:t>
      </w:r>
    </w:p>
    <w:p w14:paraId="67B9BB7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本项分值为3.00分，扣0.00分，得分为3.00分。</w:t>
      </w:r>
    </w:p>
    <w:p w14:paraId="2756E4F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③及时处置</w:t>
      </w:r>
    </w:p>
    <w:p w14:paraId="7D6D253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 xml:space="preserve">2024年，县财政局未对县政府办公室开展绩效运行监控，未提出预算收回的意见及相关问题。             </w:t>
      </w:r>
    </w:p>
    <w:p w14:paraId="3F0CF77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本项分值为3.00分，扣0.00分，得分为3.00分。</w:t>
      </w:r>
    </w:p>
    <w:p w14:paraId="28F3F60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（3）完成效率</w:t>
      </w:r>
    </w:p>
    <w:p w14:paraId="6AD9472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二级指标“完成效率”下设一个三级指标为：预算结余率。</w:t>
      </w:r>
    </w:p>
    <w:p w14:paraId="73B5FAF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根据县政府办公室2024</w:t>
      </w:r>
      <w:r>
        <w:rPr>
          <w:rFonts w:hint="eastAsia" w:eastAsia="方正仿宋_GB2312" w:cs="Times New Roman"/>
          <w:color w:val="auto"/>
          <w:sz w:val="32"/>
          <w:szCs w:val="32"/>
          <w:highlight w:val="none"/>
          <w:lang w:val="fr-FR" w:eastAsia="zh-CN"/>
        </w:rPr>
        <w:t>年度</w:t>
      </w:r>
      <w:r>
        <w:rPr>
          <w:rFonts w:hint="default" w:ascii="Times New Roman" w:hAnsi="Times New Roman" w:eastAsia="方正仿宋_GB2312" w:cs="Times New Roman"/>
          <w:color w:val="auto"/>
          <w:sz w:val="32"/>
          <w:szCs w:val="32"/>
          <w:highlight w:val="none"/>
          <w:lang w:val="fr-FR" w:eastAsia="zh-CN"/>
        </w:rPr>
        <w:t>决算报表与可执行指标执行情况表被评价单位2024年度预算项目共计25个，部门预算项目资金结余率小于10%有22个，大于10%有3个。</w:t>
      </w:r>
    </w:p>
    <w:p w14:paraId="4A928B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本项分值为5.00分，扣0.60分，得分为4.40分。</w:t>
      </w:r>
    </w:p>
    <w:p w14:paraId="38BE5ED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w:t>
      </w:r>
      <w:r>
        <w:rPr>
          <w:rFonts w:hint="default" w:ascii="Times New Roman" w:hAnsi="Times New Roman" w:eastAsia="方正仿宋_GB2312" w:cs="Times New Roman"/>
          <w:color w:val="auto"/>
          <w:sz w:val="32"/>
          <w:szCs w:val="32"/>
          <w:highlight w:val="none"/>
          <w:lang w:val="fr-FR"/>
        </w:rPr>
        <w:t>部门预算项目绩效</w:t>
      </w:r>
      <w:r>
        <w:rPr>
          <w:rFonts w:hint="default" w:ascii="Times New Roman" w:hAnsi="Times New Roman" w:eastAsia="方正仿宋_GB2312" w:cs="Times New Roman"/>
          <w:color w:val="auto"/>
          <w:sz w:val="32"/>
          <w:szCs w:val="32"/>
          <w:highlight w:val="none"/>
          <w:lang w:val="fr-FR" w:eastAsia="zh-CN"/>
        </w:rPr>
        <w:t>管理情况</w:t>
      </w:r>
    </w:p>
    <w:p w14:paraId="5AC668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（1）完成效果</w:t>
      </w:r>
    </w:p>
    <w:p w14:paraId="2B68E0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二级指标“完成效果”下设一个三级指标为实施效果。</w:t>
      </w:r>
    </w:p>
    <w:p w14:paraId="37D66CB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2024年县政府办公室部门预算项目共25个，涉及预算资金501.72万元，评价组抽取项目的绩效评价指标体系均采用《2025年泸定县部门整体支出绩效评价指标体系》，抽取的项目为2026年电子政务外网运行维护服务、党政机关办公用房危房排查整治专项工作加固维修项目、《四川农村年鉴（2021）》入编经费，抽取项目预算资金</w:t>
      </w:r>
      <w:r>
        <w:rPr>
          <w:rFonts w:hint="default" w:ascii="Times New Roman" w:hAnsi="Times New Roman" w:eastAsia="方正仿宋_GB2312" w:cs="Times New Roman"/>
          <w:bCs w:val="0"/>
          <w:color w:val="auto"/>
          <w:sz w:val="32"/>
          <w:szCs w:val="32"/>
          <w:highlight w:val="none"/>
          <w:lang w:val="fr-FR" w:eastAsia="zh-CN"/>
        </w:rPr>
        <w:t>179.63</w:t>
      </w:r>
      <w:r>
        <w:rPr>
          <w:rFonts w:hint="default" w:ascii="Times New Roman" w:hAnsi="Times New Roman" w:eastAsia="方正仿宋_GB2312" w:cs="Times New Roman"/>
          <w:color w:val="auto"/>
          <w:sz w:val="32"/>
          <w:szCs w:val="32"/>
          <w:highlight w:val="none"/>
          <w:lang w:val="fr-FR" w:eastAsia="zh-CN"/>
        </w:rPr>
        <w:t>万元。经评价小组复核评分，抽查的预算项目平均得分88.00分。</w:t>
      </w:r>
    </w:p>
    <w:p w14:paraId="4ADF518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本项分值为20.00分，扣2.40分，得分为17.60分。</w:t>
      </w:r>
    </w:p>
    <w:p w14:paraId="3B1C687A">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kern w:val="2"/>
          <w:sz w:val="32"/>
          <w:szCs w:val="32"/>
          <w:highlight w:val="none"/>
          <w:lang w:val="fr-FR" w:eastAsia="zh-CN" w:bidi="ar-SA"/>
        </w:rPr>
        <w:t>3.</w:t>
      </w:r>
      <w:r>
        <w:rPr>
          <w:rFonts w:hint="default" w:ascii="Times New Roman" w:hAnsi="Times New Roman" w:eastAsia="方正仿宋_GB2312" w:cs="Times New Roman"/>
          <w:color w:val="auto"/>
          <w:sz w:val="32"/>
          <w:szCs w:val="32"/>
          <w:highlight w:val="none"/>
          <w:lang w:val="fr-FR"/>
        </w:rPr>
        <w:t>专项预算绩效</w:t>
      </w:r>
      <w:r>
        <w:rPr>
          <w:rFonts w:hint="default" w:ascii="Times New Roman" w:hAnsi="Times New Roman" w:eastAsia="方正仿宋_GB2312" w:cs="Times New Roman"/>
          <w:color w:val="auto"/>
          <w:sz w:val="32"/>
          <w:szCs w:val="32"/>
          <w:highlight w:val="none"/>
          <w:lang w:val="fr-FR" w:eastAsia="zh-CN"/>
        </w:rPr>
        <w:t>管理情况</w:t>
      </w:r>
    </w:p>
    <w:p w14:paraId="19A5BE0D">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（1）整体完成</w:t>
      </w:r>
    </w:p>
    <w:p w14:paraId="1B9DC6F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二级指标“整体完成”下设一个三级指标为：完成率。</w:t>
      </w:r>
    </w:p>
    <w:p w14:paraId="7C2923A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2024年，县政府办公室预算项目25个，评价组抽取专项预算项目1个，抽取项目预算资金46.50万元，抽取项目为“政府办2024年工作经费”。经评价小组复核评分，抽查的预算项目平均得分88.00分。</w:t>
      </w:r>
    </w:p>
    <w:p w14:paraId="7C50EB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本项分值为30.00分，扣3.60分，得分为26.40分。</w:t>
      </w:r>
    </w:p>
    <w:p w14:paraId="6B552CA4">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kern w:val="2"/>
          <w:sz w:val="32"/>
          <w:szCs w:val="32"/>
          <w:highlight w:val="none"/>
          <w:lang w:val="fr-FR" w:eastAsia="zh-CN" w:bidi="ar-SA"/>
        </w:rPr>
        <w:t>4.</w:t>
      </w:r>
      <w:r>
        <w:rPr>
          <w:rFonts w:hint="default" w:ascii="Times New Roman" w:hAnsi="Times New Roman" w:eastAsia="方正仿宋_GB2312" w:cs="Times New Roman"/>
          <w:color w:val="auto"/>
          <w:sz w:val="32"/>
          <w:szCs w:val="32"/>
          <w:highlight w:val="none"/>
          <w:lang w:val="fr-FR" w:eastAsia="zh-CN"/>
        </w:rPr>
        <w:t>绩效结果应用</w:t>
      </w:r>
    </w:p>
    <w:p w14:paraId="0AF25A09">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（1）内部应用</w:t>
      </w:r>
    </w:p>
    <w:p w14:paraId="1C81E9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二级指标“内部应用”下设一个三级指标为：预算挂钩。</w:t>
      </w:r>
    </w:p>
    <w:p w14:paraId="45E97E4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截至评价日，县政府办公室已制定《内部控制规范建设制度汇编》，包含《预算管理制度》《收支管理制度》等制度</w:t>
      </w:r>
      <w:r>
        <w:rPr>
          <w:rFonts w:hint="eastAsia" w:eastAsia="方正仿宋_GB2312" w:cs="Times New Roman"/>
          <w:color w:val="auto"/>
          <w:sz w:val="32"/>
          <w:szCs w:val="32"/>
          <w:highlight w:val="none"/>
          <w:lang w:val="fr-FR" w:eastAsia="zh-CN"/>
        </w:rPr>
        <w:t>，将</w:t>
      </w:r>
      <w:r>
        <w:rPr>
          <w:rFonts w:hint="default" w:ascii="Times New Roman" w:hAnsi="Times New Roman" w:eastAsia="方正仿宋_GB2312" w:cs="Times New Roman"/>
          <w:color w:val="auto"/>
          <w:sz w:val="32"/>
          <w:szCs w:val="32"/>
          <w:highlight w:val="none"/>
          <w:lang w:val="fr-FR" w:eastAsia="zh-CN"/>
        </w:rPr>
        <w:t>单位绩效管理情况纳入内部考核体系，但未将内部绩效结果未与预算挂钩。</w:t>
      </w:r>
    </w:p>
    <w:p w14:paraId="26F62B8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本项分值为4.00分，扣2.00分，得分为2.00分。</w:t>
      </w:r>
    </w:p>
    <w:p w14:paraId="3DFC40C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（2）信息公开</w:t>
      </w:r>
    </w:p>
    <w:p w14:paraId="02CEE86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二级指标“信息公开”下设一个三级指标为：自评公开。</w:t>
      </w:r>
    </w:p>
    <w:p w14:paraId="0704524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①预决算公开。县政府办公室于2024年3月28日在泸定县人民政府网上进行了部门预算及项目绩效目标的公开。截至评价日（2025年9月4日），代表大会常务委员会暂未召开，未对2024年泸定县决算（草案）和决算报告进行审查，故未进行2024年决算信息的公开。</w:t>
      </w:r>
    </w:p>
    <w:p w14:paraId="4A2F8C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本项分值为4.00分，扣0.00分，得分为4.00分。</w:t>
      </w:r>
    </w:p>
    <w:p w14:paraId="6B3C2C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（3）整改反馈</w:t>
      </w:r>
    </w:p>
    <w:p w14:paraId="23157FC1">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二级指标“整改反馈”下设两个三级指标为：问题整改、应用反馈。</w:t>
      </w:r>
    </w:p>
    <w:p w14:paraId="53A4A7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①问题整改。2024年度，县政府办公室未接受绩效目标核查、绩效监控核查和重点绩效评价。</w:t>
      </w:r>
    </w:p>
    <w:p w14:paraId="0E6FAB3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本项分值为3.00分，扣0.00分，得分为3.00分。</w:t>
      </w:r>
    </w:p>
    <w:p w14:paraId="477FA3F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②应用反馈。2024年度，县政府办公室在规定时间内向财政部门反馈绩效结果应用报告，报告内容翔实、问题整改到位、结果应用充分。</w:t>
      </w:r>
    </w:p>
    <w:p w14:paraId="192AD22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本项分值为3.00分，扣0.00分，得分为3.00分。</w:t>
      </w:r>
    </w:p>
    <w:p w14:paraId="714DA5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5.自评质量</w:t>
      </w:r>
    </w:p>
    <w:p w14:paraId="772DA1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二级指标“自评质量”下设一个三级指标为：自评质量。</w:t>
      </w:r>
    </w:p>
    <w:p w14:paraId="4145457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县政府办公室2024年部门整体支出绩效自评得分87分（不包括“自评质量”指标分值，满分为94分），根据现场评价情况，评价组对县政府办公室的考评得分88.97分（不包括“自评质量”指标分值，满分为94分），自评差异率4.34%，低于10.00%。</w:t>
      </w:r>
    </w:p>
    <w:p w14:paraId="62CC150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fr-FR"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823448808"/>
      <w:bookmarkStart w:id="132" w:name="_Toc248033833"/>
      <w:bookmarkStart w:id="133" w:name="_Toc21218"/>
      <w:bookmarkStart w:id="134" w:name="_Toc5060"/>
      <w:bookmarkStart w:id="135" w:name="_Toc30339"/>
      <w:bookmarkStart w:id="136" w:name="_Toc30515"/>
      <w:bookmarkStart w:id="137" w:name="_Toc4350"/>
      <w:bookmarkStart w:id="138" w:name="_Toc7306"/>
      <w:bookmarkStart w:id="139" w:name="_Toc14032"/>
      <w:bookmarkStart w:id="140" w:name="_Toc25603"/>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widowControl w:val="0"/>
        <w:numPr>
          <w:ilvl w:val="0"/>
          <w:numId w:val="0"/>
        </w:numPr>
        <w:tabs>
          <w:tab w:val="left" w:pos="479"/>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 w:cs="Times New Roman"/>
          <w:sz w:val="32"/>
          <w:szCs w:val="32"/>
          <w:highlight w:val="none"/>
          <w:lang w:val="zh-CN" w:eastAsia="zh-CN"/>
        </w:rPr>
      </w:pPr>
      <w:bookmarkStart w:id="143" w:name="_Toc3240"/>
      <w:bookmarkStart w:id="144" w:name="_Toc22968"/>
      <w:bookmarkStart w:id="145" w:name="_Toc31629"/>
      <w:bookmarkStart w:id="146" w:name="_Toc771997543"/>
      <w:bookmarkStart w:id="147" w:name="_Toc10426"/>
      <w:bookmarkStart w:id="148" w:name="_Toc15651"/>
      <w:bookmarkStart w:id="149" w:name="_Toc464104487"/>
      <w:r>
        <w:rPr>
          <w:rFonts w:hint="default" w:ascii="Times New Roman" w:hAnsi="Times New Roman" w:eastAsia="楷体" w:cs="Times New Roman"/>
          <w:sz w:val="32"/>
          <w:szCs w:val="32"/>
          <w:highlight w:val="none"/>
          <w:lang w:val="zh-CN" w:eastAsia="zh-CN"/>
        </w:rPr>
        <w:t>（一）绩效目标编制和上报不准</w:t>
      </w:r>
      <w:bookmarkStart w:id="154" w:name="_GoBack"/>
      <w:bookmarkEnd w:id="154"/>
      <w:r>
        <w:rPr>
          <w:rFonts w:hint="default" w:ascii="Times New Roman" w:hAnsi="Times New Roman" w:eastAsia="楷体" w:cs="Times New Roman"/>
          <w:sz w:val="32"/>
          <w:szCs w:val="32"/>
          <w:highlight w:val="none"/>
          <w:lang w:val="zh-CN" w:eastAsia="zh-CN"/>
        </w:rPr>
        <w:t>确</w:t>
      </w:r>
    </w:p>
    <w:p w14:paraId="302F22E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评价中发现，县政府办公室2024年部门综合绩效目标与个别预算项目绩效目标均不同程度存在编制不规范，目标要素不齐全，</w:t>
      </w:r>
      <w:r>
        <w:rPr>
          <w:rFonts w:hint="default" w:ascii="Times New Roman" w:hAnsi="Times New Roman" w:eastAsia="方正仿宋_GB2312" w:cs="Times New Roman"/>
          <w:color w:val="auto"/>
          <w:sz w:val="32"/>
          <w:szCs w:val="32"/>
          <w:highlight w:val="none"/>
          <w:lang w:val="fr-FR"/>
        </w:rPr>
        <w:t>指标设置</w:t>
      </w:r>
      <w:r>
        <w:rPr>
          <w:rFonts w:hint="default" w:ascii="Times New Roman" w:hAnsi="Times New Roman" w:eastAsia="方正仿宋_GB2312" w:cs="Times New Roman"/>
          <w:color w:val="auto"/>
          <w:sz w:val="32"/>
          <w:szCs w:val="32"/>
          <w:highlight w:val="none"/>
          <w:lang w:val="fr-FR" w:eastAsia="zh-CN"/>
        </w:rPr>
        <w:t>不够细化、指</w:t>
      </w:r>
      <w:r>
        <w:rPr>
          <w:rFonts w:hint="default" w:ascii="Times New Roman" w:hAnsi="Times New Roman" w:eastAsia="方正仿宋_GB2312" w:cs="Times New Roman"/>
          <w:color w:val="auto"/>
          <w:sz w:val="32"/>
          <w:szCs w:val="32"/>
          <w:highlight w:val="none"/>
          <w:lang w:val="fr-FR"/>
        </w:rPr>
        <w:t>标值不合理等</w:t>
      </w:r>
      <w:r>
        <w:rPr>
          <w:rFonts w:hint="default" w:ascii="Times New Roman" w:hAnsi="Times New Roman" w:eastAsia="方正仿宋_GB2312" w:cs="Times New Roman"/>
          <w:color w:val="auto"/>
          <w:sz w:val="32"/>
          <w:szCs w:val="32"/>
          <w:highlight w:val="none"/>
          <w:lang w:val="fr-FR" w:eastAsia="zh-CN"/>
        </w:rPr>
        <w:t>问题，导致绩效目标科学性、合理性不够强，不便于考核评价。</w:t>
      </w:r>
    </w:p>
    <w:p w14:paraId="2ED0C50A">
      <w:pPr>
        <w:keepNext w:val="0"/>
        <w:keepLines w:val="0"/>
        <w:pageBreakBefore w:val="0"/>
        <w:widowControl w:val="0"/>
        <w:numPr>
          <w:ilvl w:val="0"/>
          <w:numId w:val="0"/>
        </w:numPr>
        <w:tabs>
          <w:tab w:val="left" w:pos="479"/>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（二）项目预算结余率较高</w:t>
      </w:r>
    </w:p>
    <w:p w14:paraId="6BA6023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cs="Times New Roman"/>
          <w:bCs/>
          <w:kern w:val="2"/>
          <w:sz w:val="32"/>
          <w:szCs w:val="32"/>
          <w:highlight w:val="none"/>
          <w:lang w:val="en-US" w:eastAsia="zh-CN" w:bidi="ar-SA"/>
        </w:rPr>
      </w:pPr>
      <w:r>
        <w:rPr>
          <w:rFonts w:hint="default" w:ascii="Times New Roman" w:hAnsi="Times New Roman" w:eastAsia="方正仿宋_GB2312" w:cs="Times New Roman"/>
          <w:color w:val="auto"/>
          <w:sz w:val="32"/>
          <w:szCs w:val="32"/>
          <w:highlight w:val="none"/>
          <w:lang w:val="fr-FR" w:eastAsia="zh-CN"/>
        </w:rPr>
        <w:t>根据县政府办公室2024</w:t>
      </w:r>
      <w:r>
        <w:rPr>
          <w:rFonts w:hint="eastAsia" w:eastAsia="方正仿宋_GB2312" w:cs="Times New Roman"/>
          <w:color w:val="auto"/>
          <w:sz w:val="32"/>
          <w:szCs w:val="32"/>
          <w:highlight w:val="none"/>
          <w:lang w:val="fr-FR" w:eastAsia="zh-CN"/>
        </w:rPr>
        <w:t>年度</w:t>
      </w:r>
      <w:r>
        <w:rPr>
          <w:rFonts w:hint="default" w:ascii="Times New Roman" w:hAnsi="Times New Roman" w:eastAsia="方正仿宋_GB2312" w:cs="Times New Roman"/>
          <w:color w:val="auto"/>
          <w:sz w:val="32"/>
          <w:szCs w:val="32"/>
          <w:highlight w:val="none"/>
          <w:lang w:val="fr-FR" w:eastAsia="zh-CN"/>
        </w:rPr>
        <w:t>决算报表与可执行指标执行情况表被评价单位2024年度预算项目共计25个，部门预算项目资金结余率小于10%有22个，大于10%有3个。预</w:t>
      </w:r>
      <w:r>
        <w:rPr>
          <w:rFonts w:hint="default" w:ascii="Times New Roman" w:hAnsi="Times New Roman" w:eastAsia="方正仿宋_GB2312" w:cs="Times New Roman"/>
          <w:color w:val="auto"/>
          <w:sz w:val="32"/>
          <w:szCs w:val="32"/>
          <w:highlight w:val="none"/>
          <w:u w:val="none"/>
          <w:lang w:val="fr-FR" w:eastAsia="zh-CN"/>
        </w:rPr>
        <w:t>算结余率大于10%的3个中存在结余率100%的项目</w:t>
      </w:r>
      <w:r>
        <w:rPr>
          <w:rFonts w:hint="eastAsia" w:eastAsia="方正仿宋_GB2312" w:cs="Times New Roman"/>
          <w:color w:val="auto"/>
          <w:sz w:val="32"/>
          <w:szCs w:val="32"/>
          <w:highlight w:val="none"/>
          <w:u w:val="none"/>
          <w:lang w:val="fr-FR" w:eastAsia="zh-CN"/>
        </w:rPr>
        <w:t>。</w:t>
      </w:r>
    </w:p>
    <w:p w14:paraId="6F299C79">
      <w:pPr>
        <w:keepNext w:val="0"/>
        <w:keepLines w:val="0"/>
        <w:pageBreakBefore w:val="0"/>
        <w:widowControl w:val="0"/>
        <w:numPr>
          <w:ilvl w:val="0"/>
          <w:numId w:val="0"/>
        </w:numPr>
        <w:tabs>
          <w:tab w:val="left" w:pos="479"/>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（三）预算绩效管理制度机制不够健全完善</w:t>
      </w:r>
    </w:p>
    <w:p w14:paraId="38D044E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截至评价日，县政府办公室已制定《内部控制规范建设制度汇编》，包含《预算管理制度》《收支管理制度》等制度</w:t>
      </w:r>
      <w:r>
        <w:rPr>
          <w:rFonts w:hint="eastAsia" w:eastAsia="方正仿宋_GB2312" w:cs="Times New Roman"/>
          <w:color w:val="auto"/>
          <w:sz w:val="32"/>
          <w:szCs w:val="32"/>
          <w:highlight w:val="none"/>
          <w:lang w:val="fr-FR" w:eastAsia="zh-CN"/>
        </w:rPr>
        <w:t>，将</w:t>
      </w:r>
      <w:r>
        <w:rPr>
          <w:rFonts w:hint="default" w:ascii="Times New Roman" w:hAnsi="Times New Roman" w:eastAsia="方正仿宋_GB2312" w:cs="Times New Roman"/>
          <w:color w:val="auto"/>
          <w:sz w:val="32"/>
          <w:szCs w:val="32"/>
          <w:highlight w:val="none"/>
          <w:lang w:val="fr-FR" w:eastAsia="zh-CN"/>
        </w:rPr>
        <w:t>单位绩效管理情况纳入内部考核体系，但未将内部绩效结果未与预算挂钩。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5324"/>
      <w:bookmarkStart w:id="151" w:name="_Toc22775"/>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（二）提高预算执行率</w:t>
      </w:r>
    </w:p>
    <w:p w14:paraId="4585449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加强对各部门预算执行过程的动态监督，及时掌握各部门预算执行过程中的情况和</w:t>
      </w:r>
      <w:r>
        <w:rPr>
          <w:rFonts w:hint="eastAsia" w:eastAsia="方正仿宋_GB2312" w:cs="Times New Roman"/>
          <w:color w:val="auto"/>
          <w:sz w:val="32"/>
          <w:szCs w:val="32"/>
          <w:highlight w:val="none"/>
          <w:lang w:val="fr-FR" w:eastAsia="zh-CN"/>
        </w:rPr>
        <w:t>实时</w:t>
      </w:r>
      <w:r>
        <w:rPr>
          <w:rFonts w:hint="default" w:ascii="Times New Roman" w:hAnsi="Times New Roman" w:eastAsia="方正仿宋_GB2312" w:cs="Times New Roman"/>
          <w:color w:val="auto"/>
          <w:sz w:val="32"/>
          <w:szCs w:val="32"/>
          <w:highlight w:val="none"/>
          <w:lang w:val="fr-FR" w:eastAsia="zh-CN"/>
        </w:rPr>
        <w:t>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fill="FFFFFF"/>
          <w:lang w:val="en-US" w:eastAsia="zh-CN" w:bidi="ar-SA"/>
        </w:rPr>
        <w:t>（三）</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7DCAA2F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072A71F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p>
    <w:p w14:paraId="4193542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p>
    <w:p w14:paraId="1AB077A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p>
    <w:p w14:paraId="36AC976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p>
    <w:p w14:paraId="505501FC">
      <w:pPr>
        <w:keepNext w:val="0"/>
        <w:keepLines w:val="0"/>
        <w:pageBreakBefore w:val="0"/>
        <w:kinsoku/>
        <w:wordWrap/>
        <w:overflowPunct/>
        <w:topLinePunct w:val="0"/>
        <w:autoSpaceDE/>
        <w:autoSpaceDN/>
        <w:bidi w:val="0"/>
        <w:spacing w:line="600" w:lineRule="exact"/>
        <w:ind w:left="0" w:firstLine="560"/>
        <w:outlineLvl w:val="1"/>
        <w:rPr>
          <w:rFonts w:hint="eastAsia" w:ascii="方正仿宋_GB2312" w:hAnsi="方正仿宋_GB2312" w:eastAsia="方正仿宋_GB2312" w:cs="方正仿宋_GB2312"/>
          <w:color w:val="auto"/>
          <w:sz w:val="32"/>
          <w:szCs w:val="32"/>
          <w:highlight w:val="none"/>
          <w:lang w:val="en-US" w:eastAsia="zh-CN"/>
        </w:rPr>
      </w:pPr>
      <w:r>
        <w:rPr>
          <w:rFonts w:hint="eastAsia" w:ascii="方正仿宋_GB2312" w:hAnsi="方正仿宋_GB2312" w:eastAsia="方正仿宋_GB2312" w:cs="方正仿宋_GB2312"/>
          <w:color w:val="auto"/>
          <w:sz w:val="32"/>
          <w:szCs w:val="32"/>
          <w:highlight w:val="none"/>
          <w:lang w:val="en-US" w:eastAsia="zh-CN"/>
        </w:rPr>
        <w:t>（此页无正文）</w:t>
      </w:r>
    </w:p>
    <w:bookmarkEnd w:id="141"/>
    <w:bookmarkEnd w:id="142"/>
    <w:p w14:paraId="5E24A6C6">
      <w:pPr>
        <w:pStyle w:val="18"/>
        <w:ind w:firstLine="0" w:firstLineChars="0"/>
        <w:rPr>
          <w:rFonts w:hint="default" w:ascii="Times New Roman" w:hAnsi="Times New Roman" w:cs="Times New Roman"/>
          <w:sz w:val="32"/>
          <w:szCs w:val="32"/>
          <w:highlight w:val="none"/>
          <w:lang w:eastAsia="zh-CN"/>
        </w:rPr>
      </w:pPr>
    </w:p>
    <w:p w14:paraId="085E1486">
      <w:pPr>
        <w:keepNext w:val="0"/>
        <w:keepLines w:val="0"/>
        <w:pageBreakBefore w:val="0"/>
        <w:widowControl/>
        <w:kinsoku/>
        <w:wordWrap/>
        <w:overflowPunct/>
        <w:topLinePunct w:val="0"/>
        <w:autoSpaceDE/>
        <w:autoSpaceDN/>
        <w:bidi w:val="0"/>
        <w:adjustRightInd/>
        <w:snapToGrid/>
        <w:spacing w:line="600" w:lineRule="exact"/>
        <w:ind w:left="0" w:leftChars="0" w:firstLine="560" w:firstLineChars="0"/>
        <w:textAlignment w:val="auto"/>
        <w:outlineLvl w:val="9"/>
        <w:rPr>
          <w:rFonts w:hint="default" w:ascii="Times New Roman" w:hAnsi="Times New Roman" w:eastAsia="方正仿宋_GB2312" w:cs="Times New Roman"/>
          <w:b w:val="0"/>
          <w:bCs w:val="0"/>
          <w:color w:val="auto"/>
          <w:sz w:val="32"/>
          <w:szCs w:val="32"/>
          <w:highlight w:val="none"/>
          <w:lang w:val="fr-FR" w:eastAsia="zh-CN"/>
        </w:rPr>
      </w:pPr>
      <w:bookmarkStart w:id="153" w:name="_Toc3238"/>
      <w:r>
        <w:rPr>
          <w:rFonts w:hint="default" w:ascii="Times New Roman" w:hAnsi="Times New Roman" w:eastAsia="方正仿宋_GB2312" w:cs="Times New Roman"/>
          <w:color w:val="auto"/>
          <w:sz w:val="32"/>
          <w:szCs w:val="32"/>
          <w:highlight w:val="none"/>
          <w:shd w:val="clear"/>
          <w:lang w:val="fr-FR"/>
        </w:rPr>
        <w:t>附件</w:t>
      </w:r>
      <w:r>
        <w:rPr>
          <w:rFonts w:hint="default" w:ascii="Times New Roman" w:hAnsi="Times New Roman" w:eastAsia="方正仿宋_GB2312" w:cs="Times New Roman"/>
          <w:color w:val="auto"/>
          <w:sz w:val="32"/>
          <w:szCs w:val="32"/>
          <w:highlight w:val="none"/>
          <w:shd w:val="clear"/>
          <w:lang w:val="fr-FR" w:eastAsia="zh-CN"/>
        </w:rPr>
        <w:t>：泸定县人民政府办公室部门整体支出绩效评价指标体系表（评分表）</w:t>
      </w:r>
      <w:bookmarkEnd w:id="153"/>
    </w:p>
    <w:p w14:paraId="1EA4528E">
      <w:pPr>
        <w:pStyle w:val="7"/>
        <w:rPr>
          <w:rFonts w:hint="default" w:ascii="Times New Roman" w:hAnsi="Times New Roman" w:eastAsia="仿宋" w:cs="Times New Roman"/>
          <w:b w:val="0"/>
          <w:bCs w:val="0"/>
          <w:color w:val="auto"/>
          <w:sz w:val="28"/>
          <w:szCs w:val="28"/>
          <w:highlight w:val="none"/>
          <w:lang w:val="en-US" w:eastAsia="zh-CN"/>
        </w:rPr>
      </w:pPr>
    </w:p>
    <w:p w14:paraId="395A3C97">
      <w:pPr>
        <w:rPr>
          <w:rFonts w:hint="default" w:ascii="Times New Roman" w:hAnsi="Times New Roman" w:cs="Times New Roman"/>
          <w:sz w:val="28"/>
          <w:szCs w:val="28"/>
          <w:highlight w:val="none"/>
          <w:lang w:val="en-US" w:eastAsia="zh-CN"/>
        </w:rPr>
      </w:pPr>
    </w:p>
    <w:p w14:paraId="599F7CA8">
      <w:pPr>
        <w:spacing w:line="600" w:lineRule="exact"/>
        <w:ind w:firstLine="640"/>
        <w:jc w:val="right"/>
        <w:rPr>
          <w:rFonts w:eastAsia="方正仿宋_GB2312" w:cs="Times New Roman"/>
          <w:sz w:val="32"/>
          <w:szCs w:val="32"/>
          <w:highlight w:val="none"/>
        </w:rPr>
      </w:pPr>
      <w:r>
        <w:rPr>
          <w:rFonts w:hint="eastAsia" w:eastAsia="方正仿宋_GB2312" w:cs="Times New Roman"/>
          <w:sz w:val="32"/>
          <w:szCs w:val="32"/>
          <w:highlight w:val="none"/>
        </w:rPr>
        <w:t>泸定县财政局</w:t>
      </w:r>
    </w:p>
    <w:p w14:paraId="567E22FB">
      <w:pPr>
        <w:spacing w:line="600" w:lineRule="exact"/>
        <w:ind w:firstLine="640"/>
        <w:jc w:val="right"/>
        <w:rPr>
          <w:rFonts w:eastAsia="方正仿宋_GB2312" w:cs="Times New Roman"/>
          <w:sz w:val="32"/>
          <w:szCs w:val="32"/>
          <w:highlight w:val="none"/>
        </w:rPr>
      </w:pPr>
      <w:r>
        <w:rPr>
          <w:rFonts w:eastAsia="方正仿宋_GB2312" w:cs="Times New Roman"/>
          <w:sz w:val="32"/>
          <w:szCs w:val="32"/>
          <w:highlight w:val="none"/>
        </w:rPr>
        <w:t>　　　　　　　　　　　</w:t>
      </w:r>
      <w:r>
        <w:rPr>
          <w:rFonts w:hint="eastAsia" w:eastAsia="方正仿宋_GB2312" w:cs="Times New Roman"/>
          <w:sz w:val="32"/>
          <w:szCs w:val="32"/>
          <w:highlight w:val="none"/>
        </w:rPr>
        <w:t>2025年11月11日</w:t>
      </w:r>
    </w:p>
    <w:p w14:paraId="0E9BDC80">
      <w:pPr>
        <w:rPr>
          <w:rFonts w:hint="default" w:ascii="Times New Roman" w:hAnsi="Times New Roman" w:eastAsia="方正仿宋_GB2312" w:cs="Times New Roman"/>
          <w:highlight w:val="green"/>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7A9E7FC8-A2D3-4FDA-838D-4EA29D2B6406}"/>
  </w:font>
  <w:font w:name="楷体">
    <w:panose1 w:val="02010609060101010101"/>
    <w:charset w:val="86"/>
    <w:family w:val="modern"/>
    <w:pitch w:val="default"/>
    <w:sig w:usb0="800002BF" w:usb1="38CF7CFA" w:usb2="00000016" w:usb3="00000000" w:csb0="00040001" w:csb1="00000000"/>
    <w:embedRegular r:id="rId2" w:fontKey="{8C5EDCF8-2C10-492F-8EE9-D2E1B5AE31A5}"/>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3" w:fontKey="{83321DBF-A5E1-4851-9096-4E0EF1AE94F0}"/>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4" w:fontKey="{2B634A94-155F-4E0D-BC1C-469A46BA8A47}"/>
  </w:font>
  <w:font w:name="方正仿宋_GB2312">
    <w:panose1 w:val="02000000000000000000"/>
    <w:charset w:val="86"/>
    <w:family w:val="auto"/>
    <w:pitch w:val="default"/>
    <w:sig w:usb0="A00002BF" w:usb1="184F6CFA" w:usb2="00000012" w:usb3="00000000" w:csb0="00040001" w:csb1="00000000"/>
    <w:embedRegular r:id="rId5" w:fontKey="{6278672C-18F7-45F9-B667-3D79D044F29A}"/>
  </w:font>
  <w:font w:name="方正黑体简体">
    <w:panose1 w:val="03000509000000000000"/>
    <w:charset w:val="86"/>
    <w:family w:val="auto"/>
    <w:pitch w:val="default"/>
    <w:sig w:usb0="00000001" w:usb1="080E0000" w:usb2="00000000" w:usb3="00000000" w:csb0="00040000" w:csb1="00000000"/>
    <w:embedRegular r:id="rId6" w:fontKey="{5A53A09A-1D78-4A75-934C-7F1321906BFA}"/>
  </w:font>
  <w:font w:name="方正楷体简体">
    <w:panose1 w:val="03000509000000000000"/>
    <w:charset w:val="86"/>
    <w:family w:val="auto"/>
    <w:pitch w:val="default"/>
    <w:sig w:usb0="00000001" w:usb1="080E0000" w:usb2="00000000" w:usb3="00000000" w:csb0="00040000" w:csb1="00000000"/>
    <w:embedRegular r:id="rId7" w:fontKey="{3FF2F181-A43E-4B12-A664-AB0097ED02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417936"/>
    <w:rsid w:val="028212C5"/>
    <w:rsid w:val="02B56978"/>
    <w:rsid w:val="02BC1AB4"/>
    <w:rsid w:val="02BC3862"/>
    <w:rsid w:val="02EB239A"/>
    <w:rsid w:val="031D77B8"/>
    <w:rsid w:val="03435D32"/>
    <w:rsid w:val="034B0AC6"/>
    <w:rsid w:val="03BD26AA"/>
    <w:rsid w:val="03C46413"/>
    <w:rsid w:val="03F043C9"/>
    <w:rsid w:val="03F5560D"/>
    <w:rsid w:val="05217407"/>
    <w:rsid w:val="05370DC3"/>
    <w:rsid w:val="05704583"/>
    <w:rsid w:val="05AE5131"/>
    <w:rsid w:val="0627193B"/>
    <w:rsid w:val="069B1F26"/>
    <w:rsid w:val="06E2185D"/>
    <w:rsid w:val="071C5217"/>
    <w:rsid w:val="074574B7"/>
    <w:rsid w:val="077F711D"/>
    <w:rsid w:val="0815093A"/>
    <w:rsid w:val="08280844"/>
    <w:rsid w:val="08321414"/>
    <w:rsid w:val="084560A8"/>
    <w:rsid w:val="08B6295A"/>
    <w:rsid w:val="08BC09C7"/>
    <w:rsid w:val="08CA0DBA"/>
    <w:rsid w:val="0AA10A64"/>
    <w:rsid w:val="0AAA2B3A"/>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8F7029"/>
    <w:rsid w:val="14DA48CB"/>
    <w:rsid w:val="14DA73CD"/>
    <w:rsid w:val="14DE1D5E"/>
    <w:rsid w:val="15035321"/>
    <w:rsid w:val="151B6B0E"/>
    <w:rsid w:val="153C7438"/>
    <w:rsid w:val="155B04E5"/>
    <w:rsid w:val="15762967"/>
    <w:rsid w:val="15C0420D"/>
    <w:rsid w:val="15C42D02"/>
    <w:rsid w:val="15EF0827"/>
    <w:rsid w:val="16310CFC"/>
    <w:rsid w:val="164E7445"/>
    <w:rsid w:val="16521418"/>
    <w:rsid w:val="16557DFE"/>
    <w:rsid w:val="167B192A"/>
    <w:rsid w:val="16A14DF1"/>
    <w:rsid w:val="16BA737C"/>
    <w:rsid w:val="170535D2"/>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C02064"/>
    <w:rsid w:val="1AF776D6"/>
    <w:rsid w:val="1B0B2AA5"/>
    <w:rsid w:val="1B334486"/>
    <w:rsid w:val="1BCD48DA"/>
    <w:rsid w:val="1BDF1BF1"/>
    <w:rsid w:val="1BDF6BC8"/>
    <w:rsid w:val="1C141C3C"/>
    <w:rsid w:val="1C2C3D72"/>
    <w:rsid w:val="1C535707"/>
    <w:rsid w:val="1C580E62"/>
    <w:rsid w:val="1C975E00"/>
    <w:rsid w:val="1CEE6A53"/>
    <w:rsid w:val="1D046172"/>
    <w:rsid w:val="1D484219"/>
    <w:rsid w:val="1D4F18C5"/>
    <w:rsid w:val="1D835251"/>
    <w:rsid w:val="1D9A1CE4"/>
    <w:rsid w:val="1DD67D6F"/>
    <w:rsid w:val="1E036392"/>
    <w:rsid w:val="1E0C3498"/>
    <w:rsid w:val="1ED16069"/>
    <w:rsid w:val="1ED24185"/>
    <w:rsid w:val="1ED35C04"/>
    <w:rsid w:val="1ED54D5D"/>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386ADD"/>
    <w:rsid w:val="234C0C7F"/>
    <w:rsid w:val="23A67EEB"/>
    <w:rsid w:val="23F46FD7"/>
    <w:rsid w:val="24283899"/>
    <w:rsid w:val="24436E8F"/>
    <w:rsid w:val="248C4080"/>
    <w:rsid w:val="24C04FDC"/>
    <w:rsid w:val="24FD16C3"/>
    <w:rsid w:val="25073423"/>
    <w:rsid w:val="25790BDA"/>
    <w:rsid w:val="25F533FB"/>
    <w:rsid w:val="26331263"/>
    <w:rsid w:val="263F3713"/>
    <w:rsid w:val="26405B22"/>
    <w:rsid w:val="265058AE"/>
    <w:rsid w:val="265F3B15"/>
    <w:rsid w:val="26747E2C"/>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6D53EC"/>
    <w:rsid w:val="2CBB4441"/>
    <w:rsid w:val="2CC338BC"/>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110C25"/>
    <w:rsid w:val="32A47AB4"/>
    <w:rsid w:val="32CB27BC"/>
    <w:rsid w:val="33105381"/>
    <w:rsid w:val="336B6A5B"/>
    <w:rsid w:val="337B49B9"/>
    <w:rsid w:val="33BD27DF"/>
    <w:rsid w:val="33EB569F"/>
    <w:rsid w:val="33FA0C54"/>
    <w:rsid w:val="34113BD6"/>
    <w:rsid w:val="34140406"/>
    <w:rsid w:val="342C7375"/>
    <w:rsid w:val="34B42BB5"/>
    <w:rsid w:val="34C73C1C"/>
    <w:rsid w:val="350D6544"/>
    <w:rsid w:val="353B242C"/>
    <w:rsid w:val="35EE2E3C"/>
    <w:rsid w:val="36001598"/>
    <w:rsid w:val="360308FA"/>
    <w:rsid w:val="360F36CE"/>
    <w:rsid w:val="36527A5E"/>
    <w:rsid w:val="36870F62"/>
    <w:rsid w:val="369B1CB2"/>
    <w:rsid w:val="36A75FFC"/>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D5054C"/>
    <w:rsid w:val="39E6508D"/>
    <w:rsid w:val="3A3949DD"/>
    <w:rsid w:val="3A4A7C37"/>
    <w:rsid w:val="3A7649A2"/>
    <w:rsid w:val="3A81279A"/>
    <w:rsid w:val="3AE5274E"/>
    <w:rsid w:val="3B072D35"/>
    <w:rsid w:val="3B3301C2"/>
    <w:rsid w:val="3B626037"/>
    <w:rsid w:val="3B84690C"/>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19736B"/>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1C35B7"/>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200821"/>
    <w:rsid w:val="445B63BA"/>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B55914"/>
    <w:rsid w:val="45F31D67"/>
    <w:rsid w:val="45FF29D4"/>
    <w:rsid w:val="462A15BD"/>
    <w:rsid w:val="4633306D"/>
    <w:rsid w:val="46625636"/>
    <w:rsid w:val="46E2098A"/>
    <w:rsid w:val="46EA72EF"/>
    <w:rsid w:val="470879FF"/>
    <w:rsid w:val="4712301E"/>
    <w:rsid w:val="477D22C4"/>
    <w:rsid w:val="47970F04"/>
    <w:rsid w:val="487231D0"/>
    <w:rsid w:val="48D56225"/>
    <w:rsid w:val="493C0826"/>
    <w:rsid w:val="49D23684"/>
    <w:rsid w:val="49E41186"/>
    <w:rsid w:val="49F243D5"/>
    <w:rsid w:val="4A3F0AC3"/>
    <w:rsid w:val="4A6E0EB3"/>
    <w:rsid w:val="4AD1435D"/>
    <w:rsid w:val="4AFA2C7B"/>
    <w:rsid w:val="4B0435C5"/>
    <w:rsid w:val="4B0F09FE"/>
    <w:rsid w:val="4B58271A"/>
    <w:rsid w:val="4B6B11A9"/>
    <w:rsid w:val="4B9C6B82"/>
    <w:rsid w:val="4BDE4024"/>
    <w:rsid w:val="4C1635B0"/>
    <w:rsid w:val="4C907F6D"/>
    <w:rsid w:val="4CA46E0E"/>
    <w:rsid w:val="4CAE35BE"/>
    <w:rsid w:val="4CFC2039"/>
    <w:rsid w:val="4D101EA3"/>
    <w:rsid w:val="4D111FCA"/>
    <w:rsid w:val="4D3E2370"/>
    <w:rsid w:val="4D6E449B"/>
    <w:rsid w:val="4F0A34DF"/>
    <w:rsid w:val="4F5F5C7E"/>
    <w:rsid w:val="4F7241B1"/>
    <w:rsid w:val="4FCD04DF"/>
    <w:rsid w:val="4FF7181A"/>
    <w:rsid w:val="4FFE309A"/>
    <w:rsid w:val="507D0BBC"/>
    <w:rsid w:val="507E6B2A"/>
    <w:rsid w:val="50F87728"/>
    <w:rsid w:val="51290B58"/>
    <w:rsid w:val="51381763"/>
    <w:rsid w:val="51842D6A"/>
    <w:rsid w:val="51960840"/>
    <w:rsid w:val="51D7639A"/>
    <w:rsid w:val="51E2208C"/>
    <w:rsid w:val="5221572C"/>
    <w:rsid w:val="52265F38"/>
    <w:rsid w:val="52291B63"/>
    <w:rsid w:val="527E3C5D"/>
    <w:rsid w:val="52EF2BDF"/>
    <w:rsid w:val="532840C2"/>
    <w:rsid w:val="535B753F"/>
    <w:rsid w:val="53B16AD7"/>
    <w:rsid w:val="543748C0"/>
    <w:rsid w:val="54B716A8"/>
    <w:rsid w:val="55516FE9"/>
    <w:rsid w:val="55681707"/>
    <w:rsid w:val="55AC2CD2"/>
    <w:rsid w:val="55B812E3"/>
    <w:rsid w:val="55D82153"/>
    <w:rsid w:val="561A2F05"/>
    <w:rsid w:val="563548E2"/>
    <w:rsid w:val="566E5A78"/>
    <w:rsid w:val="56A7003A"/>
    <w:rsid w:val="575D29C4"/>
    <w:rsid w:val="577B4EF8"/>
    <w:rsid w:val="57950BEC"/>
    <w:rsid w:val="579A41D9"/>
    <w:rsid w:val="57BD01C5"/>
    <w:rsid w:val="57BE73BD"/>
    <w:rsid w:val="57C02469"/>
    <w:rsid w:val="57C56C55"/>
    <w:rsid w:val="57E13BCA"/>
    <w:rsid w:val="57EAF5E5"/>
    <w:rsid w:val="58334AD1"/>
    <w:rsid w:val="585316E8"/>
    <w:rsid w:val="5864421C"/>
    <w:rsid w:val="58AE4B70"/>
    <w:rsid w:val="58F55AD6"/>
    <w:rsid w:val="5901172B"/>
    <w:rsid w:val="594F3C5E"/>
    <w:rsid w:val="59561F19"/>
    <w:rsid w:val="596B1981"/>
    <w:rsid w:val="59821BED"/>
    <w:rsid w:val="59CF4D9E"/>
    <w:rsid w:val="59DE4A58"/>
    <w:rsid w:val="59EE791A"/>
    <w:rsid w:val="5A56101C"/>
    <w:rsid w:val="5AB4383C"/>
    <w:rsid w:val="5AED719F"/>
    <w:rsid w:val="5B0A7A07"/>
    <w:rsid w:val="5B1433B1"/>
    <w:rsid w:val="5B353327"/>
    <w:rsid w:val="5B3C271A"/>
    <w:rsid w:val="5B3F384B"/>
    <w:rsid w:val="5B5F5E1B"/>
    <w:rsid w:val="5B685559"/>
    <w:rsid w:val="5B8F6EDB"/>
    <w:rsid w:val="5BC85F49"/>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566374"/>
    <w:rsid w:val="65835D1E"/>
    <w:rsid w:val="65BF660F"/>
    <w:rsid w:val="65C7404D"/>
    <w:rsid w:val="65F17436"/>
    <w:rsid w:val="664669D8"/>
    <w:rsid w:val="66BB8914"/>
    <w:rsid w:val="66C0483B"/>
    <w:rsid w:val="66CC410D"/>
    <w:rsid w:val="66D56346"/>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1E16E2"/>
    <w:rsid w:val="6B43739A"/>
    <w:rsid w:val="6BCE4EB6"/>
    <w:rsid w:val="6BE75F78"/>
    <w:rsid w:val="6BFFA4D9"/>
    <w:rsid w:val="6C196A9A"/>
    <w:rsid w:val="6C590980"/>
    <w:rsid w:val="6C75429C"/>
    <w:rsid w:val="6C7D23DE"/>
    <w:rsid w:val="6C8163CC"/>
    <w:rsid w:val="6C841A18"/>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1D1E9D"/>
    <w:rsid w:val="6F5F3DDC"/>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0D56A8"/>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2FB055A"/>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162FC2"/>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2E5A72"/>
    <w:rsid w:val="7866291A"/>
    <w:rsid w:val="788E7EA5"/>
    <w:rsid w:val="78A639F9"/>
    <w:rsid w:val="78F74A7F"/>
    <w:rsid w:val="7922343B"/>
    <w:rsid w:val="7926388B"/>
    <w:rsid w:val="79521C10"/>
    <w:rsid w:val="795E17F1"/>
    <w:rsid w:val="795FF9E4"/>
    <w:rsid w:val="79D02741"/>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9B28DB"/>
    <w:rsid w:val="7BB3345A"/>
    <w:rsid w:val="7BBE09F0"/>
    <w:rsid w:val="7BCF7C7E"/>
    <w:rsid w:val="7BD61AD5"/>
    <w:rsid w:val="7BF9C739"/>
    <w:rsid w:val="7BFB259B"/>
    <w:rsid w:val="7BFF440A"/>
    <w:rsid w:val="7BFF8FB5"/>
    <w:rsid w:val="7C8549E9"/>
    <w:rsid w:val="7C95557C"/>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1772beae-a251-41ac-91a3-76f538245915</errorID>
      <errorWord>年</errorWord>
      <group>L1_Word</group>
      <groupName>字词问题</groupName>
      <ability>L2_Typo</ability>
      <abilityName>字词错误</abilityName>
      <candidateList>
        <item>年度</item>
      </candidateList>
      <explain/>
      <paraID>2586979E</paraID>
      <start>89</start>
      <end>91</end>
      <status>modified</status>
      <modifiedWord>年度</modifiedWord>
      <trackRevisions>false</trackRevisions>
    </reviewItem>
    <reviewItem>
      <errorID>3d506d1a-01d0-49e8-b9fa-f0e34a1cba11</errorID>
      <errorWord>批评、建议</errorWord>
      <group>L1_AI</group>
      <groupName>深度校对</groupName>
      <ability>L2_AI_Word</ability>
      <abilityName>字词纠错</abilityName>
      <candidateList>
        <item>建议、批评</item>
      </candidateList>
      <explain/>
      <paraID>7B241521</paraID>
      <start>21</start>
      <end>26</end>
      <status>modified</status>
      <modifiedWord>建议、批评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c5606-1ee1-4d21-b786-4c8d66ecc278}">
  <ds:schemaRefs/>
</ds:datastoreItem>
</file>

<file path=docProps/app.xml><?xml version="1.0" encoding="utf-8"?>
<Properties xmlns="http://schemas.openxmlformats.org/officeDocument/2006/extended-properties" xmlns:vt="http://schemas.openxmlformats.org/officeDocument/2006/docPropsVTypes">
  <Company>Microsoft</Company>
  <Pages>18</Pages>
  <Words>7487</Words>
  <Characters>8115</Characters>
  <Lines>1</Lines>
  <Paragraphs>1</Paragraphs>
  <TotalTime>177</TotalTime>
  <ScaleCrop>false</ScaleCrop>
  <LinksUpToDate>false</LinksUpToDate>
  <CharactersWithSpaces>8143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2025-12-11T02:31:05Z</cp:lastPrinted>
  <dcterms:modified xsi:type="dcterms:W3CDTF">2025-12-11T03:11:58Z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