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9524"/>
      <w:bookmarkStart w:id="1" w:name="_Toc2231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9D8E89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83339FC">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32D3608">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0D45058B">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w:t>
      </w:r>
      <w:r>
        <w:rPr>
          <w:rFonts w:hint="default" w:ascii="Times New Roman" w:hAnsi="Times New Roman" w:cs="Times New Roman"/>
          <w:sz w:val="32"/>
          <w:szCs w:val="32"/>
          <w:highlight w:val="none"/>
          <w:lang w:val="en-US" w:eastAsia="zh-CN"/>
        </w:rPr>
        <w:t>40</w:t>
      </w:r>
      <w:r>
        <w:rPr>
          <w:rFonts w:hint="default" w:ascii="Times New Roman" w:hAnsi="Times New Roman" w:cs="Times New Roman"/>
          <w:sz w:val="32"/>
          <w:szCs w:val="32"/>
          <w:highlight w:val="none"/>
        </w:rPr>
        <w:t>号</w:t>
      </w:r>
    </w:p>
    <w:p w14:paraId="57EA2FEA">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4C62C1CE">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
        </w:rPr>
      </w:pPr>
      <w:bookmarkStart w:id="3" w:name="_Toc27398"/>
      <w:r>
        <w:rPr>
          <w:rFonts w:hint="eastAsia" w:ascii="方正小标宋简体" w:hAnsi="方正小标宋简体" w:eastAsia="方正小标宋简体" w:cs="方正小标宋简体"/>
          <w:color w:val="auto"/>
          <w:sz w:val="44"/>
          <w:szCs w:val="44"/>
          <w:highlight w:val="none"/>
          <w:lang w:eastAsia="zh"/>
        </w:rPr>
        <w:t>泸定县审计局</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7"/>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42893105">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rPr>
          <w:rFonts w:hint="default" w:ascii="Times New Roman" w:hAnsi="Times New Roman" w:eastAsia="方正仿宋_GB2312" w:cs="Times New Roman"/>
          <w:color w:val="auto"/>
          <w:sz w:val="32"/>
          <w:szCs w:val="32"/>
          <w:highlight w:val="none"/>
          <w:lang w:val="fr-FR" w:eastAsia="zh-CN"/>
        </w:rPr>
      </w:pPr>
      <w:bookmarkStart w:id="4" w:name="_Toc26210"/>
      <w:bookmarkStart w:id="5" w:name="_Toc8938"/>
      <w:bookmarkStart w:id="6" w:name="_Toc6252"/>
      <w:r>
        <w:rPr>
          <w:rFonts w:hint="default" w:ascii="Times New Roman" w:hAnsi="Times New Roman" w:eastAsia="方正仿宋_GB2312" w:cs="Times New Roman"/>
          <w:color w:val="auto"/>
          <w:sz w:val="32"/>
          <w:szCs w:val="32"/>
          <w:highlight w:val="none"/>
          <w:lang w:val="fr-FR" w:eastAsia="zh-CN"/>
        </w:rPr>
        <w:t>泸定县审计局：</w:t>
      </w:r>
    </w:p>
    <w:p w14:paraId="50FB6A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泸定县审计局</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4年度</w:t>
      </w:r>
      <w:r>
        <w:rPr>
          <w:rFonts w:hint="default" w:ascii="Times New Roman" w:hAnsi="Times New Roman" w:eastAsia="方正仿宋_GB2312" w:cs="Times New Roman"/>
          <w:color w:val="auto"/>
          <w:sz w:val="32"/>
          <w:szCs w:val="32"/>
          <w:highlight w:val="none"/>
        </w:rPr>
        <w:t>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泸定县审计局</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泸定县审计局</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799907804"/>
      <w:bookmarkStart w:id="11" w:name="_Toc26009"/>
      <w:bookmarkStart w:id="12" w:name="_Toc4351"/>
      <w:bookmarkStart w:id="13" w:name="_Toc18579"/>
      <w:bookmarkStart w:id="14" w:name="_Toc10147"/>
      <w:bookmarkStart w:id="15" w:name="_Toc15220"/>
      <w:bookmarkStart w:id="16" w:name="_Toc27571"/>
      <w:bookmarkStart w:id="17" w:name="_Toc12546"/>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6549"/>
      <w:bookmarkStart w:id="19" w:name="_Toc109483834"/>
      <w:bookmarkStart w:id="20" w:name="_Toc30550"/>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7513"/>
      <w:bookmarkStart w:id="22" w:name="_Toc419097264"/>
      <w:bookmarkStart w:id="23" w:name="_Toc24161"/>
      <w:bookmarkStart w:id="24" w:name="_Toc18535"/>
      <w:bookmarkStart w:id="25" w:name="_Toc19098"/>
      <w:bookmarkStart w:id="26" w:name="_Toc2337"/>
      <w:bookmarkStart w:id="27" w:name="_Toc20865"/>
      <w:bookmarkStart w:id="28" w:name="_Toc11769"/>
      <w:r>
        <w:rPr>
          <w:rFonts w:hint="default" w:ascii="Times New Roman" w:hAnsi="Times New Roman" w:eastAsia="方正楷体简体" w:cs="Times New Roman"/>
          <w:color w:val="auto"/>
          <w:kern w:val="2"/>
          <w:sz w:val="32"/>
          <w:szCs w:val="32"/>
          <w:highlight w:val="none"/>
          <w:shd w:val="clear"/>
          <w:lang w:val="zh-CN" w:eastAsia="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泸定县审计局（以下简称县审计局）</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，属财政补助（收支统管、全额保障）的一级预算单位，机构性质：机关单位；单位负责人：</w:t>
      </w:r>
      <w:r>
        <w:rPr>
          <w:rFonts w:hint="default" w:ascii="Times New Roman" w:hAnsi="Times New Roman" w:eastAsia="方正仿宋_GB2312" w:cs="Times New Roman"/>
          <w:color w:val="auto"/>
          <w:sz w:val="32"/>
          <w:szCs w:val="32"/>
          <w:highlight w:val="none"/>
          <w:lang w:val="en-US" w:eastAsia="zh-CN"/>
        </w:rPr>
        <w:t>林江</w:t>
      </w:r>
      <w:r>
        <w:rPr>
          <w:rFonts w:hint="default" w:ascii="Times New Roman" w:hAnsi="Times New Roman" w:eastAsia="方正仿宋_GB2312" w:cs="Times New Roman"/>
          <w:color w:val="auto"/>
          <w:sz w:val="32"/>
          <w:szCs w:val="32"/>
          <w:highlight w:val="none"/>
          <w:lang w:val="fr-FR" w:eastAsia="zh-CN"/>
        </w:rPr>
        <w:t>；统一社会信用代码：</w:t>
      </w:r>
      <w:r>
        <w:rPr>
          <w:rFonts w:hint="default" w:ascii="Times New Roman" w:hAnsi="Times New Roman" w:eastAsia="方正仿宋_GB2312" w:cs="Times New Roman"/>
          <w:color w:val="auto"/>
          <w:sz w:val="32"/>
          <w:szCs w:val="32"/>
          <w:highlight w:val="none"/>
          <w:lang w:val="en-US" w:eastAsia="zh-CN"/>
        </w:rPr>
        <w:t>11513322008978468G</w:t>
      </w:r>
      <w:r>
        <w:rPr>
          <w:rFonts w:hint="default" w:ascii="Times New Roman" w:hAnsi="Times New Roman" w:eastAsia="方正仿宋_GB2312" w:cs="Times New Roman"/>
          <w:color w:val="auto"/>
          <w:sz w:val="32"/>
          <w:szCs w:val="32"/>
          <w:highlight w:val="none"/>
          <w:lang w:val="fr-FR" w:eastAsia="zh-CN"/>
        </w:rPr>
        <w:t>；单位所在地：</w:t>
      </w:r>
      <w:r>
        <w:rPr>
          <w:rFonts w:hint="default" w:ascii="Times New Roman" w:hAnsi="Times New Roman" w:eastAsia="方正仿宋_GB2312" w:cs="Times New Roman"/>
          <w:color w:val="auto"/>
          <w:sz w:val="32"/>
          <w:szCs w:val="32"/>
          <w:highlight w:val="none"/>
          <w:lang w:val="en-US" w:eastAsia="zh-CN"/>
        </w:rPr>
        <w:t>四川省泸定县泸桥镇红军路346号</w:t>
      </w:r>
      <w:r>
        <w:rPr>
          <w:rFonts w:hint="default" w:ascii="Times New Roman" w:hAnsi="Times New Roman" w:eastAsia="方正仿宋_GB2312" w:cs="Times New Roman"/>
          <w:color w:val="auto"/>
          <w:sz w:val="32"/>
          <w:szCs w:val="32"/>
          <w:highlight w:val="none"/>
          <w:lang w:val="fr-FR" w:eastAsia="zh-CN"/>
        </w:rPr>
        <w:t xml:space="preserve">。 </w:t>
      </w:r>
    </w:p>
    <w:p w14:paraId="5FA54FA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7750"/>
      <w:bookmarkStart w:id="31" w:name="_Toc31223"/>
      <w:bookmarkStart w:id="32" w:name="_Toc1278"/>
      <w:bookmarkStart w:id="33" w:name="_Toc26703"/>
      <w:bookmarkStart w:id="34" w:name="_Toc28538"/>
      <w:bookmarkStart w:id="35" w:name="_Toc16904"/>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20FA589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泸定县审计局内设5股1室，分别为县委审计办秘书股、法规与审理股、财政审计股、经济责任审计股、固定资产投资审计股、办公室；县审计信息和投资审计中心为县审计局管理的公益一类事业单位。</w:t>
      </w:r>
    </w:p>
    <w:p w14:paraId="7997714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2.人员概况。截至2024年末，泸定县审计局在职人员共计16人，其中行政人员11人，事业人员5人。</w:t>
      </w:r>
    </w:p>
    <w:p w14:paraId="2171EDF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16978"/>
      <w:bookmarkStart w:id="37" w:name="_Toc568184988"/>
      <w:bookmarkStart w:id="38" w:name="_Toc12241"/>
      <w:bookmarkStart w:id="39" w:name="_Toc16740"/>
      <w:bookmarkStart w:id="40" w:name="_Toc22604"/>
      <w:bookmarkStart w:id="41" w:name="_Toc21223"/>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044D843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42" w:name="_Toc109483836"/>
      <w:bookmarkStart w:id="43" w:name="_Toc5982"/>
      <w:bookmarkStart w:id="44" w:name="_Toc22594"/>
      <w:bookmarkStart w:id="45" w:name="_Toc26564"/>
      <w:bookmarkStart w:id="46" w:name="_Toc16871"/>
      <w:bookmarkStart w:id="47" w:name="_Toc13707"/>
      <w:bookmarkStart w:id="48" w:name="_Toc14896"/>
      <w:bookmarkStart w:id="49" w:name="_Toc1218480988"/>
      <w:bookmarkStart w:id="50" w:name="_Toc15163"/>
      <w:bookmarkStart w:id="51" w:name="_Toc33"/>
      <w:r>
        <w:rPr>
          <w:rFonts w:hint="default" w:ascii="Times New Roman" w:hAnsi="Times New Roman" w:eastAsia="方正仿宋_GB2312" w:cs="Times New Roman"/>
          <w:color w:val="auto"/>
          <w:sz w:val="32"/>
          <w:szCs w:val="32"/>
          <w:highlight w:val="none"/>
          <w:lang w:val="en-US" w:eastAsia="zh-CN"/>
        </w:rPr>
        <w:t>1.主管全县审计工作。</w:t>
      </w:r>
    </w:p>
    <w:p w14:paraId="74A8F44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2.贯彻执行国家、省、州县有关审计工作的方针政策和法律法规。</w:t>
      </w:r>
    </w:p>
    <w:p w14:paraId="1842757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3.向县委审计委员会提出年度县级预算执行和其他财政支出情况审计报告。</w:t>
      </w:r>
    </w:p>
    <w:p w14:paraId="54CE687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直接审计下列事项，出具审计报告，在法定职权范围内作出审计决定，包括国家、省、州、县有关重大政策措施贯彻落实情况；县级预算执行情况和其他财政收支，县级各部门（含直属单位）预算执行情况、决算草案和其他财政收支及法律法规规定的其他事项。</w:t>
      </w:r>
    </w:p>
    <w:p w14:paraId="1B66D2F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5.按规定对县管党政主要领导干部及其他单位主要负责人实施经济责任审计和自然资源资产离任审计。</w:t>
      </w:r>
    </w:p>
    <w:p w14:paraId="7E09A0F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6.组织实施对国家财经法律法规、规章、政策和宏观调控措施执行情况、财政预算管理及国有资产管理使用等与县级财政收支有关的特定事项进行专项审计调查。</w:t>
      </w:r>
    </w:p>
    <w:p w14:paraId="2933953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7.依法检查审计决定执行情况，督促整改审计查出的问题，依法办理被审计单位对审计决定提请行政复议、行政诉讼或县政府裁决中的有关事项，协助配合有关部门查处相关重大案件。</w:t>
      </w:r>
    </w:p>
    <w:p w14:paraId="2AA448D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8.指导和监督内部审计工作，核查社会审计机构对依法属于审计监督对象的单位出具的相关审计报告。</w:t>
      </w:r>
    </w:p>
    <w:p w14:paraId="299FF34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9.组织实施特定项目的专项审计或审计调查，纠正本级审计机关违反国家规定作出的审计决定。</w:t>
      </w:r>
    </w:p>
    <w:p w14:paraId="2F6AA9F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10.组织开展审计领域的交流与合作，指导和组织开展信息技术在审计领域的应用。</w:t>
      </w:r>
    </w:p>
    <w:p w14:paraId="76436E5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11.负责职责范围内的安全生产和职业健康、生态环境保护、审批服务便民化等工作。</w:t>
      </w:r>
    </w:p>
    <w:p w14:paraId="65EC803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12.完成县委、县政府交办的其他任务。</w:t>
      </w:r>
    </w:p>
    <w:p w14:paraId="3A7198F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13.职能转变。进一步完善审计管理体制，加强全县审计工作统筹，明晰审计机关职能定位，理顺内部职责关系，优化审计资源配置，充实加强一线审计力量，构建集中统一、全面覆盖、权威高效的审计监督体系。优化审计工作机制，坚持科技强审，完善业务流程，改进工作方式，加强与有关部门的沟通协调，充分调动内部审计和社会审计力量，增强监督合力。</w:t>
      </w:r>
    </w:p>
    <w:p w14:paraId="069C75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zh-CN"/>
        </w:rPr>
      </w:pPr>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54" w:name="_Toc29180"/>
      <w:bookmarkStart w:id="55" w:name="_Toc15898"/>
      <w:bookmarkStart w:id="56" w:name="_Toc2374"/>
      <w:bookmarkStart w:id="57" w:name="_Toc32369"/>
      <w:bookmarkStart w:id="58" w:name="_Toc1949541301"/>
      <w:bookmarkStart w:id="59" w:name="_Toc21428"/>
      <w:bookmarkStart w:id="60" w:name="_Toc25866"/>
      <w:bookmarkStart w:id="61" w:name="_Toc11105"/>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3B37BEF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63" w:name="_Toc21171"/>
      <w:bookmarkStart w:id="64" w:name="_Toc349786989"/>
      <w:bookmarkStart w:id="65" w:name="_Toc17751"/>
      <w:bookmarkStart w:id="66" w:name="_Toc109483838"/>
      <w:bookmarkStart w:id="67" w:name="_Toc27782"/>
      <w:bookmarkStart w:id="68" w:name="_Toc27073"/>
      <w:bookmarkStart w:id="69" w:name="_Toc19326"/>
      <w:r>
        <w:rPr>
          <w:rFonts w:hint="default" w:ascii="Times New Roman" w:hAnsi="Times New Roman" w:eastAsia="方正仿宋_GB2312" w:cs="Times New Roman"/>
          <w:color w:val="auto"/>
          <w:sz w:val="32"/>
          <w:szCs w:val="32"/>
          <w:highlight w:val="none"/>
          <w:lang w:val="en-US" w:eastAsia="zh-CN"/>
        </w:rPr>
        <w:t>年初预算反映，县审计局2024年预算收入合计342.80万元，上年结转结余0.00万元，无预算调整。本年收入342.80万元，全部为一般公共预算财政拨款收入。</w:t>
      </w:r>
    </w:p>
    <w:p w14:paraId="0FB3ADF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决算报表反映，县审计局2024年决算收入合计373.69万元，其中：本年收入364.69万元，年初结转和结余9.00万元。</w:t>
      </w:r>
    </w:p>
    <w:p w14:paraId="53A358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70" w:name="_Toc30600"/>
      <w:bookmarkStart w:id="71" w:name="_Toc16309"/>
      <w:bookmarkStart w:id="72" w:name="_Toc15130"/>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20C0559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73" w:name="_Toc18390"/>
      <w:bookmarkStart w:id="74" w:name="_Toc10837"/>
      <w:bookmarkStart w:id="75" w:name="_Toc24721"/>
      <w:bookmarkStart w:id="76" w:name="_Toc809"/>
      <w:bookmarkStart w:id="77" w:name="_Toc1457008154"/>
      <w:bookmarkStart w:id="78" w:name="_Toc13841"/>
      <w:bookmarkStart w:id="79" w:name="_Toc109483839"/>
      <w:r>
        <w:rPr>
          <w:rFonts w:hint="default" w:ascii="Times New Roman" w:hAnsi="Times New Roman" w:eastAsia="方正仿宋_GB2312" w:cs="Times New Roman"/>
          <w:color w:val="auto"/>
          <w:sz w:val="32"/>
          <w:szCs w:val="32"/>
          <w:highlight w:val="none"/>
          <w:lang w:val="en-US" w:eastAsia="zh-CN"/>
        </w:rPr>
        <w:t>年初预算反映，县审计局2024年预算支出合计342.80万元，无年末结转和结余。本年支出中：基本支出319.80万元（人员经费291.20万元、公用经费28.60万元），项目支出23.00万元。</w:t>
      </w:r>
    </w:p>
    <w:p w14:paraId="0B0F10E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决算报表反映，县审计局2024年决算支出合计373.69万元，均为本年支出，无年末结转和结余。本年支出中：基本支出323.32万元（人员经费298.79万元、公用经费24.52万元），项目支出50.37万元。</w:t>
      </w:r>
    </w:p>
    <w:p w14:paraId="03B600DB">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决算报表反映，县审计局2024年末无结余分配和结转结余。</w:t>
      </w:r>
    </w:p>
    <w:p w14:paraId="4BC19A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7705"/>
      <w:bookmarkStart w:id="81" w:name="_Toc16353"/>
      <w:bookmarkStart w:id="82" w:name="_Toc10974"/>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8011"/>
      <w:bookmarkStart w:id="84" w:name="_Toc1418"/>
      <w:bookmarkStart w:id="85" w:name="_Toc29501"/>
      <w:bookmarkStart w:id="86" w:name="_Toc19300"/>
      <w:bookmarkStart w:id="87" w:name="_Toc3573"/>
      <w:bookmarkStart w:id="88" w:name="_Toc22633"/>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1FA0C40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89" w:name="_Toc24652"/>
      <w:bookmarkStart w:id="90" w:name="_Toc4650"/>
      <w:bookmarkStart w:id="91" w:name="_Toc6926"/>
      <w:bookmarkStart w:id="92" w:name="_Toc30825"/>
      <w:bookmarkStart w:id="93" w:name="_Toc132"/>
      <w:bookmarkStart w:id="94" w:name="_Toc11959"/>
      <w:r>
        <w:rPr>
          <w:rFonts w:hint="default" w:ascii="Times New Roman" w:hAnsi="Times New Roman" w:eastAsia="方正仿宋_GB2312" w:cs="Times New Roman"/>
          <w:color w:val="auto"/>
          <w:sz w:val="32"/>
          <w:szCs w:val="32"/>
          <w:highlight w:val="none"/>
          <w:lang w:val="en-US" w:eastAsia="zh-CN"/>
        </w:rPr>
        <w:t>1.完善党委领导下的审计工作运行机制。坚持党对审计工作全面领导，严格落实上级审计机关、县委、县政府各项工作部署，认真处理县委审计委员会办公室日常事务，坚决执行重大事项请示报告制度。扎实开展思想政治教育，巩固好主题教育和党纪学习教育成果，围绕县委中心工作，探索研究型审计，推动审计高质量发展。</w:t>
      </w:r>
    </w:p>
    <w:p w14:paraId="5F90634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全力做好审计整改“下半篇文章”。严格执行审计整改督查办法，常态化开展审计整改现场督查和“回头看”，用好与人大、纪检、组织协作监督机制，加大对被审计单位整改工作的监督指导，严格执行审计问题“清单+台账+限时销号”整改机制，确保审计发现问题全面整改，把查问题与改问题、治当下与管长远有力有效结合起来，全面提升审计整改质效</w:t>
      </w:r>
      <w:r>
        <w:rPr>
          <w:rFonts w:hint="eastAsia" w:ascii="Times New Roman" w:hAnsi="Times New Roman" w:eastAsia="方正仿宋_GB2312" w:cs="Times New Roman"/>
          <w:color w:val="auto"/>
          <w:sz w:val="32"/>
          <w:szCs w:val="32"/>
          <w:highlight w:val="none"/>
          <w:lang w:val="en-US" w:eastAsia="zh-CN"/>
        </w:rPr>
        <w:t>，固化</w:t>
      </w:r>
      <w:r>
        <w:rPr>
          <w:rFonts w:hint="default" w:ascii="Times New Roman" w:hAnsi="Times New Roman" w:eastAsia="方正仿宋_GB2312" w:cs="Times New Roman"/>
          <w:color w:val="auto"/>
          <w:sz w:val="32"/>
          <w:szCs w:val="32"/>
          <w:highlight w:val="none"/>
          <w:lang w:val="en-US" w:eastAsia="zh-CN"/>
        </w:rPr>
        <w:t>审计成果。</w:t>
      </w:r>
    </w:p>
    <w:p w14:paraId="14DC9DC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强化审计队伍建设和作风建设。强化审计干部政治素养提升，加强审计干部实践锻炼，搭建好培训平台，用好各类培训资源，努力提升审计干部政治理论和专技水平。同时，巩固和转化好主题教育和党纪学习成果，加大巡视巡察反馈问题整改力度，力戒形式主义，严格执行干部管理制度，紧盯“关键少数”，筑牢拒腐防变防线。</w:t>
      </w:r>
    </w:p>
    <w:p w14:paraId="332148A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5" w:name="_Toc24081"/>
      <w:bookmarkStart w:id="96" w:name="_Toc6491"/>
      <w:bookmarkStart w:id="97" w:name="_Toc17536"/>
      <w:r>
        <w:rPr>
          <w:rFonts w:hint="default" w:ascii="Times New Roman" w:hAnsi="Times New Roman" w:eastAsia="方正仿宋_GB2312" w:cs="Times New Roman"/>
          <w:color w:val="auto"/>
          <w:sz w:val="32"/>
          <w:szCs w:val="32"/>
          <w:highlight w:val="none"/>
          <w:lang w:val="en-US" w:eastAsia="zh-CN"/>
        </w:rPr>
        <w:t>县审计局2024年认真落实中央、省、州纪委全会部署安排，完成了以下工作任务：</w:t>
      </w:r>
    </w:p>
    <w:p w14:paraId="3523D2E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8" w:name="_Toc13068"/>
      <w:bookmarkStart w:id="99" w:name="_Toc21154"/>
      <w:bookmarkStart w:id="100" w:name="_Toc32189"/>
      <w:r>
        <w:rPr>
          <w:rFonts w:hint="default" w:ascii="Times New Roman" w:hAnsi="Times New Roman" w:eastAsia="方正仿宋_GB2312" w:cs="Times New Roman"/>
          <w:color w:val="auto"/>
          <w:sz w:val="32"/>
          <w:szCs w:val="32"/>
          <w:highlight w:val="none"/>
          <w:lang w:val="en-US" w:eastAsia="zh-CN"/>
        </w:rPr>
        <w:t>1.</w:t>
      </w:r>
      <w:r>
        <w:rPr>
          <w:rFonts w:hint="eastAsia" w:ascii="Times New Roman" w:hAnsi="Times New Roman" w:eastAsia="方正仿宋_GB2312" w:cs="Times New Roman"/>
          <w:color w:val="auto"/>
          <w:sz w:val="32"/>
          <w:szCs w:val="32"/>
          <w:highlight w:val="none"/>
          <w:lang w:val="en-US" w:eastAsia="zh-CN"/>
        </w:rPr>
        <w:t>部门及财政</w:t>
      </w:r>
      <w:r>
        <w:rPr>
          <w:rFonts w:hint="default" w:ascii="Times New Roman" w:hAnsi="Times New Roman" w:eastAsia="方正仿宋_GB2312" w:cs="Times New Roman"/>
          <w:color w:val="auto"/>
          <w:sz w:val="32"/>
          <w:szCs w:val="32"/>
          <w:highlight w:val="none"/>
          <w:lang w:val="en-US" w:eastAsia="zh-CN"/>
        </w:rPr>
        <w:t>预算审计。聚焦积极的财政政策适度加力、提质增效和州委、州政府、县委、县政府重大决策部署，重点关注推进城乡融合发展相关财政资金使用和政策落实以及财政运行风险等情况，检查工业发展资金、地质灾害防治资金、动物疫病防控补助资金等管理使用情况，基层“三保”、清理拖欠企业账款、财政暂付款消化、债券资金管理等情况，揭示重大政策落实不力、财政资金使用绩效不高、财政运行重大风险等突出问题，促进提升财政政策效果和资金效益，防范财政运行风险。围绕部门预算执行过程和结果，聚焦资金绩效和安全，重点关注落实政府“过紧日子”要求、参与分配财政专项资金、政府采购、政府购买服务、行政事业性国有资产管理、培训费使用、津补贴政策执行等方面情况，揭示各部门（单位）预算执行中的普遍性问题，促进加强管理、严肃财经纪律。</w:t>
      </w:r>
    </w:p>
    <w:p w14:paraId="54EC79A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乡村振兴重点帮扶县相关政策落实和资金审计情况。以推进乡村全面振兴、城乡融合发展、促进惠农政策落实为目标，重点关注农牧民收益保障政策衔接落地、村集体收益和农牧民增收的稳定情况、资金资产管理使用绩效、东西部协作援藏资金及省内对口援建资金管理使用和项目建设推进情况等。</w:t>
      </w:r>
    </w:p>
    <w:p w14:paraId="04B84D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经济责任审计。以促进经济社会高质量发展和领导干部履职尽责、担当作为、廉洁用权、依法决策为目标，重点关注贯彻执行各级党委、政府重大经济方针政策及决策部署，本部门（乡镇）重要发展规划和任务及执行效果，重大经济事项决策及执行情况，单位财政财务、资产和内部监督管理，落实党风廉政建设责任和遵守廉洁从政规定等。</w:t>
      </w:r>
    </w:p>
    <w:p w14:paraId="441CEFB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自然资源资产审计。以贯彻落实绿色发展理念，促进领导干部认真履行自然资源资产管理和生态环境保护责任为目标，紧扣川西北生态示范区主体功能定位，重点关注贯彻执行各级生态文明建设方针政策和决策部署、遵守自然资源资产管理和生态环境保护法律法规、耕地保护政策落实、相关资金管理使用和项目建设运行等情况。</w:t>
      </w:r>
    </w:p>
    <w:p w14:paraId="67CC513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企业审计。以促进县属企业提升经营管理水平和经营绩效、维护国有资产安全，推动县委、县政府国资国企改革部署有效落实为目标，重点关注企业资产负债损益真实性、重大投资项目实施进度及效果、资产管理、企业投融资及风险管控等情况。</w:t>
      </w:r>
    </w:p>
    <w:p w14:paraId="46238A5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固定资产投资审计。以推动灾后恢复重建顺利开展，实现阳光重建、廉洁重建为目标，重点关注灾后恢复重建规划贯彻实施、灾后重建资金管理使用、项目建设推进、重大政策措施落实等情况。以促进重点项目规范建设、有序推进、提升资金使用绩效为目标，重点关注项目前期、要素保障、建设管理、制度建设、序时推进、征地拆迁、环境保护和水土保持、资金筹集及使用管理等情况。</w:t>
      </w:r>
    </w:p>
    <w:p w14:paraId="234D53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24619"/>
      <w:bookmarkStart w:id="102" w:name="_Toc29571"/>
      <w:bookmarkStart w:id="103" w:name="_Toc7521"/>
      <w:bookmarkStart w:id="104" w:name="_Toc11694"/>
      <w:bookmarkStart w:id="105" w:name="_Toc28828"/>
      <w:bookmarkStart w:id="106" w:name="_Toc24977"/>
      <w:bookmarkStart w:id="107" w:name="_Toc8903"/>
      <w:bookmarkStart w:id="108" w:name="_Toc428273082"/>
      <w:bookmarkStart w:id="109" w:name="_Toc4199"/>
      <w:bookmarkStart w:id="110" w:name="_Toc27305"/>
      <w:bookmarkStart w:id="111" w:name="_Toc109483840"/>
      <w:r>
        <w:rPr>
          <w:rFonts w:hint="default" w:ascii="Times New Roman" w:hAnsi="Times New Roman" w:eastAsia="方正楷体简体" w:cs="Times New Roman"/>
          <w:color w:val="auto"/>
          <w:kern w:val="2"/>
          <w:sz w:val="32"/>
          <w:szCs w:val="32"/>
          <w:highlight w:val="none"/>
          <w:shd w:val="clear"/>
          <w:lang w:val="zh-CN" w:eastAsia="zh-CN"/>
        </w:rPr>
        <w:t>（一）绩效评价实施过程</w:t>
      </w:r>
      <w:bookmarkEnd w:id="101"/>
      <w:bookmarkEnd w:id="102"/>
      <w:bookmarkEnd w:id="103"/>
      <w:bookmarkEnd w:id="104"/>
      <w:bookmarkEnd w:id="105"/>
      <w:bookmarkEnd w:id="106"/>
    </w:p>
    <w:p w14:paraId="3E043EB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县审计局</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30977"/>
      <w:bookmarkStart w:id="113" w:name="_Toc24380"/>
      <w:bookmarkStart w:id="114" w:name="_Toc16416"/>
      <w:bookmarkStart w:id="115" w:name="_Toc23900"/>
      <w:bookmarkStart w:id="116" w:name="_Toc4385"/>
      <w:bookmarkStart w:id="117" w:name="_Toc3794"/>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4年度，县审计局坚持以习近平新时代中国特色社会主义思想和习近平总书记关于审计工作重要指示批示精神为指导，深入贯彻落实</w:t>
      </w:r>
      <w:r>
        <w:rPr>
          <w:rFonts w:hint="eastAsia" w:ascii="Times New Roman" w:hAnsi="Times New Roman" w:eastAsia="方正仿宋_GB2312" w:cs="Times New Roman"/>
          <w:color w:val="auto"/>
          <w:sz w:val="32"/>
          <w:szCs w:val="32"/>
          <w:highlight w:val="none"/>
          <w:lang w:val="en-US" w:eastAsia="zh-CN"/>
        </w:rPr>
        <w:t>党的二十大和二十届二中、</w:t>
      </w:r>
      <w:r>
        <w:rPr>
          <w:rFonts w:hint="default" w:ascii="Times New Roman" w:hAnsi="Times New Roman" w:eastAsia="方正仿宋_GB2312" w:cs="Times New Roman"/>
          <w:color w:val="auto"/>
          <w:sz w:val="32"/>
          <w:szCs w:val="32"/>
          <w:highlight w:val="none"/>
          <w:lang w:val="en-US" w:eastAsia="zh-CN"/>
        </w:rPr>
        <w:t>三中全会</w:t>
      </w:r>
      <w:r>
        <w:rPr>
          <w:rFonts w:hint="eastAsia" w:ascii="Times New Roman" w:hAnsi="Times New Roman" w:eastAsia="方正仿宋_GB2312" w:cs="Times New Roman"/>
          <w:color w:val="auto"/>
          <w:sz w:val="32"/>
          <w:szCs w:val="32"/>
          <w:highlight w:val="none"/>
          <w:lang w:val="en-US" w:eastAsia="zh-CN"/>
        </w:rPr>
        <w:t>精神，</w:t>
      </w:r>
      <w:r>
        <w:rPr>
          <w:rFonts w:hint="default" w:ascii="Times New Roman" w:hAnsi="Times New Roman" w:eastAsia="方正仿宋_GB2312" w:cs="Times New Roman"/>
          <w:color w:val="auto"/>
          <w:sz w:val="32"/>
          <w:szCs w:val="32"/>
          <w:highlight w:val="none"/>
          <w:lang w:val="en-US" w:eastAsia="zh-CN"/>
        </w:rPr>
        <w:t>中央、省、州审计工作会议及县委审计委员会部署要求，围绕县委“12345”工作思路，聚焦“经济体检”主责主业，深入开展研究型审计，持续推动省、州、县委重大决策部署落地见效。县审计局在维持部门运转的基础上，完成了部门职责范围内的各项工作，部门履职情况较好。</w:t>
      </w:r>
    </w:p>
    <w:p w14:paraId="38EC819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按照设定的评价指标体系，通过对县审计局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4年度县审计局部门整体支出绩效评价指标分值100.00分，得分86.52分。详见下表：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县审计局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96"/>
        <w:gridCol w:w="2294"/>
        <w:gridCol w:w="1316"/>
        <w:gridCol w:w="622"/>
        <w:gridCol w:w="959"/>
        <w:gridCol w:w="824"/>
      </w:tblGrid>
      <w:tr w14:paraId="109F9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397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4242"/>
            <w:bookmarkStart w:id="119" w:name="_Toc14707"/>
            <w:bookmarkStart w:id="120" w:name="_Toc13729"/>
            <w:bookmarkStart w:id="121" w:name="_Toc16394"/>
            <w:bookmarkStart w:id="122" w:name="_Toc109483841"/>
            <w:bookmarkStart w:id="123" w:name="_Toc26985"/>
            <w:bookmarkStart w:id="124" w:name="_Toc1687911260"/>
            <w:bookmarkStart w:id="125" w:name="_Toc24818"/>
            <w:bookmarkStart w:id="126" w:name="_Toc31945"/>
            <w:bookmarkStart w:id="127" w:name="_Toc28266"/>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A39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52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C68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AAF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72B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6F753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E758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CE9C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749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E01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917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849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2FC74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64C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E16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877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C66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291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1.41</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04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3.59</w:t>
            </w:r>
          </w:p>
        </w:tc>
      </w:tr>
      <w:tr w14:paraId="3FB08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9D3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E10F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DB2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313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C70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0.03</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137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3.97</w:t>
            </w:r>
          </w:p>
        </w:tc>
      </w:tr>
      <w:tr w14:paraId="7E80C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710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3F2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A04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281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8E1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0.5</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3BF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2.5</w:t>
            </w:r>
          </w:p>
        </w:tc>
      </w:tr>
      <w:tr w14:paraId="6AC1D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E6D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D49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614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48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00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592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12D1F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D8E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E72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EAA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C67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5D3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3.33</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B4E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1.67</w:t>
            </w:r>
          </w:p>
        </w:tc>
      </w:tr>
      <w:tr w14:paraId="600BA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6E4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0C1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9BF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C3E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EA7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0.61</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312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19.39</w:t>
            </w:r>
          </w:p>
        </w:tc>
      </w:tr>
      <w:tr w14:paraId="154D1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7C3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6FA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3EA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B50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728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0.6</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58D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29.4</w:t>
            </w:r>
          </w:p>
        </w:tc>
      </w:tr>
      <w:tr w14:paraId="76C51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DF7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6EE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DF3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744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131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414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4E25F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C57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D7D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43B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635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C70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70D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1D00F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AF4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700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317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94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98C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4CB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6A2D5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2DF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265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FF3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5F6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DC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504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2883A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3F7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63B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BD0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13.48</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3BF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86.52</w:t>
            </w:r>
          </w:p>
        </w:tc>
      </w:tr>
    </w:tbl>
    <w:p w14:paraId="7CAEDB5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县审计局</w:t>
      </w:r>
      <w:r>
        <w:rPr>
          <w:rFonts w:hint="default" w:ascii="Times New Roman" w:hAnsi="Times New Roman" w:eastAsia="方正仿宋_GB2312" w:cs="Times New Roman"/>
          <w:color w:val="auto"/>
          <w:sz w:val="32"/>
          <w:szCs w:val="32"/>
          <w:highlight w:val="none"/>
          <w:lang w:val="en-US" w:eastAsia="zh"/>
        </w:rPr>
        <w:t>认真落实中央、省、州纪委全会部署安排，深刻把握党对审计工作提出的新任务、新要求，准确把握新时代审计工作的目标定位和职责使命。按照中央省州县委的重大决策部署开展审计，坚持围绕经济社会高质量发展开展审计工作</w:t>
      </w:r>
      <w:r>
        <w:rPr>
          <w:rFonts w:hint="default" w:ascii="Times New Roman" w:hAnsi="Times New Roman" w:eastAsia="方正仿宋_GB2312" w:cs="Times New Roman"/>
          <w:color w:val="auto"/>
          <w:sz w:val="32"/>
          <w:szCs w:val="32"/>
          <w:highlight w:val="none"/>
          <w:lang w:val="en-US" w:eastAsia="zh-CN"/>
        </w:rPr>
        <w:t>。通过评价组对县审计局进行事后评价，最终县审计局绩效等级为“良”。秉承科学公正、统筹兼顾、激励约束和公开透明财政绩效原则。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建议泸定县财政局针对部门预算绩效管理，进一步要求县审计局完善绩效目标编制、提高绩效自评质量、加强年初预算编制准确性。</w:t>
      </w:r>
    </w:p>
    <w:p w14:paraId="0651BF7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26977"/>
      <w:bookmarkStart w:id="129" w:name="_Toc6100"/>
      <w:bookmarkStart w:id="130" w:name="_Toc11390"/>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审计局在泸定县人民政府门户网站公开的2024年度部门预算和绩效目标，制定了年度部门及项目整体支出绩效目标，绩效目标涵盖数量、质量、时效、效益等指标，绩效目标随预算已上报人大完成审核，但未对部门整体项目进行集体决策，未将部门绩效目标纳入集体决策范围。且存在指标设置不明确、绩效目标要素不完整和指标设置不合理、未具体明确细化考核任务，不便于考核等情况。扣除5.00分。</w:t>
      </w:r>
    </w:p>
    <w:p w14:paraId="4392A5A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本项分值为10.00分，扣5.00分，得分为5.00分。</w:t>
      </w:r>
    </w:p>
    <w:p w14:paraId="051439E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92F37B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审计局提供的2024年度年初预算项目绩效目标申报表及项目完成资料，县审计局整体涉及2个数量指标，1个成本指标。根据现场评价情况，实际完成2个数量指标，完成率100%；成本指标为“专项审计项目成本”其指标值为“＝20万元”，实际只完成11.91万元，完成率为59.55%。</w:t>
      </w:r>
    </w:p>
    <w:p w14:paraId="35DC9D7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本项分值为5.00分，扣1.41分，得分为3.59分。</w:t>
      </w:r>
    </w:p>
    <w:p w14:paraId="07A8489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74EA805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审计局1—6月月预算数352.81万元，实际执行数174.96万元，进度为49.59%；1-9月预算数401.80万元，实际执行数263.37万元，进度为65.55%；1-11月预算数402.04万元，实际执行数351.92万元，进度为87.53%。</w:t>
      </w:r>
    </w:p>
    <w:p w14:paraId="2137F06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上述三个阶段中，根据可执行指标执行情况表被评价单位1-6月、1-11月实际支出进度均已达到目标进度，但1-9月实际支出进度未达到目标进度。</w:t>
      </w:r>
    </w:p>
    <w:p w14:paraId="51F3DF0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本项分值为4.00分，扣0.03分，得分为3.97分。</w:t>
      </w:r>
    </w:p>
    <w:p w14:paraId="22956C4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4A1ABDE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2024年县审计局预算项目3个，根据被评价单位提供的可执行指标执行情况表，预算调整项目2个，其中1个随预算调整同步完成绩效目标调整，未调整的项目有1个，如：2023年委托业务费。</w:t>
      </w:r>
    </w:p>
    <w:p w14:paraId="67B9BB7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本项分值为3.00分，扣0.50分，得分为2.50分。</w:t>
      </w:r>
    </w:p>
    <w:p w14:paraId="2756E4F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根据2024年度，县审计局开展了绩效运行监控，未发现绩效相关问题，对发现的问题及时进行了整改。</w:t>
      </w:r>
    </w:p>
    <w:p w14:paraId="3F0CF77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（3）完成效率</w:t>
      </w:r>
    </w:p>
    <w:p w14:paraId="6AD947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根据县审计局2024年度决算报表与可执行指标执行情况表被评价单位2024年度预算项目共计3个，部门预算项目资金结余率小于10%有1个，大于10%有2个。</w:t>
      </w:r>
    </w:p>
    <w:p w14:paraId="4A928BD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本项分值为5.00分，扣3.33分，得分为1.67分。</w:t>
      </w:r>
    </w:p>
    <w:p w14:paraId="38BE5ED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审计局部门预算项目共2个，涉及预算资金53.00万元，评价组抽取项目1个，抽取项目预算资金50.00万元；抽取率为50%。抽取项目为：2023年委托业务费。评价组抽取项目的绩效评价指标体系均采用《2025年泸定县部门整体支出绩效评价指标体系》。经评价小组复核评分，抽查的预算项目平均得分96.96分。</w:t>
      </w:r>
    </w:p>
    <w:p w14:paraId="4ADF518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本项分值为20.00分，扣0.61分，得分为19.39分。</w:t>
      </w:r>
    </w:p>
    <w:p w14:paraId="3B1C687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3.专项预算绩效管理情况</w:t>
      </w:r>
    </w:p>
    <w:p w14:paraId="19A5BE0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（1）整体完成</w:t>
      </w:r>
    </w:p>
    <w:p w14:paraId="1B9DC6F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0C311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审计局专项预算项目1个，涉及预算资金9万元，评价组抽取样本1个，抽取项目预算资金9万元，抽取率为100%。抽取项目为：地震专项补助项目。抽查的项目中，绩效评价指标体系均采用《泸定县2024年部门预算项目绩效评价指标体系》。经评价小组复核评分，抽查的预算项目得分98分。</w:t>
      </w:r>
    </w:p>
    <w:p w14:paraId="7C50EB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本项分值为30.00分，扣0.60分，得分为29.40分。</w:t>
      </w:r>
    </w:p>
    <w:p w14:paraId="6B552CA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4.绩效结果应用</w:t>
      </w:r>
    </w:p>
    <w:p w14:paraId="0AF25A0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10E8C4C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审计局制定《预算管理制度》，制度中只提出要根据评价项目的绩效情况、完成程度和存在的问题与建议加以综合分析，把单位绩效管理情况纳入内部考核体系且内部绩效结果与预算挂钩，但未制定内部考核体系，内部绩效结果未与预算挂钩。</w:t>
      </w:r>
    </w:p>
    <w:p w14:paraId="26F62B8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74A12D0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审计局于2024年3月27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①2024年度，县审计局未收到绩效目标核查、绩效重点监控和重点绩效评价等方面整改意见，无需整改。</w:t>
      </w:r>
    </w:p>
    <w:p w14:paraId="0E6FAB3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②2024年度，县审计局在规定时间内向财政部门反馈绩效结果应用报告，报告内容翔实、问题整改到位、结果应用充分。</w:t>
      </w:r>
    </w:p>
    <w:p w14:paraId="192AD22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审计局2024年部门整体支出绩效自评得分81分（不包括“自评质量”指标分值，满分为94分），根据现场评价情况，评价组对县审计局的考评得分80.52分（不包括“自评质量”指标分值，满分为94分），自评差异率0.59%，低于10.00%。</w:t>
      </w:r>
    </w:p>
    <w:p w14:paraId="62CC150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248033833"/>
      <w:bookmarkStart w:id="132" w:name="_Toc30339"/>
      <w:bookmarkStart w:id="133" w:name="_Toc4350"/>
      <w:bookmarkStart w:id="134" w:name="_Toc14032"/>
      <w:bookmarkStart w:id="135" w:name="_Toc7306"/>
      <w:bookmarkStart w:id="136" w:name="_Toc823448808"/>
      <w:bookmarkStart w:id="137" w:name="_Toc5060"/>
      <w:bookmarkStart w:id="138" w:name="_Toc25603"/>
      <w:bookmarkStart w:id="139" w:name="_Toc21218"/>
      <w:bookmarkStart w:id="140" w:name="_Toc30515"/>
      <w:bookmarkStart w:id="141" w:name="_Toc19973"/>
      <w:bookmarkStart w:id="142" w:name="_Toc8336"/>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11B36968">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43" w:name="_Toc31629"/>
      <w:bookmarkStart w:id="144" w:name="_Toc464104487"/>
      <w:bookmarkStart w:id="145" w:name="_Toc10426"/>
      <w:bookmarkStart w:id="146" w:name="_Toc3240"/>
      <w:bookmarkStart w:id="147" w:name="_Toc22968"/>
      <w:bookmarkStart w:id="148" w:name="_Toc15651"/>
      <w:bookmarkStart w:id="149" w:name="_Toc771997543"/>
      <w:r>
        <w:rPr>
          <w:rFonts w:hint="default" w:ascii="Times New Roman" w:hAnsi="Times New Roman" w:eastAsia="方正楷体简体" w:cs="Times New Roman"/>
          <w:color w:val="auto"/>
          <w:kern w:val="2"/>
          <w:sz w:val="32"/>
          <w:szCs w:val="32"/>
          <w:highlight w:val="none"/>
          <w:shd w:val="clear"/>
          <w:lang w:val="en-US" w:eastAsia="zh-CN"/>
        </w:rPr>
        <w:t>（一）绩效目标编制和上报不准确</w:t>
      </w:r>
    </w:p>
    <w:p w14:paraId="039C504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审计局2024年部门综合绩效目标与个别预算项目绩效目标均不同程度存在编制不规范，指标设置不够科学准确、具体明确等问题，导致绩效目标科学性、合理性不够强，不便于考核评价。具体情况表现为：</w:t>
      </w:r>
    </w:p>
    <w:p w14:paraId="4C1C195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1.部门整体绩效目标</w:t>
      </w:r>
    </w:p>
    <w:p w14:paraId="4211138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现场评价情况，泸定县审计局《部门（单位）整体支出绩效目标申报表》目标要素齐全，但存在绩效目标设置不明确等问题，具体情况：一是整体绩效目标不够细化，绩效目标申报表中年度总体目标主要聚焦于定性描述，未与数量指标质量指标挂钩，缺乏具体的数量，建议在年度目标中加入主要任务或大额资金项目的可量化指标。二是指标设置不明确，如经济效益指标中的“规范财政预算收支，规范政府投资”其指标值为“高”，该指标设置不够明确，未具体明确细化考核任务，且指标值设置不合理，未具体明确为“高”衡量标准，不便于考核。三是成本指标设置不够完整，该经济成本指标仅设置了一项三级指标“专项审计项目成本”其指标值为“＝20万元”；未设置整体部门经济成本指标情况，建议补充部门各项开支经济成本指标，细化量化成本指标。</w:t>
      </w:r>
    </w:p>
    <w:p w14:paraId="6B3D25B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2.项目支出绩效目标</w:t>
      </w:r>
    </w:p>
    <w:p w14:paraId="05771D8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审计局预算3个项目，各项目均编制了绩效目标申报表，但存在指标设置不准确，指标设置不完整的情况。具体情况为：一是指标设置不准确，如：“2023年委托业务费”中的成本指标二级指标为“社会成本指标”中的三级指标为“审计项目成本”其指标值为定性指标“中”，该指标值设置不准确，根据预算数应设置为“≤50万元”；“地震专项补助”中的成本指标二级指标为“社会成本指标”中的三级指标为“成本”其指标值为定性指标“低”，该指标值设置不准确，根据预算数应设置为“≤9万元”。二是指标设置不够完整，如：“2023年审计工作经费”，指标设置仅有数量指标、社会效益指标、满意度指标，未设置时效指标、质量指标、成本指标。</w:t>
      </w:r>
    </w:p>
    <w:p w14:paraId="58DB4E55">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（二）部门绩效目标制定未纳入本部门集体决策范围</w:t>
      </w:r>
    </w:p>
    <w:p w14:paraId="4BBE3BC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2024年，泸定县审计局已编报《部门（单位）整体支出绩效目标申报表》，绩效目标随预算已上报人大完成审核，但未对部门整体项目进行集体决策，未将部门绩效目标纳入集体决策范围。</w:t>
      </w:r>
    </w:p>
    <w:p w14:paraId="785991F8">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（三）项目预算结余率较高</w:t>
      </w:r>
    </w:p>
    <w:p w14:paraId="60F6CDB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根据县审计局2024年度决算报表与可执行指标执行情况表被评价单位 2024年度预算项目共计3个，部门预算项目资金结余率小于10%有1个，大于10%有2个。预算结余率为18.76%。</w:t>
      </w:r>
    </w:p>
    <w:p w14:paraId="797062B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（四）预算绩效管理制度机制不够健全完善</w:t>
      </w:r>
    </w:p>
    <w:p w14:paraId="477355E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审计局制定《预算管理制度》，只提出根据评价项目的绩效情况、完成程度和存在的问题与建议加以综合分析，将单位绩效管理情况纳入内部考核体系且内部绩效结果与预算挂钩，但未制定内部考核体系，且内部绩效结果未与预算挂钩。</w:t>
      </w:r>
    </w:p>
    <w:p w14:paraId="4EFDC167">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bookmarkStart w:id="150" w:name="_Toc22775"/>
      <w:bookmarkStart w:id="151" w:name="_Toc5324"/>
      <w:bookmarkStart w:id="152" w:name="_Toc29227"/>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164C1013">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（一）规范项目绩效目标设置</w:t>
      </w:r>
    </w:p>
    <w:p w14:paraId="3D54519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21EF4F2C">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（二）绩效目标制定纳入部门集体决策范围</w:t>
      </w:r>
    </w:p>
    <w:p w14:paraId="2167752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33396DBE">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（三）提高预算执行率</w:t>
      </w:r>
    </w:p>
    <w:p w14:paraId="01EB97B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6E98AC87">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（四）健全完善预算绩效管理制度建设</w:t>
      </w:r>
    </w:p>
    <w:p w14:paraId="0436961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bookmarkEnd w:id="141"/>
      <w:bookmarkEnd w:id="142"/>
      <w:r>
        <w:rPr>
          <w:rFonts w:hint="default" w:ascii="Times New Roman" w:hAnsi="Times New Roman" w:eastAsia="方正仿宋_GB2312" w:cs="Times New Roman"/>
          <w:color w:val="auto"/>
          <w:sz w:val="32"/>
          <w:szCs w:val="32"/>
          <w:highlight w:val="none"/>
          <w:lang w:val="en-US" w:eastAsia="zh-CN"/>
        </w:rPr>
        <w:t>。</w:t>
      </w:r>
    </w:p>
    <w:p w14:paraId="0BC8F949">
      <w:pPr>
        <w:keepNext w:val="0"/>
        <w:keepLines w:val="0"/>
        <w:pageBreakBefore w:val="0"/>
        <w:kinsoku/>
        <w:wordWrap/>
        <w:overflowPunct/>
        <w:topLinePunct w:val="0"/>
        <w:autoSpaceDE/>
        <w:autoSpaceDN/>
        <w:bidi w:val="0"/>
        <w:spacing w:line="600" w:lineRule="exact"/>
        <w:ind w:left="0" w:leftChars="0" w:firstLine="0" w:firstLineChars="0"/>
        <w:outlineLvl w:val="1"/>
        <w:rPr>
          <w:rFonts w:hint="default" w:ascii="Times New Roman" w:hAnsi="Times New Roman" w:eastAsia="仿宋" w:cs="Times New Roman"/>
          <w:kern w:val="2"/>
          <w:sz w:val="32"/>
          <w:szCs w:val="32"/>
          <w:lang w:val="en-US" w:eastAsia="zh-CN" w:bidi="ar-SA"/>
        </w:rPr>
      </w:pPr>
    </w:p>
    <w:p w14:paraId="6FC6A30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泸定县审计局部门整体支出绩效评价指标体系表（评分表）</w:t>
      </w:r>
      <w:bookmarkStart w:id="153" w:name="_GoBack"/>
      <w:bookmarkEnd w:id="153"/>
    </w:p>
    <w:p w14:paraId="7E1714C9">
      <w:pPr>
        <w:rPr>
          <w:rFonts w:hint="default" w:ascii="Times New Roman" w:hAnsi="Times New Roman" w:cs="Times New Roman"/>
          <w:sz w:val="32"/>
          <w:szCs w:val="32"/>
          <w:highlight w:val="none"/>
          <w:lang w:val="en-US" w:eastAsia="zh-CN"/>
        </w:rPr>
      </w:pPr>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567E22FB">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　　　　　　　　　　　2025年11月11日</w:t>
      </w:r>
    </w:p>
    <w:p w14:paraId="4FE675F9">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sz w:val="32"/>
          <w:szCs w:val="32"/>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06842CB8-CA5D-4302-B285-03C5B2CD8D89}"/>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27463A70-3834-410A-967E-EF82720CC9EF}"/>
  </w:font>
  <w:font w:name="方正黑体简体">
    <w:panose1 w:val="03000509000000000000"/>
    <w:charset w:val="86"/>
    <w:family w:val="auto"/>
    <w:pitch w:val="default"/>
    <w:sig w:usb0="00000001" w:usb1="080E0000" w:usb2="00000000" w:usb3="00000000" w:csb0="00040000" w:csb1="00000000"/>
    <w:embedRegular r:id="rId3" w:fontKey="{79F699B5-AE46-4E24-B74E-6507D847B5A4}"/>
  </w:font>
  <w:font w:name="方正楷体简体">
    <w:panose1 w:val="03000509000000000000"/>
    <w:charset w:val="86"/>
    <w:family w:val="auto"/>
    <w:pitch w:val="default"/>
    <w:sig w:usb0="00000001" w:usb1="080E0000" w:usb2="00000000" w:usb3="00000000" w:csb0="00040000" w:csb1="00000000"/>
    <w:embedRegular r:id="rId4" w:fontKey="{20A0DAAD-0A90-4655-8101-D9B055CEDEC5}"/>
  </w:font>
  <w:font w:name="方正小标宋简体">
    <w:panose1 w:val="03000509000000000000"/>
    <w:charset w:val="86"/>
    <w:family w:val="auto"/>
    <w:pitch w:val="default"/>
    <w:sig w:usb0="00000001" w:usb1="080E0000" w:usb2="00000000" w:usb3="00000000" w:csb0="00040000" w:csb1="00000000"/>
    <w:embedRegular r:id="rId5" w:fontKey="{E7EC9663-C03F-4FAE-839F-12067BD8C23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A14C7A"/>
    <w:rsid w:val="02B56978"/>
    <w:rsid w:val="031D77B8"/>
    <w:rsid w:val="03435D32"/>
    <w:rsid w:val="034B0AC6"/>
    <w:rsid w:val="03BD26AA"/>
    <w:rsid w:val="03C46413"/>
    <w:rsid w:val="03F043C9"/>
    <w:rsid w:val="03F5560D"/>
    <w:rsid w:val="05370DC3"/>
    <w:rsid w:val="05704583"/>
    <w:rsid w:val="05AE5131"/>
    <w:rsid w:val="05DC421B"/>
    <w:rsid w:val="069B1F26"/>
    <w:rsid w:val="06E2185D"/>
    <w:rsid w:val="071C5217"/>
    <w:rsid w:val="074574B7"/>
    <w:rsid w:val="077F711D"/>
    <w:rsid w:val="0815093A"/>
    <w:rsid w:val="08280844"/>
    <w:rsid w:val="08321414"/>
    <w:rsid w:val="08BC09C7"/>
    <w:rsid w:val="08CA0DBA"/>
    <w:rsid w:val="0AA10A64"/>
    <w:rsid w:val="0AAA2B3A"/>
    <w:rsid w:val="0B3C533F"/>
    <w:rsid w:val="0BC75815"/>
    <w:rsid w:val="0BD10723"/>
    <w:rsid w:val="0BE664AD"/>
    <w:rsid w:val="0C0A3890"/>
    <w:rsid w:val="0C82214A"/>
    <w:rsid w:val="0CC90B55"/>
    <w:rsid w:val="0CF63E15"/>
    <w:rsid w:val="0D4639D6"/>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95427"/>
    <w:rsid w:val="0FA36556"/>
    <w:rsid w:val="100F5919"/>
    <w:rsid w:val="10607EBA"/>
    <w:rsid w:val="10857989"/>
    <w:rsid w:val="10A609B0"/>
    <w:rsid w:val="10C177C0"/>
    <w:rsid w:val="10FB12CE"/>
    <w:rsid w:val="11034D52"/>
    <w:rsid w:val="11641A35"/>
    <w:rsid w:val="11A54F88"/>
    <w:rsid w:val="11A55E09"/>
    <w:rsid w:val="124E7F12"/>
    <w:rsid w:val="1256364C"/>
    <w:rsid w:val="126F6C3D"/>
    <w:rsid w:val="12F71BB3"/>
    <w:rsid w:val="13445E84"/>
    <w:rsid w:val="13463C67"/>
    <w:rsid w:val="134E407D"/>
    <w:rsid w:val="136916A0"/>
    <w:rsid w:val="13BF191E"/>
    <w:rsid w:val="13DD5D2E"/>
    <w:rsid w:val="144B4CE8"/>
    <w:rsid w:val="14827494"/>
    <w:rsid w:val="14DA48CB"/>
    <w:rsid w:val="14DA73CD"/>
    <w:rsid w:val="151B6B0E"/>
    <w:rsid w:val="155B04E5"/>
    <w:rsid w:val="15762967"/>
    <w:rsid w:val="15C0420D"/>
    <w:rsid w:val="15C42D02"/>
    <w:rsid w:val="16310CFC"/>
    <w:rsid w:val="164E7445"/>
    <w:rsid w:val="16521418"/>
    <w:rsid w:val="167B192A"/>
    <w:rsid w:val="16BA737C"/>
    <w:rsid w:val="173E084E"/>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C02064"/>
    <w:rsid w:val="1AF776D6"/>
    <w:rsid w:val="1B0B2AA5"/>
    <w:rsid w:val="1B334486"/>
    <w:rsid w:val="1BDF6BC8"/>
    <w:rsid w:val="1C2C3D72"/>
    <w:rsid w:val="1C535707"/>
    <w:rsid w:val="1C580E62"/>
    <w:rsid w:val="1C975E00"/>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CC56B8"/>
    <w:rsid w:val="21F711A6"/>
    <w:rsid w:val="22460F43"/>
    <w:rsid w:val="22612BC4"/>
    <w:rsid w:val="2297354C"/>
    <w:rsid w:val="22DD16D2"/>
    <w:rsid w:val="22F7E8FF"/>
    <w:rsid w:val="234C0C7F"/>
    <w:rsid w:val="23A67EEB"/>
    <w:rsid w:val="23F46FD7"/>
    <w:rsid w:val="24283899"/>
    <w:rsid w:val="24436E8F"/>
    <w:rsid w:val="248C4080"/>
    <w:rsid w:val="24C04FDC"/>
    <w:rsid w:val="24FD16C3"/>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C260AC"/>
    <w:rsid w:val="2FD91648"/>
    <w:rsid w:val="2FEF2A5C"/>
    <w:rsid w:val="3052247A"/>
    <w:rsid w:val="305D77B8"/>
    <w:rsid w:val="3090670D"/>
    <w:rsid w:val="312B48AF"/>
    <w:rsid w:val="31B5579D"/>
    <w:rsid w:val="32224756"/>
    <w:rsid w:val="32A47AB4"/>
    <w:rsid w:val="32CB27BC"/>
    <w:rsid w:val="33105381"/>
    <w:rsid w:val="336B6A5B"/>
    <w:rsid w:val="337B49B9"/>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762139"/>
    <w:rsid w:val="37E36263"/>
    <w:rsid w:val="37EE368E"/>
    <w:rsid w:val="38554F2F"/>
    <w:rsid w:val="38693545"/>
    <w:rsid w:val="38C96200"/>
    <w:rsid w:val="38D85C62"/>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6F59FF"/>
    <w:rsid w:val="3BD70C1C"/>
    <w:rsid w:val="3C065573"/>
    <w:rsid w:val="3C4B567C"/>
    <w:rsid w:val="3C837FE5"/>
    <w:rsid w:val="3CB15DE8"/>
    <w:rsid w:val="3D1F22E5"/>
    <w:rsid w:val="3D3960CA"/>
    <w:rsid w:val="3D741DDE"/>
    <w:rsid w:val="3D997564"/>
    <w:rsid w:val="3DB744C0"/>
    <w:rsid w:val="3DB8289D"/>
    <w:rsid w:val="3DE87F46"/>
    <w:rsid w:val="3DFC2E05"/>
    <w:rsid w:val="3E0D7049"/>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670862"/>
    <w:rsid w:val="41731B45"/>
    <w:rsid w:val="41DC7289"/>
    <w:rsid w:val="41FD2ABB"/>
    <w:rsid w:val="421C165C"/>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F31D67"/>
    <w:rsid w:val="45FF29D4"/>
    <w:rsid w:val="462A15BD"/>
    <w:rsid w:val="4633306D"/>
    <w:rsid w:val="46625636"/>
    <w:rsid w:val="46E2098A"/>
    <w:rsid w:val="4712301E"/>
    <w:rsid w:val="47970F04"/>
    <w:rsid w:val="48D56225"/>
    <w:rsid w:val="493C0826"/>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101EA3"/>
    <w:rsid w:val="4D3E2370"/>
    <w:rsid w:val="4D6E449B"/>
    <w:rsid w:val="4F0A34DF"/>
    <w:rsid w:val="4F4F3BB5"/>
    <w:rsid w:val="4F5F5C7E"/>
    <w:rsid w:val="4F7241B1"/>
    <w:rsid w:val="4FCD04DF"/>
    <w:rsid w:val="4FF7181A"/>
    <w:rsid w:val="4FFE309A"/>
    <w:rsid w:val="507D0BBC"/>
    <w:rsid w:val="507E6B2A"/>
    <w:rsid w:val="51290B58"/>
    <w:rsid w:val="51381763"/>
    <w:rsid w:val="51842D6A"/>
    <w:rsid w:val="51960840"/>
    <w:rsid w:val="51A236C2"/>
    <w:rsid w:val="51D7639A"/>
    <w:rsid w:val="51E2208C"/>
    <w:rsid w:val="5221572C"/>
    <w:rsid w:val="52265F38"/>
    <w:rsid w:val="52291B63"/>
    <w:rsid w:val="52EF2BDF"/>
    <w:rsid w:val="535B753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9DE4A58"/>
    <w:rsid w:val="5AB4383C"/>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CB38AD"/>
    <w:rsid w:val="5EDB5F93"/>
    <w:rsid w:val="5F246AEA"/>
    <w:rsid w:val="5F3B183F"/>
    <w:rsid w:val="5F5617FE"/>
    <w:rsid w:val="5F562031"/>
    <w:rsid w:val="5F774ACC"/>
    <w:rsid w:val="5F9C373E"/>
    <w:rsid w:val="5FBF7263"/>
    <w:rsid w:val="5FCF84ED"/>
    <w:rsid w:val="5FDFC83C"/>
    <w:rsid w:val="5FF7A0DE"/>
    <w:rsid w:val="60017C7C"/>
    <w:rsid w:val="6020741B"/>
    <w:rsid w:val="60695F4D"/>
    <w:rsid w:val="608914CC"/>
    <w:rsid w:val="6094289E"/>
    <w:rsid w:val="60A725D1"/>
    <w:rsid w:val="60F11867"/>
    <w:rsid w:val="61035425"/>
    <w:rsid w:val="61492D1C"/>
    <w:rsid w:val="615C16D6"/>
    <w:rsid w:val="618A3DC3"/>
    <w:rsid w:val="61C15430"/>
    <w:rsid w:val="61E46B12"/>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BB8914"/>
    <w:rsid w:val="66C0483B"/>
    <w:rsid w:val="66CC410D"/>
    <w:rsid w:val="66EE54A9"/>
    <w:rsid w:val="67003C66"/>
    <w:rsid w:val="67152FB8"/>
    <w:rsid w:val="674137E3"/>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43739A"/>
    <w:rsid w:val="6BFFA4D9"/>
    <w:rsid w:val="6C196A9A"/>
    <w:rsid w:val="6C590980"/>
    <w:rsid w:val="6C75429C"/>
    <w:rsid w:val="6C7D23DE"/>
    <w:rsid w:val="6C8163CC"/>
    <w:rsid w:val="6C862912"/>
    <w:rsid w:val="6CFA1652"/>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E817A2"/>
    <w:rsid w:val="70EF71B7"/>
    <w:rsid w:val="70FAFB2A"/>
    <w:rsid w:val="71506ACE"/>
    <w:rsid w:val="716138A0"/>
    <w:rsid w:val="716314ED"/>
    <w:rsid w:val="71753151"/>
    <w:rsid w:val="71867FE1"/>
    <w:rsid w:val="71A73D3E"/>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EB7264"/>
    <w:rsid w:val="76EEE66D"/>
    <w:rsid w:val="76EF82A2"/>
    <w:rsid w:val="76F20DAE"/>
    <w:rsid w:val="76FBFBCD"/>
    <w:rsid w:val="77245415"/>
    <w:rsid w:val="77503BA8"/>
    <w:rsid w:val="77B627D2"/>
    <w:rsid w:val="77BDFB3C"/>
    <w:rsid w:val="77BF2551"/>
    <w:rsid w:val="77CB4ADD"/>
    <w:rsid w:val="77F50D0E"/>
    <w:rsid w:val="77FCCDF3"/>
    <w:rsid w:val="7821727C"/>
    <w:rsid w:val="78243701"/>
    <w:rsid w:val="782E0A91"/>
    <w:rsid w:val="7866291A"/>
    <w:rsid w:val="788E7EA5"/>
    <w:rsid w:val="78F74A7F"/>
    <w:rsid w:val="7922343B"/>
    <w:rsid w:val="7926388B"/>
    <w:rsid w:val="79521C10"/>
    <w:rsid w:val="795E17F1"/>
    <w:rsid w:val="795FF9E4"/>
    <w:rsid w:val="79D42C0A"/>
    <w:rsid w:val="79FFF26D"/>
    <w:rsid w:val="7A142583"/>
    <w:rsid w:val="7A267238"/>
    <w:rsid w:val="7A30225F"/>
    <w:rsid w:val="7AAE7979"/>
    <w:rsid w:val="7AD5E80B"/>
    <w:rsid w:val="7AE7FD2B"/>
    <w:rsid w:val="7AF3D7EA"/>
    <w:rsid w:val="7AFE98C0"/>
    <w:rsid w:val="7B0A37F3"/>
    <w:rsid w:val="7B2EC99E"/>
    <w:rsid w:val="7B3E4BF5"/>
    <w:rsid w:val="7B676EB1"/>
    <w:rsid w:val="7B93031C"/>
    <w:rsid w:val="7BB3345A"/>
    <w:rsid w:val="7BBE09F0"/>
    <w:rsid w:val="7BCF7C7E"/>
    <w:rsid w:val="7BD61AD5"/>
    <w:rsid w:val="7BDC5A0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2"/>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next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1"/>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Default"/>
    <w:next w:val="26"/>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6">
    <w:name w:val="_Style 1"/>
    <w:basedOn w:val="1"/>
    <w:next w:val="1"/>
    <w:qFormat/>
    <w:uiPriority w:val="0"/>
    <w:pPr>
      <w:pBdr>
        <w:top w:val="single" w:color="auto" w:sz="6" w:space="1"/>
      </w:pBdr>
      <w:jc w:val="center"/>
    </w:pPr>
    <w:rPr>
      <w:rFonts w:ascii="Arial" w:eastAsia="宋体"/>
      <w:vanish/>
      <w:sz w:val="16"/>
    </w:rPr>
  </w:style>
  <w:style w:type="paragraph" w:customStyle="1" w:styleId="27">
    <w:name w:val="常用样式（方正仿宋简）"/>
    <w:basedOn w:val="1"/>
    <w:qFormat/>
    <w:uiPriority w:val="0"/>
    <w:pPr>
      <w:spacing w:line="560" w:lineRule="exact"/>
      <w:ind w:firstLine="640"/>
    </w:pPr>
    <w:rPr>
      <w:rFonts w:eastAsia="仿宋"/>
      <w:sz w:val="32"/>
    </w:rPr>
  </w:style>
  <w:style w:type="character" w:customStyle="1" w:styleId="28">
    <w:name w:val="页眉 字符"/>
    <w:basedOn w:val="20"/>
    <w:link w:val="12"/>
    <w:qFormat/>
    <w:uiPriority w:val="99"/>
    <w:rPr>
      <w:sz w:val="18"/>
      <w:szCs w:val="18"/>
    </w:rPr>
  </w:style>
  <w:style w:type="character" w:customStyle="1" w:styleId="29">
    <w:name w:val="页脚 字符"/>
    <w:basedOn w:val="20"/>
    <w:link w:val="11"/>
    <w:qFormat/>
    <w:uiPriority w:val="99"/>
    <w:rPr>
      <w:sz w:val="18"/>
      <w:szCs w:val="18"/>
    </w:rPr>
  </w:style>
  <w:style w:type="character" w:customStyle="1" w:styleId="30">
    <w:name w:val="font11"/>
    <w:basedOn w:val="20"/>
    <w:qFormat/>
    <w:uiPriority w:val="0"/>
    <w:rPr>
      <w:rFonts w:hint="eastAsia" w:ascii="宋体" w:hAnsi="宋体" w:eastAsia="宋体" w:cs="宋体"/>
      <w:color w:val="000000"/>
      <w:sz w:val="21"/>
      <w:szCs w:val="21"/>
      <w:u w:val="none"/>
    </w:rPr>
  </w:style>
  <w:style w:type="character" w:customStyle="1" w:styleId="31">
    <w:name w:val="font01"/>
    <w:basedOn w:val="20"/>
    <w:qFormat/>
    <w:uiPriority w:val="0"/>
    <w:rPr>
      <w:rFonts w:hint="default" w:ascii="Calibri" w:hAnsi="Calibri" w:cs="Calibri"/>
      <w:color w:val="000000"/>
      <w:sz w:val="21"/>
      <w:szCs w:val="21"/>
      <w:u w:val="none"/>
    </w:rPr>
  </w:style>
  <w:style w:type="character" w:customStyle="1" w:styleId="32">
    <w:name w:val="font71"/>
    <w:basedOn w:val="20"/>
    <w:qFormat/>
    <w:uiPriority w:val="0"/>
    <w:rPr>
      <w:rFonts w:hint="eastAsia" w:ascii="仿宋" w:hAnsi="仿宋" w:eastAsia="仿宋" w:cs="仿宋"/>
      <w:b/>
      <w:color w:val="000000"/>
      <w:sz w:val="24"/>
      <w:szCs w:val="24"/>
      <w:u w:val="none"/>
    </w:rPr>
  </w:style>
  <w:style w:type="character" w:customStyle="1" w:styleId="33">
    <w:name w:val="font51"/>
    <w:basedOn w:val="20"/>
    <w:qFormat/>
    <w:uiPriority w:val="0"/>
    <w:rPr>
      <w:rFonts w:hint="eastAsia" w:ascii="仿宋" w:hAnsi="仿宋" w:eastAsia="仿宋" w:cs="仿宋"/>
      <w:color w:val="000000"/>
      <w:sz w:val="24"/>
      <w:szCs w:val="24"/>
      <w:u w:val="none"/>
    </w:rPr>
  </w:style>
  <w:style w:type="character" w:customStyle="1" w:styleId="34">
    <w:name w:val="font31"/>
    <w:basedOn w:val="20"/>
    <w:qFormat/>
    <w:uiPriority w:val="0"/>
    <w:rPr>
      <w:rFonts w:hint="eastAsia" w:ascii="宋体" w:hAnsi="宋体" w:eastAsia="宋体" w:cs="宋体"/>
      <w:b/>
      <w:color w:val="000000"/>
      <w:sz w:val="22"/>
      <w:szCs w:val="22"/>
      <w:u w:val="none"/>
    </w:rPr>
  </w:style>
  <w:style w:type="character" w:customStyle="1" w:styleId="35">
    <w:name w:val="font21"/>
    <w:basedOn w:val="20"/>
    <w:qFormat/>
    <w:uiPriority w:val="0"/>
    <w:rPr>
      <w:rFonts w:hint="eastAsia" w:ascii="宋体" w:hAnsi="宋体" w:eastAsia="宋体" w:cs="宋体"/>
      <w:color w:val="000000"/>
      <w:sz w:val="20"/>
      <w:szCs w:val="20"/>
      <w:u w:val="none"/>
    </w:rPr>
  </w:style>
  <w:style w:type="character" w:customStyle="1" w:styleId="36">
    <w:name w:val="font41"/>
    <w:basedOn w:val="20"/>
    <w:qFormat/>
    <w:uiPriority w:val="0"/>
    <w:rPr>
      <w:rFonts w:hint="default" w:ascii="Times New Roman" w:hAnsi="Times New Roman" w:cs="Times New Roman"/>
      <w:b/>
      <w:color w:val="000000"/>
      <w:sz w:val="20"/>
      <w:szCs w:val="20"/>
      <w:u w:val="none"/>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表格"/>
    <w:basedOn w:val="1"/>
    <w:qFormat/>
    <w:uiPriority w:val="0"/>
    <w:rPr>
      <w:rFonts w:hint="eastAsia"/>
      <w:kern w:val="0"/>
      <w:sz w:val="24"/>
      <w:szCs w:val="20"/>
    </w:rPr>
  </w:style>
  <w:style w:type="paragraph" w:customStyle="1" w:styleId="40">
    <w:name w:val="页眉或页脚 (2)"/>
    <w:basedOn w:val="1"/>
    <w:qFormat/>
    <w:uiPriority w:val="0"/>
    <w:rPr>
      <w:rFonts w:eastAsia="Times New Roman" w:cs="Times New Roman"/>
      <w:sz w:val="20"/>
      <w:szCs w:val="20"/>
      <w:lang w:val="zh-CN" w:bidi="zh-CN"/>
    </w:rPr>
  </w:style>
  <w:style w:type="character" w:customStyle="1" w:styleId="41">
    <w:name w:val="标题 字符"/>
    <w:basedOn w:val="20"/>
    <w:link w:val="16"/>
    <w:qFormat/>
    <w:uiPriority w:val="0"/>
    <w:rPr>
      <w:rFonts w:ascii="等线 Light" w:hAnsi="等线 Light" w:eastAsia="等线 Light" w:cs="Times New Roman"/>
      <w:b/>
      <w:bCs/>
      <w:kern w:val="2"/>
      <w:sz w:val="32"/>
      <w:szCs w:val="32"/>
    </w:rPr>
  </w:style>
  <w:style w:type="character" w:customStyle="1" w:styleId="42">
    <w:name w:val="正文文本缩进 字符"/>
    <w:basedOn w:val="20"/>
    <w:link w:val="8"/>
    <w:qFormat/>
    <w:uiPriority w:val="0"/>
    <w:rPr>
      <w:kern w:val="2"/>
      <w:sz w:val="32"/>
      <w:szCs w:val="24"/>
    </w:rPr>
  </w:style>
  <w:style w:type="paragraph" w:customStyle="1" w:styleId="43">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4">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5">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d56d8b24-e767-4a3a-8d80-8c03febf6520</errorID>
      <errorWord>固化</errorWord>
      <group>L1_AI</group>
      <groupName>深度校对</groupName>
      <ability>L2_AI_Punc</ability>
      <abilityName>标点纠错</abilityName>
      <candidateList>
        <item>，固化</item>
      </candidateList>
      <explain/>
      <paraID>5F90634B</paraID>
      <start>160</start>
      <end>163</end>
      <status>modified</status>
      <modifiedWord>，固化</modifiedWord>
      <trackRevisions>false</trackRevisions>
    </reviewItem>
    <reviewItem>
      <errorID>ed1993d4-ba15-4731-a15a-13e6e52a50e7</errorID>
      <errorWord>财政及部门</errorWord>
      <group>L1_Grammar</group>
      <groupName>语法问题</groupName>
      <ability>L2_Order</ability>
      <abilityName>语序不当</abilityName>
      <candidateList>
        <item>部门及财政</item>
      </candidateList>
      <explain>句子可能没有遵循时空、逻辑顺序，或者介词、关联词等位置不当。</explain>
      <paraID>3523D2E3</paraID>
      <start>2</start>
      <end>7</end>
      <status>modified</status>
      <modifiedWord>部门及财政</modifiedWord>
      <trackRevisions>false</trackRevisions>
    </reviewItem>
    <reviewItem>
      <errorID>fbc02ebb-18f0-4731-a921-016c06ca418d</errorID>
      <errorWord>党的二十大、二十届二中、</errorWord>
      <group>L1_Political</group>
      <groupName>政治性问题</groupName>
      <ability>L2_Unpolitical</ability>
      <abilityName>政治敏感错误</abilityName>
      <candidateList>
        <item>党的二十大和二十届二中、</item>
      </candidateList>
      <explain/>
      <paraID>11D0484D</paraID>
      <start>61</start>
      <end>73</end>
      <status>modified</status>
      <modifiedWord>党的二十大和二十届二中、</modifiedWord>
      <trackRevisions>false</trackRevisions>
    </reviewItem>
    <reviewItem>
      <errorID>ed349c81-fed5-4bf4-be87-c23f3b3b035a</errorID>
      <errorWord>，</errorWord>
      <group>L1_AI</group>
      <groupName>深度校对</groupName>
      <ability>L2_AI_Grammar</ability>
      <abilityName>语法纠错</abilityName>
      <candidateList>
        <item>精神，</item>
      </candidateList>
      <explain/>
      <paraID>11D0484D</paraID>
      <start>77</start>
      <end>80</end>
      <status>modified</status>
      <modifiedWord>精神，</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99f762-a6ba-49dd-b6d4-1e53a2cf84cc}">
  <ds:schemaRefs/>
</ds:datastoreItem>
</file>

<file path=docProps/app.xml><?xml version="1.0" encoding="utf-8"?>
<Properties xmlns="http://schemas.openxmlformats.org/officeDocument/2006/extended-properties" xmlns:vt="http://schemas.openxmlformats.org/officeDocument/2006/docPropsVTypes">
  <Company>Microsoft</Company>
  <Pages>17</Pages>
  <Words>8021</Words>
  <Characters>8651</Characters>
  <Lines>1</Lines>
  <Paragraphs>1</Paragraphs>
  <TotalTime>3</TotalTime>
  <ScaleCrop>false</ScaleCrop>
  <LinksUpToDate>false</LinksUpToDate>
  <CharactersWithSpaces>8671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2025-12-11T02:45:28Z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