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9524"/>
      <w:bookmarkStart w:id="1" w:name="_Toc2231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38E940A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4255ED3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641640D">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3B06129B">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w:t>
      </w:r>
      <w:r>
        <w:rPr>
          <w:rFonts w:hint="default" w:ascii="Times New Roman" w:hAnsi="Times New Roman" w:cs="Times New Roman"/>
          <w:sz w:val="32"/>
          <w:szCs w:val="32"/>
          <w:highlight w:val="none"/>
          <w:lang w:val="en-US" w:eastAsia="zh-CN"/>
        </w:rPr>
        <w:t>42</w:t>
      </w:r>
      <w:r>
        <w:rPr>
          <w:rFonts w:hint="default" w:ascii="Times New Roman" w:hAnsi="Times New Roman" w:cs="Times New Roman"/>
          <w:sz w:val="32"/>
          <w:szCs w:val="32"/>
          <w:highlight w:val="none"/>
        </w:rPr>
        <w:t>号</w:t>
      </w:r>
    </w:p>
    <w:p w14:paraId="02AA837D">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1"/>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6CD5FEFE">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中共泸定县委社会工作部</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18"/>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3D77855B">
      <w:pPr>
        <w:keepNext w:val="0"/>
        <w:keepLines w:val="0"/>
        <w:pageBreakBefore w:val="0"/>
        <w:kinsoku/>
        <w:wordWrap/>
        <w:overflowPunct/>
        <w:topLinePunct w:val="0"/>
        <w:autoSpaceDE/>
        <w:autoSpaceDN/>
        <w:bidi w:val="0"/>
        <w:spacing w:line="600" w:lineRule="exact"/>
        <w:ind w:left="0" w:leftChars="0" w:right="0" w:rightChars="0" w:firstLine="0" w:firstLineChars="0"/>
        <w:rPr>
          <w:rFonts w:hint="default" w:ascii="Times New Roman" w:hAnsi="Times New Roman" w:eastAsia="方正仿宋_GB2312" w:cs="Times New Roman"/>
          <w:color w:val="auto"/>
          <w:sz w:val="32"/>
          <w:szCs w:val="32"/>
          <w:highlight w:val="none"/>
          <w:lang w:val="fr-FR" w:eastAsia="zh-CN"/>
        </w:rPr>
      </w:pPr>
      <w:bookmarkStart w:id="4" w:name="_Toc26210"/>
      <w:bookmarkStart w:id="5" w:name="_Toc6252"/>
      <w:bookmarkStart w:id="6" w:name="_Toc8938"/>
      <w:r>
        <w:rPr>
          <w:rFonts w:hint="default" w:ascii="Times New Roman" w:hAnsi="Times New Roman" w:eastAsia="方正仿宋_GB2312" w:cs="Times New Roman"/>
          <w:color w:val="auto"/>
          <w:sz w:val="32"/>
          <w:szCs w:val="32"/>
          <w:highlight w:val="none"/>
          <w:lang w:val="fr-FR" w:eastAsia="zh-CN"/>
        </w:rPr>
        <w:t>中共泸定县委社会工作部：</w:t>
      </w:r>
    </w:p>
    <w:p w14:paraId="50FB6A3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中共泸定县委社会工作部（中共泸定县委非公有制经济组织和社会组织工作委员会）</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中共泸定县委社会工作部（中共泸定县委非公有制经济组织和社会组织工作委员会）</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中共泸定县委社会工作部（中共泸定县委非公有制经济组织和社会组织工作委员会）</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26009"/>
      <w:bookmarkStart w:id="11" w:name="_Toc799907804"/>
      <w:bookmarkStart w:id="12" w:name="_Toc10147"/>
      <w:bookmarkStart w:id="13" w:name="_Toc12546"/>
      <w:bookmarkStart w:id="14" w:name="_Toc15220"/>
      <w:bookmarkStart w:id="15" w:name="_Toc18579"/>
      <w:bookmarkStart w:id="16" w:name="_Toc4351"/>
      <w:bookmarkStart w:id="17" w:name="_Toc27571"/>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6549"/>
      <w:bookmarkStart w:id="19" w:name="_Toc109483834"/>
      <w:bookmarkStart w:id="20" w:name="_Toc30550"/>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7513"/>
      <w:bookmarkStart w:id="22" w:name="_Toc419097264"/>
      <w:bookmarkStart w:id="23" w:name="_Toc24161"/>
      <w:bookmarkStart w:id="24" w:name="_Toc18535"/>
      <w:bookmarkStart w:id="25" w:name="_Toc2337"/>
      <w:bookmarkStart w:id="26" w:name="_Toc11769"/>
      <w:bookmarkStart w:id="27" w:name="_Toc20865"/>
      <w:bookmarkStart w:id="28" w:name="_Toc19098"/>
      <w:r>
        <w:rPr>
          <w:rFonts w:hint="default" w:ascii="Times New Roman" w:hAnsi="Times New Roman" w:eastAsia="方正楷体简体" w:cs="Times New Roman"/>
          <w:color w:val="auto"/>
          <w:kern w:val="2"/>
          <w:sz w:val="32"/>
          <w:szCs w:val="32"/>
          <w:highlight w:val="none"/>
          <w:shd w:val="clear"/>
          <w:lang w:val="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fr-FR" w:eastAsia="zh-CN"/>
        </w:rPr>
        <w:t>中共泸定县委社会工作部（中共泸定县委非公有制经济组织和社会组织工作委员会）</w:t>
      </w:r>
      <w:r>
        <w:rPr>
          <w:rFonts w:hint="default" w:ascii="Times New Roman" w:hAnsi="Times New Roman" w:eastAsia="方正仿宋_GB2312" w:cs="Times New Roman"/>
          <w:color w:val="auto"/>
          <w:sz w:val="32"/>
          <w:szCs w:val="32"/>
          <w:highlight w:val="none"/>
          <w:lang w:val="en-US" w:eastAsia="zh-CN"/>
        </w:rPr>
        <w:t>（以下简称县委社工部）</w:t>
      </w:r>
      <w:r>
        <w:rPr>
          <w:rFonts w:hint="default" w:ascii="Times New Roman" w:hAnsi="Times New Roman" w:eastAsia="方正仿宋_GB2312" w:cs="Times New Roman"/>
          <w:color w:val="auto"/>
          <w:sz w:val="32"/>
          <w:szCs w:val="32"/>
          <w:highlight w:val="none"/>
          <w:lang w:val="fr-FR" w:eastAsia="zh-CN"/>
        </w:rPr>
        <w:t>，是县委职能部门，为正科级，列县委工作机关序列。加挂县委非公有制经济组织和社会组织工作委员会（简称县委“两新”工委）牌子。属财政补助（收支统管、全额保障）的一级预算单位，机构性质：</w:t>
      </w:r>
      <w:r>
        <w:rPr>
          <w:rFonts w:hint="default" w:ascii="Times New Roman" w:hAnsi="Times New Roman" w:eastAsia="方正仿宋_GB2312" w:cs="Times New Roman"/>
          <w:color w:val="auto"/>
          <w:sz w:val="32"/>
          <w:szCs w:val="32"/>
          <w:highlight w:val="none"/>
          <w:lang w:val="en-US" w:eastAsia="zh-CN"/>
        </w:rPr>
        <w:t>机关单位</w:t>
      </w:r>
      <w:r>
        <w:rPr>
          <w:rFonts w:hint="default" w:ascii="Times New Roman" w:hAnsi="Times New Roman" w:eastAsia="方正仿宋_GB2312" w:cs="Times New Roman"/>
          <w:color w:val="auto"/>
          <w:sz w:val="32"/>
          <w:szCs w:val="32"/>
          <w:highlight w:val="none"/>
          <w:lang w:val="fr-FR" w:eastAsia="zh-CN"/>
        </w:rPr>
        <w:t>；单位负责人：</w:t>
      </w:r>
      <w:r>
        <w:rPr>
          <w:rFonts w:hint="default" w:ascii="Times New Roman" w:hAnsi="Times New Roman" w:eastAsia="方正仿宋_GB2312" w:cs="Times New Roman"/>
          <w:color w:val="auto"/>
          <w:sz w:val="32"/>
          <w:szCs w:val="32"/>
          <w:highlight w:val="none"/>
          <w:lang w:val="en-US" w:eastAsia="zh-CN"/>
        </w:rPr>
        <w:t>李先琴</w:t>
      </w:r>
      <w:r>
        <w:rPr>
          <w:rFonts w:hint="default" w:ascii="Times New Roman" w:hAnsi="Times New Roman" w:eastAsia="方正仿宋_GB2312" w:cs="Times New Roman"/>
          <w:color w:val="auto"/>
          <w:sz w:val="32"/>
          <w:szCs w:val="32"/>
          <w:highlight w:val="none"/>
          <w:lang w:val="fr-FR" w:eastAsia="zh-CN"/>
        </w:rPr>
        <w:t>；统一社会信用代码：11513322MB0851526T；单位所在地：四川省甘孜藏族自治州泸定县泸桥镇</w:t>
      </w:r>
      <w:r>
        <w:rPr>
          <w:rFonts w:hint="default" w:ascii="Times New Roman" w:hAnsi="Times New Roman" w:eastAsia="方正仿宋_GB2312" w:cs="Times New Roman"/>
          <w:color w:val="auto"/>
          <w:sz w:val="32"/>
          <w:szCs w:val="32"/>
          <w:highlight w:val="none"/>
          <w:lang w:val="en-US" w:eastAsia="zh-CN"/>
        </w:rPr>
        <w:t>红军</w:t>
      </w:r>
      <w:r>
        <w:rPr>
          <w:rFonts w:hint="default" w:ascii="Times New Roman" w:hAnsi="Times New Roman" w:eastAsia="方正仿宋_GB2312" w:cs="Times New Roman"/>
          <w:color w:val="auto"/>
          <w:sz w:val="32"/>
          <w:szCs w:val="32"/>
          <w:highlight w:val="none"/>
          <w:lang w:val="fr-FR" w:eastAsia="zh-CN"/>
        </w:rPr>
        <w:t>路</w:t>
      </w:r>
      <w:r>
        <w:rPr>
          <w:rFonts w:hint="default" w:ascii="Times New Roman" w:hAnsi="Times New Roman" w:eastAsia="方正仿宋_GB2312" w:cs="Times New Roman"/>
          <w:color w:val="auto"/>
          <w:sz w:val="32"/>
          <w:szCs w:val="32"/>
          <w:highlight w:val="none"/>
          <w:lang w:val="en-US" w:eastAsia="zh-CN"/>
        </w:rPr>
        <w:t>320</w:t>
      </w:r>
      <w:r>
        <w:rPr>
          <w:rFonts w:hint="default" w:ascii="Times New Roman" w:hAnsi="Times New Roman" w:eastAsia="方正仿宋_GB2312" w:cs="Times New Roman"/>
          <w:color w:val="auto"/>
          <w:sz w:val="32"/>
          <w:szCs w:val="32"/>
          <w:highlight w:val="none"/>
          <w:lang w:val="fr-FR" w:eastAsia="zh-CN"/>
        </w:rPr>
        <w:t>号</w:t>
      </w:r>
      <w:r>
        <w:rPr>
          <w:rFonts w:hint="default" w:ascii="Times New Roman" w:hAnsi="Times New Roman" w:eastAsia="方正仿宋_GB2312" w:cs="Times New Roman"/>
          <w:color w:val="auto"/>
          <w:sz w:val="32"/>
          <w:szCs w:val="32"/>
          <w:highlight w:val="none"/>
          <w:lang w:val="en-US" w:eastAsia="zh-CN"/>
        </w:rPr>
        <w:t>县政府综合办公大楼6楼</w:t>
      </w:r>
      <w:r>
        <w:rPr>
          <w:rFonts w:hint="default" w:ascii="Times New Roman" w:hAnsi="Times New Roman" w:eastAsia="方正仿宋_GB2312" w:cs="Times New Roman"/>
          <w:color w:val="auto"/>
          <w:sz w:val="32"/>
          <w:szCs w:val="32"/>
          <w:highlight w:val="none"/>
          <w:lang w:val="fr-FR" w:eastAsia="zh-CN"/>
        </w:rPr>
        <w:t xml:space="preserve">。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278"/>
      <w:bookmarkStart w:id="31" w:name="_Toc17750"/>
      <w:bookmarkStart w:id="32" w:name="_Toc31223"/>
      <w:bookmarkStart w:id="33" w:name="_Toc28538"/>
      <w:bookmarkStart w:id="34" w:name="_Toc16904"/>
      <w:bookmarkStart w:id="35" w:name="_Toc26703"/>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20FA589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（1）内设机构。县委社工部内设机构1个：泸定县社会工作服务中心，无二级预算单位。</w:t>
      </w:r>
    </w:p>
    <w:p w14:paraId="7997714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（2）人员概况。截至2024年末，县委社工部单位编制人数8人，在职总人数8人，其中：行政编制8人。</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568184988"/>
      <w:bookmarkStart w:id="37" w:name="_Toc16978"/>
      <w:bookmarkStart w:id="38" w:name="_Toc16740"/>
      <w:bookmarkStart w:id="39" w:name="_Toc12241"/>
      <w:bookmarkStart w:id="40" w:name="_Toc21223"/>
      <w:bookmarkStart w:id="41" w:name="_Toc22604"/>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10DEF07B">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bookmarkStart w:id="42" w:name="_Toc33"/>
      <w:bookmarkStart w:id="43" w:name="_Toc109483836"/>
      <w:r>
        <w:rPr>
          <w:rFonts w:hint="default" w:ascii="Times New Roman" w:hAnsi="Times New Roman" w:eastAsia="方正仿宋_GB2312" w:cs="Times New Roman"/>
          <w:color w:val="auto"/>
          <w:sz w:val="32"/>
          <w:szCs w:val="32"/>
          <w:highlight w:val="none"/>
          <w:lang w:val="fr-FR" w:eastAsia="zh-CN"/>
        </w:rPr>
        <w:t>县委社工部的主要职责是：</w:t>
      </w:r>
    </w:p>
    <w:p w14:paraId="42C5045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1.研究相关理论、政策和规划，拟订关于社会工作相关地方性法规草案及规范性文件并组织实施。深入调查研究，及时向县委报告工作情况并提出建议。调查研究非公有制经济组织、社会组织服务管理工作有关问题并提出政策建议。指导乡（镇）开展社会治理工作。</w:t>
      </w:r>
    </w:p>
    <w:p w14:paraId="6C8CB3A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2.统筹指导全县群众利益协调、诉求表达、矛盾调处、权益保障等人民信访工作，协调解决人民群众急难愁盼问题。指导人民建议征集工作，负责征集、办理公民、法人和其他组织提出的意见建议，向县委、县政府及时反映公民、法人和其他组织对经济社会各项事业发展提出的重要意见建议。</w:t>
      </w:r>
    </w:p>
    <w:p w14:paraId="54AC86A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3.健全和落实党建引领基层治理领导体制和工作机制，统筹推进党建引领基层治理和基层政权建设，协调推进城乡社区治理体系、服务体系和治理能力建设，推动基层民主政治建设，指导监督基层群众性自治组织规范化建设。</w:t>
      </w:r>
    </w:p>
    <w:p w14:paraId="3E4AF5D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4.指导全县性社会组织党建工作，统一领导全县性行业协会商会党的工作，负责全县性行业协会商会负责人人选的审核。协调推动全县行业协会商会深化改革和转型发展，调查研究相关重大问题。</w:t>
      </w:r>
    </w:p>
    <w:p w14:paraId="3D8CB903">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5.指导全县混合所有制企业、非公有制企业和新经济组织、新社会组织、新就业群体（以下简称“两企三新”）党建工作，指导协调相关企业单位、社会组织、就业群体中党员的教育、管理、监督和服务工作，指导完善相关领域群众利益协调机制。</w:t>
      </w:r>
    </w:p>
    <w:p w14:paraId="161AD6F1">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6.负责全县志愿服务工作的统筹规划、协调指导、督促检查和经验推广，指导推动社会工作人才队伍建设、志愿服务人才队伍建设和阵地建设以及志愿服务组织的规范管理工作，协调推动社会工作服务体系和志愿服务体系建设。</w:t>
      </w:r>
    </w:p>
    <w:p w14:paraId="115730AA">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fr-FR" w:eastAsia="zh-CN"/>
        </w:rPr>
      </w:pPr>
      <w:r>
        <w:rPr>
          <w:rFonts w:hint="default" w:ascii="Times New Roman" w:hAnsi="Times New Roman" w:eastAsia="方正仿宋_GB2312" w:cs="Times New Roman"/>
          <w:color w:val="auto"/>
          <w:sz w:val="32"/>
          <w:szCs w:val="32"/>
          <w:highlight w:val="none"/>
          <w:lang w:val="fr-FR" w:eastAsia="zh-CN"/>
        </w:rPr>
        <w:t>7.完成县委交办的其他任务。</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zh-CN"/>
        </w:rPr>
      </w:pPr>
      <w:bookmarkStart w:id="44" w:name="_Toc1218480988"/>
      <w:bookmarkStart w:id="45" w:name="_Toc13707"/>
      <w:bookmarkStart w:id="46" w:name="_Toc14896"/>
      <w:bookmarkStart w:id="47" w:name="_Toc22594"/>
      <w:bookmarkStart w:id="48" w:name="_Toc15163"/>
      <w:bookmarkStart w:id="49" w:name="_Toc26564"/>
      <w:bookmarkStart w:id="50" w:name="_Toc5982"/>
      <w:bookmarkStart w:id="51" w:name="_Toc16871"/>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2659"/>
      <w:bookmarkStart w:id="53" w:name="_Toc109483837"/>
    </w:p>
    <w:bookmarkEnd w:id="52"/>
    <w:bookmarkEnd w:id="53"/>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54" w:name="_Toc2374"/>
      <w:bookmarkStart w:id="55" w:name="_Toc25866"/>
      <w:bookmarkStart w:id="56" w:name="_Toc11105"/>
      <w:bookmarkStart w:id="57" w:name="_Toc15898"/>
      <w:bookmarkStart w:id="58" w:name="_Toc29180"/>
      <w:bookmarkStart w:id="59" w:name="_Toc21428"/>
      <w:bookmarkStart w:id="60" w:name="_Toc32369"/>
      <w:bookmarkStart w:id="61" w:name="_Toc1949541301"/>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2051DFF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63" w:name="_Toc27782"/>
      <w:bookmarkStart w:id="64" w:name="_Toc17751"/>
      <w:bookmarkStart w:id="65" w:name="_Toc27073"/>
      <w:bookmarkStart w:id="66" w:name="_Toc21171"/>
      <w:bookmarkStart w:id="67" w:name="_Toc19326"/>
      <w:bookmarkStart w:id="68" w:name="_Toc349786989"/>
      <w:bookmarkStart w:id="69" w:name="_Toc109483838"/>
      <w:r>
        <w:rPr>
          <w:rFonts w:hint="default" w:ascii="Times New Roman" w:hAnsi="Times New Roman" w:eastAsia="方正仿宋_GB2312" w:cs="Times New Roman"/>
          <w:color w:val="auto"/>
          <w:sz w:val="32"/>
          <w:szCs w:val="32"/>
          <w:highlight w:val="none"/>
          <w:lang w:val="en-US" w:eastAsia="zh-CN"/>
        </w:rPr>
        <w:t>中共泸定县委社会工作部2024年5月挂牌成立，无2024年度部门预算，相关经费收入已通过预算调剂。</w:t>
      </w:r>
    </w:p>
    <w:p w14:paraId="0CF2B0E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预算调剂报表反映，县委社工部2024年预算收入合计110.79万元，全部为一般公共预算财政拨款收入。</w:t>
      </w:r>
    </w:p>
    <w:p w14:paraId="001FEF0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决算报表反映，县委社工部2024年决算收入合计97.26万元，全部为一般公共预算财政拨款收入，无年初结转和结余</w:t>
      </w:r>
      <w:r>
        <w:rPr>
          <w:rFonts w:hint="default" w:ascii="Times New Roman" w:hAnsi="Times New Roman" w:eastAsia="方正仿宋_GB2312" w:cs="Times New Roman"/>
          <w:color w:val="auto"/>
          <w:sz w:val="32"/>
          <w:szCs w:val="32"/>
          <w:highlight w:val="none"/>
          <w:lang w:val="zh-CN" w:eastAsia="zh"/>
        </w:rPr>
        <w:t>。</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70" w:name="_Toc16309"/>
      <w:bookmarkStart w:id="71" w:name="_Toc15130"/>
      <w:bookmarkStart w:id="72" w:name="_Toc30600"/>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190EFD1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73" w:name="_Toc10837"/>
      <w:bookmarkStart w:id="74" w:name="_Toc18390"/>
      <w:bookmarkStart w:id="75" w:name="_Toc24721"/>
      <w:bookmarkStart w:id="76" w:name="_Toc109483839"/>
      <w:bookmarkStart w:id="77" w:name="_Toc809"/>
      <w:bookmarkStart w:id="78" w:name="_Toc1457008154"/>
      <w:bookmarkStart w:id="79" w:name="_Toc13841"/>
      <w:r>
        <w:rPr>
          <w:rFonts w:hint="default" w:ascii="Times New Roman" w:hAnsi="Times New Roman" w:eastAsia="方正仿宋_GB2312" w:cs="Times New Roman"/>
          <w:color w:val="auto"/>
          <w:sz w:val="32"/>
          <w:szCs w:val="32"/>
          <w:highlight w:val="none"/>
          <w:lang w:val="en-US" w:eastAsia="zh-CN"/>
        </w:rPr>
        <w:t>预算调剂报表反映，县委社工部2024年预算支出合计110.79万元，无年末结转和结余。本年支出中：基本支出70.47万元（人员经费64.81万元、公用经费5.66万元），项目支出40.32万元。</w:t>
      </w:r>
    </w:p>
    <w:p w14:paraId="70A2FEF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决算报表反映，县委社工部2024年决算支出合计97.26万元，均为本年支出，无年末结转和结余。本年支出中：基本支出70.47万元（人员经费64.81万元、公用经费5.65万元），项目支出26.80万元。</w:t>
      </w:r>
    </w:p>
    <w:p w14:paraId="03B600DB">
      <w:pPr>
        <w:spacing w:line="360" w:lineRule="auto"/>
        <w:ind w:firstLine="640"/>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决算报表反映，县委社工部2024年末无结余分配和结转结余。</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16353"/>
      <w:bookmarkStart w:id="81" w:name="_Toc7705"/>
      <w:bookmarkStart w:id="82" w:name="_Toc10974"/>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28011"/>
      <w:bookmarkStart w:id="84" w:name="_Toc3573"/>
      <w:bookmarkStart w:id="85" w:name="_Toc19300"/>
      <w:bookmarkStart w:id="86" w:name="_Toc22633"/>
      <w:bookmarkStart w:id="87" w:name="_Toc29501"/>
      <w:bookmarkStart w:id="88" w:name="_Toc1418"/>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3B7BFA33">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89" w:name="_Toc24652"/>
      <w:bookmarkStart w:id="90" w:name="_Toc132"/>
      <w:bookmarkStart w:id="91" w:name="_Toc11959"/>
      <w:r>
        <w:rPr>
          <w:rFonts w:hint="default" w:ascii="Times New Roman" w:hAnsi="Times New Roman" w:eastAsia="方正仿宋_GB2312" w:cs="Times New Roman"/>
          <w:color w:val="auto"/>
          <w:sz w:val="32"/>
          <w:szCs w:val="32"/>
          <w:highlight w:val="none"/>
          <w:lang w:val="en-US" w:eastAsia="zh-CN"/>
        </w:rPr>
        <w:t>保障县委社工部机关日常运行，推动社会工作开局起步。</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92" w:name="_Toc30825"/>
      <w:bookmarkStart w:id="93" w:name="_Toc4650"/>
      <w:bookmarkStart w:id="94" w:name="_Toc6926"/>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95" w:name="_Toc17536"/>
      <w:bookmarkStart w:id="96" w:name="_Toc24081"/>
      <w:bookmarkStart w:id="97" w:name="_Toc6491"/>
      <w:r>
        <w:rPr>
          <w:rFonts w:hint="default" w:ascii="Times New Roman" w:hAnsi="Times New Roman" w:eastAsia="方正仿宋_GB2312" w:cs="Times New Roman"/>
          <w:color w:val="auto"/>
          <w:sz w:val="32"/>
          <w:szCs w:val="32"/>
          <w:highlight w:val="none"/>
          <w:lang w:val="en-US" w:eastAsia="zh-CN"/>
        </w:rPr>
        <w:t>县委社工部2024年认真落实中央、省、州纪委全会部署安排，重点完成以下工作任务：</w:t>
      </w:r>
    </w:p>
    <w:p w14:paraId="457011A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一、坚持党建引领，认真做好“两企三新”党建和行业协会商会指导工作。二、强化工作举措，扎实推进破解基层治理“小马拉大车”突出问题工作。三、整合各方力量，加力抓实社会工作专业人才、志愿服务及“五社联动”工作。</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98" w:name="_Toc32189"/>
      <w:bookmarkStart w:id="99" w:name="_Toc13068"/>
      <w:bookmarkStart w:id="100" w:name="_Toc21154"/>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24619"/>
      <w:bookmarkStart w:id="102" w:name="_Toc28828"/>
      <w:bookmarkStart w:id="103" w:name="_Toc24977"/>
      <w:bookmarkStart w:id="104" w:name="_Toc11694"/>
      <w:bookmarkStart w:id="105" w:name="_Toc7521"/>
      <w:bookmarkStart w:id="106" w:name="_Toc29571"/>
      <w:bookmarkStart w:id="107" w:name="_Toc428273082"/>
      <w:bookmarkStart w:id="108" w:name="_Toc8903"/>
      <w:bookmarkStart w:id="109" w:name="_Toc109483840"/>
      <w:bookmarkStart w:id="110" w:name="_Toc27305"/>
      <w:bookmarkStart w:id="111" w:name="_Toc4199"/>
      <w:r>
        <w:rPr>
          <w:rFonts w:hint="default" w:ascii="Times New Roman" w:hAnsi="Times New Roman" w:eastAsia="方正楷体简体" w:cs="Times New Roman"/>
          <w:color w:val="auto"/>
          <w:kern w:val="2"/>
          <w:sz w:val="32"/>
          <w:szCs w:val="32"/>
          <w:highlight w:val="none"/>
          <w:shd w:val="clear"/>
          <w:lang w:val="zh-CN"/>
        </w:rPr>
        <w:t>（一）</w:t>
      </w:r>
      <w:r>
        <w:rPr>
          <w:rFonts w:hint="default" w:ascii="Times New Roman" w:hAnsi="Times New Roman" w:eastAsia="方正楷体简体" w:cs="Times New Roman"/>
          <w:color w:val="auto"/>
          <w:kern w:val="2"/>
          <w:sz w:val="32"/>
          <w:szCs w:val="32"/>
          <w:highlight w:val="none"/>
          <w:shd w:val="clear"/>
          <w:lang w:val="zh-CN" w:eastAsia="zh-CN"/>
        </w:rPr>
        <w:t>绩效评价实施过程</w:t>
      </w:r>
      <w:bookmarkEnd w:id="101"/>
      <w:bookmarkEnd w:id="102"/>
      <w:bookmarkEnd w:id="103"/>
      <w:bookmarkEnd w:id="104"/>
      <w:bookmarkEnd w:id="105"/>
      <w:bookmarkEnd w:id="106"/>
    </w:p>
    <w:p w14:paraId="3E043EB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县委社工部</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4385"/>
      <w:bookmarkStart w:id="113" w:name="_Toc23900"/>
      <w:bookmarkStart w:id="114" w:name="_Toc3794"/>
      <w:bookmarkStart w:id="115" w:name="_Toc24380"/>
      <w:bookmarkStart w:id="116" w:name="_Toc16416"/>
      <w:bookmarkStart w:id="117" w:name="_Toc30977"/>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4年度，县委社工部</w:t>
      </w:r>
      <w:r>
        <w:rPr>
          <w:rFonts w:hint="default" w:ascii="Times New Roman" w:hAnsi="Times New Roman" w:eastAsia="方正仿宋_GB2312" w:cs="Times New Roman"/>
          <w:color w:val="auto"/>
          <w:sz w:val="32"/>
          <w:szCs w:val="32"/>
          <w:highlight w:val="none"/>
          <w:lang w:val="en-US" w:eastAsia="zh"/>
        </w:rPr>
        <w:t>坚持以习近平新时代中国特色社会主义思想为指导，深入学习贯彻党的二十大精神和习近平总书记来川视察重要指示精神，认真落实中央、省、州纪委全会部署安排，积极主动围绕中心</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服务大局，坚定不移正风肃纪反腐，扎实推进主题教育和教育整顿，精准聚焦</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六个关键点</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，纵深推进纪检监察工作高质量发展有力助推泸定政治生态实现</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三大变化</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目标</w:t>
      </w:r>
      <w:r>
        <w:rPr>
          <w:rFonts w:hint="default" w:ascii="Times New Roman" w:hAnsi="Times New Roman" w:eastAsia="方正仿宋_GB2312" w:cs="Times New Roman"/>
          <w:color w:val="auto"/>
          <w:sz w:val="32"/>
          <w:szCs w:val="32"/>
          <w:highlight w:val="none"/>
          <w:lang w:val="en-US" w:eastAsia="zh-CN"/>
        </w:rPr>
        <w:t>，县委社工部在维持部门运转的基础上，完成了部门职责范围内的各项工作，部门履职情况较好。</w:t>
      </w:r>
    </w:p>
    <w:p w14:paraId="38EC819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按照设定的评价指标体系，通过对县委社工部</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4年度县委社工部部门整体支出绩效评价指标分值100.00分，得分91.50分。详见下表：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县委社工部</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9"/>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97"/>
        <w:gridCol w:w="2292"/>
        <w:gridCol w:w="1318"/>
        <w:gridCol w:w="621"/>
        <w:gridCol w:w="959"/>
        <w:gridCol w:w="824"/>
      </w:tblGrid>
      <w:tr w14:paraId="6534C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458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13729"/>
            <w:bookmarkStart w:id="119" w:name="_Toc4242"/>
            <w:bookmarkStart w:id="120" w:name="_Toc14707"/>
            <w:bookmarkStart w:id="121" w:name="_Toc16394"/>
            <w:bookmarkStart w:id="122" w:name="_Toc1687911260"/>
            <w:bookmarkStart w:id="123" w:name="_Toc26985"/>
            <w:bookmarkStart w:id="124" w:name="_Toc109483841"/>
            <w:bookmarkStart w:id="125" w:name="_Toc31945"/>
            <w:bookmarkStart w:id="126" w:name="_Toc24818"/>
            <w:bookmarkStart w:id="127" w:name="_Toc28266"/>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DE7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304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22E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230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FBF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01423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D89C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C6FF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1D6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E19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842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441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w:t>
            </w:r>
          </w:p>
        </w:tc>
      </w:tr>
      <w:tr w14:paraId="27705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1F3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F08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651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5D9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04C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169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31886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C06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9487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5C1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6DB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E7C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C2B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3F2B3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31F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B52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954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8A0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331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82A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5F06C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873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3C5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CF6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282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1F7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155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579AA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7B5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791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FD0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0E8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763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2.5</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63F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2.5</w:t>
            </w:r>
          </w:p>
        </w:tc>
      </w:tr>
      <w:tr w14:paraId="78535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807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F7A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A0B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47D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3BF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0.4</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56B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19.6</w:t>
            </w:r>
          </w:p>
        </w:tc>
      </w:tr>
      <w:tr w14:paraId="1877E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EC8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618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D83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1E5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025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0.6</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547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29.4</w:t>
            </w:r>
          </w:p>
        </w:tc>
      </w:tr>
      <w:tr w14:paraId="583B3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9607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F25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3C8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160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CC0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B0C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17F96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F6F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34A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237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730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678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F93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58D6C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CAE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F6D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10A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A0F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E55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2AF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0C19A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D6E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5E7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944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89A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8FB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E8D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1AD5C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8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D38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B75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924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8.5</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4B2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91.5</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县委社工部</w:t>
      </w:r>
      <w:r>
        <w:rPr>
          <w:rFonts w:hint="default" w:ascii="Times New Roman" w:hAnsi="Times New Roman" w:eastAsia="方正仿宋_GB2312" w:cs="Times New Roman"/>
          <w:color w:val="auto"/>
          <w:sz w:val="32"/>
          <w:szCs w:val="32"/>
          <w:highlight w:val="none"/>
          <w:lang w:val="en-US" w:eastAsia="zh"/>
        </w:rPr>
        <w:t>认真落实中央、省、州纪委全会部署安排，积极主动围绕中心</w:t>
      </w:r>
      <w:r>
        <w:rPr>
          <w:rFonts w:hint="default" w:ascii="Times New Roman" w:hAnsi="Times New Roman" w:eastAsia="方正仿宋_GB2312" w:cs="Times New Roman"/>
          <w:color w:val="auto"/>
          <w:sz w:val="32"/>
          <w:szCs w:val="32"/>
          <w:highlight w:val="none"/>
          <w:lang w:val="en-US" w:eastAsia="zh-CN"/>
        </w:rPr>
        <w:t>、</w:t>
      </w:r>
      <w:r>
        <w:rPr>
          <w:rFonts w:hint="default" w:ascii="Times New Roman" w:hAnsi="Times New Roman" w:eastAsia="方正仿宋_GB2312" w:cs="Times New Roman"/>
          <w:color w:val="auto"/>
          <w:sz w:val="32"/>
          <w:szCs w:val="32"/>
          <w:highlight w:val="none"/>
          <w:lang w:val="en-US" w:eastAsia="zh"/>
        </w:rPr>
        <w:t>服务大局，坚定不移正风肃纪反腐，扎实推进主题教育和教育整顿</w:t>
      </w:r>
      <w:r>
        <w:rPr>
          <w:rFonts w:hint="default" w:ascii="Times New Roman" w:hAnsi="Times New Roman" w:eastAsia="方正仿宋_GB2312" w:cs="Times New Roman"/>
          <w:color w:val="auto"/>
          <w:sz w:val="32"/>
          <w:szCs w:val="32"/>
          <w:highlight w:val="none"/>
          <w:lang w:val="en-US" w:eastAsia="zh-CN"/>
        </w:rPr>
        <w:t>。通过评价组对县委社工部进行事后评价，最终县委社工部绩效等级为“优”。秉承科学公正、统筹兼顾、激励约束和公开透明的财政绩效原则。</w:t>
      </w:r>
      <w:r>
        <w:rPr>
          <w:rFonts w:hint="eastAsia"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建议泸定县财政局针对部门预算绩效管理，进一步要求县委社工部完善绩效目标编制、提高绩效自评质量、加强年初预算编制准确性。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6100"/>
      <w:bookmarkStart w:id="129" w:name="_Toc11390"/>
      <w:bookmarkStart w:id="130" w:name="_Toc26977"/>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委社工部在泸定县人民政府门户网站公开的2024年度部门预算和绩效目标，制定了年度部门及项目整体支出绩效目标，绩效目标涵盖数量、质量、时效、效益等指标，但存在项目绩效目标要素不完整和指标设置不合理的情况。扣除2.00分。</w:t>
      </w:r>
    </w:p>
    <w:p w14:paraId="4392A5A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本项分值为10.00分，扣2.00分，得分为8.00分。</w:t>
      </w:r>
    </w:p>
    <w:p w14:paraId="051439E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596ADE3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县委社工部于2024年5月挂牌成立，无2024年《部门（单位）整体支出绩效目标申报表》，各项目绩效目标已按照县财政局下达的相关文件指标进行了编制、上报并完成审核。</w:t>
      </w:r>
    </w:p>
    <w:p w14:paraId="35DC9D7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07A8489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6916126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被评价单位于2024年5月挂牌成立，根据被评价单位提供1-9月、1-11月可执行指标执行情况表显示，2024年县委社工部1—9月预算数110.79万元，实际执行数39.63万元，进度为35.77%；1—11月预算数110.79万元，实际执行数84.96万元，进度为76.69%。</w:t>
      </w:r>
    </w:p>
    <w:p w14:paraId="453EC0F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上述三个阶段中，根据可执行指标执行情况表被评价单位1-9月、1-11月实际支出进度均未达到目标进度。</w:t>
      </w:r>
    </w:p>
    <w:p w14:paraId="51F3DF0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22956C4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2024年县委社工部预算项目2个，根据被评价单位提供的可执行指标执行情况表，预算调整项目2个，均随预算调整同步完成绩效目标调整。</w:t>
      </w:r>
    </w:p>
    <w:p w14:paraId="67B9BB7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756E4F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7D6D2538">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2024年，县财政局未对县委社工部开展绩效运行监控，未提出预算收回、调整处置的意见。                       </w:t>
      </w:r>
    </w:p>
    <w:p w14:paraId="3F0CF77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（3）完成效率</w:t>
      </w:r>
    </w:p>
    <w:p w14:paraId="6AD9472A">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根据县委社工部2024年度决算报表与可执行指标执行情况表被评价单位2024年度预算项目共计2个，部门预算项目资金结余率小于10%有1个，大于10%有1个。</w:t>
      </w:r>
    </w:p>
    <w:p w14:paraId="4A928BD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本项分值为5.00分，扣2.50分，得分为2.50分。</w:t>
      </w:r>
    </w:p>
    <w:p w14:paraId="38BE5ED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委社工部部门预算项目共2个，涉及预算资金40.32万元，评价组抽取项目的绩效评价指标体系均采用《2025年泸定县部门整体支出绩效评价指标体系》，抽取的项目为2024年前期部门工作经费，抽取项目预算资金28.32万元。经评价小组复核评分，抽查的预算项目平均得分98.00分。</w:t>
      </w:r>
    </w:p>
    <w:p w14:paraId="4ADF518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本项分值为20.00分，扣0.40分，得分为19.60分。</w:t>
      </w:r>
    </w:p>
    <w:p w14:paraId="3B1C687A">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3.专项预算绩效管理情况</w:t>
      </w:r>
    </w:p>
    <w:p w14:paraId="19A5BE0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（1）整体完成</w:t>
      </w:r>
    </w:p>
    <w:p w14:paraId="1B9DC6F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C2923A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2024年，县委社工部专项预算项目2个，评价组抽取专项预算项目1个，抽取项目预算资金12.00万元，抽取项目为2024年部门工作经费。经评价小组复核评分，抽查的预算项目平均得分98.00分。</w:t>
      </w:r>
    </w:p>
    <w:p w14:paraId="7C50EB7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本项分值为30.00分，扣0.60分，得分为29.40分。</w:t>
      </w:r>
    </w:p>
    <w:p w14:paraId="6B552CA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4.绩效结果应用</w:t>
      </w:r>
    </w:p>
    <w:p w14:paraId="0AF25A0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45E97E47">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截至评价日，县委社工部未将单位绩效管理情况未纳入内部考核体系且内部绩效结果未与预算挂钩。</w:t>
      </w:r>
    </w:p>
    <w:p w14:paraId="26F62B8E">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0704524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委社工部于2024年5月挂牌成立，无2024年度部门预算。截至评价日（2025年9月4日），代表大会常务委员会暂未召开，未对2024年泸定县决算（草案）和决算报告进行审查，故未进行2024年决算信息的公开。</w:t>
      </w:r>
    </w:p>
    <w:p w14:paraId="4A2F8C2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53A4A77D">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①问题整改。2024年度，县委社工部未接受绩效监控核查、绩效监控核查和重点绩效评价。</w:t>
      </w:r>
    </w:p>
    <w:p w14:paraId="0E6FAB3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②应用反馈。2024年度，县委社工部在规定时间内向财政部门反馈绩效结果应用报告，报告内容翔实、问题整改到位、结果应用充分。</w:t>
      </w:r>
    </w:p>
    <w:p w14:paraId="192AD22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委社工部2024年部门整体支出绩效自评得分87分（不包括“自评质量”指标分值，满分为94分），根据现场评价情况，评价组对县委社工部的考评得分85.50分（不包括“自评质量”指标分值，满分为94分），自评差异率1.72%，低于10.00%。</w:t>
      </w:r>
    </w:p>
    <w:p w14:paraId="62CC1504">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30339"/>
      <w:bookmarkStart w:id="132" w:name="_Toc21218"/>
      <w:bookmarkStart w:id="133" w:name="_Toc248033833"/>
      <w:bookmarkStart w:id="134" w:name="_Toc30515"/>
      <w:bookmarkStart w:id="135" w:name="_Toc823448808"/>
      <w:bookmarkStart w:id="136" w:name="_Toc7306"/>
      <w:bookmarkStart w:id="137" w:name="_Toc5060"/>
      <w:bookmarkStart w:id="138" w:name="_Toc25603"/>
      <w:bookmarkStart w:id="139" w:name="_Toc4350"/>
      <w:bookmarkStart w:id="140" w:name="_Toc14032"/>
      <w:bookmarkStart w:id="141" w:name="_Toc8336"/>
      <w:bookmarkStart w:id="142" w:name="_Toc19973"/>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4161B4D3">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143" w:name="_Toc22968"/>
      <w:bookmarkStart w:id="144" w:name="_Toc3240"/>
      <w:bookmarkStart w:id="145" w:name="_Toc15651"/>
      <w:bookmarkStart w:id="146" w:name="_Toc464104487"/>
      <w:bookmarkStart w:id="147" w:name="_Toc771997543"/>
      <w:bookmarkStart w:id="148" w:name="_Toc10426"/>
      <w:bookmarkStart w:id="149" w:name="_Toc31629"/>
      <w:r>
        <w:rPr>
          <w:rFonts w:hint="default" w:ascii="Times New Roman" w:hAnsi="Times New Roman" w:eastAsia="方正楷体简体" w:cs="Times New Roman"/>
          <w:color w:val="auto"/>
          <w:kern w:val="2"/>
          <w:sz w:val="32"/>
          <w:szCs w:val="32"/>
          <w:highlight w:val="none"/>
          <w:shd w:val="clear"/>
          <w:lang w:val="zh-CN"/>
        </w:rPr>
        <w:t>（一）绩效目标编制和上报不准确</w:t>
      </w:r>
    </w:p>
    <w:p w14:paraId="302F22E5">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评价中发现，县委社工部2024年部门综合绩效目标与个别预算项目绩效目标均不同程度存在编制不规范，指标设置要素不完整、指标值不合理等问题，导致绩效目标科学性、合理性不够强，不便于考核评价。</w:t>
      </w:r>
    </w:p>
    <w:p w14:paraId="5DB0182F">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（二）项目预算结余率较高</w:t>
      </w:r>
    </w:p>
    <w:p w14:paraId="6BA6023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cs="Times New Roman"/>
          <w:bCs/>
          <w:kern w:val="2"/>
          <w:sz w:val="32"/>
          <w:szCs w:val="32"/>
          <w:highlight w:val="yellow"/>
          <w:lang w:val="en-US" w:eastAsia="zh-CN" w:bidi="ar-SA"/>
        </w:rPr>
      </w:pPr>
      <w:r>
        <w:rPr>
          <w:rFonts w:hint="default" w:ascii="Times New Roman" w:hAnsi="Times New Roman" w:eastAsia="方正仿宋_GB2312" w:cs="Times New Roman"/>
          <w:color w:val="auto"/>
          <w:sz w:val="32"/>
          <w:szCs w:val="32"/>
          <w:highlight w:val="none"/>
          <w:lang w:val="en-US" w:eastAsia="zh-CN"/>
        </w:rPr>
        <w:t>根据县委社工部2024年度决算报表与可执行指标执行情况表被评价单位2024年度预算项目共计2个，部门预算项目资金结余率小于10%有1个，大于10%有1个。</w:t>
      </w:r>
    </w:p>
    <w:p w14:paraId="6F299C79">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（三）预算绩效管理制度机制不够健全完善</w:t>
      </w:r>
    </w:p>
    <w:p w14:paraId="38D044E8">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截至评价日，县委社工部未将单位绩效管理情况未纳入内部考核体系且内部绩效结果未与预算挂钩。</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50" w:name="_Toc5324"/>
      <w:bookmarkStart w:id="151" w:name="_Toc22775"/>
      <w:bookmarkStart w:id="152" w:name="_Toc29227"/>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0385D5D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（一）规范项目绩效目标设置</w:t>
      </w:r>
    </w:p>
    <w:p w14:paraId="32B2BF9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绩效目标的审核，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585AA9F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（二）提高预算执行率</w:t>
      </w:r>
    </w:p>
    <w:p w14:paraId="45854498">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对各部门预算执行过程的动态监督，及时掌握各部门预算执行过程中的情况和实时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7638CE2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shd w:val="clear" w:fill="FFFFFF"/>
          <w:lang w:val="en-US" w:eastAsia="zh-CN" w:bidi="ar-SA"/>
        </w:rPr>
        <w:t>（三）</w:t>
      </w:r>
      <w:r>
        <w:rPr>
          <w:rFonts w:hint="default" w:ascii="Times New Roman" w:hAnsi="Times New Roman" w:eastAsia="方正楷体简体" w:cs="Times New Roman"/>
          <w:color w:val="auto"/>
          <w:kern w:val="0"/>
          <w:sz w:val="32"/>
          <w:szCs w:val="32"/>
          <w:highlight w:val="none"/>
          <w:shd w:val="clear" w:color="auto" w:fill="FFFFFF"/>
          <w:lang w:val="en-US" w:eastAsia="zh-CN"/>
        </w:rPr>
        <w:t>健全完善预算绩效管理制度建设</w:t>
      </w:r>
    </w:p>
    <w:p w14:paraId="7DCAA2F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bookmarkEnd w:id="141"/>
    <w:bookmarkEnd w:id="142"/>
    <w:p w14:paraId="5E24A6C6">
      <w:pPr>
        <w:pStyle w:val="18"/>
        <w:ind w:firstLine="0" w:firstLineChars="0"/>
        <w:rPr>
          <w:rFonts w:hint="default" w:ascii="Times New Roman" w:hAnsi="Times New Roman" w:cs="Times New Roman"/>
          <w:sz w:val="32"/>
          <w:szCs w:val="32"/>
          <w:lang w:eastAsia="zh-CN"/>
        </w:rPr>
      </w:pPr>
    </w:p>
    <w:p w14:paraId="085E1486">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bookmarkStart w:id="153" w:name="_Toc3238"/>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中共泸定县委社会工作部部门整体支出绩效评价指标体系表（评分表）</w:t>
      </w:r>
      <w:bookmarkEnd w:id="153"/>
    </w:p>
    <w:p w14:paraId="1EA4528E">
      <w:pPr>
        <w:pStyle w:val="7"/>
        <w:rPr>
          <w:rFonts w:hint="default" w:ascii="Times New Roman" w:hAnsi="Times New Roman" w:eastAsia="仿宋" w:cs="Times New Roman"/>
          <w:b w:val="0"/>
          <w:bCs w:val="0"/>
          <w:color w:val="auto"/>
          <w:sz w:val="32"/>
          <w:szCs w:val="32"/>
          <w:highlight w:val="none"/>
          <w:lang w:val="en-US" w:eastAsia="zh-CN"/>
        </w:rPr>
      </w:pPr>
    </w:p>
    <w:p w14:paraId="7468CE19">
      <w:pPr>
        <w:pStyle w:val="7"/>
        <w:ind w:left="0" w:leftChars="0" w:firstLine="0" w:firstLineChars="0"/>
        <w:rPr>
          <w:rFonts w:hint="default" w:ascii="Times New Roman" w:hAnsi="Times New Roman" w:eastAsia="仿宋" w:cs="Times New Roman"/>
          <w:b w:val="0"/>
          <w:bCs w:val="0"/>
          <w:color w:val="auto"/>
          <w:sz w:val="32"/>
          <w:szCs w:val="32"/>
          <w:highlight w:val="none"/>
          <w:lang w:val="en-US" w:eastAsia="zh-CN"/>
        </w:rPr>
      </w:pPr>
      <w:bookmarkStart w:id="154" w:name="_GoBack"/>
      <w:bookmarkEnd w:id="154"/>
    </w:p>
    <w:p w14:paraId="395A3C97">
      <w:pPr>
        <w:rPr>
          <w:rFonts w:hint="default" w:ascii="Times New Roman" w:hAnsi="Times New Roman" w:cs="Times New Roman"/>
          <w:sz w:val="32"/>
          <w:szCs w:val="32"/>
          <w:highlight w:val="none"/>
          <w:lang w:val="en-US" w:eastAsia="zh-CN"/>
        </w:rPr>
      </w:pPr>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仿宋" w:cs="Times New Roman"/>
          <w:b w:val="0"/>
          <w:bCs w:val="0"/>
          <w:sz w:val="32"/>
          <w:szCs w:val="32"/>
          <w:highlight w:val="none"/>
          <w:lang w:eastAsia="zh-CN"/>
        </w:rPr>
        <w:t>　　　</w:t>
      </w:r>
      <w:r>
        <w:rPr>
          <w:rFonts w:hint="default" w:ascii="Times New Roman" w:hAnsi="Times New Roman" w:eastAsia="方正仿宋_GB2312"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6483571A">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b w:val="0"/>
          <w:bCs w:val="0"/>
          <w:sz w:val="32"/>
          <w:szCs w:val="32"/>
          <w:highlight w:val="none"/>
          <w:lang w:eastAsia="zh-CN"/>
        </w:rPr>
      </w:pPr>
      <w:r>
        <w:rPr>
          <w:rFonts w:hint="default" w:ascii="Times New Roman" w:hAnsi="Times New Roman" w:eastAsia="方正仿宋_GB2312" w:cs="Times New Roman"/>
          <w:sz w:val="32"/>
          <w:szCs w:val="32"/>
          <w:highlight w:val="none"/>
        </w:rPr>
        <w:t>　　　　　　　　　　　2025年11月11日</w:t>
      </w:r>
    </w:p>
    <w:p w14:paraId="684009E6">
      <w:pPr>
        <w:rPr>
          <w:rFonts w:hint="default" w:ascii="Times New Roman" w:hAnsi="Times New Roman" w:cs="Times New Roman"/>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 w:fontKey="{E3C55CC5-B9C1-4730-9BA0-7B17CC8FE1EB}"/>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24508591-AEE6-41A3-A41E-699AE492544D}"/>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3A98B613-F12C-4478-B2AC-857B7434325B}"/>
  </w:font>
  <w:font w:name="方正黑体简体">
    <w:panose1 w:val="03000509000000000000"/>
    <w:charset w:val="86"/>
    <w:family w:val="auto"/>
    <w:pitch w:val="default"/>
    <w:sig w:usb0="00000001" w:usb1="080E0000" w:usb2="00000000" w:usb3="00000000" w:csb0="00040000" w:csb1="00000000"/>
    <w:embedRegular r:id="rId4" w:fontKey="{B718198E-B1A6-4409-B70A-20DB98BBFABD}"/>
  </w:font>
  <w:font w:name="方正楷体简体">
    <w:panose1 w:val="03000509000000000000"/>
    <w:charset w:val="86"/>
    <w:family w:val="auto"/>
    <w:pitch w:val="default"/>
    <w:sig w:usb0="00000001" w:usb1="080E0000" w:usb2="00000000" w:usb3="00000000" w:csb0="00040000" w:csb1="00000000"/>
    <w:embedRegular r:id="rId5" w:fontKey="{9BBFB089-7068-436E-A860-4CAA9A59F93D}"/>
  </w:font>
  <w:font w:name="方正小标宋简体">
    <w:panose1 w:val="03000509000000000000"/>
    <w:charset w:val="86"/>
    <w:family w:val="auto"/>
    <w:pitch w:val="default"/>
    <w:sig w:usb0="00000001" w:usb1="080E0000" w:usb2="00000000" w:usb3="00000000" w:csb0="00040000" w:csb1="00000000"/>
    <w:embedRegular r:id="rId6" w:fontKey="{2BC4E53A-75D1-4F43-859B-F46CD6852A2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2"/>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395070"/>
    <w:rsid w:val="015B3238"/>
    <w:rsid w:val="0174274A"/>
    <w:rsid w:val="01AE1362"/>
    <w:rsid w:val="0209008E"/>
    <w:rsid w:val="0221101D"/>
    <w:rsid w:val="028212C5"/>
    <w:rsid w:val="02B56978"/>
    <w:rsid w:val="02E4100B"/>
    <w:rsid w:val="031D77B8"/>
    <w:rsid w:val="03435D32"/>
    <w:rsid w:val="034B0AC6"/>
    <w:rsid w:val="03BD26AA"/>
    <w:rsid w:val="03C46413"/>
    <w:rsid w:val="03F043C9"/>
    <w:rsid w:val="03F5560D"/>
    <w:rsid w:val="05370DC3"/>
    <w:rsid w:val="05704583"/>
    <w:rsid w:val="05AE5131"/>
    <w:rsid w:val="069B1F26"/>
    <w:rsid w:val="06E2185D"/>
    <w:rsid w:val="071C5217"/>
    <w:rsid w:val="074574B7"/>
    <w:rsid w:val="077F711D"/>
    <w:rsid w:val="0815093A"/>
    <w:rsid w:val="08280844"/>
    <w:rsid w:val="08321414"/>
    <w:rsid w:val="08BC09C7"/>
    <w:rsid w:val="08CA0DBA"/>
    <w:rsid w:val="0AA10A64"/>
    <w:rsid w:val="0AAA2B3A"/>
    <w:rsid w:val="0B1306DF"/>
    <w:rsid w:val="0BD10723"/>
    <w:rsid w:val="0C0A3890"/>
    <w:rsid w:val="0C82214A"/>
    <w:rsid w:val="0CC90B55"/>
    <w:rsid w:val="0CF63E15"/>
    <w:rsid w:val="0D0C53E6"/>
    <w:rsid w:val="0D4639D6"/>
    <w:rsid w:val="0D7279BB"/>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51480"/>
    <w:rsid w:val="0F895427"/>
    <w:rsid w:val="0FA36556"/>
    <w:rsid w:val="100F5919"/>
    <w:rsid w:val="10433815"/>
    <w:rsid w:val="10607EBA"/>
    <w:rsid w:val="10A609B0"/>
    <w:rsid w:val="10C177C0"/>
    <w:rsid w:val="10FB12CE"/>
    <w:rsid w:val="11034D52"/>
    <w:rsid w:val="11641A35"/>
    <w:rsid w:val="11A54F88"/>
    <w:rsid w:val="11A55E09"/>
    <w:rsid w:val="122A7100"/>
    <w:rsid w:val="1256364C"/>
    <w:rsid w:val="12F71BB3"/>
    <w:rsid w:val="130C25E4"/>
    <w:rsid w:val="13185DC7"/>
    <w:rsid w:val="13445E84"/>
    <w:rsid w:val="13463C67"/>
    <w:rsid w:val="134E407D"/>
    <w:rsid w:val="136916A0"/>
    <w:rsid w:val="13BF191E"/>
    <w:rsid w:val="13DD5D2E"/>
    <w:rsid w:val="144B4CE8"/>
    <w:rsid w:val="14827494"/>
    <w:rsid w:val="14DA48CB"/>
    <w:rsid w:val="14DA73CD"/>
    <w:rsid w:val="14DE1D5E"/>
    <w:rsid w:val="151B6B0E"/>
    <w:rsid w:val="153C7438"/>
    <w:rsid w:val="155B04E5"/>
    <w:rsid w:val="15762967"/>
    <w:rsid w:val="15C0420D"/>
    <w:rsid w:val="15C42D02"/>
    <w:rsid w:val="16310CFC"/>
    <w:rsid w:val="164E7445"/>
    <w:rsid w:val="16521418"/>
    <w:rsid w:val="167B192A"/>
    <w:rsid w:val="168D3A3C"/>
    <w:rsid w:val="169F376F"/>
    <w:rsid w:val="16BA737C"/>
    <w:rsid w:val="17404D18"/>
    <w:rsid w:val="178D5376"/>
    <w:rsid w:val="179E79D9"/>
    <w:rsid w:val="17FD7EEE"/>
    <w:rsid w:val="180A196B"/>
    <w:rsid w:val="181B0371"/>
    <w:rsid w:val="186A5A33"/>
    <w:rsid w:val="18A93AFC"/>
    <w:rsid w:val="18BC4164"/>
    <w:rsid w:val="18DA3FE0"/>
    <w:rsid w:val="18DD5A8A"/>
    <w:rsid w:val="190A1D86"/>
    <w:rsid w:val="195A2D50"/>
    <w:rsid w:val="196B6F54"/>
    <w:rsid w:val="19CD71FA"/>
    <w:rsid w:val="19E605C7"/>
    <w:rsid w:val="1A48253C"/>
    <w:rsid w:val="1A94413A"/>
    <w:rsid w:val="1AA475A6"/>
    <w:rsid w:val="1AC02064"/>
    <w:rsid w:val="1AF776D6"/>
    <w:rsid w:val="1B0B2AA5"/>
    <w:rsid w:val="1B334486"/>
    <w:rsid w:val="1BDF6BC8"/>
    <w:rsid w:val="1C141C3C"/>
    <w:rsid w:val="1C2C3D72"/>
    <w:rsid w:val="1C535707"/>
    <w:rsid w:val="1C580E62"/>
    <w:rsid w:val="1C975E00"/>
    <w:rsid w:val="1CD2263C"/>
    <w:rsid w:val="1CEE6A53"/>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4D006D"/>
    <w:rsid w:val="1FB262C1"/>
    <w:rsid w:val="1FD20322"/>
    <w:rsid w:val="1FE92B41"/>
    <w:rsid w:val="1FFEDEEE"/>
    <w:rsid w:val="201E1FEE"/>
    <w:rsid w:val="202E7632"/>
    <w:rsid w:val="20533B33"/>
    <w:rsid w:val="207456E4"/>
    <w:rsid w:val="20A3724F"/>
    <w:rsid w:val="20CB7E98"/>
    <w:rsid w:val="21355B3E"/>
    <w:rsid w:val="21CC56B8"/>
    <w:rsid w:val="21F711A6"/>
    <w:rsid w:val="22460F43"/>
    <w:rsid w:val="22612BC4"/>
    <w:rsid w:val="2297354C"/>
    <w:rsid w:val="22DD16D2"/>
    <w:rsid w:val="22F7E8FF"/>
    <w:rsid w:val="23386ADD"/>
    <w:rsid w:val="234C0C7F"/>
    <w:rsid w:val="23A67EEB"/>
    <w:rsid w:val="23F46FD7"/>
    <w:rsid w:val="24283899"/>
    <w:rsid w:val="24436E8F"/>
    <w:rsid w:val="248C4080"/>
    <w:rsid w:val="24C04FDC"/>
    <w:rsid w:val="24FD16C3"/>
    <w:rsid w:val="25790BDA"/>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3049B2"/>
    <w:rsid w:val="2A817549"/>
    <w:rsid w:val="2AC554D1"/>
    <w:rsid w:val="2AC86999"/>
    <w:rsid w:val="2ADB2B70"/>
    <w:rsid w:val="2B275DB5"/>
    <w:rsid w:val="2B625A5F"/>
    <w:rsid w:val="2BBE5215"/>
    <w:rsid w:val="2BD70482"/>
    <w:rsid w:val="2C2F0835"/>
    <w:rsid w:val="2C666469"/>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6C3146"/>
    <w:rsid w:val="2FBBA5AB"/>
    <w:rsid w:val="2FBF381C"/>
    <w:rsid w:val="2FC260AC"/>
    <w:rsid w:val="2FD91648"/>
    <w:rsid w:val="2FEF2A5C"/>
    <w:rsid w:val="3052247A"/>
    <w:rsid w:val="305D77B8"/>
    <w:rsid w:val="3090670D"/>
    <w:rsid w:val="312B48AF"/>
    <w:rsid w:val="31B5579D"/>
    <w:rsid w:val="32A47AB4"/>
    <w:rsid w:val="32CB27BC"/>
    <w:rsid w:val="33105381"/>
    <w:rsid w:val="336B6A5B"/>
    <w:rsid w:val="337B49B9"/>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997564"/>
    <w:rsid w:val="3DB744C0"/>
    <w:rsid w:val="3DB8289D"/>
    <w:rsid w:val="3DE87F46"/>
    <w:rsid w:val="3DFC2E05"/>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4508EB"/>
    <w:rsid w:val="41670862"/>
    <w:rsid w:val="41731B45"/>
    <w:rsid w:val="41DC7289"/>
    <w:rsid w:val="41FD2ABB"/>
    <w:rsid w:val="421C165C"/>
    <w:rsid w:val="423D5A66"/>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C269AF"/>
    <w:rsid w:val="45F31D67"/>
    <w:rsid w:val="45FF29D4"/>
    <w:rsid w:val="462A15BD"/>
    <w:rsid w:val="4633306D"/>
    <w:rsid w:val="46625636"/>
    <w:rsid w:val="46E2098A"/>
    <w:rsid w:val="470879FF"/>
    <w:rsid w:val="4712301E"/>
    <w:rsid w:val="477D22C4"/>
    <w:rsid w:val="478C7274"/>
    <w:rsid w:val="47970F04"/>
    <w:rsid w:val="48077DD3"/>
    <w:rsid w:val="48D56225"/>
    <w:rsid w:val="49090450"/>
    <w:rsid w:val="493C0826"/>
    <w:rsid w:val="49880BA7"/>
    <w:rsid w:val="49D23684"/>
    <w:rsid w:val="49E41186"/>
    <w:rsid w:val="49F243D5"/>
    <w:rsid w:val="4A3F0AC3"/>
    <w:rsid w:val="4A6E0EB3"/>
    <w:rsid w:val="4AD1435D"/>
    <w:rsid w:val="4AFA2C7B"/>
    <w:rsid w:val="4B0435C5"/>
    <w:rsid w:val="4B58271A"/>
    <w:rsid w:val="4B6B11A9"/>
    <w:rsid w:val="4B9C6B82"/>
    <w:rsid w:val="4BDE4024"/>
    <w:rsid w:val="4C1635B0"/>
    <w:rsid w:val="4C907F6D"/>
    <w:rsid w:val="4CA46E0E"/>
    <w:rsid w:val="4CAE35BE"/>
    <w:rsid w:val="4CFC2039"/>
    <w:rsid w:val="4D101EA3"/>
    <w:rsid w:val="4D111FCA"/>
    <w:rsid w:val="4D3E2370"/>
    <w:rsid w:val="4D6E449B"/>
    <w:rsid w:val="4D8A6F44"/>
    <w:rsid w:val="4F0A34DF"/>
    <w:rsid w:val="4F5F5C7E"/>
    <w:rsid w:val="4F7241B1"/>
    <w:rsid w:val="4FCD04DF"/>
    <w:rsid w:val="4FF7181A"/>
    <w:rsid w:val="4FFE309A"/>
    <w:rsid w:val="507D0BBC"/>
    <w:rsid w:val="507E6B2A"/>
    <w:rsid w:val="50F87728"/>
    <w:rsid w:val="51290B58"/>
    <w:rsid w:val="51381763"/>
    <w:rsid w:val="51842D6A"/>
    <w:rsid w:val="51960840"/>
    <w:rsid w:val="51D7639A"/>
    <w:rsid w:val="51E2208C"/>
    <w:rsid w:val="5221572C"/>
    <w:rsid w:val="52265F38"/>
    <w:rsid w:val="52291B63"/>
    <w:rsid w:val="527E3C5D"/>
    <w:rsid w:val="52EF2BDF"/>
    <w:rsid w:val="535B753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4F3C5E"/>
    <w:rsid w:val="59561F19"/>
    <w:rsid w:val="596B1981"/>
    <w:rsid w:val="59821BED"/>
    <w:rsid w:val="59CF4D9E"/>
    <w:rsid w:val="59DE4A58"/>
    <w:rsid w:val="59EE791A"/>
    <w:rsid w:val="5A56101C"/>
    <w:rsid w:val="5AB4383C"/>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DB5F93"/>
    <w:rsid w:val="5F246AEA"/>
    <w:rsid w:val="5F3B183F"/>
    <w:rsid w:val="5F5617FE"/>
    <w:rsid w:val="5F562031"/>
    <w:rsid w:val="5F774ACC"/>
    <w:rsid w:val="5F9C373E"/>
    <w:rsid w:val="5FBF7263"/>
    <w:rsid w:val="5FCF84ED"/>
    <w:rsid w:val="5FDB26EF"/>
    <w:rsid w:val="5FDFC83C"/>
    <w:rsid w:val="5FF7A0DE"/>
    <w:rsid w:val="60017C7C"/>
    <w:rsid w:val="6020741B"/>
    <w:rsid w:val="60222649"/>
    <w:rsid w:val="60695F4D"/>
    <w:rsid w:val="608914CC"/>
    <w:rsid w:val="6094289E"/>
    <w:rsid w:val="60A725D1"/>
    <w:rsid w:val="60D13AF2"/>
    <w:rsid w:val="60F11867"/>
    <w:rsid w:val="61035425"/>
    <w:rsid w:val="61171F2A"/>
    <w:rsid w:val="61492D1C"/>
    <w:rsid w:val="615C16D6"/>
    <w:rsid w:val="618A3DC3"/>
    <w:rsid w:val="61C15430"/>
    <w:rsid w:val="61E46B12"/>
    <w:rsid w:val="6200643D"/>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9717D2"/>
    <w:rsid w:val="65BF660F"/>
    <w:rsid w:val="65C7404D"/>
    <w:rsid w:val="65F17436"/>
    <w:rsid w:val="664669D8"/>
    <w:rsid w:val="66BB8914"/>
    <w:rsid w:val="66C0483B"/>
    <w:rsid w:val="66CC410D"/>
    <w:rsid w:val="66EE54A9"/>
    <w:rsid w:val="67152FB8"/>
    <w:rsid w:val="67357D10"/>
    <w:rsid w:val="67551304"/>
    <w:rsid w:val="676254A4"/>
    <w:rsid w:val="678D0D6C"/>
    <w:rsid w:val="67AB4C59"/>
    <w:rsid w:val="67C96B35"/>
    <w:rsid w:val="67D8ED11"/>
    <w:rsid w:val="684306E9"/>
    <w:rsid w:val="686D0EB2"/>
    <w:rsid w:val="68723580"/>
    <w:rsid w:val="68994500"/>
    <w:rsid w:val="69172000"/>
    <w:rsid w:val="697F1380"/>
    <w:rsid w:val="699A1F8A"/>
    <w:rsid w:val="69A93917"/>
    <w:rsid w:val="69F84725"/>
    <w:rsid w:val="6A4A3BFD"/>
    <w:rsid w:val="6B43739A"/>
    <w:rsid w:val="6BCE4EB6"/>
    <w:rsid w:val="6BFFA4D9"/>
    <w:rsid w:val="6C196A9A"/>
    <w:rsid w:val="6C590980"/>
    <w:rsid w:val="6C75429C"/>
    <w:rsid w:val="6C7D23DE"/>
    <w:rsid w:val="6C8163CC"/>
    <w:rsid w:val="6C862912"/>
    <w:rsid w:val="6C8B188E"/>
    <w:rsid w:val="6CFA1652"/>
    <w:rsid w:val="6CFC1EF7"/>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C04FE9"/>
    <w:rsid w:val="70E817A2"/>
    <w:rsid w:val="70EF71B7"/>
    <w:rsid w:val="70FAFB2A"/>
    <w:rsid w:val="71506ACE"/>
    <w:rsid w:val="716138A0"/>
    <w:rsid w:val="71753151"/>
    <w:rsid w:val="71867FE1"/>
    <w:rsid w:val="71A73D3E"/>
    <w:rsid w:val="71AD1A11"/>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007FF"/>
    <w:rsid w:val="73AB6533"/>
    <w:rsid w:val="7459498B"/>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DD68F5"/>
    <w:rsid w:val="76EB7264"/>
    <w:rsid w:val="76EEE66D"/>
    <w:rsid w:val="76EF82A2"/>
    <w:rsid w:val="76F20DAE"/>
    <w:rsid w:val="76FBFBCD"/>
    <w:rsid w:val="77245415"/>
    <w:rsid w:val="77503BA8"/>
    <w:rsid w:val="77B03C03"/>
    <w:rsid w:val="77B627D2"/>
    <w:rsid w:val="77BDFB3C"/>
    <w:rsid w:val="77BF2551"/>
    <w:rsid w:val="77CB4ADD"/>
    <w:rsid w:val="77F50D0E"/>
    <w:rsid w:val="77FCCDF3"/>
    <w:rsid w:val="7821727C"/>
    <w:rsid w:val="78243701"/>
    <w:rsid w:val="782E0A91"/>
    <w:rsid w:val="7866291A"/>
    <w:rsid w:val="788E7EA5"/>
    <w:rsid w:val="78A639F9"/>
    <w:rsid w:val="78F74A7F"/>
    <w:rsid w:val="7922343B"/>
    <w:rsid w:val="7926388B"/>
    <w:rsid w:val="79521C10"/>
    <w:rsid w:val="795E17F1"/>
    <w:rsid w:val="795FF9E4"/>
    <w:rsid w:val="79D42C0A"/>
    <w:rsid w:val="79FFF26D"/>
    <w:rsid w:val="7A267238"/>
    <w:rsid w:val="7A30225F"/>
    <w:rsid w:val="7AAE7979"/>
    <w:rsid w:val="7AD5E80B"/>
    <w:rsid w:val="7AE7FD2B"/>
    <w:rsid w:val="7AF3D7EA"/>
    <w:rsid w:val="7AFE98C0"/>
    <w:rsid w:val="7B0A37F3"/>
    <w:rsid w:val="7B2EC99E"/>
    <w:rsid w:val="7B3E4BF5"/>
    <w:rsid w:val="7B3E7254"/>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835EA"/>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qFormat/>
    <w:uiPriority w:val="0"/>
    <w:pPr>
      <w:spacing w:after="120"/>
    </w:pPr>
    <w:rPr>
      <w:rFonts w:ascii="Calibri" w:hAnsi="Calibri"/>
      <w:kern w:val="0"/>
      <w:szCs w:val="20"/>
    </w:rPr>
  </w:style>
  <w:style w:type="paragraph" w:styleId="8">
    <w:name w:val="Body Text Indent"/>
    <w:basedOn w:val="1"/>
    <w:link w:val="43"/>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Plain Text"/>
    <w:basedOn w:val="1"/>
    <w:qFormat/>
    <w:uiPriority w:val="0"/>
    <w:rPr>
      <w:rFonts w:ascii="宋体" w:hAnsi="Courier New"/>
    </w:rPr>
  </w:style>
  <w:style w:type="paragraph" w:styleId="11">
    <w:name w:val="Body Text Indent 2"/>
    <w:basedOn w:val="1"/>
    <w:qFormat/>
    <w:uiPriority w:val="0"/>
    <w:pPr>
      <w:ind w:firstLine="645"/>
      <w:outlineLvl w:val="0"/>
    </w:pPr>
    <w:rPr>
      <w:rFonts w:ascii="仿宋_GB2312"/>
      <w:spacing w:val="-4"/>
      <w:sz w:val="32"/>
    </w:rPr>
  </w:style>
  <w:style w:type="paragraph" w:styleId="12">
    <w:name w:val="footer"/>
    <w:basedOn w:val="1"/>
    <w:link w:val="30"/>
    <w:unhideWhenUsed/>
    <w:qFormat/>
    <w:uiPriority w:val="99"/>
    <w:pPr>
      <w:tabs>
        <w:tab w:val="center" w:pos="4153"/>
        <w:tab w:val="right" w:pos="8306"/>
      </w:tabs>
      <w:snapToGrid w:val="0"/>
      <w:jc w:val="left"/>
    </w:pPr>
    <w:rPr>
      <w:sz w:val="18"/>
      <w:szCs w:val="18"/>
    </w:rPr>
  </w:style>
  <w:style w:type="paragraph" w:styleId="13">
    <w:name w:val="header"/>
    <w:basedOn w:val="1"/>
    <w:next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left" w:pos="709"/>
        <w:tab w:val="right" w:leader="dot" w:pos="8296"/>
      </w:tabs>
    </w:p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spacing w:before="100" w:beforeAutospacing="1" w:after="100" w:afterAutospacing="1"/>
      <w:jc w:val="left"/>
    </w:pPr>
    <w:rPr>
      <w:rFonts w:cs="Times New Roman"/>
      <w:kern w:val="0"/>
      <w:sz w:val="24"/>
    </w:rPr>
  </w:style>
  <w:style w:type="paragraph" w:styleId="17">
    <w:name w:val="Title"/>
    <w:basedOn w:val="1"/>
    <w:link w:val="42"/>
    <w:qFormat/>
    <w:uiPriority w:val="10"/>
    <w:pPr>
      <w:spacing w:before="240" w:after="60"/>
      <w:jc w:val="center"/>
      <w:outlineLvl w:val="0"/>
    </w:pPr>
    <w:rPr>
      <w:rFonts w:ascii="Arial" w:hAnsi="Arial"/>
      <w:b/>
      <w:sz w:val="32"/>
    </w:rPr>
  </w:style>
  <w:style w:type="paragraph" w:styleId="18">
    <w:name w:val="Body Text First Indent 2"/>
    <w:basedOn w:val="8"/>
    <w:qFormat/>
    <w:uiPriority w:val="0"/>
    <w:pPr>
      <w:ind w:firstLine="420"/>
    </w:p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Emphasis"/>
    <w:basedOn w:val="21"/>
    <w:qFormat/>
    <w:uiPriority w:val="20"/>
    <w:rPr>
      <w:i/>
    </w:rPr>
  </w:style>
  <w:style w:type="character" w:styleId="23">
    <w:name w:val="Hyperlink"/>
    <w:unhideWhenUsed/>
    <w:qFormat/>
    <w:uiPriority w:val="99"/>
    <w:rPr>
      <w:color w:val="4D4D4D"/>
      <w:u w:val="none"/>
    </w:rPr>
  </w:style>
  <w:style w:type="character" w:styleId="24">
    <w:name w:val="annotation reference"/>
    <w:basedOn w:val="21"/>
    <w:semiHidden/>
    <w:unhideWhenUsed/>
    <w:qFormat/>
    <w:uiPriority w:val="99"/>
    <w:rPr>
      <w:sz w:val="21"/>
      <w:szCs w:val="21"/>
    </w:rPr>
  </w:style>
  <w:style w:type="paragraph" w:customStyle="1" w:styleId="25">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6">
    <w:name w:val="Default"/>
    <w:next w:val="27"/>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7">
    <w:name w:val="_Style 1"/>
    <w:basedOn w:val="1"/>
    <w:next w:val="1"/>
    <w:qFormat/>
    <w:uiPriority w:val="0"/>
    <w:pPr>
      <w:pBdr>
        <w:top w:val="single" w:color="auto" w:sz="6" w:space="1"/>
      </w:pBdr>
      <w:jc w:val="center"/>
    </w:pPr>
    <w:rPr>
      <w:rFonts w:ascii="Arial" w:eastAsia="宋体"/>
      <w:vanish/>
      <w:sz w:val="16"/>
    </w:rPr>
  </w:style>
  <w:style w:type="paragraph" w:customStyle="1" w:styleId="28">
    <w:name w:val="常用样式（方正仿宋简）"/>
    <w:basedOn w:val="1"/>
    <w:qFormat/>
    <w:uiPriority w:val="0"/>
    <w:pPr>
      <w:spacing w:line="560" w:lineRule="exact"/>
      <w:ind w:firstLine="640"/>
    </w:pPr>
    <w:rPr>
      <w:rFonts w:eastAsia="仿宋"/>
      <w:sz w:val="32"/>
    </w:rPr>
  </w:style>
  <w:style w:type="character" w:customStyle="1" w:styleId="29">
    <w:name w:val="页眉 字符"/>
    <w:basedOn w:val="21"/>
    <w:link w:val="13"/>
    <w:qFormat/>
    <w:uiPriority w:val="99"/>
    <w:rPr>
      <w:sz w:val="18"/>
      <w:szCs w:val="18"/>
    </w:rPr>
  </w:style>
  <w:style w:type="character" w:customStyle="1" w:styleId="30">
    <w:name w:val="页脚 字符"/>
    <w:basedOn w:val="21"/>
    <w:link w:val="12"/>
    <w:qFormat/>
    <w:uiPriority w:val="99"/>
    <w:rPr>
      <w:sz w:val="18"/>
      <w:szCs w:val="18"/>
    </w:rPr>
  </w:style>
  <w:style w:type="character" w:customStyle="1" w:styleId="31">
    <w:name w:val="font11"/>
    <w:basedOn w:val="21"/>
    <w:qFormat/>
    <w:uiPriority w:val="0"/>
    <w:rPr>
      <w:rFonts w:hint="eastAsia" w:ascii="宋体" w:hAnsi="宋体" w:eastAsia="宋体" w:cs="宋体"/>
      <w:color w:val="000000"/>
      <w:sz w:val="21"/>
      <w:szCs w:val="21"/>
      <w:u w:val="none"/>
    </w:rPr>
  </w:style>
  <w:style w:type="character" w:customStyle="1" w:styleId="32">
    <w:name w:val="font01"/>
    <w:basedOn w:val="21"/>
    <w:qFormat/>
    <w:uiPriority w:val="0"/>
    <w:rPr>
      <w:rFonts w:hint="default" w:ascii="Calibri" w:hAnsi="Calibri" w:cs="Calibri"/>
      <w:color w:val="000000"/>
      <w:sz w:val="21"/>
      <w:szCs w:val="21"/>
      <w:u w:val="none"/>
    </w:rPr>
  </w:style>
  <w:style w:type="character" w:customStyle="1" w:styleId="33">
    <w:name w:val="font71"/>
    <w:basedOn w:val="21"/>
    <w:qFormat/>
    <w:uiPriority w:val="0"/>
    <w:rPr>
      <w:rFonts w:hint="eastAsia" w:ascii="仿宋" w:hAnsi="仿宋" w:eastAsia="仿宋" w:cs="仿宋"/>
      <w:b/>
      <w:color w:val="000000"/>
      <w:sz w:val="24"/>
      <w:szCs w:val="24"/>
      <w:u w:val="none"/>
    </w:rPr>
  </w:style>
  <w:style w:type="character" w:customStyle="1" w:styleId="34">
    <w:name w:val="font51"/>
    <w:basedOn w:val="21"/>
    <w:qFormat/>
    <w:uiPriority w:val="0"/>
    <w:rPr>
      <w:rFonts w:hint="eastAsia" w:ascii="仿宋" w:hAnsi="仿宋" w:eastAsia="仿宋" w:cs="仿宋"/>
      <w:color w:val="000000"/>
      <w:sz w:val="24"/>
      <w:szCs w:val="24"/>
      <w:u w:val="none"/>
    </w:rPr>
  </w:style>
  <w:style w:type="character" w:customStyle="1" w:styleId="35">
    <w:name w:val="font31"/>
    <w:basedOn w:val="21"/>
    <w:qFormat/>
    <w:uiPriority w:val="0"/>
    <w:rPr>
      <w:rFonts w:hint="eastAsia" w:ascii="宋体" w:hAnsi="宋体" w:eastAsia="宋体" w:cs="宋体"/>
      <w:b/>
      <w:color w:val="000000"/>
      <w:sz w:val="22"/>
      <w:szCs w:val="22"/>
      <w:u w:val="none"/>
    </w:rPr>
  </w:style>
  <w:style w:type="character" w:customStyle="1" w:styleId="36">
    <w:name w:val="font21"/>
    <w:basedOn w:val="21"/>
    <w:qFormat/>
    <w:uiPriority w:val="0"/>
    <w:rPr>
      <w:rFonts w:hint="eastAsia" w:ascii="宋体" w:hAnsi="宋体" w:eastAsia="宋体" w:cs="宋体"/>
      <w:color w:val="000000"/>
      <w:sz w:val="20"/>
      <w:szCs w:val="20"/>
      <w:u w:val="none"/>
    </w:rPr>
  </w:style>
  <w:style w:type="character" w:customStyle="1" w:styleId="37">
    <w:name w:val="font41"/>
    <w:basedOn w:val="21"/>
    <w:qFormat/>
    <w:uiPriority w:val="0"/>
    <w:rPr>
      <w:rFonts w:hint="default" w:ascii="Times New Roman" w:hAnsi="Times New Roman" w:cs="Times New Roman"/>
      <w:b/>
      <w:color w:val="000000"/>
      <w:sz w:val="20"/>
      <w:szCs w:val="20"/>
      <w:u w:val="none"/>
    </w:rPr>
  </w:style>
  <w:style w:type="paragraph" w:customStyle="1" w:styleId="38">
    <w:name w:val="WPSOffice手动目录 1"/>
    <w:qFormat/>
    <w:uiPriority w:val="0"/>
    <w:rPr>
      <w:rFonts w:ascii="Times New Roman" w:hAnsi="Times New Roman" w:eastAsia="宋体" w:cs="Times New Roman"/>
      <w:lang w:val="en-US" w:eastAsia="zh-CN" w:bidi="ar-SA"/>
    </w:rPr>
  </w:style>
  <w:style w:type="paragraph" w:customStyle="1" w:styleId="3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0">
    <w:name w:val="表格"/>
    <w:basedOn w:val="1"/>
    <w:qFormat/>
    <w:uiPriority w:val="0"/>
    <w:rPr>
      <w:rFonts w:hint="eastAsia"/>
      <w:kern w:val="0"/>
      <w:sz w:val="24"/>
      <w:szCs w:val="20"/>
    </w:rPr>
  </w:style>
  <w:style w:type="paragraph" w:customStyle="1" w:styleId="41">
    <w:name w:val="页眉或页脚 (2)"/>
    <w:basedOn w:val="1"/>
    <w:qFormat/>
    <w:uiPriority w:val="0"/>
    <w:rPr>
      <w:rFonts w:eastAsia="Times New Roman" w:cs="Times New Roman"/>
      <w:sz w:val="20"/>
      <w:szCs w:val="20"/>
      <w:lang w:val="zh-CN" w:bidi="zh-CN"/>
    </w:rPr>
  </w:style>
  <w:style w:type="character" w:customStyle="1" w:styleId="42">
    <w:name w:val="标题 字符"/>
    <w:basedOn w:val="21"/>
    <w:link w:val="17"/>
    <w:qFormat/>
    <w:uiPriority w:val="0"/>
    <w:rPr>
      <w:rFonts w:ascii="等线 Light" w:hAnsi="等线 Light" w:eastAsia="等线 Light" w:cs="Times New Roman"/>
      <w:b/>
      <w:bCs/>
      <w:kern w:val="2"/>
      <w:sz w:val="32"/>
      <w:szCs w:val="32"/>
    </w:rPr>
  </w:style>
  <w:style w:type="character" w:customStyle="1" w:styleId="43">
    <w:name w:val="正文文本缩进 字符"/>
    <w:basedOn w:val="21"/>
    <w:link w:val="8"/>
    <w:qFormat/>
    <w:uiPriority w:val="0"/>
    <w:rPr>
      <w:kern w:val="2"/>
      <w:sz w:val="32"/>
      <w:szCs w:val="24"/>
    </w:rPr>
  </w:style>
  <w:style w:type="paragraph" w:customStyle="1" w:styleId="44">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5">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6">
    <w:name w:val="15"/>
    <w:basedOn w:val="2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d1e297aa-226b-4b82-ae31-892face17998</errorID>
      <errorWord>66</errorWord>
      <group>L1_AI</group>
      <groupName>深度校对</groupName>
      <ability>L2_AI_Word</ability>
      <abilityName>字词纠错</abilityName>
      <candidateList>
        <item>65</item>
      </candidateList>
      <explain/>
      <paraID>190EFD14</paraID>
      <start>79</start>
      <end>81</end>
      <status>ignored</status>
      <modifiedWord/>
      <trackRevisions>false</trackRevisions>
    </reviewItem>
    <reviewItem>
      <errorID>4398aab1-d6ad-478a-bf2a-5fa84019ccc9</errorID>
      <errorWord>一、坚持党建引领，认真做好“两企三新”党建和行业协会商会指导工作。</errorWord>
      <group>L1_AI</group>
      <groupName>深度校对</groupName>
      <ability>L2_AI_Title</ability>
      <abilityName>标题检查</abilityName>
      <candidateList/>
      <explain>相邻标题序号不连续。在“三、部门目标实现情况（二）具体目标”下，前文二级标题序号为“（一）”“（二）”等括号格式，此处突然出现“一、”格式，与前文序号格式不连续；且该部分后续“二、强化工作举措，扎实推进破解基层治理‘小马拉大车’突出问题工作。三、整合各方力量，加力抓实社会工作专业人才、志愿服务及‘五社联动’工作。”也存在同样的序号格式不连续问题。</explain>
      <paraID>457011A5</paraID>
      <start>0</start>
      <end>33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0aca2b-3b98-4cb7-af80-f3658c8c4a15}">
  <ds:schemaRefs/>
</ds:datastoreItem>
</file>

<file path=docProps/app.xml><?xml version="1.0" encoding="utf-8"?>
<Properties xmlns="http://schemas.openxmlformats.org/officeDocument/2006/extended-properties" xmlns:vt="http://schemas.openxmlformats.org/officeDocument/2006/docPropsVTypes">
  <Company>Microsoft</Company>
  <Pages>14</Pages>
  <Words>5601</Words>
  <Characters>6111</Characters>
  <Lines>1</Lines>
  <Paragraphs>1</Paragraphs>
  <TotalTime>3</TotalTime>
  <ScaleCrop>false</ScaleCrop>
  <LinksUpToDate>false</LinksUpToDate>
  <CharactersWithSpaces>6153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2025-12-11T02:47:10Z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