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B8FB1A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D2C265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03E58FD">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1DA60A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44</w:t>
      </w:r>
      <w:r>
        <w:rPr>
          <w:rFonts w:hint="default" w:ascii="Times New Roman" w:hAnsi="Times New Roman" w:cs="Times New Roman"/>
          <w:sz w:val="32"/>
          <w:szCs w:val="32"/>
          <w:highlight w:val="none"/>
        </w:rPr>
        <w:t>号</w:t>
      </w:r>
    </w:p>
    <w:p w14:paraId="0BBA8FF8">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18CBA13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泸定县应急管理局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6D047C1E">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6252"/>
      <w:bookmarkStart w:id="6" w:name="_Toc26210"/>
      <w:r>
        <w:rPr>
          <w:rFonts w:hint="default" w:ascii="Times New Roman" w:hAnsi="Times New Roman" w:eastAsia="方正仿宋_GB2312" w:cs="Times New Roman"/>
          <w:color w:val="auto"/>
          <w:sz w:val="32"/>
          <w:szCs w:val="32"/>
          <w:highlight w:val="none"/>
          <w:lang w:val="fr-FR" w:eastAsia="zh-CN"/>
        </w:rPr>
        <w:t>泸定县应急管理局：</w:t>
      </w:r>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泸定县应急管理局（泸定县安全生产委员会办公室）</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eastAsia" w:ascii="Times New Roman" w:hAnsi="Times New Roman" w:eastAsia="方正仿宋_GB2312" w:cs="Times New Roman"/>
          <w:color w:val="auto"/>
          <w:sz w:val="32"/>
          <w:szCs w:val="32"/>
          <w:highlight w:val="none"/>
          <w:lang w:val="en-US" w:eastAsia="zh-CN"/>
        </w:rPr>
        <w:t>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泸定县应急管理局（泸定县安全生产委员会办公室）</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fr-FR" w:eastAsia="zh-CN"/>
        </w:rPr>
        <w:t>）</w:t>
      </w:r>
      <w:r>
        <w:rPr>
          <w:rFonts w:hint="default" w:ascii="Times New Roman" w:hAnsi="Times New Roman" w:eastAsia="方正仿宋_GB2312" w:cs="Times New Roman"/>
          <w:color w:val="auto"/>
          <w:sz w:val="32"/>
          <w:szCs w:val="32"/>
          <w:highlight w:val="none"/>
          <w:lang w:val="en-US" w:eastAsia="zh-CN"/>
        </w:rPr>
        <w:t>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泸定县应急管理局（泸定县安全生产委员会办公室）</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0147"/>
      <w:bookmarkStart w:id="13" w:name="_Toc18579"/>
      <w:bookmarkStart w:id="14" w:name="_Toc27571"/>
      <w:bookmarkStart w:id="15" w:name="_Toc12546"/>
      <w:bookmarkStart w:id="16" w:name="_Toc4351"/>
      <w:bookmarkStart w:id="17" w:name="_Toc15220"/>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30550"/>
      <w:bookmarkStart w:id="19" w:name="_Toc16549"/>
      <w:bookmarkStart w:id="20" w:name="_Toc109483834"/>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2337"/>
      <w:bookmarkStart w:id="24" w:name="_Toc19098"/>
      <w:bookmarkStart w:id="25" w:name="_Toc20865"/>
      <w:bookmarkStart w:id="26" w:name="_Toc18535"/>
      <w:bookmarkStart w:id="27" w:name="_Toc11769"/>
      <w:bookmarkStart w:id="28" w:name="_Toc24161"/>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 xml:space="preserve">泸定县应急管理局（泸定县安全生产委员会办公室）（以下简称县应急局）为泸定县人民政府工作部门，加挂泸定县安全生产委员会办公室牌子（简称县安办），属财政补助（收支统管、全额保障）的一级预算单位，机构性质：机关单位；单位负责人：邱林华；统一社会信用代码：1151332266277788X9；单位所在地：四川省甘孜藏族自治州泸定县红军路320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26703"/>
      <w:bookmarkStart w:id="34" w:name="_Toc16904"/>
      <w:bookmarkStart w:id="35" w:name="_Toc28538"/>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（1）内设机构。县应急局内设机构5个：办公室、应急指挥中心、综合减灾股、地质灾害救援股、安全生产监管股，无二级预算单位。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应急局编制内实有人员28名，其中局长1名（兼任县安办主任），副局长2名，主任1名，森林防火专职副指挥长1名；在职人员总数35人，其中：机关行政编制10人、行政工勤2人、参公15人、临聘人员8人；退休人员7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2604"/>
      <w:bookmarkStart w:id="39" w:name="_Toc21223"/>
      <w:bookmarkStart w:id="40" w:name="_Toc12241"/>
      <w:bookmarkStart w:id="41" w:name="_Toc1674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33"/>
      <w:r>
        <w:rPr>
          <w:rFonts w:hint="default" w:ascii="Times New Roman" w:hAnsi="Times New Roman" w:eastAsia="方正仿宋_GB2312" w:cs="Times New Roman"/>
          <w:color w:val="auto"/>
          <w:sz w:val="32"/>
          <w:szCs w:val="32"/>
          <w:highlight w:val="none"/>
          <w:lang w:val="en-US" w:eastAsia="zh-CN"/>
        </w:rPr>
        <w:t>县应急局的主要职责是：</w:t>
      </w:r>
    </w:p>
    <w:p w14:paraId="63D45F4E">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主要负责应急管理工作，组织和指导各乡镇、各部门应对安全生产类、自然灾害类等突发事件，开展综合防灾减灾救灾工作；负责工矿商贸等行业安全生产综合监督管理工作；负责煤矿、非煤矿山、危险化学品、烟花爆竹等行业安全生产监督管理工作。</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26564"/>
      <w:bookmarkStart w:id="45" w:name="_Toc22594"/>
      <w:bookmarkStart w:id="46" w:name="_Toc13707"/>
      <w:bookmarkStart w:id="47" w:name="_Toc15163"/>
      <w:bookmarkStart w:id="48" w:name="_Toc14896"/>
      <w:bookmarkStart w:id="49" w:name="_Toc16871"/>
      <w:bookmarkStart w:id="50" w:name="_Toc1218480988"/>
      <w:bookmarkStart w:id="51" w:name="_Toc5982"/>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32369"/>
      <w:bookmarkStart w:id="55" w:name="_Toc29180"/>
      <w:bookmarkStart w:id="56" w:name="_Toc11105"/>
      <w:bookmarkStart w:id="57" w:name="_Toc1949541301"/>
      <w:bookmarkStart w:id="58" w:name="_Toc15898"/>
      <w:bookmarkStart w:id="59" w:name="_Toc2374"/>
      <w:bookmarkStart w:id="60" w:name="_Toc25866"/>
      <w:bookmarkStart w:id="61" w:name="_Toc21428"/>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widowControl/>
        <w:kinsoku/>
        <w:wordWrap/>
        <w:overflowPunct/>
        <w:topLinePunct w:val="0"/>
        <w:autoSpaceDE/>
        <w:autoSpaceDN/>
        <w:bidi w:val="0"/>
        <w:adjustRightInd/>
        <w:snapToGrid/>
        <w:spacing w:line="600" w:lineRule="exact"/>
        <w:ind w:firstLine="560"/>
        <w:textAlignment w:val="auto"/>
        <w:outlineLvl w:val="9"/>
        <w:rPr>
          <w:rFonts w:hint="default" w:ascii="Times New Roman" w:hAnsi="Times New Roman" w:eastAsia="方正仿宋_GB2312" w:cs="Times New Roman"/>
          <w:bCs w:val="0"/>
          <w:color w:val="auto"/>
          <w:sz w:val="32"/>
          <w:szCs w:val="32"/>
          <w:highlight w:val="none"/>
          <w:lang w:val="en-US" w:eastAsia="zh-CN"/>
        </w:rPr>
      </w:pPr>
      <w:bookmarkStart w:id="63" w:name="_Toc27073"/>
      <w:bookmarkStart w:id="64" w:name="_Toc17751"/>
      <w:bookmarkStart w:id="65" w:name="_Toc349786989"/>
      <w:bookmarkStart w:id="66" w:name="_Toc19326"/>
      <w:bookmarkStart w:id="67" w:name="_Toc109483838"/>
      <w:bookmarkStart w:id="68" w:name="_Toc21171"/>
      <w:bookmarkStart w:id="69" w:name="_Toc27782"/>
      <w:r>
        <w:rPr>
          <w:rFonts w:hint="default" w:ascii="Times New Roman" w:hAnsi="Times New Roman" w:eastAsia="方正仿宋_GB2312" w:cs="Times New Roman"/>
          <w:bCs w:val="0"/>
          <w:color w:val="auto"/>
          <w:sz w:val="32"/>
          <w:szCs w:val="32"/>
          <w:highlight w:val="none"/>
          <w:lang w:val="en-US" w:eastAsia="zh-CN"/>
        </w:rPr>
        <w:t>年初预算反映，县应急局2024年预算收入合计730.70万元，上年结转结余0.00万元，无预算调整。本年收入730.70万元，全部为一般公共预算财政拨款收入。</w:t>
      </w:r>
    </w:p>
    <w:p w14:paraId="001FEF04">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560"/>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bCs w:val="0"/>
          <w:color w:val="auto"/>
          <w:sz w:val="32"/>
          <w:szCs w:val="32"/>
          <w:highlight w:val="none"/>
          <w:lang w:val="en-US" w:eastAsia="zh-CN"/>
        </w:rPr>
        <w:t>决算报表反映，县应急局2024年决算收入合计25,090.58万元，其中：一般公共预算财政拨款收入2,755.29万元，其他收入22,335.29万元，无年初结转和结余</w:t>
      </w:r>
      <w:r>
        <w:rPr>
          <w:rFonts w:hint="default" w:ascii="Times New Roman" w:hAnsi="Times New Roman" w:eastAsia="方正仿宋_GB2312" w:cs="Times New Roman"/>
          <w:color w:val="auto"/>
          <w:sz w:val="32"/>
          <w:szCs w:val="32"/>
          <w:highlight w:val="none"/>
          <w:lang w:val="en-US" w:eastAsia="zh-CN"/>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widowControl/>
        <w:spacing w:line="600" w:lineRule="exact"/>
        <w:ind w:firstLine="560"/>
        <w:outlineLvl w:val="9"/>
        <w:rPr>
          <w:rFonts w:hint="default" w:ascii="Times New Roman" w:hAnsi="Times New Roman" w:eastAsia="方正仿宋_GB2312" w:cs="Times New Roman"/>
          <w:color w:val="auto"/>
          <w:sz w:val="32"/>
          <w:szCs w:val="32"/>
          <w:highlight w:val="none"/>
        </w:rPr>
      </w:pPr>
      <w:bookmarkStart w:id="73" w:name="_Toc10837"/>
      <w:bookmarkStart w:id="74" w:name="_Toc18390"/>
      <w:bookmarkStart w:id="75" w:name="_Toc24721"/>
      <w:bookmarkStart w:id="76" w:name="_Toc13841"/>
      <w:bookmarkStart w:id="77" w:name="_Toc109483839"/>
      <w:bookmarkStart w:id="78" w:name="_Toc1457008154"/>
      <w:bookmarkStart w:id="79" w:name="_Toc809"/>
      <w:r>
        <w:rPr>
          <w:rFonts w:hint="default" w:ascii="Times New Roman" w:hAnsi="Times New Roman" w:eastAsia="方正仿宋_GB2312" w:cs="Times New Roman"/>
          <w:bCs w:val="0"/>
          <w:color w:val="auto"/>
          <w:sz w:val="32"/>
          <w:szCs w:val="32"/>
          <w:highlight w:val="none"/>
          <w:lang w:val="en-US" w:eastAsia="zh-CN"/>
        </w:rPr>
        <w:t>年初预算反映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县应急局</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年预算支出合计730.70万元，无年末结转和结余。本年支出中：基本支出612.7</w:t>
      </w:r>
      <w:r>
        <w:rPr>
          <w:rFonts w:hint="default" w:ascii="Times New Roman" w:hAnsi="Times New Roman" w:eastAsia="方正仿宋_GB2312" w:cs="Times New Roman"/>
          <w:color w:val="auto"/>
          <w:sz w:val="32"/>
          <w:szCs w:val="32"/>
          <w:highlight w:val="none"/>
          <w:lang w:val="en-US" w:eastAsia="zh-CN"/>
        </w:rPr>
        <w:t>0</w:t>
      </w:r>
      <w:r>
        <w:rPr>
          <w:rFonts w:hint="default" w:ascii="Times New Roman" w:hAnsi="Times New Roman" w:eastAsia="方正仿宋_GB2312" w:cs="Times New Roman"/>
          <w:color w:val="auto"/>
          <w:sz w:val="32"/>
          <w:szCs w:val="32"/>
          <w:highlight w:val="none"/>
        </w:rPr>
        <w:t>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人员经费546.10万元、公用经费66.60万元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rPr>
        <w:t>，项目支出</w:t>
      </w:r>
      <w:r>
        <w:rPr>
          <w:rFonts w:hint="default" w:ascii="Times New Roman" w:hAnsi="Times New Roman" w:eastAsia="方正仿宋_GB2312" w:cs="Times New Roman"/>
          <w:color w:val="auto"/>
          <w:sz w:val="32"/>
          <w:szCs w:val="32"/>
          <w:highlight w:val="none"/>
          <w:lang w:val="en-US" w:eastAsia="zh-CN"/>
        </w:rPr>
        <w:t>118.00</w:t>
      </w:r>
      <w:r>
        <w:rPr>
          <w:rFonts w:hint="default" w:ascii="Times New Roman" w:hAnsi="Times New Roman" w:eastAsia="方正仿宋_GB2312" w:cs="Times New Roman"/>
          <w:color w:val="auto"/>
          <w:sz w:val="32"/>
          <w:szCs w:val="32"/>
          <w:highlight w:val="none"/>
        </w:rPr>
        <w:t>万元。</w:t>
      </w:r>
    </w:p>
    <w:p w14:paraId="70A2FEF6">
      <w:pPr>
        <w:widowControl/>
        <w:spacing w:line="600" w:lineRule="exact"/>
        <w:ind w:firstLine="560"/>
        <w:outlineLvl w:val="9"/>
        <w:rPr>
          <w:rFonts w:hint="default" w:ascii="Times New Roman" w:hAnsi="Times New Roman" w:eastAsia="方正仿宋_GB2312" w:cs="Times New Roman"/>
          <w:color w:val="auto"/>
          <w:sz w:val="32"/>
          <w:szCs w:val="32"/>
          <w:highlight w:val="none"/>
        </w:rPr>
      </w:pPr>
      <w:r>
        <w:rPr>
          <w:rFonts w:hint="default" w:ascii="Times New Roman" w:hAnsi="Times New Roman" w:eastAsia="方正仿宋_GB2312" w:cs="Times New Roman"/>
          <w:color w:val="auto"/>
          <w:sz w:val="32"/>
          <w:szCs w:val="32"/>
          <w:highlight w:val="none"/>
        </w:rPr>
        <w:t>决算报表反映，</w:t>
      </w:r>
      <w:r>
        <w:rPr>
          <w:rFonts w:hint="default" w:ascii="Times New Roman" w:hAnsi="Times New Roman" w:eastAsia="方正仿宋_GB2312" w:cs="Times New Roman"/>
          <w:color w:val="auto"/>
          <w:sz w:val="32"/>
          <w:szCs w:val="32"/>
          <w:highlight w:val="none"/>
          <w:lang w:eastAsia="zh-CN"/>
        </w:rPr>
        <w:t>县应急局</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年决算支出合计</w:t>
      </w:r>
      <w:r>
        <w:rPr>
          <w:rFonts w:hint="default" w:ascii="Times New Roman" w:hAnsi="Times New Roman" w:eastAsia="方正仿宋_GB2312" w:cs="Times New Roman"/>
          <w:bCs w:val="0"/>
          <w:color w:val="auto"/>
          <w:sz w:val="32"/>
          <w:szCs w:val="32"/>
          <w:highlight w:val="none"/>
          <w:lang w:val="en-US" w:eastAsia="zh-CN"/>
        </w:rPr>
        <w:t>25,090.58</w:t>
      </w:r>
      <w:r>
        <w:rPr>
          <w:rFonts w:hint="default" w:ascii="Times New Roman" w:hAnsi="Times New Roman" w:eastAsia="方正仿宋_GB2312" w:cs="Times New Roman"/>
          <w:color w:val="auto"/>
          <w:sz w:val="32"/>
          <w:szCs w:val="32"/>
          <w:highlight w:val="none"/>
        </w:rPr>
        <w:t>万元，</w:t>
      </w:r>
      <w:r>
        <w:rPr>
          <w:rFonts w:hint="default" w:ascii="Times New Roman" w:hAnsi="Times New Roman" w:eastAsia="方正仿宋_GB2312" w:cs="Times New Roman"/>
          <w:color w:val="auto"/>
          <w:sz w:val="32"/>
          <w:szCs w:val="32"/>
          <w:highlight w:val="none"/>
          <w:lang w:val="en-US" w:eastAsia="zh-CN"/>
        </w:rPr>
        <w:t>其中：本年支出23,800.30万元，</w:t>
      </w:r>
      <w:r>
        <w:rPr>
          <w:rFonts w:hint="default" w:ascii="Times New Roman" w:hAnsi="Times New Roman" w:eastAsia="方正仿宋_GB2312" w:cs="Times New Roman"/>
          <w:color w:val="auto"/>
          <w:sz w:val="32"/>
          <w:szCs w:val="32"/>
          <w:highlight w:val="none"/>
        </w:rPr>
        <w:t>年末结转和结余1</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rPr>
        <w:t>290.28</w:t>
      </w:r>
      <w:r>
        <w:rPr>
          <w:rFonts w:hint="default" w:ascii="Times New Roman" w:hAnsi="Times New Roman" w:eastAsia="方正仿宋_GB2312" w:cs="Times New Roman"/>
          <w:color w:val="auto"/>
          <w:sz w:val="32"/>
          <w:szCs w:val="32"/>
          <w:highlight w:val="none"/>
          <w:lang w:val="en-US" w:eastAsia="zh-CN"/>
        </w:rPr>
        <w:t>万元</w:t>
      </w:r>
      <w:r>
        <w:rPr>
          <w:rFonts w:hint="default" w:ascii="Times New Roman" w:hAnsi="Times New Roman" w:eastAsia="方正仿宋_GB2312" w:cs="Times New Roman"/>
          <w:color w:val="auto"/>
          <w:sz w:val="32"/>
          <w:szCs w:val="32"/>
          <w:highlight w:val="none"/>
        </w:rPr>
        <w:t>。本年支出中：基本支出</w:t>
      </w:r>
      <w:r>
        <w:rPr>
          <w:rFonts w:hint="default" w:ascii="Times New Roman" w:hAnsi="Times New Roman" w:eastAsia="方正仿宋_GB2312" w:cs="Times New Roman"/>
          <w:color w:val="auto"/>
          <w:sz w:val="32"/>
          <w:szCs w:val="32"/>
          <w:highlight w:val="none"/>
          <w:lang w:val="en-US" w:eastAsia="zh-CN"/>
        </w:rPr>
        <w:t>641.79</w:t>
      </w:r>
      <w:r>
        <w:rPr>
          <w:rFonts w:hint="default" w:ascii="Times New Roman" w:hAnsi="Times New Roman" w:eastAsia="方正仿宋_GB2312" w:cs="Times New Roman"/>
          <w:color w:val="auto"/>
          <w:sz w:val="32"/>
          <w:szCs w:val="32"/>
          <w:highlight w:val="none"/>
        </w:rPr>
        <w:t>万元（人员经费</w:t>
      </w:r>
      <w:r>
        <w:rPr>
          <w:rFonts w:hint="default" w:ascii="Times New Roman" w:hAnsi="Times New Roman" w:eastAsia="方正仿宋_GB2312" w:cs="Times New Roman"/>
          <w:color w:val="auto"/>
          <w:sz w:val="32"/>
          <w:szCs w:val="32"/>
          <w:highlight w:val="none"/>
          <w:lang w:val="en-US" w:eastAsia="zh-CN"/>
        </w:rPr>
        <w:t>569.75</w:t>
      </w:r>
      <w:r>
        <w:rPr>
          <w:rFonts w:hint="default" w:ascii="Times New Roman" w:hAnsi="Times New Roman" w:eastAsia="方正仿宋_GB2312" w:cs="Times New Roman"/>
          <w:color w:val="auto"/>
          <w:sz w:val="32"/>
          <w:szCs w:val="32"/>
          <w:highlight w:val="none"/>
        </w:rPr>
        <w:t>万元、公用经费</w:t>
      </w:r>
      <w:r>
        <w:rPr>
          <w:rFonts w:hint="default" w:ascii="Times New Roman" w:hAnsi="Times New Roman" w:eastAsia="方正仿宋_GB2312" w:cs="Times New Roman"/>
          <w:color w:val="auto"/>
          <w:sz w:val="32"/>
          <w:szCs w:val="32"/>
          <w:highlight w:val="none"/>
          <w:lang w:val="en-US" w:eastAsia="zh-CN"/>
        </w:rPr>
        <w:t>72.05</w:t>
      </w:r>
      <w:r>
        <w:rPr>
          <w:rFonts w:hint="default" w:ascii="Times New Roman" w:hAnsi="Times New Roman" w:eastAsia="方正仿宋_GB2312" w:cs="Times New Roman"/>
          <w:color w:val="auto"/>
          <w:sz w:val="32"/>
          <w:szCs w:val="32"/>
          <w:highlight w:val="none"/>
        </w:rPr>
        <w:t>万元），项目支出</w:t>
      </w:r>
      <w:r>
        <w:rPr>
          <w:rFonts w:hint="default" w:ascii="Times New Roman" w:hAnsi="Times New Roman" w:eastAsia="方正仿宋_GB2312" w:cs="Times New Roman"/>
          <w:color w:val="auto"/>
          <w:sz w:val="32"/>
          <w:szCs w:val="32"/>
          <w:highlight w:val="none"/>
          <w:lang w:val="en-US" w:eastAsia="zh-CN"/>
        </w:rPr>
        <w:t>23,158.51</w:t>
      </w:r>
      <w:r>
        <w:rPr>
          <w:rFonts w:hint="default" w:ascii="Times New Roman" w:hAnsi="Times New Roman" w:eastAsia="方正仿宋_GB2312" w:cs="Times New Roman"/>
          <w:color w:val="auto"/>
          <w:sz w:val="32"/>
          <w:szCs w:val="32"/>
          <w:highlight w:val="none"/>
        </w:rPr>
        <w:t>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widowControl/>
        <w:spacing w:line="600" w:lineRule="exact"/>
        <w:ind w:firstLine="560"/>
        <w:outlineLvl w:val="9"/>
        <w:rPr>
          <w:rFonts w:hint="default" w:ascii="Times New Roman" w:hAnsi="Times New Roman" w:eastAsia="方正仿宋_GB2312" w:cs="Times New Roman"/>
          <w:color w:val="auto"/>
          <w:kern w:val="2"/>
          <w:sz w:val="32"/>
          <w:szCs w:val="32"/>
          <w:highlight w:val="none"/>
        </w:rPr>
      </w:pPr>
      <w:r>
        <w:rPr>
          <w:rFonts w:hint="default" w:ascii="Times New Roman" w:hAnsi="Times New Roman" w:eastAsia="方正仿宋_GB2312" w:cs="Times New Roman"/>
          <w:color w:val="auto"/>
          <w:sz w:val="32"/>
          <w:szCs w:val="32"/>
          <w:highlight w:val="none"/>
          <w:lang w:val="en-US" w:eastAsia="zh-CN"/>
        </w:rPr>
        <w:t>决算报表反映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县应急局</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4年末</w:t>
      </w:r>
      <w:r>
        <w:rPr>
          <w:rFonts w:hint="default" w:ascii="Times New Roman" w:hAnsi="Times New Roman" w:eastAsia="方正仿宋_GB2312" w:cs="Times New Roman"/>
          <w:color w:val="auto"/>
          <w:sz w:val="32"/>
          <w:szCs w:val="32"/>
          <w:highlight w:val="none"/>
        </w:rPr>
        <w:t>结转结余1</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rPr>
        <w:t>290.28</w:t>
      </w:r>
      <w:r>
        <w:rPr>
          <w:rFonts w:hint="default" w:ascii="Times New Roman" w:hAnsi="Times New Roman" w:eastAsia="方正仿宋_GB2312" w:cs="Times New Roman"/>
          <w:color w:val="auto"/>
          <w:sz w:val="32"/>
          <w:szCs w:val="32"/>
          <w:highlight w:val="none"/>
          <w:lang w:val="en-US" w:eastAsia="zh-CN"/>
        </w:rPr>
        <w:t>万元，</w:t>
      </w:r>
      <w:r>
        <w:rPr>
          <w:rFonts w:hint="default" w:ascii="Times New Roman" w:hAnsi="Times New Roman" w:eastAsia="方正仿宋_GB2312" w:cs="Times New Roman"/>
          <w:color w:val="auto"/>
          <w:sz w:val="32"/>
          <w:szCs w:val="32"/>
          <w:highlight w:val="none"/>
        </w:rPr>
        <w:t>无结余分配。</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16353"/>
      <w:bookmarkStart w:id="82" w:name="_Toc7705"/>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19300"/>
      <w:bookmarkStart w:id="84" w:name="_Toc3573"/>
      <w:bookmarkStart w:id="85" w:name="_Toc22633"/>
      <w:bookmarkStart w:id="86" w:name="_Toc29501"/>
      <w:bookmarkStart w:id="87" w:name="_Toc1418"/>
      <w:bookmarkStart w:id="88" w:name="_Toc2801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49A0184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11959"/>
      <w:bookmarkStart w:id="91" w:name="_Toc132"/>
      <w:r>
        <w:rPr>
          <w:rFonts w:hint="default" w:ascii="Times New Roman" w:hAnsi="Times New Roman" w:eastAsia="方正仿宋_GB2312" w:cs="Times New Roman"/>
          <w:color w:val="auto"/>
          <w:sz w:val="32"/>
          <w:szCs w:val="32"/>
          <w:highlight w:val="none"/>
          <w:lang w:val="en-US" w:eastAsia="zh-CN"/>
        </w:rPr>
        <w:t>1.加强应急管理工作，指导应对安全生产类、自然灾害类等突发事件和综合防灾减灾救灾。</w:t>
      </w:r>
    </w:p>
    <w:p w14:paraId="5991E8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2.深入开展工矿商贸行业和危险化学品等行业安全生产监督管理工作，开展隐患排查专项治理。</w:t>
      </w:r>
    </w:p>
    <w:p w14:paraId="6A421DA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3.开展安全生产、应急管理宣传、教育和培训工作。</w:t>
      </w:r>
    </w:p>
    <w:p w14:paraId="3B7BFA3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4.保障全县的森林火灾、地质灾害、防汛抗旱、救灾救援等工作的应急管理。</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4650"/>
      <w:bookmarkStart w:id="93" w:name="_Toc6926"/>
      <w:bookmarkStart w:id="94" w:name="_Toc30825"/>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24081"/>
      <w:bookmarkStart w:id="97" w:name="_Toc6491"/>
      <w:r>
        <w:rPr>
          <w:rFonts w:hint="default" w:ascii="Times New Roman" w:hAnsi="Times New Roman" w:eastAsia="方正仿宋_GB2312" w:cs="Times New Roman"/>
          <w:color w:val="auto"/>
          <w:sz w:val="32"/>
          <w:szCs w:val="32"/>
          <w:highlight w:val="none"/>
          <w:lang w:val="en-US" w:eastAsia="zh-CN"/>
        </w:rPr>
        <w:t>县应急局2024年认真落实中央、省、州纪委全会部署安排，重点完成以下工作任务：</w:t>
      </w:r>
    </w:p>
    <w:p w14:paraId="244AF3E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负责应急管理工作，组织和指导各乡镇、各部门应对安全生产类、自然灾害类等突发事件和综合防灾减灾救灾工作；负责工矿商贸等行业安全生产综合监督管理工作；负责煤矿、非煤矿山、危险化学品、烟花爆竹等行业安全生产监督管理工作。拟订应急管理、安全生产等政策措施，组织编制泸定县应急体系建设、安全生产和综合防灾减灾规划，并对相关地方性法规提出建议，起草地方性政策措施文件并组织实施。负责组织、指导应急预案体系建设，建立完善事故灾难和自然灾害分级应对制度，牵头组织编制全县综合和专项预案，负责应急预案衔接工作，组织开展预案演练并落实，推动应急避难设施建设。按照国家相关政策和规定负责消防、森林和草原火灾扑救、抗洪抢险、地震和地质灾害救援、生产安全事故救援等专业应急救援力量建设，依法依规统筹指导各乡镇及社会应急救援力量建设和应急保障能力建设。负责组织、指导、协调安全生产类、自然灾害类等突发事件应急救援，承担全县应对一般及以上灾害指挥部工作，综合研判突发事件发展态势并提出应对建议，负责组织一般及以上灾害应急处置工作。</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13068"/>
      <w:bookmarkStart w:id="99" w:name="_Toc32189"/>
      <w:bookmarkStart w:id="100" w:name="_Toc21154"/>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7521"/>
      <w:bookmarkStart w:id="102" w:name="_Toc28828"/>
      <w:bookmarkStart w:id="103" w:name="_Toc11694"/>
      <w:bookmarkStart w:id="104" w:name="_Toc24977"/>
      <w:bookmarkStart w:id="105" w:name="_Toc29571"/>
      <w:bookmarkStart w:id="106" w:name="_Toc24619"/>
      <w:bookmarkStart w:id="107" w:name="_Toc8903"/>
      <w:bookmarkStart w:id="108" w:name="_Toc428273082"/>
      <w:bookmarkStart w:id="109" w:name="_Toc109483840"/>
      <w:bookmarkStart w:id="110" w:name="_Toc27305"/>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评价小组按照评价日程安排，对县应急局提交的评价资料进行认真梳理，测算分析各项指标，汇总评分并形成评价报告。</w:t>
      </w:r>
    </w:p>
    <w:p w14:paraId="5A0A37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1.对相关资料进行研读，对整体评价有基本的把握和了解，归纳出进一步评价所需的信息供下一步取数参考。</w:t>
      </w:r>
    </w:p>
    <w:p w14:paraId="5D575BB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2.集中对各个评价指标逐一进行分析，以保证取数的准确性。</w:t>
      </w:r>
    </w:p>
    <w:p w14:paraId="777A176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4.根据评价结果，撰写评价报告。</w:t>
      </w:r>
    </w:p>
    <w:p w14:paraId="0280D38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3900"/>
      <w:bookmarkStart w:id="113" w:name="_Toc16416"/>
      <w:bookmarkStart w:id="114" w:name="_Toc3794"/>
      <w:bookmarkStart w:id="115" w:name="_Toc4385"/>
      <w:bookmarkStart w:id="116" w:name="_Toc30977"/>
      <w:bookmarkStart w:id="117" w:name="_Toc24380"/>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度，县应急局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县应急局在维持部门运转的基础上，完成了部门职责范围内的各项工作，部门履职情况较好。</w:t>
      </w:r>
    </w:p>
    <w:p w14:paraId="38EC81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w:t>
      </w:r>
      <w:r>
        <w:rPr>
          <w:rFonts w:hint="eastAsia"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CN"/>
        </w:rPr>
        <w:t>对县应急局2024年度部门整体支出情况在预算编制、预算执行、完成结果、信息公开、整改反馈、自评质量方面进行综合评价，2024年度县应急</w:t>
      </w:r>
      <w:r>
        <w:rPr>
          <w:rFonts w:hint="eastAsia" w:ascii="Times New Roman" w:hAnsi="Times New Roman" w:eastAsia="方正仿宋_GB2312" w:cs="Times New Roman"/>
          <w:color w:val="auto"/>
          <w:sz w:val="32"/>
          <w:szCs w:val="32"/>
          <w:highlight w:val="none"/>
          <w:lang w:val="en-US" w:eastAsia="zh-CN"/>
        </w:rPr>
        <w:t>局部门</w:t>
      </w:r>
      <w:r>
        <w:rPr>
          <w:rFonts w:hint="default" w:ascii="Times New Roman" w:hAnsi="Times New Roman" w:eastAsia="方正仿宋_GB2312" w:cs="Times New Roman"/>
          <w:color w:val="auto"/>
          <w:sz w:val="32"/>
          <w:szCs w:val="32"/>
          <w:highlight w:val="none"/>
          <w:lang w:val="en-US" w:eastAsia="zh-CN"/>
        </w:rPr>
        <w:t>整体支出绩效评价指标分值100.00分，得分89.73分。详见下表：</w:t>
      </w:r>
    </w:p>
    <w:p w14:paraId="586E1AED">
      <w:pPr>
        <w:keepNext/>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县应急局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8"/>
        <w:gridCol w:w="2292"/>
        <w:gridCol w:w="1318"/>
        <w:gridCol w:w="621"/>
        <w:gridCol w:w="959"/>
        <w:gridCol w:w="833"/>
      </w:tblGrid>
      <w:tr w14:paraId="08254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509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4242"/>
            <w:bookmarkStart w:id="119" w:name="_Toc14707"/>
            <w:bookmarkStart w:id="120" w:name="_Toc13729"/>
            <w:bookmarkStart w:id="121" w:name="_Toc16394"/>
            <w:bookmarkStart w:id="122" w:name="_Toc109483841"/>
            <w:bookmarkStart w:id="123" w:name="_Toc26985"/>
            <w:bookmarkStart w:id="124" w:name="_Toc1687911260"/>
            <w:bookmarkStart w:id="125" w:name="_Toc24818"/>
            <w:bookmarkStart w:id="126" w:name="_Toc31945"/>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0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64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FAD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BB5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9BA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692C7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304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9CB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BE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85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E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D4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49EF7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9AD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D82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27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AD1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7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77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4D37D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20D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FF8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7A7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A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297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2.42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90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1.58</w:t>
            </w:r>
          </w:p>
        </w:tc>
      </w:tr>
      <w:tr w14:paraId="4C68E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28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C7C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D2F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46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10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5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1E992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8F4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730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B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84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69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6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81EA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6AF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7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26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32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D5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1.03</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7A5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3.97</w:t>
            </w:r>
          </w:p>
        </w:tc>
      </w:tr>
      <w:tr w14:paraId="3F713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B02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63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59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8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848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0.92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E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19.08</w:t>
            </w:r>
          </w:p>
        </w:tc>
      </w:tr>
      <w:tr w14:paraId="24C22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EA7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B3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49B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2B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F1C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0.9</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6ED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29.1</w:t>
            </w:r>
          </w:p>
        </w:tc>
      </w:tr>
      <w:tr w14:paraId="0BCBC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CCD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1A5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78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3C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85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B2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1C05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D4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C63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E15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DB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0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D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59D25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C2B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7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D1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0E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AD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F0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18BB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B52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3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8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CB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7BB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4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39A05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94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E7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3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10.27</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AF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89.73</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应急局认真落实中央、省、州纪委全会部署安排，积极主动围绕中心、服务大局，坚定不移正风肃纪反腐，扎实推进主题教育和教育整顿。通过评价组对县应急局进行事后评价，最终县应急局绩效等级为“良”。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建议泸定县财政局针对部门预算绩效管理，进一步要求县应急局完善绩效目标编制、提高绩效自评质量、加强年初预算编制准确性。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w:t>
      </w:r>
      <w:r>
        <w:rPr>
          <w:rFonts w:hint="eastAsia" w:ascii="Times New Roman" w:hAnsi="Times New Roman" w:eastAsia="方正仿宋_GB2312" w:cs="Times New Roman"/>
          <w:color w:val="auto"/>
          <w:sz w:val="32"/>
          <w:szCs w:val="32"/>
          <w:highlight w:val="none"/>
          <w:lang w:val="en-US" w:eastAsia="zh-CN"/>
        </w:rPr>
        <w:t>，分别</w:t>
      </w:r>
      <w:r>
        <w:rPr>
          <w:rFonts w:hint="default" w:ascii="Times New Roman" w:hAnsi="Times New Roman" w:eastAsia="方正仿宋_GB2312" w:cs="Times New Roman"/>
          <w:color w:val="auto"/>
          <w:sz w:val="32"/>
          <w:szCs w:val="32"/>
          <w:highlight w:val="none"/>
          <w:lang w:val="en-US" w:eastAsia="zh-CN"/>
        </w:rPr>
        <w:t>为目标制定、目标实现。</w:t>
      </w:r>
    </w:p>
    <w:p w14:paraId="5852C1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应急局在泸定县人民政府门户网站公开的2024年度部门预算和绩效目标，制定了年度部门及项目整体支出绩效目标，绩效目标涵盖数量、质量、时效、效益等指标，但存在指标设置不合理、项目绩效目标要素不完整和绩效目标未随预算调整同步完成等情况。扣除2.00分。</w:t>
      </w:r>
    </w:p>
    <w:p w14:paraId="4392A5A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应急局提供的2024年度年初预算项目绩效目标申报表及项目完成资料，县应急局整体涉及6个数量指标、3个质量指标、2个时效指标、1个成本指标、5个社会效益指标、1个生态效益指标、1个满意度指标。根据现场评价情况，实际完成6个数量指标，完成率100%；实际完成1个成本指标，完成率100%。</w:t>
      </w:r>
    </w:p>
    <w:p w14:paraId="35DC9D7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widowControl/>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应急局1—6月预算数2,886.00万元，实际执行数1,311.43万元，进度为45.44%；1—9月预算数2,886.00万元，实际执行数1,680.27万元，进度为58.22%；1—11月预算数2,886.00万元，实际执行数1,854.34万元，进度为64.25%。</w:t>
      </w:r>
    </w:p>
    <w:p w14:paraId="453EC0F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上述三个阶段中，根据可执行指标执行情况表被评价单位1-6月实际支出进度已达到目标进度，但1-9月、1-11月实际支出进度未达到目标进度。</w:t>
      </w:r>
    </w:p>
    <w:p w14:paraId="51F3DF0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本项分值为4.00分，扣2.42分，得分为1.58分。</w:t>
      </w:r>
    </w:p>
    <w:p w14:paraId="22956C4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2024年县应急局预算项目29个，根据被评价单位提供的可执行指标执行情况表，预算调整项目25个，其中2个项目未随预算调整同步完成绩效目标调整。</w:t>
      </w:r>
    </w:p>
    <w:p w14:paraId="67B9BB7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本项分值为3.00分，扣1.00分，得分为2.00分。</w:t>
      </w:r>
    </w:p>
    <w:p w14:paraId="2756E4F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2024年，县财政局未对县应急局开展绩效运行监控，未提出预算收回、调整处置意见。                       </w:t>
      </w:r>
    </w:p>
    <w:p w14:paraId="3F0CF77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3</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完成效率</w:t>
      </w:r>
    </w:p>
    <w:p w14:paraId="6AD9472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根据县应急局2024年度决算报表与可执行指标执行情况表被评价单位2024年度预算项目共计29个，部门预算项目资金结余率小于10%有23个，大于10%有6个。</w:t>
      </w:r>
    </w:p>
    <w:p w14:paraId="4A928B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本项分值为5.00分，扣1.03分，得分为3.97分。</w:t>
      </w:r>
    </w:p>
    <w:p w14:paraId="38BE5ED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w:t>
      </w:r>
      <w:r>
        <w:rPr>
          <w:rFonts w:hint="default" w:ascii="Times New Roman" w:hAnsi="Times New Roman" w:eastAsia="方正仿宋_GB2312" w:cs="Times New Roman"/>
          <w:color w:val="auto"/>
          <w:sz w:val="32"/>
          <w:szCs w:val="32"/>
          <w:highlight w:val="none"/>
        </w:rPr>
        <w:t>部门预算项目绩效</w:t>
      </w:r>
      <w:r>
        <w:rPr>
          <w:rFonts w:hint="default" w:ascii="Times New Roman" w:hAnsi="Times New Roman" w:eastAsia="方正仿宋_GB2312" w:cs="Times New Roman"/>
          <w:color w:val="auto"/>
          <w:sz w:val="32"/>
          <w:szCs w:val="32"/>
          <w:highlight w:val="none"/>
          <w:lang w:val="en-US" w:eastAsia="zh-CN"/>
        </w:rPr>
        <w:t>管理情况</w:t>
      </w:r>
    </w:p>
    <w:p w14:paraId="5AC668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完成效果</w:t>
      </w:r>
    </w:p>
    <w:p w14:paraId="2B68E0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应急部门预算项目共29个，涉及预算资金2,242.24万元，评价组抽取项目的绩效评价指标体系均采用《2025年泸定县部门整体支出绩效评价指标体系》，抽取的项目为安全隐患排查及治理工作经费、“9·5”泸定地震应急抢险和受灾群众救助资金、2022年中央和省级自然灾害救灾资金预算（地震灾害）和泸定地震救灾综合财力补助资金—生活救助资金、泸定县第一次全国自然灾害综合风险普查第三方服务项目、冬春救助资金，抽取项目预算资金1,057.36万元。经评价小组复核评分，抽查的预算项目平均得分95.41分。</w:t>
      </w:r>
    </w:p>
    <w:p w14:paraId="4ADF518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本项分值为20.00分，扣0.92分，得分为19.08分。</w:t>
      </w:r>
    </w:p>
    <w:p w14:paraId="3B1C687A">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3.</w:t>
      </w:r>
      <w:r>
        <w:rPr>
          <w:rFonts w:hint="default" w:ascii="Times New Roman" w:hAnsi="Times New Roman" w:eastAsia="方正仿宋_GB2312" w:cs="Times New Roman"/>
          <w:color w:val="auto"/>
          <w:sz w:val="32"/>
          <w:szCs w:val="32"/>
          <w:highlight w:val="none"/>
        </w:rPr>
        <w:t>专项预算绩效</w:t>
      </w:r>
      <w:r>
        <w:rPr>
          <w:rFonts w:hint="default" w:ascii="Times New Roman" w:hAnsi="Times New Roman" w:eastAsia="方正仿宋_GB2312" w:cs="Times New Roman"/>
          <w:color w:val="auto"/>
          <w:sz w:val="32"/>
          <w:szCs w:val="32"/>
          <w:highlight w:val="none"/>
          <w:lang w:val="en-US" w:eastAsia="zh-CN"/>
        </w:rPr>
        <w:t>管理情况</w:t>
      </w:r>
    </w:p>
    <w:p w14:paraId="19A5BE0D">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整体完成</w:t>
      </w:r>
    </w:p>
    <w:p w14:paraId="1B9DC6F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应急局预算项目29个，评价组抽取专项预算项目2个，抽取项目预算资金546.99万元，抽取项目为泸定县2024年自然灾害救灾资金、甘孜藏族自治州基层防灾能力提升项目。经评价小组复核评分，抽查的预算项目平均得分97分。</w:t>
      </w:r>
    </w:p>
    <w:p w14:paraId="7C50EB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本项分值为30.00分，扣0.90分，得分为29.10分。</w:t>
      </w:r>
    </w:p>
    <w:p w14:paraId="6B552CA4">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4.</w:t>
      </w:r>
      <w:r>
        <w:rPr>
          <w:rFonts w:hint="default" w:ascii="Times New Roman" w:hAnsi="Times New Roman" w:eastAsia="方正仿宋_GB2312" w:cs="Times New Roman"/>
          <w:color w:val="auto"/>
          <w:sz w:val="32"/>
          <w:szCs w:val="32"/>
          <w:highlight w:val="none"/>
          <w:lang w:val="en-US" w:eastAsia="zh-CN"/>
        </w:rPr>
        <w:t>绩效结果应用</w:t>
      </w:r>
    </w:p>
    <w:p w14:paraId="0AF25A09">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截至评价日，县应急局未制定《预决算制度》，单位绩效管理情况未纳入内部考核体系且内部绩效结果未与预算挂钩。</w:t>
      </w:r>
    </w:p>
    <w:p w14:paraId="26F62B8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应急局于2024年3月28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①问题整改。2024年度，县应急局未收到绩效目标核查、绩效重点监控和重点绩效评价等方面整改意见，无需整改。</w:t>
      </w:r>
    </w:p>
    <w:p w14:paraId="0E6FAB3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②应用反馈。2024年度，县应急局在规定时间内向财政部门反馈绩效结果应用报告，报告内容翔实、问题整改到位、结果应用充分。</w:t>
      </w:r>
    </w:p>
    <w:p w14:paraId="192AD22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应急局2024年部门整体支出绩效自评得分84分（不包括“自评质量”指标分值，满分为94分），根据现场评价情况，评价组对县应急局的考评得分83.73分（不包括“自评质量”指标分值，满分为94分），自评差异率0.32%，低于10.00%。</w:t>
      </w:r>
    </w:p>
    <w:p w14:paraId="62CC150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5060"/>
      <w:bookmarkStart w:id="132" w:name="_Toc7306"/>
      <w:bookmarkStart w:id="133" w:name="_Toc248033833"/>
      <w:bookmarkStart w:id="134" w:name="_Toc30339"/>
      <w:bookmarkStart w:id="135" w:name="_Toc21218"/>
      <w:bookmarkStart w:id="136" w:name="_Toc30515"/>
      <w:bookmarkStart w:id="137" w:name="_Toc14032"/>
      <w:bookmarkStart w:id="138" w:name="_Toc25603"/>
      <w:bookmarkStart w:id="139" w:name="_Toc4350"/>
      <w:bookmarkStart w:id="140" w:name="_Toc823448808"/>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10426"/>
      <w:bookmarkStart w:id="144" w:name="_Toc15651"/>
      <w:bookmarkStart w:id="145" w:name="_Toc3240"/>
      <w:bookmarkStart w:id="146" w:name="_Toc464104487"/>
      <w:bookmarkStart w:id="147" w:name="_Toc771997543"/>
      <w:bookmarkStart w:id="148" w:name="_Toc22968"/>
      <w:bookmarkStart w:id="149" w:name="_Toc31629"/>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应急局2024年部门综合绩效目标与个别预算项目绩效目标均不同程度存在编制不规范，指标设置要素不完整、指标值不合理、绩效目标未随预算调整同步完成调整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0F284CBB">
      <w:pPr>
        <w:widowControl/>
        <w:numPr>
          <w:ilvl w:val="0"/>
          <w:numId w:val="0"/>
        </w:numPr>
        <w:spacing w:line="600" w:lineRule="exact"/>
        <w:ind w:firstLine="640" w:firstLineChars="200"/>
        <w:outlineLvl w:val="9"/>
        <w:rPr>
          <w:rFonts w:hint="default" w:ascii="Times New Roman" w:hAnsi="Times New Roman" w:eastAsia="仿宋" w:cs="Times New Roman"/>
          <w:bCs/>
          <w:kern w:val="2"/>
          <w:sz w:val="32"/>
          <w:szCs w:val="32"/>
          <w:highlight w:val="yellow"/>
          <w:lang w:val="en-US" w:eastAsia="zh-CN" w:bidi="ar-SA"/>
        </w:rPr>
      </w:pPr>
      <w:r>
        <w:rPr>
          <w:rFonts w:hint="default" w:ascii="Times New Roman" w:hAnsi="Times New Roman" w:eastAsia="方正仿宋_GB2312" w:cs="Times New Roman"/>
          <w:bCs w:val="0"/>
          <w:color w:val="auto"/>
          <w:sz w:val="32"/>
          <w:szCs w:val="32"/>
          <w:highlight w:val="none"/>
          <w:lang w:eastAsia="zh-CN"/>
        </w:rPr>
        <w:t>20</w:t>
      </w:r>
      <w:r>
        <w:rPr>
          <w:rFonts w:hint="default" w:ascii="Times New Roman" w:hAnsi="Times New Roman" w:eastAsia="方正仿宋_GB2312" w:cs="Times New Roman"/>
          <w:bCs w:val="0"/>
          <w:color w:val="auto"/>
          <w:sz w:val="32"/>
          <w:szCs w:val="32"/>
          <w:highlight w:val="none"/>
          <w:lang w:val="en-US" w:eastAsia="zh-CN"/>
        </w:rPr>
        <w:t>24</w:t>
      </w:r>
      <w:r>
        <w:rPr>
          <w:rFonts w:hint="default" w:ascii="Times New Roman" w:hAnsi="Times New Roman" w:eastAsia="方正仿宋_GB2312" w:cs="Times New Roman"/>
          <w:color w:val="auto"/>
          <w:sz w:val="32"/>
          <w:szCs w:val="32"/>
          <w:highlight w:val="none"/>
          <w:lang w:val="en-US" w:eastAsia="zh-CN"/>
        </w:rPr>
        <w:t>年，县应急局已编报《部门（单位）整体支出绩效目标申报表》，绩效目标随预算已上报人大完成审核，但未对部门整体项目进行集体决策，未将部门绩效目标纳入集体决策范围。</w:t>
      </w: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（三）项目预算结余率较高</w:t>
      </w:r>
    </w:p>
    <w:p w14:paraId="6BA6023F">
      <w:pPr>
        <w:keepNext w:val="0"/>
        <w:keepLines w:val="0"/>
        <w:pageBreakBefore w:val="0"/>
        <w:widowControl/>
        <w:numPr>
          <w:ilvl w:val="0"/>
          <w:numId w:val="0"/>
        </w:numPr>
        <w:kinsoku/>
        <w:wordWrap/>
        <w:overflowPunct/>
        <w:topLinePunct w:val="0"/>
        <w:autoSpaceDE/>
        <w:autoSpaceDN/>
        <w:bidi w:val="0"/>
        <w:spacing w:line="600" w:lineRule="exact"/>
        <w:ind w:left="0" w:firstLine="640" w:firstLineChars="200"/>
        <w:outlineLvl w:val="9"/>
        <w:rPr>
          <w:rFonts w:hint="default" w:ascii="Times New Roman" w:hAnsi="Times New Roman"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根据县应急局2024年度决算报表与可执行指标执行情况表被评价单位 2024年度预算项目共计29个，部门预算项目资金结余率小于10%有23个，大于10%有6个。</w:t>
      </w: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widowControl/>
        <w:numPr>
          <w:ilvl w:val="0"/>
          <w:numId w:val="0"/>
        </w:numPr>
        <w:kinsoku/>
        <w:wordWrap/>
        <w:overflowPunct/>
        <w:topLinePunct w:val="0"/>
        <w:autoSpaceDE/>
        <w:autoSpaceDN/>
        <w:bidi w:val="0"/>
        <w:spacing w:line="600" w:lineRule="exact"/>
        <w:ind w:left="0" w:firstLine="640" w:firstLineChars="20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截至评价日，县应急局未制定《预决算制度》，但单位绩效管理情况未纳入内部考核体系且内部绩效结果未与预算挂钩。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2775"/>
      <w:bookmarkStart w:id="151" w:name="_Toc5324"/>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widowControl/>
        <w:numPr>
          <w:ilvl w:val="0"/>
          <w:numId w:val="0"/>
        </w:numPr>
        <w:kinsoku/>
        <w:wordWrap/>
        <w:overflowPunct/>
        <w:topLinePunct w:val="0"/>
        <w:autoSpaceDE/>
        <w:autoSpaceDN/>
        <w:bidi w:val="0"/>
        <w:spacing w:line="600" w:lineRule="exact"/>
        <w:ind w:left="0" w:firstLine="640" w:firstLineChars="20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widowControl/>
        <w:numPr>
          <w:ilvl w:val="0"/>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（三）提高预算执行率</w:t>
      </w:r>
    </w:p>
    <w:p w14:paraId="45854498">
      <w:pPr>
        <w:keepNext w:val="0"/>
        <w:keepLines w:val="0"/>
        <w:pageBreakBefore w:val="0"/>
        <w:widowControl/>
        <w:numPr>
          <w:ilvl w:val="0"/>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（四）</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7DCAA2FF">
      <w:pPr>
        <w:keepNext w:val="0"/>
        <w:keepLines w:val="0"/>
        <w:pageBreakBefore w:val="0"/>
        <w:widowControl/>
        <w:numPr>
          <w:ilvl w:val="0"/>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1"/>
    <w:bookmarkEnd w:id="142"/>
    <w:p w14:paraId="5121D91C">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560" w:firstLineChars="0"/>
        <w:textAlignment w:val="auto"/>
        <w:outlineLvl w:val="9"/>
        <w:rPr>
          <w:rFonts w:hint="default" w:ascii="Times New Roman" w:hAnsi="Times New Roman" w:eastAsia="方正仿宋_GB2312" w:cs="Times New Roman"/>
          <w:color w:val="auto"/>
          <w:sz w:val="32"/>
          <w:szCs w:val="32"/>
          <w:highlight w:val="none"/>
          <w:shd w:val="clear"/>
        </w:rPr>
      </w:pPr>
      <w:bookmarkStart w:id="153" w:name="_Toc3238"/>
    </w:p>
    <w:p w14:paraId="085E1486">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560" w:firstLineChars="0"/>
        <w:textAlignment w:val="auto"/>
        <w:outlineLvl w:val="9"/>
        <w:rPr>
          <w:rFonts w:hint="default" w:ascii="Times New Roman" w:hAnsi="Times New Roman" w:eastAsia="方正仿宋_GB2312" w:cs="Times New Roman"/>
          <w:b w:val="0"/>
          <w:bCs w:val="0"/>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shd w:val="clear"/>
        </w:rPr>
        <w:t>附件</w:t>
      </w:r>
      <w:r>
        <w:rPr>
          <w:rFonts w:hint="default" w:ascii="Times New Roman" w:hAnsi="Times New Roman" w:eastAsia="方正仿宋_GB2312" w:cs="Times New Roman"/>
          <w:color w:val="auto"/>
          <w:sz w:val="32"/>
          <w:szCs w:val="32"/>
          <w:highlight w:val="none"/>
          <w:shd w:val="clear"/>
          <w:lang w:eastAsia="zh-CN"/>
        </w:rPr>
        <w:t>：泸定县应急管理局（泸定县安全生产委员会办公室）部门整体支出绩效评价指标体系表（评分表）</w:t>
      </w:r>
      <w:bookmarkEnd w:id="153"/>
    </w:p>
    <w:p w14:paraId="69EBD8EB">
      <w:pPr>
        <w:spacing w:line="600" w:lineRule="exact"/>
        <w:ind w:firstLine="640"/>
        <w:jc w:val="right"/>
        <w:rPr>
          <w:rFonts w:hint="default" w:ascii="Times New Roman" w:hAnsi="Times New Roman" w:eastAsia="方正仿宋_GB2312" w:cs="Times New Roman"/>
          <w:b w:val="0"/>
          <w:bCs w:val="0"/>
          <w:sz w:val="32"/>
          <w:szCs w:val="32"/>
          <w:highlight w:val="none"/>
          <w:lang w:eastAsia="zh-CN"/>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b w:val="0"/>
          <w:bCs w:val="0"/>
          <w:sz w:val="32"/>
          <w:szCs w:val="32"/>
          <w:highlight w:val="none"/>
          <w:lang w:eastAsia="zh-CN"/>
        </w:rPr>
        <w:t>　</w:t>
      </w: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684009E6">
      <w:pPr>
        <w:ind w:left="0" w:leftChars="0" w:firstLine="0" w:firstLineChars="0"/>
        <w:rPr>
          <w:rFonts w:hint="default" w:ascii="Times New Roman" w:hAnsi="Times New Roman" w:cs="Times New Roman"/>
          <w:highlight w:val="none"/>
          <w:lang w:val="en-US" w:eastAsia="zh-CN"/>
        </w:rPr>
      </w:pPr>
      <w:bookmarkStart w:id="154" w:name="_GoBack"/>
      <w:bookmarkEnd w:id="154"/>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69ED9395-1E4E-4C9A-A2DF-26F920DF0F65}"/>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8341195D-A14F-4BF4-81FA-BEC9C6529BE1}"/>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26DAE2F-A483-4028-9989-EF098C601005}"/>
  </w:font>
  <w:font w:name="方正黑体简体">
    <w:panose1 w:val="03000509000000000000"/>
    <w:charset w:val="86"/>
    <w:family w:val="auto"/>
    <w:pitch w:val="default"/>
    <w:sig w:usb0="00000001" w:usb1="080E0000" w:usb2="00000000" w:usb3="00000000" w:csb0="00040000" w:csb1="00000000"/>
    <w:embedRegular r:id="rId4" w:fontKey="{81E8816C-427E-404B-8491-571223B59C7D}"/>
  </w:font>
  <w:font w:name="方正楷体简体">
    <w:panose1 w:val="03000509000000000000"/>
    <w:charset w:val="86"/>
    <w:family w:val="auto"/>
    <w:pitch w:val="default"/>
    <w:sig w:usb0="00000001" w:usb1="080E0000" w:usb2="00000000" w:usb3="00000000" w:csb0="00040000" w:csb1="00000000"/>
    <w:embedRegular r:id="rId5" w:fontKey="{41A56B83-CE6B-4395-9D58-F372DB6E44C2}"/>
  </w:font>
  <w:font w:name="方正小标宋简体">
    <w:panose1 w:val="03000509000000000000"/>
    <w:charset w:val="86"/>
    <w:family w:val="auto"/>
    <w:pitch w:val="default"/>
    <w:sig w:usb0="00000001" w:usb1="080E0000" w:usb2="00000000" w:usb3="00000000" w:csb0="00040000" w:csb1="00000000"/>
    <w:embedRegular r:id="rId6" w:fontKey="{622BA2A4-FB06-441D-A3E2-10731BF1C0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7679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8212C5"/>
    <w:rsid w:val="02B56978"/>
    <w:rsid w:val="031D77B8"/>
    <w:rsid w:val="03435D32"/>
    <w:rsid w:val="034B0AC6"/>
    <w:rsid w:val="03726617"/>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A10A64"/>
    <w:rsid w:val="0AAA2B3A"/>
    <w:rsid w:val="0BD10723"/>
    <w:rsid w:val="0C0A3890"/>
    <w:rsid w:val="0C82214A"/>
    <w:rsid w:val="0C933753"/>
    <w:rsid w:val="0CC90B55"/>
    <w:rsid w:val="0CF63E15"/>
    <w:rsid w:val="0D0C53E6"/>
    <w:rsid w:val="0D403E11"/>
    <w:rsid w:val="0D4639D6"/>
    <w:rsid w:val="0D7279BB"/>
    <w:rsid w:val="0D7C008D"/>
    <w:rsid w:val="0DA06897"/>
    <w:rsid w:val="0DF462ED"/>
    <w:rsid w:val="0DF90060"/>
    <w:rsid w:val="0E19564B"/>
    <w:rsid w:val="0E3E5A73"/>
    <w:rsid w:val="0E522B49"/>
    <w:rsid w:val="0E5E23AA"/>
    <w:rsid w:val="0E6050D4"/>
    <w:rsid w:val="0E7F3C56"/>
    <w:rsid w:val="0E8536A2"/>
    <w:rsid w:val="0EE4486D"/>
    <w:rsid w:val="0EF40828"/>
    <w:rsid w:val="0EF610D2"/>
    <w:rsid w:val="0EF97BEC"/>
    <w:rsid w:val="0F207817"/>
    <w:rsid w:val="0F24115F"/>
    <w:rsid w:val="0F7D48CD"/>
    <w:rsid w:val="0F851480"/>
    <w:rsid w:val="0F8676D2"/>
    <w:rsid w:val="0F895427"/>
    <w:rsid w:val="0FA36556"/>
    <w:rsid w:val="100F5919"/>
    <w:rsid w:val="10233173"/>
    <w:rsid w:val="10433815"/>
    <w:rsid w:val="10607EBA"/>
    <w:rsid w:val="10A609B0"/>
    <w:rsid w:val="10C177C0"/>
    <w:rsid w:val="10FB12CE"/>
    <w:rsid w:val="11034D52"/>
    <w:rsid w:val="11641A35"/>
    <w:rsid w:val="11A54F88"/>
    <w:rsid w:val="11A55E09"/>
    <w:rsid w:val="1256364C"/>
    <w:rsid w:val="12AF6F40"/>
    <w:rsid w:val="12F71BB3"/>
    <w:rsid w:val="13445E84"/>
    <w:rsid w:val="13463C67"/>
    <w:rsid w:val="134E407D"/>
    <w:rsid w:val="136916A0"/>
    <w:rsid w:val="13B8319C"/>
    <w:rsid w:val="13BF191E"/>
    <w:rsid w:val="13DD5D2E"/>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BA737C"/>
    <w:rsid w:val="171E4694"/>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C02064"/>
    <w:rsid w:val="1AF776D6"/>
    <w:rsid w:val="1B0B2AA5"/>
    <w:rsid w:val="1B334486"/>
    <w:rsid w:val="1B8D1DE8"/>
    <w:rsid w:val="1BDF6BC8"/>
    <w:rsid w:val="1C141C3C"/>
    <w:rsid w:val="1C2C3D72"/>
    <w:rsid w:val="1C535707"/>
    <w:rsid w:val="1C580E62"/>
    <w:rsid w:val="1C975E00"/>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931C4F"/>
    <w:rsid w:val="20A3724F"/>
    <w:rsid w:val="20C460ED"/>
    <w:rsid w:val="20CB7E98"/>
    <w:rsid w:val="21CC56B8"/>
    <w:rsid w:val="21F711A6"/>
    <w:rsid w:val="22460F43"/>
    <w:rsid w:val="22612BC4"/>
    <w:rsid w:val="2297354C"/>
    <w:rsid w:val="22993768"/>
    <w:rsid w:val="22DD16D2"/>
    <w:rsid w:val="22F7E8FF"/>
    <w:rsid w:val="23386ADD"/>
    <w:rsid w:val="234C0C7F"/>
    <w:rsid w:val="23A67EEB"/>
    <w:rsid w:val="23F46FD7"/>
    <w:rsid w:val="24262DDA"/>
    <w:rsid w:val="24283899"/>
    <w:rsid w:val="24436E8F"/>
    <w:rsid w:val="248C4080"/>
    <w:rsid w:val="24C04FDC"/>
    <w:rsid w:val="24FD16C3"/>
    <w:rsid w:val="25790BDA"/>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4E0049"/>
    <w:rsid w:val="29581F66"/>
    <w:rsid w:val="29942B89"/>
    <w:rsid w:val="2A0E67EA"/>
    <w:rsid w:val="2A14341E"/>
    <w:rsid w:val="2A257690"/>
    <w:rsid w:val="2A3049B2"/>
    <w:rsid w:val="2A817549"/>
    <w:rsid w:val="2AC132B1"/>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95CA2"/>
    <w:rsid w:val="2D9D27E0"/>
    <w:rsid w:val="2DE812E1"/>
    <w:rsid w:val="2E112ABE"/>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C0398"/>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0926B06"/>
    <w:rsid w:val="412070D7"/>
    <w:rsid w:val="41322966"/>
    <w:rsid w:val="414508EB"/>
    <w:rsid w:val="41670862"/>
    <w:rsid w:val="41731B45"/>
    <w:rsid w:val="41DC7289"/>
    <w:rsid w:val="41FD2ABB"/>
    <w:rsid w:val="421C165C"/>
    <w:rsid w:val="423D5A66"/>
    <w:rsid w:val="42811671"/>
    <w:rsid w:val="428B71EF"/>
    <w:rsid w:val="42A2347D"/>
    <w:rsid w:val="42DF77E8"/>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0879FF"/>
    <w:rsid w:val="4712301E"/>
    <w:rsid w:val="47384C8B"/>
    <w:rsid w:val="477D22C4"/>
    <w:rsid w:val="47970F04"/>
    <w:rsid w:val="48D56225"/>
    <w:rsid w:val="493C0826"/>
    <w:rsid w:val="49D23684"/>
    <w:rsid w:val="49E41186"/>
    <w:rsid w:val="49F243D5"/>
    <w:rsid w:val="4A3F0AC3"/>
    <w:rsid w:val="4A6E0EB3"/>
    <w:rsid w:val="4AD1435D"/>
    <w:rsid w:val="4AFA2C7B"/>
    <w:rsid w:val="4B0435C5"/>
    <w:rsid w:val="4B58271A"/>
    <w:rsid w:val="4B6B11A9"/>
    <w:rsid w:val="4B72052F"/>
    <w:rsid w:val="4B9C6B82"/>
    <w:rsid w:val="4BDE4024"/>
    <w:rsid w:val="4C1635B0"/>
    <w:rsid w:val="4C907F6D"/>
    <w:rsid w:val="4CA46E0E"/>
    <w:rsid w:val="4CAE35BE"/>
    <w:rsid w:val="4CFC2039"/>
    <w:rsid w:val="4D101EA3"/>
    <w:rsid w:val="4D111FCA"/>
    <w:rsid w:val="4D3E2370"/>
    <w:rsid w:val="4D6E449B"/>
    <w:rsid w:val="4E4361B3"/>
    <w:rsid w:val="4F0A34DF"/>
    <w:rsid w:val="4F5F5C7E"/>
    <w:rsid w:val="4F7241B1"/>
    <w:rsid w:val="4FCD04DF"/>
    <w:rsid w:val="4FF7181A"/>
    <w:rsid w:val="4FFE309A"/>
    <w:rsid w:val="507D0BBC"/>
    <w:rsid w:val="507E6B2A"/>
    <w:rsid w:val="50F87728"/>
    <w:rsid w:val="51290B58"/>
    <w:rsid w:val="51381763"/>
    <w:rsid w:val="51842D6A"/>
    <w:rsid w:val="51960840"/>
    <w:rsid w:val="51D7639A"/>
    <w:rsid w:val="51E2208C"/>
    <w:rsid w:val="52020133"/>
    <w:rsid w:val="5221572C"/>
    <w:rsid w:val="52265F38"/>
    <w:rsid w:val="52291B63"/>
    <w:rsid w:val="527E3C5D"/>
    <w:rsid w:val="52A20A69"/>
    <w:rsid w:val="52EF2BDF"/>
    <w:rsid w:val="535B753F"/>
    <w:rsid w:val="53B16AD7"/>
    <w:rsid w:val="543748C0"/>
    <w:rsid w:val="549D034C"/>
    <w:rsid w:val="54B716A8"/>
    <w:rsid w:val="54C05133"/>
    <w:rsid w:val="55516FE9"/>
    <w:rsid w:val="55681707"/>
    <w:rsid w:val="55AC2CD2"/>
    <w:rsid w:val="55B812E3"/>
    <w:rsid w:val="55D82153"/>
    <w:rsid w:val="561A2F05"/>
    <w:rsid w:val="566E5A78"/>
    <w:rsid w:val="567C0AAC"/>
    <w:rsid w:val="56A7003A"/>
    <w:rsid w:val="575D29C4"/>
    <w:rsid w:val="577B4EF8"/>
    <w:rsid w:val="57950BEC"/>
    <w:rsid w:val="579A41D9"/>
    <w:rsid w:val="57BD01C5"/>
    <w:rsid w:val="57BE73BD"/>
    <w:rsid w:val="57C56C55"/>
    <w:rsid w:val="57E13BCA"/>
    <w:rsid w:val="57EAF5E5"/>
    <w:rsid w:val="58296419"/>
    <w:rsid w:val="58334AD1"/>
    <w:rsid w:val="5864421C"/>
    <w:rsid w:val="58F55AD6"/>
    <w:rsid w:val="5901172B"/>
    <w:rsid w:val="594F3C5E"/>
    <w:rsid w:val="59561F19"/>
    <w:rsid w:val="596B1981"/>
    <w:rsid w:val="59821BED"/>
    <w:rsid w:val="59CF4D9E"/>
    <w:rsid w:val="59DE4A58"/>
    <w:rsid w:val="59EE791A"/>
    <w:rsid w:val="5A56101C"/>
    <w:rsid w:val="5AB4383C"/>
    <w:rsid w:val="5AED719F"/>
    <w:rsid w:val="5B0A7A07"/>
    <w:rsid w:val="5B1433B1"/>
    <w:rsid w:val="5B353327"/>
    <w:rsid w:val="5B3C271A"/>
    <w:rsid w:val="5B3F384B"/>
    <w:rsid w:val="5B5F5E1B"/>
    <w:rsid w:val="5B685559"/>
    <w:rsid w:val="5B8F6EDB"/>
    <w:rsid w:val="5BE414C5"/>
    <w:rsid w:val="5BE56FBE"/>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4669D8"/>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CE4EB6"/>
    <w:rsid w:val="6BFFA4D9"/>
    <w:rsid w:val="6C196A9A"/>
    <w:rsid w:val="6C590980"/>
    <w:rsid w:val="6C75429C"/>
    <w:rsid w:val="6C7D23DE"/>
    <w:rsid w:val="6C8163CC"/>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AA79E8"/>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0650F2"/>
    <w:rsid w:val="71506ACE"/>
    <w:rsid w:val="716138A0"/>
    <w:rsid w:val="71753151"/>
    <w:rsid w:val="71867FE1"/>
    <w:rsid w:val="71A73D3E"/>
    <w:rsid w:val="71AD1A11"/>
    <w:rsid w:val="71D1504B"/>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B3345A"/>
    <w:rsid w:val="7BBE09F0"/>
    <w:rsid w:val="7BC71922"/>
    <w:rsid w:val="7BCF7C7E"/>
    <w:rsid w:val="7BD61AD5"/>
    <w:rsid w:val="7BF9C739"/>
    <w:rsid w:val="7BFB259B"/>
    <w:rsid w:val="7BFF440A"/>
    <w:rsid w:val="7BFF8FB5"/>
    <w:rsid w:val="7C484810"/>
    <w:rsid w:val="7C8549E9"/>
    <w:rsid w:val="7C986A55"/>
    <w:rsid w:val="7C9E2A4A"/>
    <w:rsid w:val="7CCD70F6"/>
    <w:rsid w:val="7CFC4664"/>
    <w:rsid w:val="7D4E5235"/>
    <w:rsid w:val="7D7B61FA"/>
    <w:rsid w:val="7D7D8DD1"/>
    <w:rsid w:val="7D9F8B72"/>
    <w:rsid w:val="7DBBA20B"/>
    <w:rsid w:val="7DC66335"/>
    <w:rsid w:val="7DDEDC0D"/>
    <w:rsid w:val="7DEF7A8A"/>
    <w:rsid w:val="7DF3FD3E"/>
    <w:rsid w:val="7DF7F354"/>
    <w:rsid w:val="7DFB0575"/>
    <w:rsid w:val="7E0E3838"/>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7ef33484-da43-48f0-9eeb-07b44ab4e34f</errorID>
      <errorWord>年</errorWord>
      <group>L1_Word</group>
      <groupName>字词问题</groupName>
      <ability>L2_Typo</ability>
      <abilityName>字词错误</abilityName>
      <candidateList>
        <item>年度</item>
      </candidateList>
      <explain/>
      <paraID>50FB6A35</paraID>
      <start>102</start>
      <end>104</end>
      <status>modified</status>
      <modifiedWord>年度</modifiedWord>
      <trackRevisions>false</trackRevisions>
    </reviewItem>
    <reviewItem>
      <errorID>e24a09ab-9099-422f-9639-ce4de776c422</errorID>
      <errorWord>，通过</errorWord>
      <group>L1_AI</group>
      <groupName>深度校对</groupName>
      <ability>L2_AI_Grammar</ability>
      <abilityName>语法纠错</abilityName>
      <candidateList>
        <item>，</item>
      </candidateList>
      <explain/>
      <paraID>38EC8196</paraID>
      <start>11</start>
      <end>12</end>
      <status>modified</status>
      <modifiedWord>，</modifiedWord>
      <trackRevisions>false</trackRevisions>
    </reviewItem>
    <reviewItem>
      <errorID>acfb616f-e2ba-4ff0-845e-c0c9f41a4d5b</errorID>
      <errorWord>部门</errorWord>
      <group>L1_AI</group>
      <groupName>深度校对</groupName>
      <ability>L2_AI_Grammar</ability>
      <abilityName>语法纠错</abilityName>
      <candidateList>
        <item>局部门</item>
      </candidateList>
      <explain/>
      <paraID>38EC8196</paraID>
      <start>79</start>
      <end>82</end>
      <status>modified</status>
      <modifiedWord>局部门</modifiedWord>
      <trackRevisions>false</trackRevisions>
    </reviewItem>
    <reviewItem>
      <errorID>03b8c646-4f85-497a-812f-1f612e22db54</errorID>
      <errorWord>分别</errorWord>
      <group>L1_AI</group>
      <groupName>深度校对</groupName>
      <ability>L2_AI_Punc</ability>
      <abilityName>标点纠错</abilityName>
      <candidateList>
        <item>，分别</item>
      </candidateList>
      <explain/>
      <paraID>14F83EDD</paraID>
      <start>18</start>
      <end>21</end>
      <status>modified</status>
      <modifiedWord>，分别</modifiedWord>
      <trackRevisions>false</trackRevisions>
    </reviewItem>
    <reviewItem>
      <errorID>e9770027-97c6-4b89-83ee-17ffbdd21836</errorID>
      <errorWord>：</errorWord>
      <group>L1_AI</group>
      <groupName>深度校对</groupName>
      <ability>L2_AI_Punc</ability>
      <abilityName>标点纠错</abilityName>
      <candidateList>
        <item/>
      </candidateList>
      <explain/>
      <paraID>14F83EDD</paraID>
      <start>22</start>
      <end>22</end>
      <status>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31c10-11ac-430a-9b2d-49288823d4ab}">
  <ds:schemaRefs/>
</ds:datastoreItem>
</file>

<file path=docProps/app.xml><?xml version="1.0" encoding="utf-8"?>
<Properties xmlns="http://schemas.openxmlformats.org/officeDocument/2006/extended-properties" xmlns:vt="http://schemas.openxmlformats.org/officeDocument/2006/docPropsVTypes">
  <Company>Microsoft</Company>
  <Pages>14</Pages>
  <Words>5902</Words>
  <Characters>6533</Characters>
  <Lines>1</Lines>
  <Paragraphs>1</Paragraphs>
  <TotalTime>2</TotalTime>
  <ScaleCrop>false</ScaleCrop>
  <LinksUpToDate>false</LinksUpToDate>
  <CharactersWithSpaces>6576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